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2025至2026年物业管理服务项目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t xml:space="preserve"> </w:t>
      </w:r>
      <w:r>
        <w:rPr>
          <w:rFonts w:cs="仿宋_GB2312" w:asciiTheme="minorEastAsia" w:hAnsiTheme="minorEastAsia" w:eastAsiaTheme="minorEastAsia"/>
          <w:sz w:val="30"/>
          <w:szCs w:val="30"/>
        </w:rPr>
        <w:t>BHZC2025-C3-</w:t>
      </w:r>
      <w:r>
        <w:rPr>
          <w:rFonts w:hint="eastAsia" w:cs="仿宋_GB2312" w:asciiTheme="minorEastAsia" w:hAnsiTheme="minorEastAsia" w:eastAsiaTheme="minorEastAsia"/>
          <w:sz w:val="30"/>
          <w:szCs w:val="30"/>
        </w:rPr>
        <w:t>990197</w:t>
      </w:r>
      <w:r>
        <w:rPr>
          <w:rFonts w:cs="仿宋_GB2312" w:asciiTheme="minorEastAsia" w:hAnsiTheme="minorEastAsia" w:eastAsiaTheme="minorEastAsia"/>
          <w:sz w:val="30"/>
          <w:szCs w:val="30"/>
        </w:rPr>
        <w:t>-CGZX</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bookmarkStart w:id="0" w:name="OLE_LINK7"/>
      <w:bookmarkStart w:id="1" w:name="OLE_LINK6"/>
      <w:bookmarkStart w:id="2" w:name="OLE_LINK5"/>
      <w:r>
        <w:rPr>
          <w:rFonts w:hint="eastAsia" w:ascii="宋体" w:hAnsi="宋体" w:cs="宋体"/>
          <w:sz w:val="32"/>
          <w:szCs w:val="32"/>
        </w:rPr>
        <w:t>北海市总工会工人文化宫</w:t>
      </w:r>
    </w:p>
    <w:bookmarkEnd w:id="0"/>
    <w:bookmarkEnd w:id="1"/>
    <w:bookmarkEnd w:id="2"/>
    <w:p>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北海市政府采购中心</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二五年九月十日</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3" w:name="_Hlt67893495"/>
      <w:bookmarkEnd w:id="3"/>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pStyle w:val="40"/>
        <w:tabs>
          <w:tab w:val="right" w:leader="dot" w:pos="9060"/>
        </w:tabs>
        <w:spacing w:line="360" w:lineRule="auto"/>
        <w:rPr>
          <w:rFonts w:asciiTheme="minorEastAsia" w:hAnsiTheme="minorEastAsia" w:eastAsiaTheme="minorEastAsia" w:cstheme="minorBidi"/>
          <w:sz w:val="32"/>
          <w:szCs w:val="32"/>
        </w:rPr>
      </w:pPr>
      <w:bookmarkStart w:id="4" w:name="_Hlt91233176"/>
      <w:bookmarkEnd w:id="4"/>
      <w:bookmarkStart w:id="5" w:name="_Toc91899869"/>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 </w:instrText>
      </w:r>
      <w:r>
        <w:rPr>
          <w:rFonts w:hint="eastAsia" w:cs="仿宋_GB2312" w:asciiTheme="minorEastAsia" w:hAnsiTheme="minorEastAsia" w:eastAsiaTheme="minorEastAsia"/>
          <w:sz w:val="32"/>
          <w:szCs w:val="32"/>
        </w:rPr>
        <w:instrText xml:space="preserve">TOC \o "1-1" \h \z \u</w:instrText>
      </w:r>
      <w:r>
        <w:rPr>
          <w:rFonts w:cs="仿宋_GB2312" w:asciiTheme="minorEastAsia" w:hAnsiTheme="minorEastAsia" w:eastAsiaTheme="minorEastAsia"/>
          <w:sz w:val="32"/>
          <w:szCs w:val="32"/>
        </w:rPr>
        <w:instrText xml:space="preserve"> </w:instrText>
      </w:r>
      <w:r>
        <w:rPr>
          <w:rFonts w:cs="仿宋_GB2312" w:asciiTheme="minorEastAsia" w:hAnsiTheme="minorEastAsia" w:eastAsiaTheme="minorEastAsia"/>
          <w:sz w:val="32"/>
          <w:szCs w:val="32"/>
        </w:rPr>
        <w:fldChar w:fldCharType="separate"/>
      </w:r>
      <w:r>
        <w:fldChar w:fldCharType="begin"/>
      </w:r>
      <w:r>
        <w:instrText xml:space="preserve"> HYPERLINK \l "_Toc181203094" </w:instrText>
      </w:r>
      <w:r>
        <w:fldChar w:fldCharType="separate"/>
      </w:r>
      <w:r>
        <w:rPr>
          <w:rStyle w:val="68"/>
          <w:rFonts w:hint="eastAsia" w:cs="仿宋_GB2312" w:asciiTheme="minorEastAsia" w:hAnsiTheme="minorEastAsia" w:eastAsiaTheme="minorEastAsia"/>
          <w:sz w:val="32"/>
          <w:szCs w:val="32"/>
        </w:rPr>
        <w:t>第一部分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邀请供应商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"_Toc181203095" </w:instrText>
      </w:r>
      <w:r>
        <w:fldChar w:fldCharType="separate"/>
      </w:r>
      <w:r>
        <w:rPr>
          <w:rStyle w:val="68"/>
          <w:rFonts w:hint="eastAsia" w:cs="仿宋_GB2312" w:asciiTheme="minorEastAsia" w:hAnsiTheme="minorEastAsia" w:eastAsiaTheme="minorEastAsia"/>
          <w:sz w:val="32"/>
          <w:szCs w:val="32"/>
        </w:rPr>
        <w:t>第二部分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竞争性磋商流程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40"/>
        <w:tabs>
          <w:tab w:val="right" w:leader="dot" w:pos="9060"/>
        </w:tabs>
        <w:spacing w:line="360" w:lineRule="auto"/>
        <w:rPr>
          <w:rFonts w:asciiTheme="minorEastAsia" w:hAnsiTheme="minorEastAsia" w:eastAsiaTheme="minorEastAsia" w:cstheme="minorBidi"/>
          <w:sz w:val="32"/>
          <w:szCs w:val="32"/>
        </w:rPr>
      </w:pPr>
      <w:r>
        <w:fldChar w:fldCharType="begin"/>
      </w:r>
      <w:r>
        <w:instrText xml:space="preserve"> HYPERLINK \l "_Toc181203096" </w:instrText>
      </w:r>
      <w:r>
        <w:fldChar w:fldCharType="separate"/>
      </w:r>
      <w:r>
        <w:rPr>
          <w:rStyle w:val="68"/>
          <w:rFonts w:hint="eastAsia" w:cs="仿宋_GB2312" w:asciiTheme="minorEastAsia" w:hAnsiTheme="minorEastAsia" w:eastAsiaTheme="minorEastAsia"/>
          <w:sz w:val="32"/>
          <w:szCs w:val="32"/>
        </w:rPr>
        <w:t>第三部分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供应商须知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10</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40"/>
        <w:tabs>
          <w:tab w:val="right" w:leader="dot" w:pos="9060"/>
        </w:tabs>
        <w:spacing w:line="360" w:lineRule="auto"/>
        <w:rPr>
          <w:rFonts w:hint="eastAsia" w:asciiTheme="minorEastAsia" w:hAnsiTheme="minorEastAsia" w:eastAsiaTheme="minorEastAsia" w:cstheme="minorBidi"/>
          <w:sz w:val="32"/>
          <w:szCs w:val="32"/>
          <w:lang w:eastAsia="zh-CN"/>
        </w:rPr>
      </w:pPr>
      <w:r>
        <w:fldChar w:fldCharType="begin"/>
      </w:r>
      <w:r>
        <w:instrText xml:space="preserve"> HYPERLINK \l "_Toc181203097" </w:instrText>
      </w:r>
      <w:r>
        <w:fldChar w:fldCharType="separate"/>
      </w:r>
      <w:r>
        <w:rPr>
          <w:rStyle w:val="68"/>
          <w:rFonts w:hint="eastAsia" w:cs="仿宋_GB2312" w:asciiTheme="minorEastAsia" w:hAnsiTheme="minorEastAsia" w:eastAsiaTheme="minorEastAsia"/>
          <w:sz w:val="32"/>
          <w:szCs w:val="32"/>
        </w:rPr>
        <w:t>第四部分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_Toc181203097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ins w:id="0" w:author="PC" w:date="2025-09-10T10:02:52Z">
        <w:r>
          <w:rPr>
            <w:rFonts w:hint="eastAsia" w:asciiTheme="minorEastAsia" w:hAnsiTheme="minorEastAsia" w:eastAsiaTheme="minorEastAsia"/>
            <w:sz w:val="32"/>
            <w:szCs w:val="32"/>
            <w:lang w:val="en-US" w:eastAsia="zh-CN"/>
          </w:rPr>
          <w:t>0</w:t>
        </w:r>
      </w:ins>
    </w:p>
    <w:p>
      <w:pPr>
        <w:pStyle w:val="40"/>
        <w:tabs>
          <w:tab w:val="right" w:leader="dot" w:pos="9060"/>
        </w:tabs>
        <w:spacing w:line="360" w:lineRule="auto"/>
        <w:rPr>
          <w:rFonts w:hint="eastAsia" w:asciiTheme="minorEastAsia" w:hAnsiTheme="minorEastAsia" w:eastAsiaTheme="minorEastAsia" w:cstheme="minorBidi"/>
          <w:sz w:val="32"/>
          <w:szCs w:val="32"/>
          <w:lang w:eastAsia="zh-CN"/>
        </w:rPr>
      </w:pPr>
      <w:r>
        <w:fldChar w:fldCharType="begin"/>
      </w:r>
      <w:r>
        <w:instrText xml:space="preserve"> HYPERLINK \l "_Toc181203098" </w:instrText>
      </w:r>
      <w:r>
        <w:fldChar w:fldCharType="separate"/>
      </w:r>
      <w:r>
        <w:rPr>
          <w:rStyle w:val="68"/>
          <w:rFonts w:hint="eastAsia" w:cs="仿宋_GB2312" w:asciiTheme="minorEastAsia" w:hAnsiTheme="minorEastAsia" w:eastAsiaTheme="minorEastAsia"/>
          <w:sz w:val="32"/>
          <w:szCs w:val="32"/>
        </w:rPr>
        <w:t>第五部分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评审方法及评审标准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5</w:t>
      </w:r>
      <w:ins w:id="1" w:author="PC" w:date="2025-09-10T10:03:17Z">
        <w:r>
          <w:rPr>
            <w:rFonts w:hint="eastAsia" w:asciiTheme="minorEastAsia" w:hAnsiTheme="minorEastAsia" w:eastAsiaTheme="minorEastAsia"/>
            <w:sz w:val="32"/>
            <w:szCs w:val="32"/>
            <w:lang w:val="en-US" w:eastAsia="zh-CN"/>
          </w:rPr>
          <w:t>2</w:t>
        </w:r>
      </w:ins>
    </w:p>
    <w:p>
      <w:pPr>
        <w:pStyle w:val="40"/>
        <w:tabs>
          <w:tab w:val="right" w:leader="dot" w:pos="9060"/>
        </w:tabs>
        <w:spacing w:line="360" w:lineRule="auto"/>
        <w:rPr>
          <w:rFonts w:hint="eastAsia" w:asciiTheme="minorEastAsia" w:hAnsiTheme="minorEastAsia" w:eastAsiaTheme="minorEastAsia" w:cstheme="minorBidi"/>
          <w:sz w:val="32"/>
          <w:szCs w:val="32"/>
          <w:lang w:eastAsia="zh-CN"/>
        </w:rPr>
      </w:pPr>
      <w:r>
        <w:fldChar w:fldCharType="begin"/>
      </w:r>
      <w:r>
        <w:instrText xml:space="preserve"> HYPERLINK \l "_Toc181203099" </w:instrText>
      </w:r>
      <w:r>
        <w:fldChar w:fldCharType="separate"/>
      </w:r>
      <w:r>
        <w:rPr>
          <w:rStyle w:val="68"/>
          <w:rFonts w:hint="eastAsia" w:cs="仿宋_GB2312" w:asciiTheme="minorEastAsia" w:hAnsiTheme="minorEastAsia" w:eastAsiaTheme="minorEastAsia"/>
          <w:sz w:val="32"/>
          <w:szCs w:val="32"/>
        </w:rPr>
        <w:t>第六部分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拟签订的合同文本</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6</w:t>
      </w:r>
      <w:ins w:id="2" w:author="PC" w:date="2025-09-10T10:03:38Z">
        <w:r>
          <w:rPr>
            <w:rFonts w:hint="eastAsia" w:asciiTheme="minorEastAsia" w:hAnsiTheme="minorEastAsia" w:eastAsiaTheme="minorEastAsia"/>
            <w:sz w:val="32"/>
            <w:szCs w:val="32"/>
            <w:lang w:val="en-US" w:eastAsia="zh-CN"/>
          </w:rPr>
          <w:t>1</w:t>
        </w:r>
      </w:ins>
    </w:p>
    <w:p>
      <w:pPr>
        <w:pStyle w:val="40"/>
        <w:tabs>
          <w:tab w:val="right" w:leader="dot" w:pos="9060"/>
        </w:tabs>
        <w:spacing w:line="360" w:lineRule="auto"/>
        <w:rPr>
          <w:rFonts w:hint="eastAsia" w:asciiTheme="minorEastAsia" w:hAnsiTheme="minorEastAsia" w:eastAsiaTheme="minorEastAsia" w:cstheme="minorBidi"/>
          <w:sz w:val="32"/>
          <w:szCs w:val="32"/>
          <w:lang w:eastAsia="zh-CN"/>
        </w:rPr>
      </w:pPr>
      <w:r>
        <w:fldChar w:fldCharType="begin"/>
      </w:r>
      <w:r>
        <w:instrText xml:space="preserve"> HYPERLINK \l "_Toc181203100" </w:instrText>
      </w:r>
      <w:r>
        <w:fldChar w:fldCharType="separate"/>
      </w:r>
      <w:r>
        <w:rPr>
          <w:rStyle w:val="68"/>
          <w:rFonts w:hint="eastAsia" w:cs="仿宋_GB2312" w:asciiTheme="minorEastAsia" w:hAnsiTheme="minorEastAsia" w:eastAsiaTheme="minorEastAsia"/>
          <w:sz w:val="32"/>
          <w:szCs w:val="32"/>
        </w:rPr>
        <w:t>第七部分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应提交的有关格式范例</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7</w:t>
      </w:r>
      <w:ins w:id="3" w:author="PC" w:date="2025-09-10T10:03:57Z">
        <w:r>
          <w:rPr>
            <w:rFonts w:hint="eastAsia" w:asciiTheme="minorEastAsia" w:hAnsiTheme="minorEastAsia" w:eastAsiaTheme="minorEastAsia"/>
            <w:sz w:val="32"/>
            <w:szCs w:val="32"/>
            <w:lang w:val="en-US" w:eastAsia="zh-CN"/>
          </w:rPr>
          <w:t>1</w:t>
        </w:r>
      </w:ins>
    </w:p>
    <w:p>
      <w:pPr>
        <w:pStyle w:val="40"/>
        <w:tabs>
          <w:tab w:val="right" w:leader="dot" w:pos="9060"/>
        </w:tabs>
        <w:spacing w:line="360" w:lineRule="auto"/>
        <w:rPr>
          <w:rFonts w:hint="eastAsia" w:asciiTheme="minorEastAsia" w:hAnsiTheme="minorEastAsia" w:eastAsiaTheme="minorEastAsia" w:cstheme="minorBidi"/>
          <w:sz w:val="32"/>
          <w:szCs w:val="32"/>
          <w:lang w:eastAsia="zh-CN"/>
        </w:rPr>
      </w:pPr>
      <w:r>
        <w:fldChar w:fldCharType="begin"/>
      </w:r>
      <w:r>
        <w:instrText xml:space="preserve"> HYPERLINK \l "_Toc181203101" </w:instrText>
      </w:r>
      <w:r>
        <w:fldChar w:fldCharType="separate"/>
      </w:r>
      <w:r>
        <w:rPr>
          <w:rStyle w:val="68"/>
          <w:rFonts w:hint="eastAsia" w:cs="仿宋_GB2312" w:asciiTheme="minorEastAsia" w:hAnsiTheme="minorEastAsia" w:eastAsiaTheme="minorEastAsia"/>
          <w:sz w:val="32"/>
          <w:szCs w:val="32"/>
        </w:rPr>
        <w:t>第八部分</w:t>
      </w:r>
      <w:r>
        <w:rPr>
          <w:rStyle w:val="68"/>
          <w:rFonts w:cs="仿宋_GB2312" w:asciiTheme="minorEastAsia" w:hAnsiTheme="minorEastAsia" w:eastAsiaTheme="minorEastAsia"/>
          <w:sz w:val="32"/>
          <w:szCs w:val="32"/>
        </w:rPr>
        <w:t xml:space="preserve">  </w:t>
      </w:r>
      <w:r>
        <w:rPr>
          <w:rStyle w:val="68"/>
          <w:rFonts w:hint="eastAsia" w:cs="仿宋_GB2312" w:asciiTheme="minorEastAsia" w:hAnsiTheme="minorEastAsia" w:eastAsiaTheme="minorEastAsia"/>
          <w:sz w:val="32"/>
          <w:szCs w:val="32"/>
        </w:rPr>
        <w:t>最后报价格式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9</w:t>
      </w:r>
      <w:ins w:id="4" w:author="PC" w:date="2025-09-10T10:04:19Z">
        <w:r>
          <w:rPr>
            <w:rFonts w:hint="eastAsia" w:asciiTheme="minorEastAsia" w:hAnsiTheme="minorEastAsia" w:eastAsiaTheme="minorEastAsia"/>
            <w:sz w:val="32"/>
            <w:szCs w:val="32"/>
            <w:lang w:val="en-US" w:eastAsia="zh-CN"/>
          </w:rPr>
          <w:t>3</w:t>
        </w:r>
      </w:ins>
    </w:p>
    <w:p>
      <w:pPr>
        <w:spacing w:line="360" w:lineRule="auto"/>
        <w:ind w:firstLine="732" w:firstLineChars="229"/>
        <w:rPr>
          <w:rFonts w:cs="仿宋_GB2312" w:asciiTheme="minorEastAsia" w:hAnsiTheme="minorEastAsia" w:eastAsiaTheme="minorEastAsia"/>
          <w:sz w:val="24"/>
        </w:rPr>
      </w:pPr>
      <w:r>
        <w:rPr>
          <w:rFonts w:cs="仿宋_GB2312" w:asciiTheme="minorEastAsia" w:hAnsiTheme="minorEastAsia" w:eastAsiaTheme="minorEastAsia"/>
          <w:sz w:val="32"/>
          <w:szCs w:val="32"/>
        </w:rPr>
        <w:fldChar w:fldCharType="end"/>
      </w: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bookmarkStart w:id="211" w:name="_GoBack"/>
      <w:bookmarkEnd w:id="211"/>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6" w:name="第一部分"/>
      <w:r>
        <w:rPr>
          <w:rFonts w:hint="eastAsia" w:cs="仿宋_GB2312" w:asciiTheme="minorEastAsia" w:hAnsiTheme="minorEastAsia" w:eastAsiaTheme="minorEastAsia"/>
          <w:b/>
          <w:sz w:val="36"/>
          <w:szCs w:val="36"/>
        </w:rPr>
        <w:br w:type="page"/>
      </w:r>
      <w:bookmarkEnd w:id="5"/>
      <w:bookmarkEnd w:id="6"/>
      <w:bookmarkStart w:id="7" w:name="_Hlt74729822"/>
      <w:bookmarkEnd w:id="7"/>
      <w:bookmarkStart w:id="8" w:name="_Hlt74707423"/>
      <w:bookmarkEnd w:id="8"/>
      <w:bookmarkStart w:id="9" w:name="_Hlt74728647"/>
      <w:bookmarkEnd w:id="9"/>
      <w:bookmarkStart w:id="10" w:name="_Hlt74649545"/>
      <w:bookmarkEnd w:id="10"/>
      <w:bookmarkStart w:id="11" w:name="_Toc181203094"/>
      <w:bookmarkStart w:id="12" w:name="第二部分"/>
      <w:bookmarkStart w:id="13" w:name="_Toc91899870"/>
      <w:bookmarkStart w:id="14" w:name="_Toc91899871"/>
      <w:r>
        <w:rPr>
          <w:rFonts w:hint="eastAsia" w:cs="仿宋_GB2312" w:asciiTheme="minorEastAsia" w:hAnsiTheme="minorEastAsia" w:eastAsiaTheme="minorEastAsia"/>
          <w:b/>
          <w:sz w:val="36"/>
          <w:szCs w:val="20"/>
        </w:rPr>
        <w:t>第一部分  邀请供应商</w:t>
      </w:r>
      <w:bookmarkEnd w:id="11"/>
    </w:p>
    <w:p>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竞争性磋商公告</w:t>
      </w:r>
    </w:p>
    <w:p>
      <w:pPr>
        <w:pStyle w:val="2"/>
        <w:numPr>
          <w:ilvl w:val="255"/>
          <w:numId w:val="0"/>
        </w:num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rPr>
        <w:t>2025至2026年物业管理服务</w:t>
      </w:r>
      <w:r>
        <w:rPr>
          <w:rFonts w:hint="eastAsia" w:asciiTheme="minorEastAsia" w:hAnsiTheme="minorEastAsia" w:eastAsiaTheme="minorEastAsia"/>
          <w:sz w:val="24"/>
        </w:rPr>
        <w:t>项目的潜在供应商应在</w:t>
      </w:r>
      <w:r>
        <w:rPr>
          <w:rFonts w:hint="eastAsia" w:ascii="宋体" w:hAnsi="宋体" w:cs="宋体"/>
          <w:sz w:val="24"/>
        </w:rPr>
        <w:t>广西政府采购云平台（</w:t>
      </w:r>
      <w:r>
        <w:fldChar w:fldCharType="begin"/>
      </w:r>
      <w:r>
        <w:instrText xml:space="preserve"> HYPERLINK "https://www.gcy.zfcg.gxzf.gov.cn/）获取采购文件，并于2025年" </w:instrText>
      </w:r>
      <w:r>
        <w:fldChar w:fldCharType="separate"/>
      </w:r>
      <w:r>
        <w:rPr>
          <w:rStyle w:val="68"/>
          <w:rFonts w:hint="eastAsia" w:ascii="宋体" w:hAnsi="宋体" w:eastAsia="宋体" w:cs="宋体"/>
          <w:snapToGrid/>
          <w:kern w:val="2"/>
          <w:sz w:val="24"/>
          <w:szCs w:val="24"/>
        </w:rPr>
        <w:t>https://www.gcy.zfcg.gxzf.gov.cn/）</w:t>
      </w:r>
      <w:r>
        <w:rPr>
          <w:rStyle w:val="68"/>
          <w:rFonts w:hint="eastAsia" w:cs="Times New Roman" w:asciiTheme="minorEastAsia" w:hAnsiTheme="minorEastAsia" w:eastAsiaTheme="minorEastAsia"/>
          <w:snapToGrid/>
          <w:kern w:val="2"/>
          <w:sz w:val="24"/>
          <w:szCs w:val="24"/>
        </w:rPr>
        <w:t>获取采购文件，并于</w:t>
      </w:r>
      <w:r>
        <w:rPr>
          <w:rStyle w:val="68"/>
          <w:rFonts w:hint="eastAsia" w:cs="Times New Roman" w:asciiTheme="minorEastAsia" w:hAnsiTheme="minorEastAsia" w:eastAsiaTheme="minorEastAsia"/>
          <w:snapToGrid/>
          <w:kern w:val="2"/>
          <w:sz w:val="24"/>
          <w:szCs w:val="24"/>
          <w:u w:val="single"/>
        </w:rPr>
        <w:t>2025年</w:t>
      </w:r>
      <w:r>
        <w:rPr>
          <w:rStyle w:val="68"/>
          <w:rFonts w:hint="eastAsia" w:cs="Times New Roman" w:asciiTheme="minorEastAsia" w:hAnsiTheme="minorEastAsia" w:eastAsiaTheme="minorEastAsia"/>
          <w:snapToGrid/>
          <w:kern w:val="2"/>
          <w:sz w:val="24"/>
          <w:szCs w:val="24"/>
          <w:u w:val="single"/>
        </w:rPr>
        <w:fldChar w:fldCharType="end"/>
      </w:r>
      <w:bookmarkStart w:id="15" w:name="OLE_LINK3"/>
      <w:bookmarkStart w:id="16" w:name="OLE_LINK4"/>
      <w:r>
        <w:rPr>
          <w:rFonts w:hint="eastAsia" w:asciiTheme="minorEastAsia" w:hAnsiTheme="minorEastAsia" w:eastAsiaTheme="minorEastAsia"/>
          <w:sz w:val="24"/>
          <w:u w:val="single"/>
        </w:rPr>
        <w:t>9月22日9点00</w:t>
      </w:r>
      <w:r>
        <w:rPr>
          <w:rFonts w:hint="eastAsia" w:asciiTheme="minorEastAsia" w:hAnsiTheme="minorEastAsia" w:eastAsiaTheme="minorEastAsia"/>
          <w:bCs/>
          <w:sz w:val="24"/>
          <w:u w:val="single"/>
        </w:rPr>
        <w:t xml:space="preserve"> 分00秒</w:t>
      </w:r>
      <w:bookmarkEnd w:id="15"/>
      <w:bookmarkEnd w:id="16"/>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631"/>
        <w:ind w:firstLine="0"/>
        <w:rPr>
          <w:b/>
        </w:rPr>
      </w:pPr>
      <w:bookmarkStart w:id="17" w:name="_Toc28359012"/>
      <w:bookmarkStart w:id="18" w:name="_Toc35393798"/>
      <w:bookmarkStart w:id="19" w:name="_Toc35393629"/>
      <w:bookmarkStart w:id="20" w:name="_Toc28359089"/>
      <w:r>
        <w:rPr>
          <w:rFonts w:hint="eastAsia"/>
          <w:b/>
        </w:rPr>
        <w:t>一、项目基本情况</w:t>
      </w:r>
      <w:bookmarkEnd w:id="17"/>
      <w:bookmarkEnd w:id="18"/>
      <w:bookmarkEnd w:id="19"/>
      <w:bookmarkEnd w:id="20"/>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项目编号：</w:t>
      </w:r>
      <w:r>
        <w:rPr>
          <w:rFonts w:asciiTheme="minorEastAsia" w:hAnsiTheme="minorEastAsia" w:eastAsiaTheme="minorEastAsia"/>
          <w:sz w:val="24"/>
        </w:rPr>
        <w:t>BHZC2025-C3-</w:t>
      </w:r>
      <w:r>
        <w:rPr>
          <w:rFonts w:hint="eastAsia" w:asciiTheme="minorEastAsia" w:hAnsiTheme="minorEastAsia" w:eastAsiaTheme="minorEastAsia"/>
          <w:sz w:val="24"/>
        </w:rPr>
        <w:t>990197</w:t>
      </w:r>
      <w:r>
        <w:rPr>
          <w:rFonts w:asciiTheme="minorEastAsia" w:hAnsiTheme="minorEastAsia" w:eastAsiaTheme="minorEastAsia"/>
          <w:sz w:val="24"/>
        </w:rPr>
        <w:t>-CGZX</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bookmarkStart w:id="21" w:name="OLE_LINK8"/>
      <w:r>
        <w:rPr>
          <w:rFonts w:hint="eastAsia" w:asciiTheme="minorEastAsia" w:hAnsiTheme="minorEastAsia" w:eastAsiaTheme="minorEastAsia"/>
          <w:sz w:val="24"/>
        </w:rPr>
        <w:t>2025至2026年物业管理服务项目</w:t>
      </w:r>
      <w:bookmarkEnd w:id="2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采购方式：竞争性磋商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预算金额（元）：</w:t>
      </w:r>
      <w:r>
        <w:rPr>
          <w:rFonts w:asciiTheme="minorEastAsia" w:hAnsiTheme="minorEastAsia" w:eastAsiaTheme="minorEastAsia"/>
          <w:sz w:val="24"/>
        </w:rPr>
        <w:t xml:space="preserve"> </w:t>
      </w:r>
      <w:r>
        <w:rPr>
          <w:rFonts w:hint="eastAsia" w:asciiTheme="minorEastAsia" w:hAnsiTheme="minorEastAsia" w:eastAsiaTheme="minorEastAsia"/>
          <w:sz w:val="24"/>
        </w:rPr>
        <w:t>9100</w:t>
      </w:r>
      <w:r>
        <w:rPr>
          <w:rFonts w:asciiTheme="minorEastAsia" w:hAnsiTheme="minorEastAsia" w:eastAsiaTheme="minorEastAsia"/>
          <w:sz w:val="24"/>
        </w:rPr>
        <w:t>00</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最高限价（元）：</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采购需求：</w:t>
      </w:r>
      <w:r>
        <w:rPr>
          <w:rFonts w:hint="eastAsia" w:hAnsi="宋体" w:cs="宋体"/>
          <w:bCs/>
          <w:sz w:val="24"/>
        </w:rPr>
        <w:t>（项目名称）主要内容：</w:t>
      </w:r>
      <w:r>
        <w:rPr>
          <w:rFonts w:hint="eastAsia" w:asciiTheme="minorEastAsia" w:hAnsiTheme="minorEastAsia" w:eastAsiaTheme="minorEastAsia"/>
          <w:sz w:val="24"/>
        </w:rPr>
        <w:t>2025至2026年物业管理服务</w:t>
      </w:r>
      <w:r>
        <w:rPr>
          <w:rFonts w:hint="eastAsia" w:hAnsi="宋体" w:cs="宋体"/>
          <w:bCs/>
          <w:sz w:val="24"/>
        </w:rPr>
        <w:t>1项。</w:t>
      </w:r>
      <w:bookmarkStart w:id="22" w:name="OLE_LINK1"/>
      <w:bookmarkStart w:id="23" w:name="OLE_LINK2"/>
      <w:r>
        <w:rPr>
          <w:rFonts w:hint="eastAsia" w:cs="仿宋_GB2312" w:asciiTheme="minorEastAsia" w:hAnsiTheme="minorEastAsia" w:eastAsiaTheme="minorEastAsia"/>
          <w:sz w:val="24"/>
        </w:rPr>
        <w:t>详见磋商文件</w:t>
      </w:r>
      <w:bookmarkEnd w:id="22"/>
      <w:bookmarkEnd w:id="23"/>
      <w:r>
        <w:rPr>
          <w:rFonts w:hint="eastAsia" w:cs="仿宋_GB2312"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合同履行期限：</w:t>
      </w:r>
      <w:r>
        <w:rPr>
          <w:rFonts w:hint="eastAsia" w:cs="仿宋_GB2312" w:asciiTheme="minorEastAsia" w:hAnsiTheme="minorEastAsia" w:eastAsiaTheme="minorEastAsia"/>
          <w:sz w:val="24"/>
        </w:rPr>
        <w:t>合同签订之日起一年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本项目是否接受联合体磋商：</w:t>
      </w:r>
      <w:sdt>
        <w:sdtPr>
          <w:rPr>
            <w:rFonts w:hint="eastAsia" w:asciiTheme="minorEastAsia" w:hAnsiTheme="minorEastAsia" w:eastAsiaTheme="minorEastAsia"/>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MS Gothic" w:hAnsi="MS Gothic" w:eastAsia="MS Gothic"/>
              <w:sz w:val="24"/>
            </w:rPr>
            <w:t>☐</w:t>
          </w:r>
        </w:sdtContent>
      </w:sdt>
      <w:r>
        <w:rPr>
          <w:rFonts w:hint="eastAsia" w:asciiTheme="minorEastAsia" w:hAnsiTheme="minorEastAsia" w:eastAsiaTheme="minorEastAsia"/>
          <w:sz w:val="24"/>
        </w:rPr>
        <w:t>是，</w:t>
      </w:r>
      <w:sdt>
        <w:sdtPr>
          <w:rPr>
            <w:rFonts w:hint="eastAsia" w:asciiTheme="minorEastAsia" w:hAnsiTheme="minorEastAsia" w:eastAsiaTheme="minorEastAsia"/>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sz w:val="24"/>
          </w:rPr>
        </w:sdtEndPr>
        <w:sdtContent>
          <w:r>
            <w:rPr>
              <w:rFonts w:hint="eastAsia" w:asciiTheme="minorEastAsia" w:hAnsiTheme="minorEastAsia" w:eastAsiaTheme="minorEastAsia"/>
              <w:sz w:val="24"/>
            </w:rPr>
            <w:sym w:font="Wingdings" w:char="F0FE"/>
          </w:r>
        </w:sdtContent>
      </w:sdt>
      <w:r>
        <w:rPr>
          <w:rFonts w:hint="eastAsia" w:asciiTheme="minorEastAsia" w:hAnsiTheme="minorEastAsia" w:eastAsiaTheme="minorEastAsia"/>
          <w:sz w:val="24"/>
        </w:rPr>
        <w:t>否。</w:t>
      </w:r>
    </w:p>
    <w:p>
      <w:pPr>
        <w:pStyle w:val="631"/>
        <w:ind w:firstLine="0"/>
        <w:rPr>
          <w:b/>
        </w:rPr>
      </w:pPr>
      <w:bookmarkStart w:id="24" w:name="_Toc28359013"/>
      <w:bookmarkStart w:id="25" w:name="_Toc35393799"/>
      <w:bookmarkStart w:id="26" w:name="_Toc28359090"/>
      <w:bookmarkStart w:id="27" w:name="_Toc35393630"/>
      <w:r>
        <w:rPr>
          <w:rFonts w:hint="eastAsia"/>
          <w:b/>
        </w:rPr>
        <w:t>二、申请人的资格要求：</w:t>
      </w:r>
      <w:bookmarkEnd w:id="24"/>
      <w:bookmarkEnd w:id="25"/>
      <w:bookmarkEnd w:id="26"/>
      <w:bookmarkEnd w:id="27"/>
    </w:p>
    <w:p>
      <w:pPr>
        <w:spacing w:line="360" w:lineRule="auto"/>
        <w:ind w:firstLine="480"/>
        <w:rPr>
          <w:rFonts w:cs="宋体" w:asciiTheme="minorEastAsia" w:hAnsiTheme="minorEastAsia" w:eastAsiaTheme="minorEastAsia"/>
          <w:snapToGrid w:val="0"/>
          <w:color w:val="FF0000"/>
          <w:kern w:val="28"/>
          <w:sz w:val="24"/>
          <w:szCs w:val="20"/>
        </w:rPr>
      </w:pPr>
      <w:r>
        <w:rPr>
          <w:rFonts w:hint="eastAsia" w:cs="宋体" w:asciiTheme="minorEastAsia" w:hAnsiTheme="minorEastAsia" w:eastAsiaTheme="minorEastAsia"/>
          <w:snapToGrid w:val="0"/>
          <w:color w:val="FF0000"/>
          <w:kern w:val="28"/>
          <w:sz w:val="24"/>
          <w:szCs w:val="20"/>
        </w:rPr>
        <w:t>1.满足《中华人民共和国政府采购法》第二十二条规定；</w:t>
      </w:r>
      <w:r>
        <w:rPr>
          <w:rFonts w:cs="宋体" w:asciiTheme="minorEastAsia" w:hAnsiTheme="minorEastAsia" w:eastAsiaTheme="minorEastAsia"/>
          <w:snapToGrid w:val="0"/>
          <w:color w:val="FF0000"/>
          <w:kern w:val="28"/>
          <w:sz w:val="24"/>
          <w:szCs w:val="20"/>
        </w:rPr>
        <w:t xml:space="preserve"> </w:t>
      </w:r>
    </w:p>
    <w:p>
      <w:pPr>
        <w:spacing w:line="360" w:lineRule="auto"/>
        <w:rPr>
          <w:rFonts w:cs="宋体" w:asciiTheme="minorEastAsia" w:hAnsiTheme="minorEastAsia" w:eastAsiaTheme="minorEastAsia"/>
          <w:snapToGrid w:val="0"/>
          <w:color w:val="FF0000"/>
          <w:kern w:val="28"/>
          <w:sz w:val="24"/>
          <w:szCs w:val="20"/>
        </w:rPr>
      </w:pPr>
      <w:r>
        <w:rPr>
          <w:rFonts w:hint="eastAsia" w:cs="宋体" w:asciiTheme="minorEastAsia" w:hAnsiTheme="minorEastAsia" w:eastAsiaTheme="minorEastAsia"/>
          <w:snapToGrid w:val="0"/>
          <w:color w:val="FF0000"/>
          <w:kern w:val="28"/>
          <w:sz w:val="24"/>
          <w:szCs w:val="20"/>
        </w:rPr>
        <w:t xml:space="preserve">    </w:t>
      </w:r>
      <w:r>
        <w:rPr>
          <w:rFonts w:cs="宋体" w:asciiTheme="minorEastAsia" w:hAnsiTheme="minorEastAsia" w:eastAsiaTheme="minorEastAsia"/>
          <w:snapToGrid w:val="0"/>
          <w:color w:val="FF0000"/>
          <w:kern w:val="28"/>
          <w:sz w:val="24"/>
          <w:szCs w:val="20"/>
        </w:rPr>
        <w:t>2</w:t>
      </w:r>
      <w:r>
        <w:rPr>
          <w:rFonts w:hint="eastAsia" w:cs="宋体" w:asciiTheme="minorEastAsia" w:hAnsiTheme="minorEastAsia" w:eastAsiaTheme="minorEastAsia"/>
          <w:snapToGrid w:val="0"/>
          <w:color w:val="FF0000"/>
          <w:kern w:val="28"/>
          <w:sz w:val="24"/>
          <w:szCs w:val="20"/>
        </w:rPr>
        <w:t>.落实政府采购政策需满足的资格要求：</w:t>
      </w:r>
      <w:bookmarkStart w:id="28" w:name="OLE_LINK14"/>
      <w:r>
        <w:rPr>
          <w:rFonts w:hint="eastAsia" w:cs="宋体" w:asciiTheme="minorEastAsia" w:hAnsiTheme="minorEastAsia" w:eastAsiaTheme="minorEastAsia"/>
          <w:color w:val="FF0000"/>
          <w:kern w:val="0"/>
          <w:sz w:val="24"/>
        </w:rPr>
        <w:t>专</w:t>
      </w:r>
      <w:r>
        <w:rPr>
          <w:rFonts w:hint="eastAsia" w:cs="宋体" w:asciiTheme="minorEastAsia" w:hAnsiTheme="minorEastAsia" w:eastAsiaTheme="minorEastAsia"/>
          <w:color w:val="FF0000"/>
          <w:sz w:val="24"/>
        </w:rPr>
        <w:t>门面向小微企业，服务全部由符合政策要求的小微企业承接，提供中小企业声明函</w:t>
      </w:r>
      <w:bookmarkEnd w:id="28"/>
      <w:r>
        <w:rPr>
          <w:rFonts w:hint="eastAsia" w:cs="宋体" w:asciiTheme="minorEastAsia" w:hAnsiTheme="minorEastAsia" w:eastAsiaTheme="minorEastAsia"/>
          <w:color w:val="FF0000"/>
          <w:sz w:val="24"/>
        </w:rPr>
        <w:t>；</w:t>
      </w:r>
    </w:p>
    <w:p>
      <w:pPr>
        <w:spacing w:line="360" w:lineRule="auto"/>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3.本项目的特定资格要求：无；</w:t>
      </w:r>
    </w:p>
    <w:p>
      <w:pPr>
        <w:pStyle w:val="631"/>
        <w:ind w:firstLine="0"/>
        <w:rPr>
          <w:b/>
        </w:rPr>
      </w:pPr>
      <w:bookmarkStart w:id="29" w:name="_Toc35393800"/>
      <w:bookmarkStart w:id="30" w:name="_Toc35393631"/>
      <w:bookmarkStart w:id="31" w:name="_Toc28359014"/>
      <w:bookmarkStart w:id="32" w:name="_Toc28359091"/>
      <w:r>
        <w:rPr>
          <w:rFonts w:hint="eastAsia"/>
          <w:b/>
        </w:rPr>
        <w:t>三、获取（下载）采购文件</w:t>
      </w:r>
      <w:bookmarkEnd w:id="29"/>
      <w:bookmarkEnd w:id="30"/>
      <w:bookmarkEnd w:id="31"/>
      <w:bookmarkEnd w:id="3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sz w:val="24"/>
        </w:rPr>
        <w:t>时间：2025年9月10日至2025年9月17日，每天上午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（北京时间，法定节假日除外）；</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sz w:val="24"/>
        </w:rPr>
        <w:t>地点（网址）：</w:t>
      </w:r>
      <w:r>
        <w:rPr>
          <w:rFonts w:hint="eastAsia" w:ascii="宋体" w:hAnsi="宋体" w:cs="宋体"/>
          <w:sz w:val="24"/>
        </w:rPr>
        <w:t>广西政府采购云平台（https://www.gcy.zfcg.gxzf.gov.cn/）</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sz w:val="24"/>
        </w:rPr>
        <w:t>方式：供应商登录</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0。</w:t>
      </w:r>
    </w:p>
    <w:p>
      <w:pPr>
        <w:pStyle w:val="631"/>
        <w:ind w:firstLine="0"/>
        <w:rPr>
          <w:b/>
        </w:rPr>
      </w:pPr>
      <w:bookmarkStart w:id="33" w:name="_Toc35393801"/>
      <w:bookmarkStart w:id="34" w:name="_Toc28359015"/>
      <w:bookmarkStart w:id="35" w:name="_Toc35393632"/>
      <w:bookmarkStart w:id="36" w:name="_Toc28359092"/>
      <w:r>
        <w:rPr>
          <w:rFonts w:hint="eastAsia"/>
          <w:b/>
        </w:rPr>
        <w:t>四、响应文件提交</w:t>
      </w:r>
      <w:bookmarkEnd w:id="33"/>
      <w:bookmarkEnd w:id="34"/>
      <w:bookmarkEnd w:id="35"/>
      <w:bookmarkEnd w:id="36"/>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2025年9月22日9点00 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仿宋_GB2312" w:asciiTheme="minorEastAsia" w:hAnsiTheme="minorEastAsia" w:eastAsiaTheme="minorEastAsia"/>
          <w:b/>
          <w:sz w:val="24"/>
        </w:rPr>
        <w:t>。</w:t>
      </w:r>
    </w:p>
    <w:p>
      <w:pPr>
        <w:pStyle w:val="631"/>
        <w:ind w:firstLine="0"/>
        <w:rPr>
          <w:b/>
        </w:rPr>
      </w:pPr>
      <w:bookmarkStart w:id="37" w:name="_Toc35393802"/>
      <w:bookmarkStart w:id="38" w:name="_Toc28359093"/>
      <w:bookmarkStart w:id="39" w:name="_Toc35393633"/>
      <w:bookmarkStart w:id="40" w:name="_Toc28359016"/>
      <w:r>
        <w:rPr>
          <w:rFonts w:hint="eastAsia"/>
          <w:b/>
        </w:rPr>
        <w:t>五、响应文件开启</w:t>
      </w:r>
      <w:bookmarkEnd w:id="37"/>
      <w:bookmarkEnd w:id="38"/>
      <w:bookmarkEnd w:id="39"/>
      <w:bookmarkEnd w:id="4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2025年9月22日9点00 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rPr>
        <w:t>广西政府采购云平台（https://www.gcy.zfcg.gxzf.gov.cn/）</w:t>
      </w:r>
      <w:r>
        <w:rPr>
          <w:rFonts w:hint="eastAsia" w:cs="宋体" w:asciiTheme="minorEastAsia" w:hAnsiTheme="minorEastAsia" w:eastAsiaTheme="minorEastAsia"/>
          <w:sz w:val="24"/>
        </w:rPr>
        <w:t>。</w:t>
      </w:r>
    </w:p>
    <w:p>
      <w:pPr>
        <w:pStyle w:val="631"/>
        <w:ind w:firstLine="0"/>
        <w:rPr>
          <w:b/>
        </w:rPr>
      </w:pPr>
      <w:bookmarkStart w:id="41" w:name="_Toc35393634"/>
      <w:bookmarkStart w:id="42" w:name="_Toc28359094"/>
      <w:bookmarkStart w:id="43" w:name="_Toc35393803"/>
      <w:bookmarkStart w:id="44" w:name="_Toc28359017"/>
      <w:r>
        <w:rPr>
          <w:rFonts w:hint="eastAsia"/>
          <w:b/>
        </w:rPr>
        <w:t>六、公告期限</w:t>
      </w:r>
      <w:bookmarkEnd w:id="41"/>
      <w:bookmarkEnd w:id="42"/>
      <w:bookmarkEnd w:id="43"/>
      <w:bookmarkEnd w:id="4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631"/>
        <w:ind w:firstLine="0"/>
        <w:rPr>
          <w:b/>
        </w:rPr>
      </w:pPr>
      <w:bookmarkStart w:id="45" w:name="_Toc35393804"/>
      <w:bookmarkStart w:id="46" w:name="_Toc35393635"/>
      <w:r>
        <w:rPr>
          <w:rFonts w:hint="eastAsia"/>
          <w:b/>
        </w:rPr>
        <w:t>七、其他补充事宜</w:t>
      </w:r>
      <w:bookmarkEnd w:id="45"/>
      <w:bookmarkEnd w:id="46"/>
    </w:p>
    <w:p>
      <w:pPr>
        <w:spacing w:line="360" w:lineRule="auto"/>
        <w:ind w:firstLine="480" w:firstLineChars="200"/>
        <w:rPr>
          <w:rFonts w:ascii="宋体" w:hAnsi="宋体" w:cs="宋体"/>
          <w:sz w:val="24"/>
        </w:rPr>
      </w:pPr>
      <w:r>
        <w:rPr>
          <w:rFonts w:hint="eastAsia" w:ascii="宋体" w:hAnsi="宋体" w:cs="宋体"/>
          <w:sz w:val="24"/>
        </w:rPr>
        <w:t>1.磋商保证金：本项目不收取磋商保证金。</w:t>
      </w:r>
    </w:p>
    <w:p>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专门面向小微企业采购。（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4.网上公告媒体查询：中国政府采购网、广西政府采购网、北海市人民政府网-北海市政府采购中心网站、全国公共资源交易平台（广西•北海）。</w:t>
      </w:r>
    </w:p>
    <w:p>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pPr>
        <w:pStyle w:val="631"/>
        <w:ind w:firstLine="0"/>
        <w:rPr>
          <w:b/>
        </w:rPr>
      </w:pPr>
      <w:bookmarkStart w:id="47" w:name="_Toc35393805"/>
      <w:bookmarkStart w:id="48" w:name="_Toc35393636"/>
      <w:bookmarkStart w:id="49" w:name="_Toc28359018"/>
      <w:bookmarkStart w:id="50" w:name="_Toc28359095"/>
      <w:r>
        <w:rPr>
          <w:rFonts w:hint="eastAsia"/>
          <w:b/>
        </w:rPr>
        <w:t>八、凡对本次采购提出询问，请按以下方式联系</w:t>
      </w:r>
      <w:bookmarkEnd w:id="47"/>
      <w:bookmarkEnd w:id="48"/>
      <w:bookmarkEnd w:id="49"/>
      <w:bookmarkEnd w:id="50"/>
    </w:p>
    <w:p>
      <w:pPr>
        <w:spacing w:line="360" w:lineRule="auto"/>
        <w:ind w:firstLine="480"/>
        <w:rPr>
          <w:rFonts w:ascii="宋体" w:hAnsi="宋体" w:cs="宋体"/>
          <w:sz w:val="24"/>
        </w:rPr>
      </w:pPr>
      <w:r>
        <w:rPr>
          <w:rFonts w:hint="eastAsia" w:ascii="宋体" w:hAnsi="宋体" w:cs="宋体"/>
          <w:sz w:val="24"/>
        </w:rPr>
        <w:t>1.采购人信息</w:t>
      </w:r>
    </w:p>
    <w:p>
      <w:pPr>
        <w:spacing w:line="360" w:lineRule="auto"/>
        <w:ind w:firstLine="480"/>
        <w:rPr>
          <w:rFonts w:ascii="宋体" w:hAnsi="宋体" w:cs="宋体"/>
          <w:sz w:val="24"/>
        </w:rPr>
      </w:pPr>
      <w:r>
        <w:rPr>
          <w:rFonts w:hint="eastAsia" w:ascii="宋体" w:hAnsi="宋体" w:cs="宋体"/>
          <w:sz w:val="24"/>
        </w:rPr>
        <w:t xml:space="preserve">名    称：北海市总工会工人文化宫 </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bidi="ar"/>
        </w:rPr>
        <w:t>北海市海城区和平路91号</w:t>
      </w: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项目联系人：</w:t>
      </w:r>
      <w:bookmarkStart w:id="51" w:name="OLE_LINK15"/>
      <w:r>
        <w:rPr>
          <w:rFonts w:hint="eastAsia" w:ascii="宋体" w:hAnsi="宋体" w:cs="宋体"/>
          <w:sz w:val="24"/>
        </w:rPr>
        <w:t xml:space="preserve">周桂林 </w:t>
      </w:r>
      <w:bookmarkEnd w:id="51"/>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w:t>
      </w:r>
      <w:bookmarkStart w:id="52" w:name="OLE_LINK16"/>
      <w:r>
        <w:rPr>
          <w:rFonts w:hint="eastAsia"/>
          <w:lang w:bidi="ar"/>
        </w:rPr>
        <w:t>13317892766</w:t>
      </w:r>
      <w:r>
        <w:rPr>
          <w:rFonts w:hint="eastAsia" w:ascii="宋体" w:hAnsi="宋体" w:cs="宋体"/>
          <w:sz w:val="24"/>
        </w:rPr>
        <w:t xml:space="preserve"> </w:t>
      </w:r>
      <w:bookmarkEnd w:id="52"/>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称：北海市政府采购中心</w:t>
      </w:r>
    </w:p>
    <w:p>
      <w:pPr>
        <w:spacing w:line="360" w:lineRule="auto"/>
        <w:ind w:firstLine="480"/>
        <w:rPr>
          <w:rFonts w:ascii="宋体" w:hAnsi="宋体" w:cs="宋体"/>
          <w:sz w:val="24"/>
        </w:rPr>
      </w:pPr>
      <w:r>
        <w:rPr>
          <w:rFonts w:hint="eastAsia" w:ascii="宋体" w:hAnsi="宋体" w:cs="宋体"/>
          <w:sz w:val="24"/>
        </w:rPr>
        <w:t>地    址：北海市陈文村北路7号市直机关第三办公区</w:t>
      </w:r>
    </w:p>
    <w:p>
      <w:pPr>
        <w:spacing w:line="360" w:lineRule="auto"/>
        <w:rPr>
          <w:rFonts w:ascii="宋体" w:hAnsi="宋体" w:cs="宋体"/>
          <w:sz w:val="24"/>
        </w:rPr>
      </w:pPr>
      <w:r>
        <w:rPr>
          <w:rFonts w:hint="eastAsia" w:ascii="宋体" w:hAnsi="宋体" w:cs="宋体"/>
          <w:sz w:val="24"/>
        </w:rPr>
        <w:t xml:space="preserve">    项目联系人（询问）：陈戈</w:t>
      </w:r>
    </w:p>
    <w:p>
      <w:pPr>
        <w:spacing w:line="360" w:lineRule="auto"/>
        <w:rPr>
          <w:rFonts w:ascii="宋体" w:hAnsi="宋体" w:cs="宋体"/>
          <w:sz w:val="24"/>
        </w:rPr>
      </w:pPr>
      <w:r>
        <w:rPr>
          <w:rFonts w:hint="eastAsia" w:ascii="宋体" w:hAnsi="宋体" w:cs="宋体"/>
          <w:sz w:val="24"/>
        </w:rPr>
        <w:t xml:space="preserve">    项目联系方式（询问）：0779-3056122</w:t>
      </w:r>
    </w:p>
    <w:p>
      <w:pPr>
        <w:pStyle w:val="631"/>
      </w:pPr>
    </w:p>
    <w:p>
      <w:pPr>
        <w:adjustRightInd/>
        <w:spacing w:line="360" w:lineRule="auto"/>
        <w:ind w:firstLine="480" w:firstLineChars="200"/>
        <w:rPr>
          <w:rFonts w:cs="仿宋_GB2312" w:asciiTheme="minorEastAsia" w:hAnsiTheme="minorEastAsia" w:eastAsiaTheme="minorEastAsia"/>
          <w:b/>
          <w:sz w:val="36"/>
          <w:szCs w:val="20"/>
        </w:rPr>
      </w:pPr>
      <w:r>
        <w:rPr>
          <w:rFonts w:hint="eastAsia" w:ascii="宋体" w:hAnsi="宋体" w:cs="宋体"/>
          <w:sz w:val="24"/>
        </w:rPr>
        <w:t>若对项目采购电子交易系统操作有疑问，可登录广西政府采购云平台（https://www.zcygov.cn/），点击右侧咨询小采，获取采小蜜智能服务管家帮助，或拨打广西政府采购云平台服务热线95763获取热线服务帮助。</w:t>
      </w:r>
    </w:p>
    <w:p>
      <w:pPr>
        <w:adjustRightInd/>
        <w:spacing w:line="360" w:lineRule="auto"/>
        <w:outlineLvl w:val="0"/>
        <w:rPr>
          <w:rFonts w:cs="仿宋_GB2312" w:asciiTheme="minorEastAsia" w:hAnsiTheme="minorEastAsia" w:eastAsiaTheme="minorEastAsia"/>
          <w:b/>
          <w:sz w:val="32"/>
          <w:szCs w:val="20"/>
        </w:rPr>
      </w:pPr>
      <w:bookmarkStart w:id="53" w:name="_Toc181203095"/>
      <w:r>
        <w:rPr>
          <w:rFonts w:hint="eastAsia" w:cs="仿宋_GB2312" w:asciiTheme="minorEastAsia" w:hAnsiTheme="minorEastAsia" w:eastAsiaTheme="minorEastAsia"/>
          <w:b/>
          <w:sz w:val="36"/>
          <w:szCs w:val="20"/>
        </w:rPr>
        <w:t xml:space="preserve">           第二部分  竞争性磋商流程</w:t>
      </w:r>
      <w:bookmarkEnd w:id="53"/>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spacing w:before="0"/>
        <w:ind w:firstLine="480"/>
        <w:rPr>
          <w:rFonts w:asciiTheme="minorEastAsia" w:hAnsiTheme="minorEastAsia" w:eastAsiaTheme="minorEastAsia"/>
          <w:szCs w:val="24"/>
        </w:rPr>
      </w:pPr>
      <w:r>
        <w:rPr>
          <w:rFonts w:hint="eastAsia" w:ascii="宋体" w:hAnsi="宋体" w:cs="宋体"/>
          <w:kern w:val="0"/>
        </w:rPr>
        <w:sym w:font="Wingdings" w:char="F0FE"/>
      </w: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2"/>
        <w:spacing w:before="0"/>
        <w:ind w:firstLine="480"/>
        <w:rPr>
          <w:rFonts w:asciiTheme="minorEastAsia" w:hAnsiTheme="minorEastAsia" w:eastAsiaTheme="minorEastAsia"/>
          <w:szCs w:val="24"/>
        </w:rPr>
      </w:pPr>
      <w:r>
        <w:rPr>
          <w:rFonts w:hint="eastAsia" w:cs="宋体" w:asciiTheme="minorEastAsia" w:hAnsiTheme="minorEastAsia" w:eastAsiaTheme="minorEastAsia"/>
        </w:rPr>
        <w:t>□</w:t>
      </w: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2"/>
        <w:spacing w:before="0"/>
        <w:ind w:firstLine="480"/>
        <w:rPr>
          <w:rFonts w:asciiTheme="minorEastAsia" w:hAnsiTheme="minorEastAsia" w:eastAsiaTheme="minorEastAsia"/>
          <w:szCs w:val="24"/>
        </w:rPr>
      </w:pPr>
      <w:r>
        <w:rPr>
          <w:rFonts w:hint="eastAsia" w:cs="宋体" w:asciiTheme="minorEastAsia" w:hAnsiTheme="minorEastAsia" w:eastAsiaTheme="minorEastAsia"/>
        </w:rPr>
        <w:t>□</w:t>
      </w: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2.1供应商依据“提交响应文件的截止时间与地点”通过广西政府采购云平台在线提交响应文件。供应商在提交响应文件的截止时间前，可以补充、修改或撤回响应文件。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采购人或者采购代理机构将通过“信用中国”网站(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bookmarkStart w:id="54" w:name="_Toc181203096"/>
      <w:r>
        <w:rPr>
          <w:rFonts w:hint="eastAsia" w:cs="仿宋_GB2312" w:asciiTheme="minorEastAsia" w:hAnsiTheme="minorEastAsia" w:eastAsiaTheme="minorEastAsia"/>
          <w:b/>
          <w:sz w:val="36"/>
          <w:szCs w:val="20"/>
        </w:rPr>
        <w:t>第三部分</w:t>
      </w:r>
      <w:bookmarkEnd w:id="12"/>
      <w:r>
        <w:rPr>
          <w:rFonts w:hint="eastAsia" w:cs="仿宋_GB2312" w:asciiTheme="minorEastAsia" w:hAnsiTheme="minorEastAsia" w:eastAsiaTheme="minorEastAsia"/>
          <w:b/>
          <w:sz w:val="36"/>
          <w:szCs w:val="20"/>
        </w:rPr>
        <w:t xml:space="preserve">  供应商须知</w:t>
      </w:r>
      <w:bookmarkEnd w:id="13"/>
      <w:bookmarkEnd w:id="54"/>
    </w:p>
    <w:p>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 xml:space="preserve"> 2025至2026年物业管理服务</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物业管理</w:t>
            </w:r>
            <w:r>
              <w:rPr>
                <w:rFonts w:hint="eastAsia" w:cs="宋体" w:asciiTheme="minorEastAsia" w:hAnsiTheme="minorEastAsia" w:eastAsiaTheme="minorEastAsia"/>
                <w:kern w:val="0"/>
                <w:sz w:val="24"/>
              </w:rPr>
              <w:t>行业；</w:t>
            </w:r>
          </w:p>
          <w:p>
            <w:pPr>
              <w:pStyle w:val="2"/>
              <w:numPr>
                <w:ilvl w:val="0"/>
                <w:numId w:val="0"/>
              </w:numPr>
              <w:jc w:val="both"/>
              <w:rPr>
                <w:rFonts w:cs="宋体" w:asciiTheme="minorEastAsia" w:hAnsiTheme="minorEastAsia" w:eastAsiaTheme="minorEastAsia"/>
                <w:b w:val="0"/>
                <w:bCs w:val="0"/>
                <w:kern w:val="0"/>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方式一：广西政府采购云平台在线讲解演示。广西政府采购云平台在线讲解需供应商根据广西政府采购云平台操作要求做好准备工作，提前完善软硬件配置环境。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（1）资格证明文件：见磋商文件第二部分 五。</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color w:val="FF0000"/>
                <w:sz w:val="24"/>
              </w:rPr>
              <w:t>资信证明文件：根据磋商文件采购需求及评审标准的要求提供。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482" w:firstLineChars="2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482"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供应商成交后也可在“广西政府采购云”平台申请政采贷：操作路径：登录广西政府采购云平台-金融服务中心-【融资服务】，可在热门申请中选择产品直接申请。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pPr>
              <w:pStyle w:val="31"/>
              <w:spacing w:line="360" w:lineRule="auto"/>
              <w:rPr>
                <w:rFonts w:hAnsi="宋体" w:cs="宋体"/>
                <w:kern w:val="28"/>
                <w:sz w:val="24"/>
              </w:rPr>
            </w:pPr>
            <w:sdt>
              <w:sdtPr>
                <w:rPr>
                  <w:rFonts w:hint="eastAsia" w:hAnsi="宋体" w:cs="宋体"/>
                  <w:kern w:val="0"/>
                  <w:sz w:val="24"/>
                </w:rPr>
                <w:id w:val="1206604863"/>
                <w14:checkbox>
                  <w14:checked w14:val="0"/>
                  <w14:checkedState w14:val="00FE" w14:font="Wingdings"/>
                  <w14:uncheckedState w14:val="2610" w14:font="MS Gothic"/>
                </w14:checkbox>
              </w:sdtPr>
              <w:sdtEndPr>
                <w:rPr>
                  <w:rFonts w:hint="eastAsia" w:hAnsi="宋体" w:cs="宋体"/>
                  <w:kern w:val="0"/>
                  <w:sz w:val="24"/>
                </w:rPr>
              </w:sdtEndPr>
              <w:sdtContent>
                <w:r>
                  <w:rPr>
                    <w:rFonts w:hint="eastAsia" w:ascii="MS Mincho" w:hAnsi="MS Mincho" w:eastAsia="MS Mincho" w:cs="MS Mincho"/>
                    <w:kern w:val="0"/>
                    <w:sz w:val="24"/>
                  </w:rPr>
                  <w:t>☐</w:t>
                </w:r>
              </w:sdtContent>
            </w:sdt>
            <w:r>
              <w:rPr>
                <w:rFonts w:hint="eastAsia" w:hAnsi="宋体" w:cs="宋体"/>
                <w:kern w:val="0"/>
                <w:sz w:val="24"/>
              </w:rPr>
              <w:t>B</w:t>
            </w:r>
            <w:r>
              <w:rPr>
                <w:rFonts w:hint="eastAsia" w:hAnsi="宋体" w:cs="宋体"/>
                <w:sz w:val="24"/>
              </w:rPr>
              <w:t>接受</w:t>
            </w:r>
            <w:r>
              <w:rPr>
                <w:rFonts w:hint="eastAsia" w:hAnsi="宋体" w:cs="宋体"/>
                <w:kern w:val="0"/>
                <w:sz w:val="24"/>
              </w:rPr>
              <w:t>：</w:t>
            </w:r>
            <w:r>
              <w:rPr>
                <w:rFonts w:hint="eastAsia" w:hAnsi="宋体" w:cs="宋体"/>
                <w:kern w:val="28"/>
                <w:sz w:val="24"/>
              </w:rPr>
              <w:t>备份响应文件送达地点：</w:t>
            </w:r>
            <w:r>
              <w:rPr>
                <w:rFonts w:hint="eastAsia" w:hAnsi="宋体" w:cs="宋体"/>
                <w:sz w:val="24"/>
                <w:u w:val="single"/>
              </w:rPr>
              <w:t xml:space="preserve">         </w:t>
            </w:r>
            <w:r>
              <w:rPr>
                <w:rFonts w:hint="eastAsia" w:hAnsi="宋体" w:cs="宋体"/>
                <w:kern w:val="28"/>
                <w:sz w:val="24"/>
              </w:rPr>
              <w:t>；备份响应文件签收人员联系电话：</w:t>
            </w:r>
            <w:r>
              <w:rPr>
                <w:rFonts w:hint="eastAsia" w:hAnsi="宋体" w:cs="宋体"/>
                <w:sz w:val="24"/>
                <w:u w:val="single"/>
              </w:rPr>
              <w:t xml:space="preserve">        </w:t>
            </w:r>
            <w:r>
              <w:rPr>
                <w:rFonts w:hint="eastAsia" w:hAnsi="宋体" w:cs="宋体"/>
                <w:sz w:val="24"/>
              </w:rPr>
              <w:t>。</w:t>
            </w:r>
            <w:r>
              <w:rPr>
                <w:rFonts w:hint="eastAsia" w:hAnsi="宋体" w:cs="宋体"/>
                <w:b/>
                <w:sz w:val="24"/>
              </w:rPr>
              <w:t>采购人、采购代理机构不强制或变相强制磋商供应商提交备份响应文件。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联合体响应的，联合体各方分别提供与联合体协议中规定的分工内容相应的业绩证明材料，业绩数量以提供材料较少的一方为准。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本磋商文件解释权属采购人及代理机构。</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w:t>
      </w:r>
      <w:r>
        <w:rPr>
          <w:rFonts w:hint="eastAsia" w:ascii="宋体" w:hAnsi="宋体" w:cs="宋体"/>
          <w:sz w:val="24"/>
        </w:rPr>
        <w:t>法定代表人（负责人）</w:t>
      </w:r>
      <w:r>
        <w:rPr>
          <w:rFonts w:hint="eastAsia" w:asciiTheme="minorEastAsia" w:hAnsiTheme="minorEastAsia" w:eastAsiaTheme="minorEastAsia"/>
          <w:sz w:val="24"/>
        </w:rPr>
        <w:t>”系指法人企业的法定负责人，或其他组织为法律、行政法规规定代表单位行使职权的主要负责人，或自然人本人。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w:t>
      </w:r>
      <w:r>
        <w:rPr>
          <w:rFonts w:hint="eastAsia" w:ascii="宋体" w:hAnsi="宋体" w:cs="宋体"/>
          <w:sz w:val="24"/>
        </w:rPr>
        <w:t>广西政府采购云平台（https://www.gcy.zfcg.gxzf.gov.cn/）</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2.9“书面形式”包括数据电文形式与纸质形式。数据电文形式与纸质形式的采购活动具有同等法律效力。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2.10“▲”系指实质性要求条款，“※”系指磋商过程中可能实质性变动的内容，</w:t>
      </w:r>
      <w:r>
        <w:rPr>
          <w:rFonts w:hint="eastAsia" w:ascii="宋体" w:hAnsi="宋体" w:cs="宋体"/>
          <w:kern w:val="0"/>
          <w:sz w:val="24"/>
        </w:rPr>
        <w:t>“</w:t>
      </w:r>
      <w:r>
        <w:rPr>
          <w:rFonts w:hint="eastAsia" w:ascii="宋体" w:hAnsi="宋体" w:cs="宋体"/>
          <w:kern w:val="0"/>
          <w:sz w:val="24"/>
        </w:rPr>
        <w:sym w:font="Wingdings" w:char="F0FE"/>
      </w:r>
      <w:r>
        <w:rPr>
          <w:rFonts w:hint="eastAsia" w:ascii="宋体" w:hAnsi="宋体" w:cs="宋体"/>
          <w:kern w:val="0"/>
          <w:sz w:val="24"/>
        </w:rPr>
        <w:t>”</w:t>
      </w:r>
      <w:r>
        <w:rPr>
          <w:rFonts w:hint="eastAsia" w:cs="宋体" w:asciiTheme="minorEastAsia" w:hAnsiTheme="minorEastAsia" w:eastAsiaTheme="minorEastAsia"/>
          <w:sz w:val="24"/>
        </w:rPr>
        <w:t>系指适用本项目的要求，“□”系指不适用本项目的要求。</w:t>
      </w:r>
    </w:p>
    <w:p>
      <w:pPr>
        <w:adjustRightInd/>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响应有效期为从提交响应文件的截止之日起60天。供应商的响应文件中承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color w:val="FF0000"/>
        </w:rPr>
        <w:t>采购人或</w:t>
      </w:r>
      <w:r>
        <w:rPr>
          <w:rFonts w:hint="eastAsia" w:cs="仿宋_GB2312" w:asciiTheme="minorEastAsia" w:hAnsiTheme="minorEastAsia" w:eastAsiaTheme="minorEastAsia"/>
        </w:rPr>
        <w:t>采购代理机构可以以书面形式通知</w:t>
      </w:r>
      <w:r>
        <w:rPr>
          <w:rFonts w:hint="eastAsia" w:cs="仿宋_GB2312" w:asciiTheme="minorEastAsia" w:hAnsiTheme="minorEastAsia" w:eastAsiaTheme="minorEastAsia"/>
          <w:color w:val="FF0000"/>
        </w:rPr>
        <w:t>所有</w:t>
      </w:r>
      <w:r>
        <w:rPr>
          <w:rFonts w:hint="eastAsia" w:cs="仿宋_GB2312" w:asciiTheme="minorEastAsia" w:hAnsiTheme="minorEastAsia" w:eastAsiaTheme="minorEastAsia"/>
        </w:rPr>
        <w:t>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1"/>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cs="宋体" w:asciiTheme="minorEastAsia" w:hAnsiTheme="minorEastAsia" w:eastAsiaTheme="minorEastAsia"/>
          <w:b/>
          <w:sz w:val="24"/>
        </w:rPr>
        <w:t>5.</w:t>
      </w:r>
      <w:r>
        <w:rPr>
          <w:rFonts w:hint="eastAsia" w:ascii="宋体" w:hAnsi="宋体" w:cs="宋体"/>
          <w:b/>
          <w:sz w:val="24"/>
        </w:rPr>
        <w:t>平等对待内外资企业</w:t>
      </w:r>
    </w:p>
    <w:p>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pPr>
        <w:pStyle w:val="631"/>
        <w:ind w:firstLine="0"/>
        <w:rPr>
          <w:b/>
          <w:bCs/>
        </w:rPr>
      </w:pPr>
      <w:r>
        <w:rPr>
          <w:rFonts w:hint="eastAsia" w:cs="宋体" w:asciiTheme="minorEastAsia" w:hAnsiTheme="minorEastAsia" w:eastAsiaTheme="minorEastAsia"/>
          <w:b/>
        </w:rPr>
        <w:t>6.</w:t>
      </w:r>
      <w:r>
        <w:rPr>
          <w:rFonts w:hint="eastAsia"/>
          <w:b/>
        </w:rPr>
        <w:t>平等对待符合条件的破产重整企业</w:t>
      </w:r>
    </w:p>
    <w:p>
      <w:pPr>
        <w:pStyle w:val="631"/>
        <w:ind w:firstLine="480" w:firstLineChars="200"/>
      </w:pPr>
      <w:r>
        <w:rPr>
          <w:rFonts w:hint="eastAsia" w:cs="宋体"/>
        </w:rPr>
        <w:t>平等对待符合条件的破产重整企业，切实保障企业公平竞争，平等维护企业的合法利益。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bookmarkStart w:id="55" w:name="OLE_LINK18"/>
      <w:bookmarkStart w:id="56" w:name="OLE_LINK19"/>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询问联系部门：北海市政府采购中心采购一科，联系电话：0779-3056122，地址：北海市海城区陈文村北路7号市直机关第三办公区2号楼一层。</w:t>
      </w:r>
    </w:p>
    <w:p>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0779-3063975</w:t>
      </w:r>
      <w:r>
        <w:rPr>
          <w:rFonts w:hint="eastAsia" w:asciiTheme="minorEastAsia" w:hAnsiTheme="minorEastAsia" w:eastAsiaTheme="minorEastAsia"/>
          <w:color w:val="000000" w:themeColor="text1"/>
          <w:sz w:val="24"/>
          <w:lang w:val="zh-CN"/>
          <w14:textFill>
            <w14:solidFill>
              <w14:schemeClr w14:val="tx1"/>
            </w14:solidFill>
          </w14:textFill>
        </w:rPr>
        <w:t>，地址：北海市海城区北部湾西路19号。</w:t>
      </w:r>
    </w:p>
    <w:bookmarkEnd w:id="55"/>
    <w:bookmarkEnd w:id="56"/>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3.供应商质疑</w:t>
      </w:r>
    </w:p>
    <w:p>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pStyle w:val="31"/>
              <w:spacing w:line="360" w:lineRule="auto"/>
              <w:jc w:val="center"/>
              <w:rPr>
                <w:rFonts w:asciiTheme="minorEastAsia" w:hAnsiTheme="minorEastAsia" w:eastAsiaTheme="minorEastAsia"/>
                <w:sz w:val="24"/>
              </w:rPr>
            </w:pP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continue"/>
            <w:vAlign w:val="center"/>
          </w:tcPr>
          <w:p>
            <w:pPr>
              <w:pStyle w:val="31"/>
              <w:spacing w:line="360" w:lineRule="auto"/>
              <w:jc w:val="center"/>
              <w:rPr>
                <w:rFonts w:asciiTheme="minorEastAsia" w:hAnsiTheme="minorEastAsia" w:eastAsiaTheme="minorEastAsia"/>
                <w:sz w:val="24"/>
              </w:rPr>
            </w:pP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注：采购人或代理机构应当协助质疑答复责任主体及时答复供应商的书面质疑。</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3.3.1.1</w:t>
      </w:r>
      <w:r>
        <w:rPr>
          <w:rFonts w:hint="eastAsia" w:asciiTheme="minorEastAsia" w:hAnsiTheme="minorEastAsia" w:eastAsiaTheme="minorEastAsia"/>
          <w:sz w:val="24"/>
          <w:szCs w:val="24"/>
        </w:rPr>
        <w:t>供应商的姓名或者名称、地址、邮编、联系人及联系电话；</w:t>
      </w:r>
    </w:p>
    <w:p>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3.3.1.2</w:t>
      </w:r>
      <w:r>
        <w:rPr>
          <w:rFonts w:hint="eastAsia" w:asciiTheme="minorEastAsia" w:hAnsiTheme="minorEastAsia" w:eastAsiaTheme="minorEastAsia"/>
          <w:sz w:val="24"/>
          <w:szCs w:val="24"/>
        </w:rPr>
        <w:t>质疑项目的名称、编号；</w:t>
      </w:r>
    </w:p>
    <w:p>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3.3.1.3</w:t>
      </w:r>
      <w:r>
        <w:rPr>
          <w:rFonts w:hint="eastAsia" w:asciiTheme="minorEastAsia" w:hAnsiTheme="minorEastAsia" w:eastAsiaTheme="minorEastAsia"/>
          <w:sz w:val="24"/>
          <w:szCs w:val="24"/>
        </w:rPr>
        <w:t>具体、明确的质疑事项和与质疑事项相关的请求；</w:t>
      </w:r>
    </w:p>
    <w:p>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3.3.1.4</w:t>
      </w:r>
      <w:r>
        <w:rPr>
          <w:rFonts w:hint="eastAsia" w:asciiTheme="minorEastAsia" w:hAnsiTheme="minorEastAsia" w:eastAsiaTheme="minorEastAsia"/>
          <w:sz w:val="24"/>
          <w:szCs w:val="24"/>
        </w:rPr>
        <w:t>事实依据；</w:t>
      </w:r>
    </w:p>
    <w:p>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3.3.1.5</w:t>
      </w:r>
      <w:r>
        <w:rPr>
          <w:rFonts w:hint="eastAsia" w:asciiTheme="minorEastAsia" w:hAnsiTheme="minorEastAsia" w:eastAsiaTheme="minorEastAsia"/>
          <w:sz w:val="24"/>
          <w:szCs w:val="24"/>
        </w:rPr>
        <w:t>必要的法律依据；</w:t>
      </w:r>
    </w:p>
    <w:p>
      <w:pPr>
        <w:pStyle w:val="31"/>
        <w:tabs>
          <w:tab w:val="left" w:pos="426"/>
          <w:tab w:val="left" w:pos="84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3.3.1.6</w:t>
      </w:r>
      <w:r>
        <w:rPr>
          <w:rFonts w:hint="eastAsia" w:asciiTheme="minorEastAsia" w:hAnsiTheme="minorEastAsia" w:eastAsiaTheme="minorEastAsia"/>
          <w:sz w:val="24"/>
          <w:szCs w:val="24"/>
        </w:rPr>
        <w:t>提出质疑的日期。</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3.3.1.7供应商提交的质疑函需一式三份。供应商为自然人的，应当由本人签字；供应商为法人或者其他组织的，应当由法定代表人、主要负责人，或者其授权代表签字或者盖章，并加盖公章。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1"/>
        <w:spacing w:line="360" w:lineRule="auto"/>
        <w:ind w:firstLine="482" w:firstLineChars="200"/>
        <w:rPr>
          <w:rFonts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邀请供应商</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1"/>
        <w:tabs>
          <w:tab w:val="left" w:pos="840"/>
        </w:tabs>
        <w:spacing w:line="360" w:lineRule="auto"/>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1.响应文件的语言</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2.响应文件的组成</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r>
        <w:rPr>
          <w:rFonts w:hint="eastAsia" w:asciiTheme="minorEastAsia" w:hAnsiTheme="minorEastAsia" w:eastAsiaTheme="minorEastAsia"/>
          <w:color w:val="FF0000"/>
          <w:sz w:val="24"/>
        </w:rPr>
        <w:t>（标注“▲”为实质性要求，供应商必须提供，否则磋商无效。相关格式见磋商文件第七部分）</w:t>
      </w:r>
      <w:r>
        <w:rPr>
          <w:rFonts w:hint="eastAsia" w:asciiTheme="minorEastAsia" w:hAnsiTheme="minorEastAsia" w:eastAsiaTheme="minorEastAsia"/>
          <w:sz w:val="24"/>
        </w:rPr>
        <w:t>：</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（1）响应函</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（2）资格文件</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：《中小企业声明函》；</w:t>
      </w:r>
    </w:p>
    <w:p>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sz w:val="24"/>
        </w:rPr>
        <w:t>（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w:t>
      </w:r>
      <w:r>
        <w:rPr>
          <w:rFonts w:hint="eastAsia" w:cs="仿宋_GB2312" w:asciiTheme="minorEastAsia" w:hAnsiTheme="minorEastAsia" w:eastAsiaTheme="minorEastAsia"/>
          <w:sz w:val="24"/>
        </w:rPr>
        <w:t>（如果有）</w:t>
      </w:r>
      <w:r>
        <w:rPr>
          <w:rFonts w:hint="eastAsia" w:asciiTheme="minorEastAsia" w:hAnsiTheme="minorEastAsia" w:eastAsiaTheme="minorEastAsia"/>
          <w:sz w:val="24"/>
          <w:lang w:val="zh-CN"/>
        </w:rPr>
        <w:t>。可以是针对本项目的完整技术解决方案和实施方案；详细阐述项目方案的实现思路及关键技术；符合本项目对当前和未来发展的要求；以及对功能设计和实施计划的建议；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w:t>
      </w:r>
      <w:r>
        <w:rPr>
          <w:rFonts w:hint="eastAsia" w:cs="仿宋_GB2312" w:asciiTheme="minorEastAsia" w:hAnsiTheme="minorEastAsia" w:eastAsiaTheme="minorEastAsia"/>
          <w:sz w:val="24"/>
        </w:rPr>
        <w:t>（如果有）</w:t>
      </w:r>
      <w:r>
        <w:rPr>
          <w:rFonts w:hint="eastAsia" w:asciiTheme="minorEastAsia" w:hAnsiTheme="minorEastAsia" w:eastAsiaTheme="minorEastAsia"/>
          <w:kern w:val="0"/>
          <w:sz w:val="24"/>
          <w:lang w:val="zh-CN"/>
        </w:rPr>
        <w:t>。</w:t>
      </w:r>
      <w:r>
        <w:rPr>
          <w:rFonts w:hint="eastAsia" w:asciiTheme="minorEastAsia" w:hAnsiTheme="minorEastAsia" w:eastAsiaTheme="minorEastAsia"/>
          <w:sz w:val="24"/>
          <w:lang w:val="zh-CN"/>
        </w:rPr>
        <w:t>可以是</w:t>
      </w:r>
      <w:r>
        <w:rPr>
          <w:rFonts w:hint="eastAsia" w:asciiTheme="minorEastAsia" w:hAnsiTheme="minorEastAsia" w:eastAsiaTheme="minorEastAsia"/>
          <w:kern w:val="0"/>
          <w:sz w:val="24"/>
          <w:lang w:val="zh-CN"/>
        </w:rPr>
        <w:t>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color w:val="FF0000"/>
          <w:sz w:val="24"/>
        </w:rPr>
        <w:t>▲</w:t>
      </w:r>
      <w:r>
        <w:rPr>
          <w:rFonts w:hint="eastAsia" w:asciiTheme="minorEastAsia" w:hAnsiTheme="minorEastAsia" w:eastAsiaTheme="minorEastAsia"/>
          <w:kern w:val="0"/>
          <w:sz w:val="24"/>
          <w:lang w:val="zh-CN"/>
        </w:rPr>
        <w:t>（11）售后服务方案。</w:t>
      </w:r>
      <w:r>
        <w:rPr>
          <w:rFonts w:hint="eastAsia" w:asciiTheme="minorEastAsia" w:hAnsiTheme="minorEastAsia" w:eastAsiaTheme="minorEastAsia"/>
          <w:sz w:val="24"/>
          <w:lang w:val="zh-CN"/>
        </w:rPr>
        <w:t>可以是</w:t>
      </w:r>
      <w:r>
        <w:rPr>
          <w:rFonts w:hint="eastAsia" w:asciiTheme="minorEastAsia" w:hAnsiTheme="minorEastAsia" w:eastAsiaTheme="minorEastAsia"/>
          <w:kern w:val="0"/>
          <w:sz w:val="24"/>
          <w:lang w:val="zh-CN"/>
        </w:rPr>
        <w:t>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kern w:val="0"/>
          <w:sz w:val="24"/>
          <w:lang w:val="zh-CN"/>
        </w:rPr>
        <w:t>。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r>
        <w:rPr>
          <w:rFonts w:hint="eastAsia" w:cs="仿宋_GB2312" w:asciiTheme="minorEastAsia" w:hAnsiTheme="minorEastAsia" w:eastAsiaTheme="minorEastAsia"/>
          <w:kern w:val="0"/>
          <w:sz w:val="24"/>
          <w:lang w:val="zh-CN"/>
        </w:rPr>
        <w:t>（如果有）</w:t>
      </w:r>
      <w:r>
        <w:rPr>
          <w:rFonts w:hint="eastAsia" w:asciiTheme="minorEastAsia" w:hAnsiTheme="minorEastAsia" w:eastAsiaTheme="minorEastAsia"/>
          <w:kern w:val="0"/>
          <w:sz w:val="24"/>
          <w:lang w:val="zh-CN"/>
        </w:rPr>
        <w:t>；</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color w:val="FF0000"/>
          <w:sz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8）</w:t>
      </w:r>
      <w:r>
        <w:rPr>
          <w:rFonts w:hint="eastAsia" w:cs="仿宋_GB2312" w:asciiTheme="minorEastAsia" w:hAnsiTheme="minorEastAsia" w:eastAsiaTheme="minorEastAsia"/>
          <w:kern w:val="0"/>
          <w:sz w:val="24"/>
          <w:lang w:val="zh-CN"/>
        </w:rPr>
        <w:t>承诺函；</w:t>
      </w:r>
    </w:p>
    <w:p>
      <w:pPr>
        <w:pStyle w:val="31"/>
        <w:spacing w:line="360" w:lineRule="auto"/>
        <w:ind w:firstLine="480" w:firstLineChars="200"/>
        <w:rPr>
          <w:rFonts w:cs="仿宋_GB2312" w:asciiTheme="minorEastAsia" w:hAnsiTheme="minorEastAsia" w:eastAsiaTheme="minorEastAsia"/>
          <w:color w:val="FF0000"/>
          <w:kern w:val="0"/>
          <w:sz w:val="24"/>
          <w:lang w:val="zh-CN"/>
        </w:rPr>
      </w:pPr>
      <w:r>
        <w:rPr>
          <w:rFonts w:hint="eastAsia" w:cs="仿宋_GB2312" w:asciiTheme="minorEastAsia" w:hAnsiTheme="minorEastAsia" w:eastAsiaTheme="minorEastAsia"/>
          <w:color w:val="FF0000"/>
          <w:kern w:val="0"/>
          <w:sz w:val="24"/>
          <w:lang w:val="zh-CN"/>
        </w:rPr>
        <w:t>▲（19）商务、服务（技术）响应、偏离情况说明表；</w:t>
      </w:r>
    </w:p>
    <w:p>
      <w:pPr>
        <w:pStyle w:val="31"/>
        <w:spacing w:line="360" w:lineRule="auto"/>
        <w:ind w:firstLine="480" w:firstLineChars="200"/>
        <w:rPr>
          <w:rFonts w:cs="仿宋_GB2312" w:asciiTheme="minorEastAsia" w:hAnsiTheme="minorEastAsia" w:eastAsiaTheme="minorEastAsia"/>
          <w:color w:val="FF0000"/>
          <w:kern w:val="0"/>
          <w:sz w:val="24"/>
          <w:lang w:val="zh-CN"/>
        </w:rPr>
      </w:pPr>
      <w:r>
        <w:rPr>
          <w:rFonts w:hint="eastAsia" w:cs="仿宋_GB2312" w:asciiTheme="minorEastAsia" w:hAnsiTheme="minorEastAsia" w:eastAsiaTheme="minorEastAsia"/>
          <w:color w:val="FF0000"/>
          <w:kern w:val="0"/>
          <w:sz w:val="24"/>
          <w:lang w:val="zh-CN"/>
        </w:rPr>
        <w:t>▲（20）初始报价表。</w:t>
      </w:r>
    </w:p>
    <w:p>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3.5为确保网上操作合法、有效和安全，供应商应当在响应截止时间前完成在“广西政府采购云平台”的身份认证，确保在电子交易过程中能够对相关数据电文进行加密和使用电子签名。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w:t>
      </w:r>
      <w:r>
        <w:rPr>
          <w:rFonts w:hint="eastAsia" w:ascii="宋体" w:hAnsi="宋体" w:cs="宋体"/>
        </w:rPr>
        <w:t>署、盖章的要求适用于电子签名、CA签章以及</w:t>
      </w:r>
      <w:r>
        <w:rPr>
          <w:rFonts w:hint="eastAsia" w:cs="宋体" w:asciiTheme="minorEastAsia" w:hAnsiTheme="minorEastAsia" w:eastAsiaTheme="minorEastAsia"/>
        </w:rPr>
        <w:t>磋商</w:t>
      </w:r>
      <w:r>
        <w:rPr>
          <w:rFonts w:hint="eastAsia" w:ascii="宋体" w:hAnsi="宋体" w:cs="宋体"/>
        </w:rPr>
        <w:t>文件明确允许的其他方式。</w:t>
      </w:r>
    </w:p>
    <w:p>
      <w:pPr>
        <w:pStyle w:val="31"/>
        <w:spacing w:line="360" w:lineRule="auto"/>
        <w:ind w:firstLine="480" w:firstLineChars="200"/>
        <w:rPr>
          <w:rFonts w:cs="仿宋_GB2312" w:asciiTheme="minorEastAsia" w:hAnsiTheme="minorEastAsia" w:eastAsiaTheme="minorEastAsia"/>
          <w:sz w:val="24"/>
          <w:szCs w:val="24"/>
        </w:rPr>
      </w:pPr>
    </w:p>
    <w:p>
      <w:pPr>
        <w:adjustRightInd/>
        <w:spacing w:line="560" w:lineRule="exact"/>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line="560" w:lineRule="exact"/>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1"/>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1"/>
        <w:spacing w:line="360" w:lineRule="auto"/>
        <w:ind w:firstLine="480"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备份响应文件须在“广西政府采购云平台投标客户端”制作生成，并储存在不可修改的</w:t>
      </w:r>
      <w:r>
        <w:rPr>
          <w:rFonts w:hint="eastAsia" w:asciiTheme="minorEastAsia" w:hAnsiTheme="minorEastAsia" w:eastAsiaTheme="minorEastAsia"/>
          <w:b/>
          <w:sz w:val="24"/>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spacing w:line="360" w:lineRule="auto"/>
        <w:rPr>
          <w:rFonts w:ascii="宋体" w:hAnsi="宋体" w:cs="宋体"/>
          <w:b/>
          <w:snapToGrid w:val="0"/>
          <w:kern w:val="28"/>
          <w:sz w:val="24"/>
        </w:rPr>
      </w:pPr>
      <w:r>
        <w:rPr>
          <w:rFonts w:hint="eastAsia" w:cs="仿宋_GB2312" w:asciiTheme="minorEastAsia" w:hAnsiTheme="minorEastAsia" w:eastAsiaTheme="minorEastAsia"/>
          <w:b/>
          <w:sz w:val="24"/>
        </w:rPr>
        <w:t>3.</w:t>
      </w:r>
      <w:r>
        <w:rPr>
          <w:rFonts w:hint="eastAsia" w:ascii="宋体" w:hAnsi="宋体" w:cs="宋体"/>
          <w:b/>
          <w:snapToGrid w:val="0"/>
          <w:kern w:val="28"/>
          <w:sz w:val="24"/>
        </w:rPr>
        <w:t>磋商保证金</w:t>
      </w:r>
    </w:p>
    <w:p>
      <w:pPr>
        <w:widowControl/>
        <w:snapToGrid w:val="0"/>
        <w:spacing w:line="360" w:lineRule="auto"/>
        <w:ind w:firstLine="470" w:firstLineChars="196"/>
        <w:rPr>
          <w:rFonts w:ascii="宋体" w:hAnsi="宋体" w:cs="宋体"/>
          <w:snapToGrid w:val="0"/>
          <w:kern w:val="28"/>
          <w:sz w:val="24"/>
          <w:szCs w:val="20"/>
        </w:rPr>
      </w:pPr>
      <w:r>
        <w:rPr>
          <w:rFonts w:hint="eastAsia" w:ascii="宋体" w:hAnsi="宋体" w:cs="宋体"/>
          <w:snapToGrid w:val="0"/>
          <w:kern w:val="28"/>
          <w:sz w:val="24"/>
          <w:szCs w:val="20"/>
        </w:rPr>
        <w:t>本项目不收取。</w:t>
      </w:r>
    </w:p>
    <w:p>
      <w:pPr>
        <w:adjustRightInd/>
        <w:spacing w:line="360" w:lineRule="auto"/>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1.开启响应文件</w:t>
      </w:r>
    </w:p>
    <w:p>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1"/>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482" w:firstLineChars="20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8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cs="仿宋_GB2312" w:asciiTheme="minorEastAsia" w:hAnsiTheme="minorEastAsia" w:eastAsiaTheme="minorEastAsia"/>
          <w:b/>
          <w:sz w:val="24"/>
          <w:szCs w:val="24"/>
        </w:rPr>
      </w:pPr>
    </w:p>
    <w:p>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w:t>
      </w:r>
    </w:p>
    <w:p>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color w:val="FF0000"/>
          <w:kern w:val="0"/>
          <w:sz w:val="24"/>
          <w:lang w:val="zh-CN"/>
        </w:rPr>
        <w:t>▲</w:t>
      </w:r>
      <w:r>
        <w:rPr>
          <w:rFonts w:hint="eastAsia" w:cs="仿宋_GB2312" w:asciiTheme="minorEastAsia" w:hAnsiTheme="minorEastAsia" w:eastAsiaTheme="minorEastAsia"/>
          <w:sz w:val="24"/>
          <w:szCs w:val="24"/>
        </w:rPr>
        <w:t>1.1最后报价一览表；</w:t>
      </w:r>
    </w:p>
    <w:p>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rPr>
          <w:rFonts w:cs="仿宋_GB2312" w:asciiTheme="minorEastAsia" w:hAnsiTheme="minorEastAsia" w:eastAsiaTheme="minorEastAsia"/>
          <w:b/>
          <w:sz w:val="32"/>
          <w:szCs w:val="20"/>
        </w:rPr>
      </w:pPr>
    </w:p>
    <w:p>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rPr>
          <w:rFonts w:cs="仿宋_GB2312" w:asciiTheme="minorEastAsia" w:hAnsiTheme="minorEastAsia" w:eastAsiaTheme="minorEastAsia"/>
          <w:sz w:val="24"/>
        </w:rPr>
      </w:pPr>
    </w:p>
    <w:p>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FF0000"/>
          <w:sz w:val="24"/>
        </w:rPr>
        <w:t>5</w:t>
      </w:r>
      <w:r>
        <w:rPr>
          <w:rFonts w:hint="eastAsia" w:cs="宋体" w:asciiTheme="minorEastAsia" w:hAnsiTheme="minorEastAsia" w:eastAsiaTheme="minorEastAsia"/>
          <w:sz w:val="24"/>
        </w:rPr>
        <w:t>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480" w:firstLineChars="20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p>
    <w:p>
      <w:pPr>
        <w:spacing w:line="360" w:lineRule="auto"/>
        <w:ind w:firstLine="480" w:firstLineChars="20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采购人及其委托的采购代理机构的名称、地址、联系方式，项目名称和项目编号，成交人名称、地址和成交金额，主要成交标的的名称、规格型号、数量、单价、服务要求，</w:t>
      </w:r>
      <w:bookmarkStart w:id="57" w:name="_Hlk101184471"/>
      <w:r>
        <w:rPr>
          <w:rFonts w:hint="eastAsia" w:cs="宋体" w:asciiTheme="minorEastAsia" w:hAnsiTheme="minorEastAsia" w:eastAsiaTheme="minorEastAsia"/>
          <w:sz w:val="24"/>
        </w:rPr>
        <w:t>评审专家抽取规则、</w:t>
      </w:r>
      <w:bookmarkEnd w:id="57"/>
      <w:r>
        <w:rPr>
          <w:rFonts w:hint="eastAsia" w:cs="宋体" w:asciiTheme="minorEastAsia" w:hAnsiTheme="minorEastAsia" w:eastAsiaTheme="minorEastAsia"/>
          <w:sz w:val="24"/>
        </w:rPr>
        <w:t>未成交情况说明、成交公告期限以及评审专家名单、成交供应商和未成交供应商的评审总得分及排名。</w:t>
      </w:r>
    </w:p>
    <w:p>
      <w:pPr>
        <w:spacing w:line="360" w:lineRule="auto"/>
        <w:ind w:firstLine="480" w:firstLineChars="20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 w:val="24"/>
        </w:rPr>
        <w:t>2.1</w:t>
      </w:r>
      <w:r>
        <w:rPr>
          <w:rFonts w:hint="eastAsia" w:ascii="宋体" w:hAnsi="宋体" w:cs="宋体"/>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pStyle w:val="392"/>
        <w:snapToGrid w:val="0"/>
        <w:spacing w:before="0"/>
        <w:ind w:firstLine="480"/>
        <w:rPr>
          <w:rFonts w:ascii="宋体" w:hAnsi="宋体" w:cs="宋体"/>
        </w:rPr>
      </w:pPr>
      <w:r>
        <w:rPr>
          <w:rFonts w:hint="eastAsia" w:ascii="宋体" w:hAnsi="宋体" w:cs="宋体"/>
        </w:rPr>
        <w:t>2.7政采贷</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（四）贷款发放。贷款金融机构根据贷款协议向供应商发放贷款。</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（六）业务终止。贷款偿清后，贷款金融机构或北海市小微企业融资担保有限公司及时办理应收账款质押注销登记，业务终止。</w:t>
      </w:r>
    </w:p>
    <w:p>
      <w:pPr>
        <w:snapToGrid w:val="0"/>
        <w:spacing w:line="360" w:lineRule="auto"/>
        <w:ind w:firstLine="480" w:firstLineChars="200"/>
        <w:rPr>
          <w:rFonts w:ascii="宋体" w:hAnsi="宋体" w:cs="宋体"/>
          <w:sz w:val="24"/>
          <w:szCs w:val="20"/>
        </w:rPr>
      </w:pPr>
      <w:r>
        <w:rPr>
          <w:rFonts w:hint="eastAsia" w:ascii="宋体" w:hAnsi="宋体" w:cs="宋体"/>
          <w:sz w:val="24"/>
          <w:szCs w:val="20"/>
        </w:rPr>
        <w:t>注：相关合作银行的具体操作流程详见北海市政府采购中心首页“政采贷”板块。</w:t>
      </w:r>
    </w:p>
    <w:p>
      <w:pPr>
        <w:pStyle w:val="631"/>
      </w:pPr>
      <w:r>
        <w:rPr>
          <w:rFonts w:hint="eastAsia" w:cs="宋体"/>
        </w:rPr>
        <w:t>对于列入《政府采购信用白名单》的供应商，在获取“政采贷”流水贷产品时给予更高的授信额度，在申请“政采贷”合同贷产品时，可享受较低的贷款利率，同时信用白名单供应商获得信贷时长进一步缩短。</w:t>
      </w:r>
    </w:p>
    <w:p>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供应商成交后可在“广西政府采购云”平台申请政采贷：操作路径：登录广西政府采购云平台-金融服务中心-【融资服务】，可在热门申请中选择产品直接申请。详见如下：</w:t>
      </w:r>
    </w:p>
    <w:p>
      <w:pPr>
        <w:snapToGrid w:val="0"/>
        <w:spacing w:line="360" w:lineRule="auto"/>
        <w:ind w:firstLine="482"/>
        <w:jc w:val="left"/>
        <w:rPr>
          <w:rFonts w:ascii="宋体" w:hAnsi="宋体"/>
          <w:kern w:val="0"/>
          <w:sz w:val="24"/>
          <w:szCs w:val="20"/>
        </w:rPr>
      </w:pPr>
      <w:r>
        <w:rPr>
          <w:rFonts w:hint="eastAsia" w:ascii="宋体" w:hAnsi="宋体"/>
          <w:kern w:val="0"/>
          <w:sz w:val="24"/>
          <w:szCs w:val="20"/>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color w:val="000000"/>
          <w:kern w:val="0"/>
          <w:sz w:val="24"/>
          <w:szCs w:val="20"/>
        </w:rPr>
        <w:t>https://jinrong.gcy.zfcg.gxzf.gov.cn/finance/loan/gx</w:t>
      </w:r>
      <w:r>
        <w:rPr>
          <w:rFonts w:ascii="宋体" w:hAnsi="宋体"/>
          <w:color w:val="000000"/>
          <w:kern w:val="0"/>
          <w:sz w:val="24"/>
          <w:szCs w:val="20"/>
        </w:rPr>
        <w:fldChar w:fldCharType="end"/>
      </w:r>
      <w:r>
        <w:rPr>
          <w:rFonts w:hint="eastAsia" w:ascii="宋体" w:hAnsi="宋体"/>
          <w:kern w:val="0"/>
          <w:sz w:val="24"/>
          <w:szCs w:val="20"/>
        </w:rPr>
        <w:t>）</w:t>
      </w:r>
    </w:p>
    <w:p>
      <w:pPr>
        <w:snapToGrid w:val="0"/>
        <w:spacing w:line="360" w:lineRule="auto"/>
        <w:ind w:firstLine="482"/>
        <w:jc w:val="left"/>
        <w:rPr>
          <w:rFonts w:ascii="宋体" w:hAnsi="宋体"/>
          <w:kern w:val="0"/>
          <w:sz w:val="24"/>
          <w:szCs w:val="20"/>
        </w:rPr>
      </w:pPr>
      <w:r>
        <w:rPr>
          <w:rFonts w:hint="eastAsia" w:ascii="宋体" w:hAnsi="宋体"/>
          <w:kern w:val="0"/>
          <w:sz w:val="24"/>
          <w:szCs w:val="20"/>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银行名称</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联系电话</w:t>
            </w:r>
          </w:p>
        </w:tc>
        <w:tc>
          <w:tcPr>
            <w:tcW w:w="1701"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最高授信金额</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最长授信期限</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最低利率</w:t>
            </w:r>
          </w:p>
        </w:tc>
        <w:tc>
          <w:tcPr>
            <w:tcW w:w="3366"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流程简介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建设银行</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13077729988</w:t>
            </w:r>
          </w:p>
        </w:tc>
        <w:tc>
          <w:tcPr>
            <w:tcW w:w="1701"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最高3千万</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4%</w:t>
            </w: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开设账号，线下提供申请材料，进入贷款审批流程，贷款审批通过后可自主用款，银行官方网银可自主还款。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中国银行</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0779-3997084</w:t>
            </w:r>
          </w:p>
        </w:tc>
        <w:tc>
          <w:tcPr>
            <w:tcW w:w="1701"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3年</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1.93%</w:t>
            </w: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在银行开户，线上申请，上传所需材料，等待审批，审批通过后可直接在手机银行提款。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兴业银行</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0779-3158330</w:t>
            </w:r>
          </w:p>
        </w:tc>
        <w:tc>
          <w:tcPr>
            <w:tcW w:w="1701"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最高1千万（单笔提款金额达合同金额70%）</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3.70%</w:t>
            </w: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全流程线上，初次申请开立账户，提供营业执照、采购合同、信用材料等，申请复审，签订合同，提交单笔贷款使用需求，贷款到账后受托使用。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工商银行</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0779-3050645</w:t>
            </w:r>
          </w:p>
        </w:tc>
        <w:tc>
          <w:tcPr>
            <w:tcW w:w="1701"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最高1千万且不超过合同金额70%</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货物类1年</w:t>
            </w:r>
          </w:p>
          <w:p>
            <w:pPr>
              <w:snapToGrid w:val="0"/>
              <w:spacing w:line="360" w:lineRule="auto"/>
              <w:jc w:val="center"/>
              <w:rPr>
                <w:rFonts w:ascii="宋体" w:hAnsi="宋体"/>
                <w:kern w:val="0"/>
                <w:sz w:val="24"/>
                <w:szCs w:val="20"/>
              </w:rPr>
            </w:pPr>
            <w:r>
              <w:rPr>
                <w:rFonts w:hint="eastAsia" w:ascii="宋体" w:hAnsi="宋体"/>
                <w:kern w:val="0"/>
                <w:sz w:val="24"/>
                <w:szCs w:val="20"/>
              </w:rPr>
              <w:t>服务类3年</w:t>
            </w:r>
          </w:p>
          <w:p>
            <w:pPr>
              <w:snapToGrid w:val="0"/>
              <w:spacing w:line="360" w:lineRule="auto"/>
              <w:jc w:val="center"/>
              <w:rPr>
                <w:rFonts w:ascii="宋体" w:hAnsi="宋体"/>
                <w:kern w:val="0"/>
                <w:sz w:val="24"/>
                <w:szCs w:val="20"/>
              </w:rPr>
            </w:pPr>
            <w:r>
              <w:rPr>
                <w:rFonts w:hint="eastAsia" w:ascii="宋体" w:hAnsi="宋体"/>
                <w:kern w:val="0"/>
                <w:sz w:val="24"/>
                <w:szCs w:val="20"/>
              </w:rPr>
              <w:t>工程类5年</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为中征系统白名单企业，提供相关要求材料，内部审批后放款自主借还。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国民村镇银行</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0779-2668801</w:t>
            </w:r>
          </w:p>
        </w:tc>
        <w:tc>
          <w:tcPr>
            <w:tcW w:w="1701"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最高500万</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5年</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2.80%</w:t>
            </w: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银行开户，线下申请并提供材料，信用良好企业最快1天获批即可提款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桂林银行</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18577993959</w:t>
            </w:r>
          </w:p>
        </w:tc>
        <w:tc>
          <w:tcPr>
            <w:tcW w:w="1701"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最高1千万</w:t>
            </w:r>
          </w:p>
        </w:tc>
        <w:tc>
          <w:tcPr>
            <w:tcW w:w="993"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1年</w:t>
            </w:r>
          </w:p>
        </w:tc>
        <w:tc>
          <w:tcPr>
            <w:tcW w:w="850"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3.45%</w:t>
            </w: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线下申请，材料齐全最快1周内即可放款。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中小微商务服务公司</w:t>
            </w:r>
          </w:p>
        </w:tc>
        <w:tc>
          <w:tcPr>
            <w:tcW w:w="1134" w:type="dxa"/>
            <w:vAlign w:val="center"/>
          </w:tcPr>
          <w:p>
            <w:pPr>
              <w:snapToGrid w:val="0"/>
              <w:spacing w:line="360" w:lineRule="auto"/>
              <w:jc w:val="center"/>
              <w:rPr>
                <w:rFonts w:ascii="宋体" w:hAnsi="宋体"/>
                <w:kern w:val="0"/>
                <w:sz w:val="24"/>
                <w:szCs w:val="20"/>
              </w:rPr>
            </w:pPr>
            <w:r>
              <w:rPr>
                <w:rFonts w:hint="eastAsia" w:ascii="宋体" w:hAnsi="宋体"/>
                <w:kern w:val="0"/>
                <w:sz w:val="24"/>
                <w:szCs w:val="20"/>
              </w:rPr>
              <w:t>19907799988</w:t>
            </w:r>
          </w:p>
        </w:tc>
        <w:tc>
          <w:tcPr>
            <w:tcW w:w="1701" w:type="dxa"/>
            <w:vAlign w:val="center"/>
          </w:tcPr>
          <w:p>
            <w:pPr>
              <w:snapToGrid w:val="0"/>
              <w:spacing w:line="360" w:lineRule="auto"/>
              <w:jc w:val="left"/>
              <w:rPr>
                <w:rFonts w:ascii="宋体" w:hAnsi="宋体"/>
                <w:kern w:val="0"/>
                <w:sz w:val="24"/>
                <w:szCs w:val="20"/>
              </w:rPr>
            </w:pPr>
          </w:p>
        </w:tc>
        <w:tc>
          <w:tcPr>
            <w:tcW w:w="993" w:type="dxa"/>
            <w:vAlign w:val="center"/>
          </w:tcPr>
          <w:p>
            <w:pPr>
              <w:snapToGrid w:val="0"/>
              <w:spacing w:line="360" w:lineRule="auto"/>
              <w:jc w:val="center"/>
              <w:rPr>
                <w:rFonts w:ascii="宋体" w:hAnsi="宋体"/>
                <w:kern w:val="0"/>
                <w:sz w:val="24"/>
                <w:szCs w:val="20"/>
              </w:rPr>
            </w:pPr>
          </w:p>
        </w:tc>
        <w:tc>
          <w:tcPr>
            <w:tcW w:w="850" w:type="dxa"/>
            <w:vAlign w:val="center"/>
          </w:tcPr>
          <w:p>
            <w:pPr>
              <w:snapToGrid w:val="0"/>
              <w:spacing w:line="360" w:lineRule="auto"/>
              <w:jc w:val="center"/>
              <w:rPr>
                <w:rFonts w:ascii="宋体" w:hAnsi="宋体"/>
                <w:kern w:val="0"/>
                <w:sz w:val="24"/>
                <w:szCs w:val="20"/>
              </w:rPr>
            </w:pPr>
          </w:p>
        </w:tc>
        <w:tc>
          <w:tcPr>
            <w:tcW w:w="3366" w:type="dxa"/>
            <w:vAlign w:val="center"/>
          </w:tcPr>
          <w:p>
            <w:pPr>
              <w:snapToGrid w:val="0"/>
              <w:spacing w:line="360" w:lineRule="auto"/>
              <w:jc w:val="left"/>
              <w:rPr>
                <w:rFonts w:ascii="宋体" w:hAnsi="宋体"/>
                <w:kern w:val="0"/>
                <w:sz w:val="24"/>
                <w:szCs w:val="20"/>
              </w:rPr>
            </w:pPr>
            <w:r>
              <w:rPr>
                <w:rFonts w:hint="eastAsia" w:ascii="宋体" w:hAnsi="宋体"/>
                <w:kern w:val="0"/>
                <w:sz w:val="24"/>
                <w:szCs w:val="20"/>
              </w:rPr>
              <w:t>具体业务可电话咨询。</w:t>
            </w:r>
          </w:p>
        </w:tc>
      </w:tr>
    </w:tbl>
    <w:p>
      <w:pPr>
        <w:pStyle w:val="631"/>
      </w:pPr>
      <w:r>
        <w:rPr>
          <w:rFonts w:hint="eastAsia"/>
        </w:rPr>
        <w:t>注：表中联系电话、授信金额、授信期限、最低利率等信息可能动态更新，仅供参考，具体以办理时相关银行公布的为准。</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pPr>
      <w:r>
        <w:rPr>
          <w:rFonts w:hint="eastAsia" w:ascii="宋体" w:hAnsi="宋体" w:cs="宋体"/>
          <w:kern w:val="0"/>
          <w:sz w:val="24"/>
        </w:rPr>
        <w:t>本项目不收取。</w:t>
      </w:r>
    </w:p>
    <w:p>
      <w:pPr>
        <w:tabs>
          <w:tab w:val="left" w:pos="0"/>
        </w:tabs>
        <w:rPr>
          <w:rFonts w:asciiTheme="minorEastAsia" w:hAnsiTheme="minorEastAsia" w:eastAsiaTheme="minorEastAsia"/>
          <w:b/>
          <w:sz w:val="24"/>
        </w:rPr>
      </w:pPr>
      <w:r>
        <w:rPr>
          <w:rFonts w:hint="eastAsia" w:asciiTheme="minorEastAsia" w:hAnsiTheme="minorEastAsia" w:eastAsiaTheme="minorEastAsia"/>
          <w:b/>
          <w:sz w:val="24"/>
        </w:rPr>
        <w:t>4.预付款</w:t>
      </w:r>
    </w:p>
    <w:p>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pPr>
        <w:tabs>
          <w:tab w:val="left" w:pos="0"/>
        </w:tabs>
        <w:spacing w:line="360" w:lineRule="auto"/>
        <w:ind w:firstLine="480" w:firstLineChars="200"/>
        <w:rPr>
          <w:rFonts w:cs="宋体" w:asciiTheme="minorEastAsia" w:hAnsiTheme="minorEastAsia" w:eastAsiaTheme="minorEastAsia"/>
          <w:snapToGrid w:val="0"/>
          <w:kern w:val="28"/>
          <w:sz w:val="24"/>
        </w:rPr>
      </w:pPr>
      <w:r>
        <w:rPr>
          <w:rFonts w:hint="eastAsia" w:ascii="宋体" w:hAnsi="宋体"/>
          <w:sz w:val="24"/>
        </w:rPr>
        <w:t>供应商可登录广西政府采购云平台前台大厅选择金融服务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58" w:name="_Hlt75236290"/>
      <w:bookmarkEnd w:id="58"/>
      <w:bookmarkStart w:id="59" w:name="_Hlt74707468"/>
      <w:bookmarkEnd w:id="59"/>
      <w:bookmarkStart w:id="60" w:name="_Hlt74729768"/>
      <w:bookmarkEnd w:id="60"/>
      <w:bookmarkStart w:id="61" w:name="_Hlt68057669"/>
      <w:bookmarkEnd w:id="61"/>
      <w:bookmarkStart w:id="62" w:name="_Hlt68072990"/>
      <w:bookmarkEnd w:id="62"/>
      <w:bookmarkStart w:id="63" w:name="_Hlt75236011"/>
      <w:bookmarkEnd w:id="63"/>
      <w:bookmarkStart w:id="64" w:name="_Hlt74730295"/>
      <w:bookmarkEnd w:id="64"/>
      <w:bookmarkStart w:id="65" w:name="_Hlt74714665"/>
      <w:bookmarkEnd w:id="65"/>
      <w:bookmarkStart w:id="66" w:name="_Hlt75236101"/>
      <w:bookmarkEnd w:id="66"/>
      <w:bookmarkStart w:id="67" w:name="第三部分"/>
      <w:bookmarkStart w:id="68" w:name="_Toc164416483"/>
    </w:p>
    <w:p>
      <w:pPr>
        <w:snapToGrid w:val="0"/>
        <w:spacing w:line="360" w:lineRule="auto"/>
        <w:ind w:left="120" w:leftChars="57" w:firstLine="482" w:firstLineChars="150"/>
        <w:jc w:val="center"/>
        <w:outlineLvl w:val="1"/>
        <w:rPr>
          <w:rFonts w:ascii="宋体" w:hAnsi="宋体" w:cs="宋体"/>
          <w:b/>
          <w:sz w:val="32"/>
        </w:rPr>
      </w:pPr>
    </w:p>
    <w:p>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十五、代理费用的收取标准和方式</w:t>
      </w:r>
    </w:p>
    <w:p>
      <w:pPr>
        <w:pStyle w:val="23"/>
        <w:spacing w:line="360" w:lineRule="auto"/>
        <w:ind w:firstLine="422" w:firstLineChars="0"/>
        <w:rPr>
          <w:rFonts w:cs="仿宋_GB2312" w:asciiTheme="minorEastAsia" w:hAnsiTheme="minorEastAsia" w:eastAsiaTheme="minorEastAsia"/>
          <w:b/>
          <w:sz w:val="36"/>
          <w:szCs w:val="36"/>
        </w:rPr>
      </w:pPr>
      <w:r>
        <w:rPr>
          <w:rFonts w:hint="eastAsia" w:cs="宋体"/>
          <w:b/>
        </w:rPr>
        <w:t>本项目不收取。</w:t>
      </w:r>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bookmarkStart w:id="69" w:name="_Toc181203097"/>
      <w:r>
        <w:rPr>
          <w:rFonts w:hint="eastAsia" w:cs="仿宋_GB2312" w:asciiTheme="minorEastAsia" w:hAnsiTheme="minorEastAsia" w:eastAsiaTheme="minorEastAsia"/>
          <w:b/>
          <w:sz w:val="36"/>
          <w:szCs w:val="36"/>
        </w:rPr>
        <w:t>第四部分  采购需求</w:t>
      </w:r>
      <w:bookmarkEnd w:id="69"/>
    </w:p>
    <w:p>
      <w:pPr>
        <w:spacing w:line="360" w:lineRule="auto"/>
        <w:jc w:val="left"/>
        <w:rPr>
          <w:rFonts w:ascii="宋体" w:hAnsi="宋体" w:cs="宋体"/>
          <w:b/>
          <w:sz w:val="24"/>
        </w:rPr>
      </w:pPr>
      <w:r>
        <w:rPr>
          <w:rFonts w:hint="eastAsia" w:ascii="宋体" w:hAnsi="宋体" w:cs="宋体"/>
          <w:b/>
          <w:sz w:val="24"/>
        </w:rPr>
        <w:t>说明：</w:t>
      </w:r>
    </w:p>
    <w:p>
      <w:pPr>
        <w:numPr>
          <w:ilvl w:val="255"/>
          <w:numId w:val="0"/>
        </w:numPr>
        <w:adjustRightInd/>
        <w:spacing w:line="360" w:lineRule="auto"/>
        <w:jc w:val="left"/>
        <w:rPr>
          <w:rFonts w:ascii="宋体" w:hAnsi="宋体" w:cs="宋体"/>
          <w:sz w:val="24"/>
        </w:rPr>
      </w:pPr>
      <w:r>
        <w:rPr>
          <w:rFonts w:hint="eastAsia" w:ascii="宋体" w:hAnsi="宋体" w:cs="宋体"/>
          <w:sz w:val="24"/>
        </w:rPr>
        <w:t>1.本标项的政府采购预算控制价为人民币910000元（服务期1年，2025年9月25日至2026年9月24日），高于预算控制价的报价将视为</w:t>
      </w:r>
      <w:r>
        <w:rPr>
          <w:rFonts w:hint="eastAsia" w:ascii="宋体" w:hAnsi="宋体" w:cs="宋体"/>
          <w:b/>
          <w:sz w:val="24"/>
        </w:rPr>
        <w:t>无效投标</w:t>
      </w:r>
      <w:r>
        <w:rPr>
          <w:rFonts w:hint="eastAsia" w:ascii="宋体" w:hAnsi="宋体" w:cs="宋体"/>
          <w:sz w:val="24"/>
        </w:rPr>
        <w:t>。</w:t>
      </w:r>
    </w:p>
    <w:p>
      <w:pPr>
        <w:pStyle w:val="31"/>
        <w:numPr>
          <w:ilvl w:val="255"/>
          <w:numId w:val="0"/>
        </w:numPr>
        <w:adjustRightInd/>
        <w:spacing w:line="360" w:lineRule="auto"/>
        <w:rPr>
          <w:rFonts w:hAnsi="宋体" w:cs="宋体"/>
          <w:sz w:val="24"/>
          <w:szCs w:val="24"/>
        </w:rPr>
      </w:pPr>
      <w:r>
        <w:rPr>
          <w:rFonts w:hint="eastAsia" w:hAnsi="宋体" w:cs="宋体"/>
          <w:sz w:val="24"/>
          <w:szCs w:val="24"/>
        </w:rPr>
        <w:t>2.根据《关于印发中小企业划型标准规定的通知》（工信部联企业〔2011〕300号）规定的划分标准，本标项采购所有标的对应的中小企业划分标准所属行业为</w:t>
      </w:r>
      <w:r>
        <w:rPr>
          <w:rFonts w:hint="eastAsia" w:hAnsi="宋体" w:cs="宋体"/>
          <w:b/>
          <w:sz w:val="24"/>
          <w:szCs w:val="24"/>
          <w:u w:val="single"/>
        </w:rPr>
        <w:t>物业管理</w:t>
      </w:r>
      <w:r>
        <w:rPr>
          <w:rFonts w:hint="eastAsia" w:hAnsi="宋体" w:cs="宋体"/>
          <w:sz w:val="24"/>
          <w:szCs w:val="24"/>
        </w:rPr>
        <w:t>。</w:t>
      </w:r>
    </w:p>
    <w:p>
      <w:pPr>
        <w:numPr>
          <w:ilvl w:val="255"/>
          <w:numId w:val="0"/>
        </w:numPr>
        <w:adjustRightInd/>
        <w:spacing w:line="360" w:lineRule="auto"/>
        <w:jc w:val="left"/>
        <w:rPr>
          <w:rFonts w:ascii="宋体" w:hAnsi="宋体" w:cs="宋体"/>
          <w:sz w:val="24"/>
        </w:rPr>
      </w:pPr>
      <w:r>
        <w:rPr>
          <w:rFonts w:hint="eastAsia" w:ascii="宋体" w:hAnsi="宋体" w:cs="宋体"/>
          <w:sz w:val="24"/>
        </w:rPr>
        <w:t>3.以下采购需求必须全部响应满足或优于，否则</w:t>
      </w:r>
      <w:r>
        <w:rPr>
          <w:rFonts w:hint="eastAsia" w:ascii="宋体" w:hAnsi="宋体" w:cs="宋体"/>
          <w:b/>
          <w:sz w:val="24"/>
        </w:rPr>
        <w:t>磋商无效</w:t>
      </w:r>
      <w:r>
        <w:rPr>
          <w:rFonts w:hint="eastAsia" w:ascii="宋体" w:hAnsi="宋体" w:cs="宋体"/>
          <w:sz w:val="24"/>
        </w:rPr>
        <w:t>。</w:t>
      </w:r>
    </w:p>
    <w:p>
      <w:pPr>
        <w:pStyle w:val="3"/>
        <w:keepLines w:val="0"/>
        <w:numPr>
          <w:ilvl w:val="255"/>
          <w:numId w:val="0"/>
        </w:numPr>
        <w:snapToGrid w:val="0"/>
        <w:spacing w:before="0" w:after="0" w:line="300" w:lineRule="auto"/>
        <w:jc w:val="center"/>
        <w:rPr>
          <w:rFonts w:ascii="Calibri" w:hAnsi="Calibri" w:eastAsia="方正小标宋简体" w:cs="Calibri"/>
          <w:b w:val="0"/>
          <w:bCs w:val="0"/>
          <w:kern w:val="0"/>
          <w:sz w:val="32"/>
          <w:szCs w:val="32"/>
        </w:rPr>
      </w:pPr>
    </w:p>
    <w:p/>
    <w:p>
      <w:pPr>
        <w:pStyle w:val="3"/>
        <w:keepLines w:val="0"/>
        <w:numPr>
          <w:ilvl w:val="255"/>
          <w:numId w:val="0"/>
        </w:numPr>
        <w:snapToGrid w:val="0"/>
        <w:spacing w:before="0" w:after="0" w:line="300" w:lineRule="auto"/>
        <w:jc w:val="center"/>
        <w:rPr>
          <w:rFonts w:ascii="Calibri" w:hAnsi="Calibri" w:eastAsia="方正小标宋简体" w:cs="Calibri"/>
          <w:b w:val="0"/>
          <w:bCs w:val="0"/>
          <w:kern w:val="0"/>
          <w:sz w:val="32"/>
          <w:szCs w:val="32"/>
        </w:rPr>
      </w:pPr>
      <w:r>
        <w:rPr>
          <w:rFonts w:ascii="Calibri" w:hAnsi="Calibri" w:eastAsia="方正小标宋简体" w:cs="Calibri"/>
          <w:b w:val="0"/>
          <w:bCs w:val="0"/>
          <w:kern w:val="0"/>
          <w:sz w:val="32"/>
          <w:szCs w:val="32"/>
        </w:rPr>
        <w:t>2025年北海市总工会工人文化宫物业管理服务采购需求</w:t>
      </w:r>
    </w:p>
    <w:p>
      <w:pPr>
        <w:spacing w:line="480" w:lineRule="exact"/>
        <w:ind w:firstLine="422" w:firstLineChars="200"/>
      </w:pPr>
      <w:bookmarkStart w:id="70" w:name="_Toc17312"/>
      <w:bookmarkStart w:id="71" w:name="_Toc2486"/>
      <w:bookmarkStart w:id="72" w:name="_Toc5112"/>
      <w:r>
        <w:rPr>
          <w:rFonts w:hint="eastAsia"/>
          <w:b/>
          <w:bCs/>
          <w:szCs w:val="32"/>
        </w:rPr>
        <w:t>1.项目基本情况</w:t>
      </w:r>
      <w:bookmarkEnd w:id="70"/>
    </w:p>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ascii="Calibri" w:hAnsi="Calibri" w:cs="Calibri"/>
          <w:bCs w:val="0"/>
          <w:sz w:val="21"/>
          <w:szCs w:val="20"/>
        </w:rPr>
        <w:t>1.1物业情况</w:t>
      </w:r>
    </w:p>
    <w:tbl>
      <w:tblPr>
        <w:tblStyle w:val="60"/>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86" w:type="dxa"/>
            <w:shd w:val="clear" w:color="auto" w:fill="auto"/>
            <w:vAlign w:val="center"/>
          </w:tcPr>
          <w:p>
            <w:r>
              <w:t>物业名称</w:t>
            </w:r>
          </w:p>
        </w:tc>
        <w:tc>
          <w:tcPr>
            <w:tcW w:w="7433" w:type="dxa"/>
            <w:shd w:val="clear" w:color="auto" w:fill="auto"/>
            <w:vAlign w:val="center"/>
          </w:tcPr>
          <w:p>
            <w:r>
              <w:t>物业地址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886" w:type="dxa"/>
            <w:shd w:val="clear" w:color="auto" w:fill="auto"/>
            <w:vAlign w:val="center"/>
          </w:tcPr>
          <w:p>
            <w:r>
              <w:t>物业名称1</w:t>
            </w:r>
          </w:p>
          <w:p>
            <w:r>
              <w:rPr>
                <w:rFonts w:hint="eastAsia" w:ascii="楷体" w:hAnsi="楷体" w:eastAsia="楷体" w:cs="楷体"/>
              </w:rPr>
              <w:t>北海市总工会工人文化宫及其管理场所</w:t>
            </w:r>
          </w:p>
        </w:tc>
        <w:tc>
          <w:tcPr>
            <w:tcW w:w="7433" w:type="dxa"/>
            <w:shd w:val="clear" w:color="auto" w:fill="auto"/>
            <w:vAlign w:val="center"/>
          </w:tcPr>
          <w:p>
            <w:r>
              <w:rPr>
                <w:rFonts w:hint="eastAsia" w:ascii="楷体" w:hAnsi="楷体" w:eastAsia="楷体" w:cs="楷体"/>
              </w:rPr>
              <w:t>北海市海城区和平路91号</w:t>
            </w:r>
          </w:p>
        </w:tc>
      </w:tr>
    </w:tbl>
    <w:p>
      <w:pPr>
        <w:pStyle w:val="2"/>
        <w:numPr>
          <w:ilvl w:val="255"/>
          <w:numId w:val="0"/>
        </w:numPr>
        <w:rPr>
          <w:rFonts w:ascii="Calibri" w:hAnsi="Calibri" w:eastAsia="宋体" w:cs="Calibri"/>
          <w:bCs w:val="0"/>
          <w:sz w:val="21"/>
          <w:szCs w:val="20"/>
          <w:lang w:val="en-US"/>
        </w:rPr>
      </w:pPr>
      <w:r>
        <w:rPr>
          <w:rFonts w:ascii="Calibri" w:hAnsi="Calibri" w:eastAsia="宋体" w:cs="Calibri"/>
          <w:bCs w:val="0"/>
          <w:sz w:val="21"/>
          <w:szCs w:val="20"/>
          <w:lang w:val="en-US"/>
        </w:rPr>
        <w:t>1.2采购人提供供应商使用的场地、设施、设备、材料等（结合“4.供应商履行合同所需的设备”、“7.需要说明的其他事项”统筹考虑）</w:t>
      </w:r>
    </w:p>
    <w:p>
      <w:pPr>
        <w:ind w:firstLine="420" w:firstLineChars="200"/>
      </w:pPr>
      <w:r>
        <w:rPr>
          <w:rFonts w:hint="eastAsia"/>
        </w:rPr>
        <w:t>采购人拥有与物业管理服务有关的且可以无偿提供给供应商在本项目中使用的设施、设备、材料、场地：</w:t>
      </w:r>
    </w:p>
    <w:p>
      <w:pPr>
        <w:ind w:firstLine="420" w:firstLineChars="200"/>
      </w:pPr>
      <w:r>
        <w:rPr>
          <w:rFonts w:hint="eastAsia"/>
        </w:rPr>
        <w:t>（1）采购人可提供的办公室1间25㎡、值班室1间10㎡、工具间3间共计11.25㎡，仓储室1间52.63㎡；</w:t>
      </w:r>
    </w:p>
    <w:p>
      <w:pPr>
        <w:ind w:firstLine="420" w:firstLineChars="200"/>
      </w:pPr>
      <w:r>
        <w:rPr>
          <w:rFonts w:hint="eastAsia"/>
        </w:rPr>
        <w:t>（2）采购人可提供的物业管理服务设备油锯1个、角磨机1个、梯子1个、移动升降机2台、电焊机1个、防暴设备3套、执行记录仪1台、岗亭2个、挂式空调2台、微型消防站1个及配件6套、室外垃圾桶约16个等其它附属设备；</w:t>
      </w:r>
    </w:p>
    <w:p>
      <w:pPr>
        <w:ind w:firstLine="420" w:firstLineChars="200"/>
      </w:pPr>
      <w:r>
        <w:rPr>
          <w:rFonts w:hint="eastAsia"/>
        </w:rPr>
        <w:t>（3）采购人不提供食堂，餐费由供应商自理；</w:t>
      </w:r>
    </w:p>
    <w:p>
      <w:pPr>
        <w:ind w:firstLine="420" w:firstLineChars="200"/>
      </w:pPr>
      <w:r>
        <w:rPr>
          <w:rFonts w:hint="eastAsia"/>
        </w:rPr>
        <w:t>（4）采购人不提供住宿；</w:t>
      </w:r>
    </w:p>
    <w:p>
      <w:pPr>
        <w:ind w:firstLine="420" w:firstLineChars="200"/>
      </w:pPr>
      <w:r>
        <w:rPr>
          <w:rFonts w:hint="eastAsia"/>
        </w:rPr>
        <w:t>（5）采购人根据实际需要采购零星维修材料；</w:t>
      </w:r>
    </w:p>
    <w:p>
      <w:pPr>
        <w:ind w:firstLine="420" w:firstLineChars="200"/>
      </w:pPr>
      <w:r>
        <w:rPr>
          <w:rFonts w:hint="eastAsia"/>
        </w:rPr>
        <w:t>（6）采购人根据实际需要采购低值易耗品，如电池、蚊香、灯管、灯片等；</w:t>
      </w:r>
    </w:p>
    <w:p>
      <w:pPr>
        <w:ind w:firstLine="420" w:firstLineChars="200"/>
      </w:pPr>
      <w:r>
        <w:rPr>
          <w:rFonts w:hint="eastAsia"/>
        </w:rPr>
        <w:t>（7）采购人除去绿化工具以外根据实际需要采购苗木；</w:t>
      </w:r>
    </w:p>
    <w:p>
      <w:pPr>
        <w:ind w:firstLine="420" w:firstLineChars="200"/>
      </w:pPr>
      <w:r>
        <w:rPr>
          <w:rFonts w:hint="eastAsia"/>
        </w:rPr>
        <w:t>（8）采购人根据实际需要采购客耗品。</w:t>
      </w:r>
    </w:p>
    <w:p>
      <w:r>
        <w:rPr>
          <w:rFonts w:hint="eastAsia"/>
        </w:rPr>
        <w:t>供应商应当承担除以上所列场地、设施、设备、材料外，与物业管理服务有关的其他场地、设施、设备、材料等。</w:t>
      </w:r>
    </w:p>
    <w:p>
      <w:pPr>
        <w:pStyle w:val="2"/>
        <w:numPr>
          <w:ilvl w:val="255"/>
          <w:numId w:val="0"/>
        </w:numPr>
        <w:snapToGrid w:val="0"/>
        <w:spacing w:line="300" w:lineRule="auto"/>
        <w:rPr>
          <w:rFonts w:ascii="Calibri" w:hAnsi="Calibri" w:eastAsia="宋体" w:cs="Calibri"/>
          <w:sz w:val="21"/>
          <w:lang w:val="en-US"/>
        </w:rPr>
      </w:pPr>
      <w:r>
        <w:rPr>
          <w:rFonts w:hint="eastAsia" w:ascii="Calibri" w:hAnsi="Calibri" w:eastAsia="宋体" w:cs="Calibri"/>
          <w:sz w:val="21"/>
          <w:lang w:val="en-US"/>
        </w:rPr>
        <w:t>2.物业服务范围</w:t>
      </w:r>
    </w:p>
    <w:p>
      <w:pPr>
        <w:pStyle w:val="2"/>
        <w:numPr>
          <w:ilvl w:val="255"/>
          <w:numId w:val="0"/>
        </w:numPr>
        <w:snapToGrid w:val="0"/>
        <w:spacing w:line="300" w:lineRule="auto"/>
        <w:rPr>
          <w:rFonts w:ascii="Calibri" w:hAnsi="Calibri" w:cs="Calibri"/>
          <w:sz w:val="21"/>
        </w:rPr>
      </w:pPr>
      <w:r>
        <w:rPr>
          <w:rFonts w:hint="eastAsia" w:ascii="Calibri" w:hAnsi="Calibri" w:cs="Calibri"/>
          <w:sz w:val="21"/>
        </w:rPr>
        <w:t>（1）物业管理（建筑物）</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86"/>
        <w:gridCol w:w="423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shd w:val="clear" w:color="auto" w:fill="auto"/>
            <w:vAlign w:val="center"/>
          </w:tcPr>
          <w:p>
            <w:pPr>
              <w:jc w:val="center"/>
              <w:rPr>
                <w:rFonts w:ascii="宋体" w:hAnsi="宋体" w:cs="宋体"/>
                <w:b/>
                <w:bCs/>
              </w:rPr>
            </w:pPr>
            <w:r>
              <w:rPr>
                <w:rFonts w:hint="eastAsia" w:ascii="宋体" w:hAnsi="宋体" w:cs="宋体"/>
                <w:b/>
                <w:bCs/>
              </w:rPr>
              <w:t>名称</w:t>
            </w:r>
          </w:p>
        </w:tc>
        <w:tc>
          <w:tcPr>
            <w:tcW w:w="6761" w:type="dxa"/>
            <w:shd w:val="clear" w:color="auto" w:fill="auto"/>
            <w:vAlign w:val="center"/>
          </w:tcPr>
          <w:p>
            <w:pPr>
              <w:jc w:val="center"/>
              <w:rPr>
                <w:rFonts w:ascii="宋体" w:hAnsi="宋体" w:cs="宋体"/>
                <w:b/>
                <w:bCs/>
              </w:rPr>
            </w:pPr>
            <w:r>
              <w:rPr>
                <w:rFonts w:hint="eastAsia" w:ascii="宋体" w:hAnsi="宋体" w:cs="宋体"/>
                <w:b/>
                <w:bCs/>
              </w:rPr>
              <w:t>明细</w:t>
            </w:r>
          </w:p>
        </w:tc>
        <w:tc>
          <w:tcPr>
            <w:tcW w:w="4186" w:type="dxa"/>
            <w:shd w:val="clear" w:color="auto" w:fill="auto"/>
            <w:vAlign w:val="center"/>
          </w:tcPr>
          <w:p>
            <w:pPr>
              <w:jc w:val="center"/>
              <w:rPr>
                <w:rFonts w:ascii="宋体" w:hAnsi="宋体" w:cs="宋体"/>
                <w:b/>
                <w:bCs/>
              </w:rPr>
            </w:pPr>
            <w:r>
              <w:rPr>
                <w:rFonts w:hint="eastAsia" w:ascii="宋体" w:hAnsi="宋体" w:cs="宋体"/>
                <w:b/>
                <w:bCs/>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shd w:val="clear" w:color="auto" w:fill="auto"/>
            <w:vAlign w:val="center"/>
          </w:tcPr>
          <w:p>
            <w:pPr>
              <w:rPr>
                <w:rFonts w:ascii="宋体" w:hAnsi="宋体" w:cs="宋体"/>
              </w:rPr>
            </w:pPr>
            <w:r>
              <w:rPr>
                <w:rFonts w:hint="eastAsia" w:ascii="宋体" w:hAnsi="宋体" w:cs="宋体"/>
              </w:rPr>
              <w:t>建筑1名称</w:t>
            </w:r>
          </w:p>
        </w:tc>
        <w:tc>
          <w:tcPr>
            <w:tcW w:w="6761" w:type="dxa"/>
            <w:shd w:val="clear" w:color="auto" w:fill="auto"/>
            <w:vAlign w:val="center"/>
          </w:tcPr>
          <w:p>
            <w:pPr>
              <w:rPr>
                <w:rFonts w:ascii="宋体" w:hAnsi="宋体" w:cs="宋体"/>
              </w:rPr>
            </w:pPr>
            <w:r>
              <w:rPr>
                <w:rFonts w:hint="eastAsia" w:ascii="宋体" w:hAnsi="宋体" w:cs="宋体"/>
              </w:rPr>
              <w:t>文化宫大楼及其管理的场所</w:t>
            </w:r>
          </w:p>
        </w:tc>
        <w:tc>
          <w:tcPr>
            <w:tcW w:w="4186"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总面积</w:t>
            </w:r>
          </w:p>
        </w:tc>
        <w:tc>
          <w:tcPr>
            <w:tcW w:w="2440" w:type="dxa"/>
            <w:shd w:val="clear" w:color="auto" w:fill="auto"/>
            <w:vAlign w:val="center"/>
          </w:tcPr>
          <w:p>
            <w:pPr>
              <w:rPr>
                <w:rFonts w:ascii="宋体" w:hAnsi="宋体" w:cs="宋体"/>
              </w:rPr>
            </w:pPr>
            <w:r>
              <w:rPr>
                <w:rFonts w:hint="eastAsia" w:ascii="宋体" w:hAnsi="宋体" w:cs="宋体"/>
              </w:rPr>
              <w:t>建筑面积（㎡）</w:t>
            </w:r>
          </w:p>
        </w:tc>
        <w:tc>
          <w:tcPr>
            <w:tcW w:w="6761" w:type="dxa"/>
            <w:shd w:val="clear" w:color="auto" w:fill="auto"/>
            <w:vAlign w:val="center"/>
          </w:tcPr>
          <w:p>
            <w:pPr>
              <w:rPr>
                <w:rFonts w:ascii="宋体" w:hAnsi="宋体" w:cs="宋体"/>
              </w:rPr>
            </w:pPr>
            <w:r>
              <w:rPr>
                <w:rFonts w:hint="eastAsia" w:ascii="宋体" w:hAnsi="宋体" w:cs="宋体"/>
              </w:rPr>
              <w:t>总建筑面积约26763.36㎡</w:t>
            </w:r>
          </w:p>
        </w:tc>
        <w:tc>
          <w:tcPr>
            <w:tcW w:w="4186" w:type="dxa"/>
            <w:shd w:val="clear" w:color="auto" w:fill="auto"/>
            <w:vAlign w:val="center"/>
          </w:tcPr>
          <w:p>
            <w:pPr>
              <w:rPr>
                <w:rFonts w:ascii="宋体" w:hAnsi="宋体" w:cs="宋体"/>
              </w:rPr>
            </w:pPr>
            <w:r>
              <w:rPr>
                <w:rFonts w:hint="eastAsia" w:ascii="宋体" w:hAnsi="宋体" w:cs="宋体"/>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需保洁面积（㎡）</w:t>
            </w:r>
          </w:p>
        </w:tc>
        <w:tc>
          <w:tcPr>
            <w:tcW w:w="6761" w:type="dxa"/>
            <w:shd w:val="clear" w:color="auto" w:fill="auto"/>
            <w:vAlign w:val="center"/>
          </w:tcPr>
          <w:p>
            <w:pPr>
              <w:rPr>
                <w:rFonts w:ascii="宋体" w:hAnsi="宋体" w:cs="宋体"/>
              </w:rPr>
            </w:pPr>
            <w:r>
              <w:rPr>
                <w:rFonts w:hint="eastAsia" w:ascii="宋体" w:hAnsi="宋体" w:cs="宋体"/>
              </w:rPr>
              <w:t>总保洁面积约26763.36㎡</w:t>
            </w:r>
          </w:p>
        </w:tc>
        <w:tc>
          <w:tcPr>
            <w:tcW w:w="4186" w:type="dxa"/>
            <w:shd w:val="clear" w:color="auto" w:fill="auto"/>
            <w:vAlign w:val="center"/>
          </w:tcPr>
          <w:p>
            <w:pPr>
              <w:rPr>
                <w:rFonts w:ascii="宋体" w:hAnsi="宋体" w:cs="宋体"/>
              </w:rPr>
            </w:pPr>
            <w:r>
              <w:rPr>
                <w:rFonts w:hint="eastAsia" w:ascii="宋体" w:hAnsi="宋体" w:cs="宋体"/>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shd w:val="clear" w:color="auto" w:fill="auto"/>
            <w:vAlign w:val="center"/>
          </w:tcPr>
          <w:p>
            <w:pPr>
              <w:rPr>
                <w:rFonts w:ascii="宋体" w:hAnsi="宋体" w:cs="宋体"/>
              </w:rPr>
            </w:pPr>
            <w:r>
              <w:rPr>
                <w:rFonts w:hint="eastAsia" w:ascii="宋体" w:hAnsi="宋体" w:cs="宋体"/>
              </w:rPr>
              <w:t>门窗</w:t>
            </w:r>
          </w:p>
        </w:tc>
        <w:tc>
          <w:tcPr>
            <w:tcW w:w="2440" w:type="dxa"/>
            <w:shd w:val="clear" w:color="auto" w:fill="auto"/>
            <w:vAlign w:val="center"/>
          </w:tcPr>
          <w:p>
            <w:pPr>
              <w:rPr>
                <w:rFonts w:ascii="宋体" w:hAnsi="宋体" w:cs="宋体"/>
              </w:rPr>
            </w:pPr>
            <w:r>
              <w:rPr>
                <w:rFonts w:hint="eastAsia" w:ascii="宋体" w:hAnsi="宋体" w:cs="宋体"/>
              </w:rPr>
              <w:t>门窗总数量（个）</w:t>
            </w:r>
          </w:p>
        </w:tc>
        <w:tc>
          <w:tcPr>
            <w:tcW w:w="6761" w:type="dxa"/>
            <w:shd w:val="clear" w:color="auto" w:fill="auto"/>
            <w:vAlign w:val="center"/>
          </w:tcPr>
          <w:p>
            <w:pPr>
              <w:rPr>
                <w:rFonts w:ascii="宋体" w:hAnsi="宋体" w:cs="宋体"/>
              </w:rPr>
            </w:pPr>
            <w:r>
              <w:rPr>
                <w:rFonts w:hint="eastAsia" w:ascii="宋体" w:hAnsi="宋体" w:cs="宋体"/>
              </w:rPr>
              <w:t>门窗总数量约890扇窗户</w:t>
            </w:r>
          </w:p>
        </w:tc>
        <w:tc>
          <w:tcPr>
            <w:tcW w:w="4186" w:type="dxa"/>
            <w:shd w:val="clear" w:color="auto" w:fill="auto"/>
            <w:vAlign w:val="center"/>
          </w:tcPr>
          <w:p>
            <w:pPr>
              <w:rPr>
                <w:rFonts w:ascii="宋体" w:hAnsi="宋体" w:cs="宋体"/>
              </w:rPr>
            </w:pPr>
            <w:r>
              <w:rPr>
                <w:rFonts w:hint="eastAsia" w:ascii="宋体" w:hAnsi="宋体" w:cs="宋体"/>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shd w:val="clear" w:color="auto" w:fill="auto"/>
            <w:vAlign w:val="center"/>
          </w:tcPr>
          <w:p>
            <w:pPr>
              <w:rPr>
                <w:rFonts w:ascii="宋体" w:hAnsi="宋体" w:cs="宋体"/>
              </w:rPr>
            </w:pPr>
            <w:r>
              <w:rPr>
                <w:rFonts w:hint="eastAsia" w:ascii="宋体" w:hAnsi="宋体" w:cs="宋体"/>
              </w:rPr>
              <w:t>地面</w:t>
            </w:r>
          </w:p>
        </w:tc>
        <w:tc>
          <w:tcPr>
            <w:tcW w:w="2440" w:type="dxa"/>
            <w:shd w:val="clear" w:color="auto" w:fill="auto"/>
            <w:vAlign w:val="center"/>
          </w:tcPr>
          <w:p>
            <w:pPr>
              <w:rPr>
                <w:rFonts w:ascii="宋体" w:hAnsi="宋体" w:cs="宋体"/>
              </w:rPr>
            </w:pPr>
            <w:r>
              <w:rPr>
                <w:rFonts w:hint="eastAsia" w:ascii="宋体" w:hAnsi="宋体" w:cs="宋体"/>
              </w:rPr>
              <w:t>地面各材质</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场地有瓷砖、大理石、水磨石、地胶板、地板</w:t>
            </w:r>
          </w:p>
        </w:tc>
        <w:tc>
          <w:tcPr>
            <w:tcW w:w="4186" w:type="dxa"/>
            <w:shd w:val="clear" w:color="auto" w:fill="auto"/>
            <w:vAlign w:val="center"/>
          </w:tcPr>
          <w:p>
            <w:pPr>
              <w:rPr>
                <w:rFonts w:ascii="宋体" w:hAnsi="宋体" w:cs="宋体"/>
              </w:rPr>
            </w:pPr>
            <w:r>
              <w:rPr>
                <w:rFonts w:hint="eastAsia" w:ascii="宋体" w:hAnsi="宋体" w:cs="宋体"/>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shd w:val="clear" w:color="auto" w:fill="auto"/>
            <w:vAlign w:val="center"/>
          </w:tcPr>
          <w:p>
            <w:pPr>
              <w:rPr>
                <w:rFonts w:ascii="宋体" w:hAnsi="宋体" w:cs="宋体"/>
              </w:rPr>
            </w:pPr>
            <w:r>
              <w:rPr>
                <w:rFonts w:hint="eastAsia" w:ascii="宋体" w:hAnsi="宋体" w:cs="宋体"/>
              </w:rPr>
              <w:t>内墙饰面</w:t>
            </w:r>
          </w:p>
        </w:tc>
        <w:tc>
          <w:tcPr>
            <w:tcW w:w="2440" w:type="dxa"/>
            <w:shd w:val="clear" w:color="auto" w:fill="auto"/>
            <w:vAlign w:val="center"/>
          </w:tcPr>
          <w:p>
            <w:pPr>
              <w:rPr>
                <w:rFonts w:ascii="宋体" w:hAnsi="宋体" w:cs="宋体"/>
              </w:rPr>
            </w:pPr>
            <w:r>
              <w:rPr>
                <w:rFonts w:hint="eastAsia" w:ascii="宋体" w:hAnsi="宋体" w:cs="宋体"/>
              </w:rPr>
              <w:t>内墙饰面各材质</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内饰有乳胶漆墙面、木饰面、石材面、金属板面</w:t>
            </w:r>
          </w:p>
        </w:tc>
        <w:tc>
          <w:tcPr>
            <w:tcW w:w="4186" w:type="dxa"/>
            <w:shd w:val="clear" w:color="auto" w:fill="auto"/>
            <w:vAlign w:val="center"/>
          </w:tcPr>
          <w:p>
            <w:pPr>
              <w:rPr>
                <w:rFonts w:ascii="宋体" w:hAnsi="宋体" w:cs="宋体"/>
              </w:rPr>
            </w:pPr>
            <w:r>
              <w:rPr>
                <w:rFonts w:hint="eastAsia" w:ascii="宋体" w:hAnsi="宋体" w:cs="宋体"/>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shd w:val="clear" w:color="auto" w:fill="auto"/>
            <w:vAlign w:val="center"/>
          </w:tcPr>
          <w:p>
            <w:pPr>
              <w:rPr>
                <w:rFonts w:ascii="宋体" w:hAnsi="宋体" w:cs="宋体"/>
              </w:rPr>
            </w:pPr>
            <w:r>
              <w:rPr>
                <w:rFonts w:hint="eastAsia" w:ascii="宋体" w:hAnsi="宋体" w:cs="宋体"/>
              </w:rPr>
              <w:t>顶面</w:t>
            </w:r>
          </w:p>
        </w:tc>
        <w:tc>
          <w:tcPr>
            <w:tcW w:w="2440" w:type="dxa"/>
            <w:shd w:val="clear" w:color="auto" w:fill="auto"/>
            <w:vAlign w:val="center"/>
          </w:tcPr>
          <w:p>
            <w:pPr>
              <w:rPr>
                <w:rFonts w:ascii="宋体" w:hAnsi="宋体" w:cs="宋体"/>
              </w:rPr>
            </w:pPr>
            <w:r>
              <w:rPr>
                <w:rFonts w:hint="eastAsia" w:ascii="宋体" w:hAnsi="宋体" w:cs="宋体"/>
              </w:rPr>
              <w:t>顶面各材质</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顶面材料有彩钢瓦、琉璃瓦、混凝土</w:t>
            </w:r>
          </w:p>
        </w:tc>
        <w:tc>
          <w:tcPr>
            <w:tcW w:w="4186" w:type="dxa"/>
            <w:shd w:val="clear" w:color="auto" w:fill="auto"/>
            <w:vAlign w:val="center"/>
          </w:tcPr>
          <w:p>
            <w:pPr>
              <w:rPr>
                <w:rFonts w:ascii="宋体" w:hAnsi="宋体" w:cs="宋体"/>
              </w:rPr>
            </w:pPr>
            <w:r>
              <w:rPr>
                <w:rFonts w:hint="eastAsia" w:ascii="宋体" w:hAnsi="宋体" w:cs="宋体"/>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外墙</w:t>
            </w:r>
          </w:p>
        </w:tc>
        <w:tc>
          <w:tcPr>
            <w:tcW w:w="2440" w:type="dxa"/>
            <w:shd w:val="clear" w:color="auto" w:fill="auto"/>
            <w:vAlign w:val="center"/>
          </w:tcPr>
          <w:p>
            <w:pPr>
              <w:rPr>
                <w:rFonts w:ascii="宋体" w:hAnsi="宋体" w:cs="宋体"/>
              </w:rPr>
            </w:pPr>
            <w:r>
              <w:rPr>
                <w:rFonts w:hint="eastAsia" w:ascii="宋体" w:hAnsi="宋体" w:cs="宋体"/>
              </w:rPr>
              <w:t>外墙各材质</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外墙材质有艺术浮雕、干挂石材、玻璃幕墙、普通涂料</w:t>
            </w:r>
          </w:p>
        </w:tc>
        <w:tc>
          <w:tcPr>
            <w:tcW w:w="4186" w:type="dxa"/>
            <w:shd w:val="clear" w:color="auto" w:fill="auto"/>
            <w:vAlign w:val="center"/>
          </w:tcPr>
          <w:p>
            <w:pPr>
              <w:rPr>
                <w:rFonts w:ascii="宋体" w:hAnsi="宋体" w:cs="宋体"/>
              </w:rPr>
            </w:pPr>
            <w:r>
              <w:rPr>
                <w:rFonts w:hint="eastAsia" w:ascii="宋体" w:hAnsi="宋体" w:cs="宋体"/>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外墙需清洗</w:t>
            </w:r>
          </w:p>
        </w:tc>
        <w:tc>
          <w:tcPr>
            <w:tcW w:w="6761" w:type="dxa"/>
            <w:shd w:val="clear" w:color="auto" w:fill="auto"/>
            <w:vAlign w:val="center"/>
          </w:tcPr>
          <w:p>
            <w:pPr>
              <w:rPr>
                <w:rFonts w:ascii="宋体" w:hAnsi="宋体" w:cs="宋体"/>
              </w:rPr>
            </w:pPr>
            <w:r>
              <w:rPr>
                <w:rFonts w:hint="eastAsia" w:ascii="宋体" w:hAnsi="宋体" w:cs="宋体"/>
              </w:rPr>
              <w:t>玻璃幕墙</w:t>
            </w:r>
          </w:p>
        </w:tc>
        <w:tc>
          <w:tcPr>
            <w:tcW w:w="4186" w:type="dxa"/>
            <w:shd w:val="clear" w:color="auto" w:fill="auto"/>
            <w:vAlign w:val="center"/>
          </w:tcPr>
          <w:p>
            <w:pPr>
              <w:rPr>
                <w:rFonts w:ascii="宋体" w:hAnsi="宋体" w:cs="宋体"/>
              </w:rPr>
            </w:pPr>
            <w:r>
              <w:rPr>
                <w:rFonts w:hint="eastAsia" w:ascii="宋体" w:hAnsi="宋体" w:cs="宋体"/>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会议室</w:t>
            </w:r>
          </w:p>
        </w:tc>
        <w:tc>
          <w:tcPr>
            <w:tcW w:w="2440" w:type="dxa"/>
            <w:shd w:val="clear" w:color="auto" w:fill="auto"/>
            <w:vAlign w:val="center"/>
          </w:tcPr>
          <w:p>
            <w:pPr>
              <w:rPr>
                <w:rFonts w:ascii="宋体" w:hAnsi="宋体" w:cs="宋体"/>
              </w:rPr>
            </w:pPr>
            <w:r>
              <w:rPr>
                <w:rFonts w:hint="eastAsia" w:ascii="宋体" w:hAnsi="宋体" w:cs="宋体"/>
              </w:rPr>
              <w:t>室内设施说明</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设备数量：会议桌85、会议椅168、投影机1、无线话筒2，有线话筒2</w:t>
            </w:r>
          </w:p>
        </w:tc>
        <w:tc>
          <w:tcPr>
            <w:tcW w:w="4186" w:type="dxa"/>
            <w:shd w:val="clear" w:color="auto" w:fill="auto"/>
            <w:vAlign w:val="center"/>
          </w:tcPr>
          <w:p>
            <w:pPr>
              <w:rPr>
                <w:rFonts w:ascii="宋体" w:hAnsi="宋体" w:cs="宋体"/>
              </w:rPr>
            </w:pPr>
            <w:r>
              <w:rPr>
                <w:rFonts w:hint="eastAsia" w:ascii="宋体" w:hAnsi="宋体" w:cs="宋体"/>
              </w:rPr>
              <w:t>见“3.2房屋维护服务”“3.4保洁服务”“3.7会议服务”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会议室数量（个）及总面积（㎡）</w:t>
            </w:r>
          </w:p>
        </w:tc>
        <w:tc>
          <w:tcPr>
            <w:tcW w:w="6761" w:type="dxa"/>
            <w:shd w:val="clear" w:color="auto" w:fill="auto"/>
            <w:vAlign w:val="center"/>
          </w:tcPr>
          <w:p>
            <w:pPr>
              <w:pStyle w:val="2"/>
              <w:numPr>
                <w:ilvl w:val="255"/>
                <w:numId w:val="0"/>
              </w:numPr>
              <w:jc w:val="both"/>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会议室数量1个；总面积约276.62平方米</w:t>
            </w:r>
          </w:p>
        </w:tc>
        <w:tc>
          <w:tcPr>
            <w:tcW w:w="4186" w:type="dxa"/>
            <w:shd w:val="clear" w:color="auto" w:fill="auto"/>
            <w:vAlign w:val="center"/>
          </w:tcPr>
          <w:p>
            <w:pPr>
              <w:rPr>
                <w:rFonts w:ascii="宋体" w:hAnsi="宋体" w:cs="宋体"/>
              </w:rPr>
            </w:pPr>
            <w:r>
              <w:rPr>
                <w:rFonts w:hint="eastAsia" w:ascii="宋体" w:hAnsi="宋体" w:cs="宋体"/>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报告厅</w:t>
            </w:r>
          </w:p>
        </w:tc>
        <w:tc>
          <w:tcPr>
            <w:tcW w:w="2440" w:type="dxa"/>
            <w:shd w:val="clear" w:color="auto" w:fill="auto"/>
            <w:vAlign w:val="center"/>
          </w:tcPr>
          <w:p>
            <w:pPr>
              <w:rPr>
                <w:rFonts w:ascii="宋体" w:hAnsi="宋体" w:cs="宋体"/>
              </w:rPr>
            </w:pPr>
            <w:r>
              <w:rPr>
                <w:rFonts w:hint="eastAsia" w:ascii="宋体" w:hAnsi="宋体" w:cs="宋体"/>
              </w:rPr>
              <w:t>室内设施说明</w:t>
            </w:r>
          </w:p>
        </w:tc>
        <w:tc>
          <w:tcPr>
            <w:tcW w:w="6761" w:type="dxa"/>
            <w:shd w:val="clear" w:color="auto" w:fill="auto"/>
            <w:vAlign w:val="center"/>
          </w:tcPr>
          <w:p>
            <w:pPr>
              <w:pStyle w:val="2"/>
              <w:numPr>
                <w:ilvl w:val="255"/>
                <w:numId w:val="0"/>
              </w:numPr>
              <w:jc w:val="both"/>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设备情况：会议桌14、会议椅421、投影机1台、无线话筒6个 耳麦2个</w:t>
            </w:r>
          </w:p>
        </w:tc>
        <w:tc>
          <w:tcPr>
            <w:tcW w:w="4186" w:type="dxa"/>
            <w:shd w:val="clear" w:color="auto" w:fill="auto"/>
            <w:vAlign w:val="center"/>
          </w:tcPr>
          <w:p>
            <w:pPr>
              <w:rPr>
                <w:rFonts w:ascii="宋体" w:hAnsi="宋体" w:cs="宋体"/>
              </w:rPr>
            </w:pPr>
            <w:r>
              <w:rPr>
                <w:rFonts w:hint="eastAsia" w:ascii="宋体" w:hAnsi="宋体" w:cs="宋体"/>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报告厅数量（个）及总面积（㎡）</w:t>
            </w:r>
          </w:p>
        </w:tc>
        <w:tc>
          <w:tcPr>
            <w:tcW w:w="6761" w:type="dxa"/>
            <w:shd w:val="clear" w:color="auto" w:fill="auto"/>
            <w:vAlign w:val="center"/>
          </w:tcPr>
          <w:p>
            <w:pPr>
              <w:pStyle w:val="2"/>
              <w:numPr>
                <w:ilvl w:val="255"/>
                <w:numId w:val="0"/>
              </w:numPr>
              <w:jc w:val="both"/>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报告厅数量1个；总面积约488.3平方米</w:t>
            </w:r>
          </w:p>
        </w:tc>
        <w:tc>
          <w:tcPr>
            <w:tcW w:w="4186" w:type="dxa"/>
            <w:shd w:val="clear" w:color="auto" w:fill="auto"/>
            <w:vAlign w:val="center"/>
          </w:tcPr>
          <w:p>
            <w:pPr>
              <w:rPr>
                <w:rFonts w:ascii="宋体" w:hAnsi="宋体" w:cs="宋体"/>
              </w:rPr>
            </w:pPr>
            <w:r>
              <w:rPr>
                <w:rFonts w:hint="eastAsia" w:ascii="宋体" w:hAnsi="宋体" w:cs="宋体"/>
              </w:rPr>
              <w:t>见“3.4保洁服务”“3.7会议服务”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球馆</w:t>
            </w:r>
          </w:p>
        </w:tc>
        <w:tc>
          <w:tcPr>
            <w:tcW w:w="2440" w:type="dxa"/>
            <w:shd w:val="clear" w:color="auto" w:fill="auto"/>
            <w:vAlign w:val="center"/>
          </w:tcPr>
          <w:p>
            <w:pPr>
              <w:rPr>
                <w:rFonts w:ascii="宋体" w:hAnsi="宋体" w:cs="宋体"/>
              </w:rPr>
            </w:pPr>
            <w:r>
              <w:rPr>
                <w:rFonts w:hint="eastAsia" w:ascii="宋体" w:hAnsi="宋体" w:cs="宋体"/>
              </w:rPr>
              <w:t>数量及面积</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2个总面积约2876.84平方米</w:t>
            </w:r>
          </w:p>
        </w:tc>
        <w:tc>
          <w:tcPr>
            <w:tcW w:w="4186" w:type="dxa"/>
            <w:shd w:val="clear" w:color="auto" w:fill="auto"/>
            <w:vAlign w:val="center"/>
          </w:tcPr>
          <w:p>
            <w:pPr>
              <w:rPr>
                <w:rFonts w:ascii="宋体" w:hAnsi="宋体" w:cs="宋体"/>
              </w:rPr>
            </w:pPr>
            <w:r>
              <w:rPr>
                <w:rFonts w:hint="eastAsia" w:ascii="宋体" w:hAnsi="宋体" w:cs="宋体"/>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室内设施说明</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气排球场3个，羽毛球场6个，篮球场1个，移动音响1套，无线话筒6只</w:t>
            </w:r>
          </w:p>
        </w:tc>
        <w:tc>
          <w:tcPr>
            <w:tcW w:w="4186" w:type="dxa"/>
            <w:shd w:val="clear" w:color="auto" w:fill="auto"/>
            <w:vAlign w:val="center"/>
          </w:tcPr>
          <w:p>
            <w:pPr>
              <w:rPr>
                <w:rFonts w:ascii="宋体" w:hAnsi="宋体" w:cs="宋体"/>
              </w:rPr>
            </w:pPr>
            <w:r>
              <w:rPr>
                <w:rFonts w:hint="eastAsia" w:ascii="宋体" w:hAnsi="宋体" w:cs="宋体"/>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shd w:val="clear" w:color="auto" w:fill="auto"/>
            <w:vAlign w:val="center"/>
          </w:tcPr>
          <w:p>
            <w:pPr>
              <w:rPr>
                <w:rFonts w:ascii="宋体" w:hAnsi="宋体" w:cs="宋体"/>
              </w:rPr>
            </w:pPr>
            <w:r>
              <w:rPr>
                <w:rFonts w:hint="eastAsia" w:ascii="宋体" w:hAnsi="宋体" w:cs="宋体"/>
              </w:rPr>
              <w:t>卫生间</w:t>
            </w:r>
          </w:p>
        </w:tc>
        <w:tc>
          <w:tcPr>
            <w:tcW w:w="2440" w:type="dxa"/>
            <w:shd w:val="clear" w:color="auto" w:fill="auto"/>
            <w:vAlign w:val="center"/>
          </w:tcPr>
          <w:p>
            <w:pPr>
              <w:rPr>
                <w:rFonts w:ascii="宋体" w:hAnsi="宋体" w:cs="宋体"/>
              </w:rPr>
            </w:pPr>
            <w:r>
              <w:rPr>
                <w:rFonts w:hint="eastAsia" w:ascii="宋体" w:hAnsi="宋体" w:cs="宋体"/>
              </w:rPr>
              <w:t>卫生间数量（个）及总面积（㎡）</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卫生间数量20个；面积约583.89平方米</w:t>
            </w:r>
          </w:p>
        </w:tc>
        <w:tc>
          <w:tcPr>
            <w:tcW w:w="4186" w:type="dxa"/>
            <w:shd w:val="clear" w:color="auto" w:fill="auto"/>
            <w:vAlign w:val="center"/>
          </w:tcPr>
          <w:p>
            <w:pPr>
              <w:rPr>
                <w:rFonts w:ascii="宋体" w:hAnsi="宋体" w:cs="宋体"/>
              </w:rPr>
            </w:pPr>
            <w:r>
              <w:rPr>
                <w:rFonts w:hint="eastAsia" w:ascii="宋体" w:hAnsi="宋体" w:cs="宋体"/>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shd w:val="clear" w:color="auto" w:fill="auto"/>
            <w:vAlign w:val="center"/>
          </w:tcPr>
          <w:p>
            <w:pPr>
              <w:rPr>
                <w:rFonts w:ascii="宋体" w:hAnsi="宋体" w:cs="宋体"/>
              </w:rPr>
            </w:pPr>
            <w:r>
              <w:rPr>
                <w:rFonts w:hint="eastAsia" w:ascii="宋体" w:hAnsi="宋体" w:cs="宋体"/>
              </w:rPr>
              <w:t>垃圾存放点</w:t>
            </w:r>
          </w:p>
        </w:tc>
        <w:tc>
          <w:tcPr>
            <w:tcW w:w="2440" w:type="dxa"/>
            <w:shd w:val="clear" w:color="auto" w:fill="auto"/>
            <w:vAlign w:val="center"/>
          </w:tcPr>
          <w:p>
            <w:pPr>
              <w:rPr>
                <w:rFonts w:ascii="宋体" w:hAnsi="宋体" w:cs="宋体"/>
              </w:rPr>
            </w:pPr>
            <w:r>
              <w:rPr>
                <w:rFonts w:hint="eastAsia" w:ascii="宋体" w:hAnsi="宋体" w:cs="宋体"/>
              </w:rPr>
              <w:t>各垃圾存放点位置、面积（㎡）及数量（个）</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垃圾存放点：大院东北侧，数量1个，面积约27.44平方米</w:t>
            </w:r>
          </w:p>
        </w:tc>
        <w:tc>
          <w:tcPr>
            <w:tcW w:w="4186" w:type="dxa"/>
            <w:shd w:val="clear" w:color="auto" w:fill="auto"/>
            <w:vAlign w:val="center"/>
          </w:tcPr>
          <w:p>
            <w:pPr>
              <w:rPr>
                <w:rFonts w:ascii="宋体" w:hAnsi="宋体" w:cs="宋体"/>
              </w:rPr>
            </w:pPr>
            <w:r>
              <w:rPr>
                <w:rFonts w:hint="eastAsia" w:ascii="宋体" w:hAnsi="宋体" w:cs="宋体"/>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车位数</w:t>
            </w:r>
          </w:p>
        </w:tc>
        <w:tc>
          <w:tcPr>
            <w:tcW w:w="2440" w:type="dxa"/>
            <w:shd w:val="clear" w:color="auto" w:fill="auto"/>
            <w:vAlign w:val="center"/>
          </w:tcPr>
          <w:p>
            <w:pPr>
              <w:rPr>
                <w:rFonts w:ascii="宋体" w:hAnsi="宋体" w:cs="宋体"/>
              </w:rPr>
            </w:pPr>
            <w:r>
              <w:rPr>
                <w:rFonts w:hint="eastAsia" w:ascii="宋体" w:hAnsi="宋体" w:cs="宋体"/>
              </w:rPr>
              <w:t>地下车位数</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地下车位150个，无充电桩</w:t>
            </w:r>
          </w:p>
        </w:tc>
        <w:tc>
          <w:tcPr>
            <w:tcW w:w="4186" w:type="dxa"/>
            <w:shd w:val="clear" w:color="auto" w:fill="auto"/>
            <w:vAlign w:val="center"/>
          </w:tcPr>
          <w:p>
            <w:pPr>
              <w:rPr>
                <w:rFonts w:ascii="宋体" w:hAnsi="宋体" w:cs="宋体"/>
              </w:rPr>
            </w:pPr>
            <w:r>
              <w:rPr>
                <w:rFonts w:hint="eastAsia" w:ascii="宋体" w:hAnsi="宋体" w:cs="宋体"/>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地面车位数</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地面车位49个，无充电桩</w:t>
            </w:r>
          </w:p>
        </w:tc>
        <w:tc>
          <w:tcPr>
            <w:tcW w:w="4186" w:type="dxa"/>
            <w:shd w:val="clear" w:color="auto" w:fill="auto"/>
            <w:vAlign w:val="center"/>
          </w:tcPr>
          <w:p>
            <w:pPr>
              <w:rPr>
                <w:rFonts w:ascii="宋体" w:hAnsi="宋体" w:cs="宋体"/>
              </w:rPr>
            </w:pPr>
            <w:r>
              <w:rPr>
                <w:rFonts w:hint="eastAsia" w:ascii="宋体" w:hAnsi="宋体" w:cs="宋体"/>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车行/</w:t>
            </w:r>
          </w:p>
          <w:p>
            <w:pPr>
              <w:rPr>
                <w:rFonts w:ascii="宋体" w:hAnsi="宋体" w:cs="宋体"/>
              </w:rPr>
            </w:pPr>
            <w:r>
              <w:rPr>
                <w:rFonts w:hint="eastAsia" w:ascii="宋体" w:hAnsi="宋体" w:cs="宋体"/>
              </w:rPr>
              <w:t>人行口</w:t>
            </w:r>
          </w:p>
        </w:tc>
        <w:tc>
          <w:tcPr>
            <w:tcW w:w="2440" w:type="dxa"/>
            <w:shd w:val="clear" w:color="auto" w:fill="auto"/>
            <w:vAlign w:val="center"/>
          </w:tcPr>
          <w:p>
            <w:pPr>
              <w:rPr>
                <w:rFonts w:ascii="宋体" w:hAnsi="宋体" w:cs="宋体"/>
              </w:rPr>
            </w:pPr>
            <w:r>
              <w:rPr>
                <w:rFonts w:hint="eastAsia" w:ascii="宋体" w:hAnsi="宋体" w:cs="宋体"/>
              </w:rPr>
              <w:t>车行口</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地下室车行口数量3个，大院车行口数量3个</w:t>
            </w:r>
          </w:p>
        </w:tc>
        <w:tc>
          <w:tcPr>
            <w:tcW w:w="4186" w:type="dxa"/>
            <w:shd w:val="clear" w:color="auto" w:fill="auto"/>
            <w:vAlign w:val="center"/>
          </w:tcPr>
          <w:p>
            <w:pPr>
              <w:rPr>
                <w:rFonts w:ascii="宋体" w:hAnsi="宋体" w:cs="宋体"/>
              </w:rPr>
            </w:pPr>
            <w:r>
              <w:rPr>
                <w:rFonts w:hint="eastAsia" w:ascii="宋体" w:hAnsi="宋体" w:cs="宋体"/>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人行口</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大楼人形口数量8个，大院人形口数量3个</w:t>
            </w:r>
          </w:p>
        </w:tc>
        <w:tc>
          <w:tcPr>
            <w:tcW w:w="4186" w:type="dxa"/>
            <w:shd w:val="clear" w:color="auto" w:fill="auto"/>
            <w:vAlign w:val="center"/>
          </w:tcPr>
          <w:p>
            <w:pPr>
              <w:rPr>
                <w:rFonts w:ascii="宋体" w:hAnsi="宋体" w:cs="宋体"/>
              </w:rPr>
            </w:pPr>
            <w:r>
              <w:rPr>
                <w:rFonts w:hint="eastAsia" w:ascii="宋体" w:hAnsi="宋体" w:cs="宋体"/>
              </w:rPr>
              <w:t>见“3.6保安服务”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shd w:val="clear" w:color="auto" w:fill="auto"/>
            <w:vAlign w:val="center"/>
          </w:tcPr>
          <w:p>
            <w:pPr>
              <w:rPr>
                <w:rFonts w:ascii="宋体" w:hAnsi="宋体" w:cs="宋体"/>
              </w:rPr>
            </w:pPr>
            <w:r>
              <w:rPr>
                <w:rFonts w:hint="eastAsia" w:ascii="宋体" w:hAnsi="宋体" w:cs="宋体"/>
              </w:rPr>
              <w:t>设施设备（可另行附表）</w:t>
            </w:r>
          </w:p>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电梯系统</w:t>
            </w:r>
          </w:p>
        </w:tc>
        <w:tc>
          <w:tcPr>
            <w:tcW w:w="6761" w:type="dxa"/>
            <w:shd w:val="clear" w:color="auto" w:fill="auto"/>
            <w:vAlign w:val="center"/>
          </w:tcPr>
          <w:p>
            <w:pPr>
              <w:rPr>
                <w:rFonts w:ascii="宋体" w:hAnsi="宋体" w:cs="宋体"/>
              </w:rPr>
            </w:pPr>
            <w:r>
              <w:rPr>
                <w:rFonts w:hint="eastAsia" w:ascii="宋体" w:hAnsi="宋体" w:cs="宋体"/>
              </w:rPr>
              <w:t>客梯总数量共6台、客梯的功率15Kw/台、已过质保期</w:t>
            </w:r>
          </w:p>
        </w:tc>
        <w:tc>
          <w:tcPr>
            <w:tcW w:w="4186" w:type="dxa"/>
            <w:shd w:val="clear" w:color="auto" w:fill="auto"/>
            <w:vAlign w:val="center"/>
          </w:tcPr>
          <w:p>
            <w:pPr>
              <w:rPr>
                <w:rFonts w:ascii="宋体" w:hAnsi="宋体" w:cs="宋体"/>
              </w:rPr>
            </w:pPr>
            <w:r>
              <w:rPr>
                <w:rFonts w:hint="eastAsia" w:ascii="宋体" w:hAnsi="宋体" w:cs="宋体"/>
              </w:rPr>
              <w:t>见“3.6保安服务”“3.3公用设施设备维护服务”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空调系统</w:t>
            </w:r>
          </w:p>
        </w:tc>
        <w:tc>
          <w:tcPr>
            <w:tcW w:w="6761" w:type="dxa"/>
            <w:shd w:val="clear" w:color="auto" w:fill="auto"/>
            <w:vAlign w:val="center"/>
          </w:tcPr>
          <w:p>
            <w:pPr>
              <w:rPr>
                <w:rFonts w:ascii="宋体" w:hAnsi="宋体" w:cs="宋体"/>
              </w:rPr>
            </w:pPr>
            <w:r>
              <w:rPr>
                <w:rFonts w:hint="eastAsia" w:ascii="宋体" w:hAnsi="宋体" w:cs="宋体"/>
              </w:rPr>
              <w:t>水冷空调系统一套含6台、已过质保期；</w:t>
            </w:r>
          </w:p>
          <w:p>
            <w:pPr>
              <w:rPr>
                <w:rFonts w:ascii="宋体" w:hAnsi="宋体" w:cs="宋体"/>
              </w:rPr>
            </w:pPr>
            <w:r>
              <w:rPr>
                <w:rFonts w:hint="eastAsia" w:ascii="宋体" w:hAnsi="宋体" w:cs="宋体"/>
              </w:rPr>
              <w:t>立式单元空调的数量4台、总功率8kw、已过质保期；</w:t>
            </w:r>
          </w:p>
          <w:p>
            <w:pPr>
              <w:rPr>
                <w:rFonts w:ascii="宋体" w:hAnsi="宋体" w:cs="宋体"/>
              </w:rPr>
            </w:pPr>
            <w:r>
              <w:rPr>
                <w:rFonts w:hint="eastAsia" w:ascii="宋体" w:hAnsi="宋体" w:cs="宋体"/>
              </w:rPr>
              <w:t>壁挂式单元式空调的数量7台、总功率14kw 、已过质保期；</w:t>
            </w:r>
          </w:p>
        </w:tc>
        <w:tc>
          <w:tcPr>
            <w:tcW w:w="4186" w:type="dxa"/>
            <w:shd w:val="clear" w:color="auto" w:fill="auto"/>
            <w:vAlign w:val="center"/>
          </w:tcPr>
          <w:p>
            <w:pPr>
              <w:rPr>
                <w:rFonts w:ascii="宋体" w:hAnsi="宋体" w:cs="宋体"/>
              </w:rPr>
            </w:pPr>
            <w:r>
              <w:rPr>
                <w:rFonts w:hint="eastAsia" w:ascii="宋体" w:hAnsi="宋体" w:cs="宋体"/>
              </w:rPr>
              <w:t>见“3.6保安服务”“3.3公用设施设备维护服务”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采暖系统</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无</w:t>
            </w:r>
          </w:p>
        </w:tc>
        <w:tc>
          <w:tcPr>
            <w:tcW w:w="4186"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给排水系统</w:t>
            </w:r>
          </w:p>
        </w:tc>
        <w:tc>
          <w:tcPr>
            <w:tcW w:w="6761" w:type="dxa"/>
            <w:shd w:val="clear" w:color="auto" w:fill="auto"/>
            <w:vAlign w:val="center"/>
          </w:tcPr>
          <w:p>
            <w:pPr>
              <w:rPr>
                <w:rFonts w:ascii="宋体" w:hAnsi="宋体" w:cs="宋体"/>
              </w:rPr>
            </w:pPr>
            <w:r>
              <w:rPr>
                <w:rFonts w:hint="eastAsia" w:ascii="宋体" w:hAnsi="宋体" w:cs="宋体"/>
              </w:rPr>
              <w:t>排水泵15个、集水井15个、已过质保期；化粪池3处。</w:t>
            </w:r>
          </w:p>
        </w:tc>
        <w:tc>
          <w:tcPr>
            <w:tcW w:w="4186" w:type="dxa"/>
            <w:shd w:val="clear" w:color="auto" w:fill="auto"/>
            <w:vAlign w:val="center"/>
          </w:tcPr>
          <w:p>
            <w:pPr>
              <w:rPr>
                <w:rFonts w:ascii="宋体" w:hAnsi="宋体" w:cs="宋体"/>
              </w:rPr>
            </w:pPr>
            <w:r>
              <w:rPr>
                <w:rFonts w:hint="eastAsia" w:ascii="宋体" w:hAnsi="宋体" w:cs="宋体"/>
              </w:rPr>
              <w:t>见“3.6保安服务”“3.3公用设施设备维护服务”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消防系统</w:t>
            </w:r>
          </w:p>
        </w:tc>
        <w:tc>
          <w:tcPr>
            <w:tcW w:w="6761" w:type="dxa"/>
            <w:shd w:val="clear" w:color="auto" w:fill="auto"/>
            <w:vAlign w:val="center"/>
          </w:tcPr>
          <w:p>
            <w:pPr>
              <w:rPr>
                <w:rFonts w:ascii="宋体" w:hAnsi="宋体" w:cs="宋体"/>
              </w:rPr>
            </w:pPr>
            <w:r>
              <w:rPr>
                <w:rFonts w:hint="eastAsia" w:ascii="宋体" w:hAnsi="宋体" w:cs="宋体"/>
              </w:rPr>
              <w:t>火灾报警控制器（联动型）1套，点型感烟探测器789个，手报报警按钮80个，声光报警器80个，消防扬声器48个，高位水箱1处，消防水池1处，喷头2300个，水流指示器14个，消火栓箱126组等。</w:t>
            </w:r>
          </w:p>
        </w:tc>
        <w:tc>
          <w:tcPr>
            <w:tcW w:w="4186" w:type="dxa"/>
            <w:shd w:val="clear" w:color="auto" w:fill="auto"/>
            <w:vAlign w:val="center"/>
          </w:tcPr>
          <w:p>
            <w:pPr>
              <w:rPr>
                <w:rFonts w:ascii="宋体" w:hAnsi="宋体" w:cs="宋体"/>
              </w:rPr>
            </w:pPr>
            <w:r>
              <w:rPr>
                <w:rFonts w:hint="eastAsia" w:ascii="宋体" w:hAnsi="宋体" w:cs="宋体"/>
              </w:rPr>
              <w:t>见“3.H6保安服务”“3.3公用设施设备维护服务”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锅炉设备</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无</w:t>
            </w:r>
          </w:p>
        </w:tc>
        <w:tc>
          <w:tcPr>
            <w:tcW w:w="4186" w:type="dxa"/>
            <w:shd w:val="clear" w:color="auto" w:fill="auto"/>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安防系统</w:t>
            </w:r>
          </w:p>
        </w:tc>
        <w:tc>
          <w:tcPr>
            <w:tcW w:w="6761" w:type="dxa"/>
            <w:shd w:val="clear" w:color="auto" w:fill="auto"/>
            <w:vAlign w:val="center"/>
          </w:tcPr>
          <w:p>
            <w:pPr>
              <w:rPr>
                <w:rFonts w:ascii="宋体" w:hAnsi="宋体" w:cs="宋体"/>
              </w:rPr>
            </w:pPr>
            <w:r>
              <w:rPr>
                <w:rFonts w:hint="eastAsia" w:ascii="宋体" w:hAnsi="宋体" w:cs="宋体"/>
              </w:rPr>
              <w:t>监控130个，门岗 2 个，车牌识别道闸 4套 ，防暴器材3套，消控室1个。</w:t>
            </w:r>
          </w:p>
        </w:tc>
        <w:tc>
          <w:tcPr>
            <w:tcW w:w="4186" w:type="dxa"/>
            <w:shd w:val="clear" w:color="auto" w:fill="auto"/>
            <w:vAlign w:val="center"/>
          </w:tcPr>
          <w:p>
            <w:pPr>
              <w:rPr>
                <w:rFonts w:ascii="宋体" w:hAnsi="宋体" w:cs="宋体"/>
              </w:rPr>
            </w:pPr>
            <w:r>
              <w:rPr>
                <w:rFonts w:hint="eastAsia" w:ascii="宋体" w:hAnsi="宋体" w:cs="宋体"/>
              </w:rPr>
              <w:t>见“3.6保安服务”“3.3公用设施设备维护服务”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照明系统</w:t>
            </w:r>
          </w:p>
        </w:tc>
        <w:tc>
          <w:tcPr>
            <w:tcW w:w="6761" w:type="dxa"/>
            <w:shd w:val="clear" w:color="auto" w:fill="auto"/>
            <w:vAlign w:val="center"/>
          </w:tcPr>
          <w:p>
            <w:pPr>
              <w:pStyle w:val="2"/>
              <w:numPr>
                <w:ilvl w:val="255"/>
                <w:numId w:val="0"/>
              </w:numPr>
              <w:rPr>
                <w:rFonts w:ascii="宋体" w:hAnsi="宋体" w:eastAsia="宋体" w:cs="宋体"/>
                <w:b w:val="0"/>
                <w:bCs w:val="0"/>
                <w:sz w:val="21"/>
                <w:szCs w:val="24"/>
                <w:lang w:val="en-US"/>
              </w:rPr>
            </w:pPr>
            <w:r>
              <w:rPr>
                <w:rFonts w:hint="eastAsia" w:ascii="宋体" w:hAnsi="宋体" w:eastAsia="宋体" w:cs="宋体"/>
                <w:b w:val="0"/>
                <w:bCs w:val="0"/>
                <w:sz w:val="21"/>
                <w:szCs w:val="24"/>
                <w:lang w:val="en-US"/>
              </w:rPr>
              <w:t>常规LED灯，应急照明灯286个</w:t>
            </w:r>
          </w:p>
        </w:tc>
        <w:tc>
          <w:tcPr>
            <w:tcW w:w="4186" w:type="dxa"/>
            <w:shd w:val="clear" w:color="auto" w:fill="auto"/>
            <w:vAlign w:val="center"/>
          </w:tcPr>
          <w:p>
            <w:pPr>
              <w:rPr>
                <w:rFonts w:ascii="宋体" w:hAnsi="宋体" w:cs="宋体"/>
              </w:rPr>
            </w:pPr>
            <w:r>
              <w:rPr>
                <w:rFonts w:hint="eastAsia" w:ascii="宋体" w:hAnsi="宋体" w:cs="宋体"/>
              </w:rPr>
              <w:t>见“3.6保安服务”“3.3公用设施设备维护服务”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供配电系统</w:t>
            </w:r>
          </w:p>
        </w:tc>
        <w:tc>
          <w:tcPr>
            <w:tcW w:w="6761" w:type="dxa"/>
            <w:shd w:val="clear" w:color="auto" w:fill="auto"/>
            <w:vAlign w:val="center"/>
          </w:tcPr>
          <w:p>
            <w:pPr>
              <w:rPr>
                <w:rFonts w:ascii="宋体" w:hAnsi="宋体" w:cs="宋体"/>
              </w:rPr>
            </w:pPr>
            <w:r>
              <w:rPr>
                <w:rFonts w:hint="eastAsia" w:ascii="宋体" w:hAnsi="宋体" w:cs="宋体"/>
              </w:rPr>
              <w:t>高压柜1个，低压柜2个</w:t>
            </w:r>
          </w:p>
          <w:p>
            <w:pPr>
              <w:rPr>
                <w:rFonts w:ascii="宋体" w:hAnsi="宋体" w:cs="宋体"/>
              </w:rPr>
            </w:pPr>
            <w:r>
              <w:rPr>
                <w:rFonts w:hint="eastAsia" w:ascii="宋体" w:hAnsi="宋体" w:cs="宋体"/>
              </w:rPr>
              <w:t>柴油发电机组1套，功率为400kw;</w:t>
            </w:r>
          </w:p>
          <w:p>
            <w:pPr>
              <w:rPr>
                <w:rFonts w:ascii="宋体" w:hAnsi="宋体" w:cs="宋体"/>
              </w:rPr>
            </w:pPr>
            <w:r>
              <w:rPr>
                <w:rFonts w:hint="eastAsia" w:ascii="宋体" w:hAnsi="宋体" w:cs="宋体"/>
              </w:rPr>
              <w:t>一路10KV市电供电，变、配电所设在地下一层，共设1处。设置2台 1250kVA干式变压器。</w:t>
            </w:r>
          </w:p>
        </w:tc>
        <w:tc>
          <w:tcPr>
            <w:tcW w:w="4186" w:type="dxa"/>
            <w:shd w:val="clear" w:color="auto" w:fill="auto"/>
            <w:vAlign w:val="center"/>
          </w:tcPr>
          <w:p>
            <w:pPr>
              <w:rPr>
                <w:rFonts w:ascii="宋体" w:hAnsi="宋体" w:cs="宋体"/>
              </w:rPr>
            </w:pPr>
            <w:r>
              <w:rPr>
                <w:rFonts w:hint="eastAsia" w:ascii="宋体" w:hAnsi="宋体" w:cs="宋体"/>
              </w:rPr>
              <w:t>见“3.3公用设施设备维护服务”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shd w:val="clear" w:color="auto" w:fill="auto"/>
            <w:vAlign w:val="center"/>
          </w:tcPr>
          <w:p>
            <w:pPr>
              <w:rPr>
                <w:rFonts w:ascii="宋体" w:hAnsi="宋体" w:cs="宋体"/>
              </w:rPr>
            </w:pPr>
          </w:p>
        </w:tc>
        <w:tc>
          <w:tcPr>
            <w:tcW w:w="2440" w:type="dxa"/>
            <w:shd w:val="clear" w:color="auto" w:fill="auto"/>
            <w:vAlign w:val="center"/>
          </w:tcPr>
          <w:p>
            <w:pPr>
              <w:rPr>
                <w:rFonts w:ascii="宋体" w:hAnsi="宋体" w:cs="宋体"/>
              </w:rPr>
            </w:pPr>
            <w:r>
              <w:rPr>
                <w:rFonts w:hint="eastAsia" w:ascii="宋体" w:hAnsi="宋体" w:cs="宋体"/>
              </w:rPr>
              <w:t>其它</w:t>
            </w:r>
          </w:p>
        </w:tc>
        <w:tc>
          <w:tcPr>
            <w:tcW w:w="6761" w:type="dxa"/>
            <w:shd w:val="clear" w:color="auto" w:fill="auto"/>
            <w:vAlign w:val="center"/>
          </w:tcPr>
          <w:p>
            <w:pPr>
              <w:rPr>
                <w:rFonts w:ascii="宋体" w:hAnsi="宋体" w:cs="宋体"/>
              </w:rPr>
            </w:pPr>
            <w:r>
              <w:rPr>
                <w:rFonts w:hint="eastAsia" w:ascii="宋体" w:hAnsi="宋体" w:cs="宋体"/>
              </w:rPr>
              <w:t>根据实际情况</w:t>
            </w:r>
          </w:p>
        </w:tc>
        <w:tc>
          <w:tcPr>
            <w:tcW w:w="4186" w:type="dxa"/>
            <w:shd w:val="clear" w:color="auto" w:fill="auto"/>
            <w:vAlign w:val="center"/>
          </w:tcPr>
          <w:p>
            <w:pPr>
              <w:jc w:val="left"/>
              <w:rPr>
                <w:rFonts w:ascii="宋体" w:hAnsi="宋体" w:cs="宋体"/>
              </w:rPr>
            </w:pPr>
            <w:r>
              <w:rPr>
                <w:rFonts w:hint="eastAsia" w:ascii="宋体" w:hAnsi="宋体" w:cs="宋体"/>
              </w:rPr>
              <w:t>根据实际情况</w:t>
            </w:r>
          </w:p>
        </w:tc>
      </w:tr>
    </w:tbl>
    <w:p>
      <w:pPr>
        <w:widowControl/>
        <w:jc w:val="left"/>
        <w:rPr>
          <w:rFonts w:ascii="Calibri" w:hAnsi="Calibri" w:cs="Calibri"/>
          <w:szCs w:val="20"/>
        </w:rPr>
      </w:pPr>
      <w:r>
        <w:rPr>
          <w:rFonts w:hint="eastAsia" w:ascii="Calibri" w:hAnsi="Calibri" w:cs="Calibri"/>
          <w:b/>
          <w:szCs w:val="20"/>
        </w:rPr>
        <w:t>（2）物业管理（室外）</w:t>
      </w:r>
    </w:p>
    <w:tbl>
      <w:tblPr>
        <w:tblStyle w:val="6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3413"/>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jc w:val="center"/>
              <w:rPr>
                <w:b/>
                <w:bCs/>
              </w:rPr>
            </w:pPr>
            <w:r>
              <w:rPr>
                <w:rFonts w:hint="eastAsia"/>
                <w:b/>
                <w:bCs/>
              </w:rPr>
              <w:t>名称</w:t>
            </w:r>
          </w:p>
        </w:tc>
        <w:tc>
          <w:tcPr>
            <w:tcW w:w="5300" w:type="dxa"/>
            <w:shd w:val="clear" w:color="auto" w:fill="auto"/>
            <w:vAlign w:val="center"/>
          </w:tcPr>
          <w:p>
            <w:pPr>
              <w:jc w:val="center"/>
              <w:rPr>
                <w:b/>
                <w:bCs/>
              </w:rPr>
            </w:pPr>
            <w:r>
              <w:rPr>
                <w:b/>
                <w:bCs/>
              </w:rPr>
              <w:t>明细</w:t>
            </w:r>
          </w:p>
        </w:tc>
        <w:tc>
          <w:tcPr>
            <w:tcW w:w="6629" w:type="dxa"/>
            <w:shd w:val="clear" w:color="auto" w:fill="auto"/>
            <w:vAlign w:val="center"/>
          </w:tcPr>
          <w:p>
            <w:pPr>
              <w:jc w:val="center"/>
              <w:rPr>
                <w:b/>
                <w:bCs/>
              </w:rPr>
            </w:pPr>
            <w:r>
              <w:rPr>
                <w:rFonts w:hint="eastAsia"/>
                <w:b/>
                <w:bCs/>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室外面积</w:t>
            </w:r>
          </w:p>
        </w:tc>
        <w:tc>
          <w:tcPr>
            <w:tcW w:w="5300" w:type="dxa"/>
            <w:shd w:val="clear" w:color="auto" w:fill="auto"/>
            <w:vAlign w:val="center"/>
          </w:tcPr>
          <w:p>
            <w:pPr>
              <w:rPr>
                <w:rFonts w:ascii="宋体" w:hAnsi="宋体" w:cs="宋体"/>
              </w:rPr>
            </w:pPr>
            <w:r>
              <w:rPr>
                <w:rFonts w:hint="eastAsia" w:ascii="宋体" w:hAnsi="宋体" w:cs="宋体"/>
              </w:rPr>
              <w:t>约13331.09平方米</w:t>
            </w:r>
          </w:p>
        </w:tc>
        <w:tc>
          <w:tcPr>
            <w:tcW w:w="6629" w:type="dxa"/>
            <w:shd w:val="clear" w:color="auto" w:fill="auto"/>
            <w:vAlign w:val="center"/>
          </w:tcPr>
          <w:p>
            <w:r>
              <w:rPr>
                <w:rFonts w:hint="eastAsia"/>
              </w:rPr>
              <w:t>见“3.4保洁服务”“3.6保安服务”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绿化</w:t>
            </w:r>
          </w:p>
        </w:tc>
        <w:tc>
          <w:tcPr>
            <w:tcW w:w="5300" w:type="dxa"/>
            <w:shd w:val="clear" w:color="auto" w:fill="auto"/>
            <w:vAlign w:val="center"/>
          </w:tcPr>
          <w:p>
            <w:pPr>
              <w:rPr>
                <w:rFonts w:ascii="宋体" w:hAnsi="宋体" w:cs="宋体"/>
              </w:rPr>
            </w:pPr>
            <w:r>
              <w:rPr>
                <w:rFonts w:hint="eastAsia" w:ascii="宋体" w:hAnsi="宋体" w:cs="宋体"/>
              </w:rPr>
              <w:t>约2203平方米</w:t>
            </w:r>
          </w:p>
        </w:tc>
        <w:tc>
          <w:tcPr>
            <w:tcW w:w="6629" w:type="dxa"/>
            <w:shd w:val="clear" w:color="auto" w:fill="auto"/>
            <w:vAlign w:val="center"/>
          </w:tcPr>
          <w:p>
            <w:r>
              <w:rPr>
                <w:rFonts w:hint="eastAsia"/>
              </w:rPr>
              <w:t>见“3.4保洁服务”“3.5绿化服务”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广场</w:t>
            </w:r>
          </w:p>
        </w:tc>
        <w:tc>
          <w:tcPr>
            <w:tcW w:w="5300" w:type="dxa"/>
            <w:shd w:val="clear" w:color="auto" w:fill="auto"/>
            <w:vAlign w:val="center"/>
          </w:tcPr>
          <w:p>
            <w:pPr>
              <w:rPr>
                <w:rFonts w:ascii="宋体" w:hAnsi="宋体" w:cs="宋体"/>
              </w:rPr>
            </w:pPr>
            <w:r>
              <w:rPr>
                <w:rFonts w:hint="eastAsia" w:ascii="宋体" w:hAnsi="宋体" w:cs="宋体"/>
              </w:rPr>
              <w:t>约2741平方米</w:t>
            </w:r>
          </w:p>
        </w:tc>
        <w:tc>
          <w:tcPr>
            <w:tcW w:w="6629" w:type="dxa"/>
            <w:shd w:val="clear" w:color="auto" w:fill="auto"/>
            <w:vAlign w:val="center"/>
          </w:tcPr>
          <w:p>
            <w:r>
              <w:rPr>
                <w:rFonts w:hint="eastAsia"/>
              </w:rPr>
              <w:t>见“3.4保洁服务”“3.6保安服务”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路灯、草坪灯、音箱</w:t>
            </w:r>
          </w:p>
        </w:tc>
        <w:tc>
          <w:tcPr>
            <w:tcW w:w="5300" w:type="dxa"/>
            <w:shd w:val="clear" w:color="auto" w:fill="auto"/>
            <w:vAlign w:val="center"/>
          </w:tcPr>
          <w:p>
            <w:pPr>
              <w:rPr>
                <w:rFonts w:ascii="宋体" w:hAnsi="宋体" w:cs="宋体"/>
              </w:rPr>
            </w:pPr>
            <w:r>
              <w:rPr>
                <w:rFonts w:hint="eastAsia" w:ascii="宋体" w:hAnsi="宋体" w:cs="宋体"/>
              </w:rPr>
              <w:t>路灯52盏、音箱数量52只、射灯5盏</w:t>
            </w:r>
          </w:p>
        </w:tc>
        <w:tc>
          <w:tcPr>
            <w:tcW w:w="6629" w:type="dxa"/>
            <w:shd w:val="clear" w:color="auto" w:fill="auto"/>
            <w:vAlign w:val="center"/>
          </w:tcPr>
          <w:p>
            <w:r>
              <w:rPr>
                <w:rFonts w:hint="eastAsia"/>
              </w:rPr>
              <w:t>见“3.4保洁服务”“3.3公用设施设备维护服务”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消防栓</w:t>
            </w:r>
          </w:p>
        </w:tc>
        <w:tc>
          <w:tcPr>
            <w:tcW w:w="5300" w:type="dxa"/>
            <w:shd w:val="clear" w:color="auto" w:fill="auto"/>
            <w:vAlign w:val="center"/>
          </w:tcPr>
          <w:p>
            <w:pPr>
              <w:rPr>
                <w:rFonts w:ascii="宋体" w:hAnsi="宋体" w:cs="宋体"/>
              </w:rPr>
            </w:pPr>
            <w:r>
              <w:rPr>
                <w:rFonts w:hint="eastAsia" w:ascii="宋体" w:hAnsi="宋体" w:cs="宋体"/>
              </w:rPr>
              <w:t>消防栓数量111个</w:t>
            </w:r>
          </w:p>
        </w:tc>
        <w:tc>
          <w:tcPr>
            <w:tcW w:w="6629" w:type="dxa"/>
            <w:shd w:val="clear" w:color="auto" w:fill="auto"/>
            <w:vAlign w:val="center"/>
          </w:tcPr>
          <w:p>
            <w:r>
              <w:rPr>
                <w:rFonts w:hint="eastAsia"/>
              </w:rPr>
              <w:t>见“3.4保洁服务”“3.3公用设施设备维护服务”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垃圾箱</w:t>
            </w:r>
          </w:p>
        </w:tc>
        <w:tc>
          <w:tcPr>
            <w:tcW w:w="5300" w:type="dxa"/>
            <w:shd w:val="clear" w:color="auto" w:fill="auto"/>
            <w:vAlign w:val="center"/>
          </w:tcPr>
          <w:p>
            <w:pPr>
              <w:rPr>
                <w:rFonts w:ascii="宋体" w:hAnsi="宋体" w:cs="宋体"/>
              </w:rPr>
            </w:pPr>
            <w:r>
              <w:rPr>
                <w:rFonts w:hint="eastAsia" w:ascii="宋体" w:hAnsi="宋体" w:cs="宋体"/>
              </w:rPr>
              <w:t>垃圾箱数量20个</w:t>
            </w:r>
          </w:p>
        </w:tc>
        <w:tc>
          <w:tcPr>
            <w:tcW w:w="6629" w:type="dxa"/>
            <w:shd w:val="clear" w:color="auto" w:fill="auto"/>
            <w:vAlign w:val="center"/>
          </w:tcPr>
          <w:p>
            <w:r>
              <w:rPr>
                <w:rFonts w:hint="eastAsi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室外配电箱</w:t>
            </w:r>
          </w:p>
        </w:tc>
        <w:tc>
          <w:tcPr>
            <w:tcW w:w="5300" w:type="dxa"/>
            <w:shd w:val="clear" w:color="auto" w:fill="auto"/>
            <w:vAlign w:val="center"/>
          </w:tcPr>
          <w:p>
            <w:pPr>
              <w:rPr>
                <w:rFonts w:ascii="宋体" w:hAnsi="宋体" w:cs="宋体"/>
              </w:rPr>
            </w:pPr>
            <w:r>
              <w:rPr>
                <w:rFonts w:hint="eastAsia" w:ascii="宋体" w:hAnsi="宋体" w:cs="宋体"/>
              </w:rPr>
              <w:t>室外配电箱数量7个</w:t>
            </w:r>
          </w:p>
        </w:tc>
        <w:tc>
          <w:tcPr>
            <w:tcW w:w="6629" w:type="dxa"/>
            <w:shd w:val="clear" w:color="auto" w:fill="auto"/>
            <w:vAlign w:val="center"/>
          </w:tcPr>
          <w:p>
            <w:r>
              <w:rPr>
                <w:rFonts w:hint="eastAsia"/>
              </w:rPr>
              <w:t>见“3.4保洁服务”“3.3公用设施设备维护服务”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门前三包</w:t>
            </w:r>
          </w:p>
        </w:tc>
        <w:tc>
          <w:tcPr>
            <w:tcW w:w="5300" w:type="dxa"/>
            <w:shd w:val="clear" w:color="auto" w:fill="auto"/>
            <w:vAlign w:val="center"/>
          </w:tcPr>
          <w:p>
            <w:pPr>
              <w:rPr>
                <w:rFonts w:ascii="宋体" w:hAnsi="宋体" w:cs="宋体"/>
              </w:rPr>
            </w:pPr>
            <w:r>
              <w:rPr>
                <w:rFonts w:hint="eastAsia" w:ascii="宋体" w:hAnsi="宋体" w:cs="宋体"/>
              </w:rPr>
              <w:t>门前三包面积 约1000平方米</w:t>
            </w:r>
          </w:p>
        </w:tc>
        <w:tc>
          <w:tcPr>
            <w:tcW w:w="6629" w:type="dxa"/>
            <w:shd w:val="clear" w:color="auto" w:fill="auto"/>
            <w:vAlign w:val="center"/>
          </w:tcPr>
          <w:p>
            <w:r>
              <w:rPr>
                <w:rFonts w:hint="eastAsia"/>
              </w:rPr>
              <w:t>见“3.4保洁服务”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露台</w:t>
            </w:r>
          </w:p>
        </w:tc>
        <w:tc>
          <w:tcPr>
            <w:tcW w:w="5300" w:type="dxa"/>
            <w:shd w:val="clear" w:color="auto" w:fill="auto"/>
            <w:vAlign w:val="center"/>
          </w:tcPr>
          <w:p>
            <w:pPr>
              <w:rPr>
                <w:rFonts w:ascii="宋体" w:hAnsi="宋体" w:cs="宋体"/>
              </w:rPr>
            </w:pPr>
            <w:r>
              <w:rPr>
                <w:rFonts w:hint="eastAsia" w:ascii="宋体" w:hAnsi="宋体" w:cs="宋体"/>
              </w:rPr>
              <w:t>露台面积约3898平方米</w:t>
            </w:r>
          </w:p>
        </w:tc>
        <w:tc>
          <w:tcPr>
            <w:tcW w:w="6629" w:type="dxa"/>
            <w:shd w:val="clear" w:color="auto" w:fill="auto"/>
            <w:vAlign w:val="center"/>
          </w:tcPr>
          <w:p>
            <w:r>
              <w:rPr>
                <w:rFonts w:hint="eastAsia"/>
              </w:rPr>
              <w:t>见“3.2房屋维护服务”“3.4保洁服务”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监控</w:t>
            </w:r>
          </w:p>
        </w:tc>
        <w:tc>
          <w:tcPr>
            <w:tcW w:w="5300" w:type="dxa"/>
            <w:shd w:val="clear" w:color="auto" w:fill="auto"/>
            <w:vAlign w:val="center"/>
          </w:tcPr>
          <w:p>
            <w:pPr>
              <w:rPr>
                <w:rFonts w:ascii="宋体" w:hAnsi="宋体" w:cs="宋体"/>
              </w:rPr>
            </w:pPr>
            <w:r>
              <w:rPr>
                <w:rFonts w:hint="eastAsia" w:ascii="宋体" w:hAnsi="宋体" w:cs="宋体"/>
              </w:rPr>
              <w:t>监控数量130个</w:t>
            </w:r>
          </w:p>
        </w:tc>
        <w:tc>
          <w:tcPr>
            <w:tcW w:w="6629" w:type="dxa"/>
            <w:shd w:val="clear" w:color="auto" w:fill="auto"/>
            <w:vAlign w:val="center"/>
          </w:tcPr>
          <w:p>
            <w:r>
              <w:rPr>
                <w:rFonts w:hint="eastAsia"/>
              </w:rPr>
              <w:t>见“3.4保洁服务”“3.3公用设施设备维护服务”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指示牌、显示屏</w:t>
            </w:r>
          </w:p>
        </w:tc>
        <w:tc>
          <w:tcPr>
            <w:tcW w:w="5300" w:type="dxa"/>
            <w:shd w:val="clear" w:color="auto" w:fill="auto"/>
            <w:vAlign w:val="center"/>
          </w:tcPr>
          <w:p>
            <w:pPr>
              <w:rPr>
                <w:rFonts w:ascii="宋体" w:hAnsi="宋体" w:cs="宋体"/>
              </w:rPr>
            </w:pPr>
            <w:r>
              <w:rPr>
                <w:rFonts w:hint="eastAsia" w:ascii="宋体" w:hAnsi="宋体" w:cs="宋体"/>
              </w:rPr>
              <w:t xml:space="preserve">安全出口指示牌532个、LED显示屏数量6个     </w:t>
            </w:r>
          </w:p>
        </w:tc>
        <w:tc>
          <w:tcPr>
            <w:tcW w:w="6629" w:type="dxa"/>
            <w:shd w:val="clear" w:color="auto" w:fill="auto"/>
            <w:vAlign w:val="center"/>
          </w:tcPr>
          <w:p>
            <w:r>
              <w:rPr>
                <w:rFonts w:hint="eastAsia"/>
              </w:rPr>
              <w:t>见“3.4保洁服务”“3.3公用设施设备维护服务”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shd w:val="clear" w:color="auto" w:fill="auto"/>
            <w:vAlign w:val="center"/>
          </w:tcPr>
          <w:p>
            <w:pPr>
              <w:rPr>
                <w:rFonts w:ascii="宋体" w:hAnsi="宋体" w:cs="宋体"/>
              </w:rPr>
            </w:pPr>
            <w:r>
              <w:rPr>
                <w:rFonts w:hint="eastAsia" w:ascii="宋体" w:hAnsi="宋体" w:cs="宋体"/>
              </w:rPr>
              <w:t>其它</w:t>
            </w:r>
          </w:p>
        </w:tc>
        <w:tc>
          <w:tcPr>
            <w:tcW w:w="5300" w:type="dxa"/>
            <w:shd w:val="clear" w:color="auto" w:fill="auto"/>
            <w:vAlign w:val="center"/>
          </w:tcPr>
          <w:p>
            <w:pPr>
              <w:rPr>
                <w:rFonts w:ascii="宋体" w:hAnsi="宋体" w:cs="宋体"/>
              </w:rPr>
            </w:pPr>
            <w:r>
              <w:rPr>
                <w:rFonts w:hint="eastAsia" w:ascii="宋体" w:hAnsi="宋体" w:cs="宋体"/>
              </w:rPr>
              <w:t>根据实际情况</w:t>
            </w:r>
          </w:p>
        </w:tc>
        <w:tc>
          <w:tcPr>
            <w:tcW w:w="6629" w:type="dxa"/>
            <w:shd w:val="clear" w:color="auto" w:fill="auto"/>
            <w:vAlign w:val="center"/>
          </w:tcPr>
          <w:p>
            <w:r>
              <w:rPr>
                <w:rFonts w:hint="eastAsia"/>
              </w:rPr>
              <w:t>根据实际情况</w:t>
            </w:r>
          </w:p>
        </w:tc>
      </w:tr>
    </w:tbl>
    <w:p>
      <w:pPr>
        <w:pStyle w:val="2"/>
        <w:numPr>
          <w:ilvl w:val="255"/>
          <w:numId w:val="0"/>
        </w:numPr>
        <w:rPr>
          <w:rFonts w:ascii="Calibri" w:hAnsi="Calibri" w:eastAsia="宋体" w:cs="Calibri"/>
          <w:bCs w:val="0"/>
          <w:sz w:val="21"/>
          <w:szCs w:val="20"/>
          <w:lang w:val="en-US"/>
        </w:rPr>
      </w:pPr>
      <w:r>
        <w:rPr>
          <w:rFonts w:hint="eastAsia" w:ascii="Calibri" w:hAnsi="Calibri" w:eastAsia="宋体" w:cs="Calibri"/>
          <w:bCs w:val="0"/>
          <w:sz w:val="21"/>
          <w:szCs w:val="20"/>
          <w:lang w:val="en-US"/>
        </w:rPr>
        <w:t>3.物业管理服务内容及标准</w:t>
      </w:r>
    </w:p>
    <w:p>
      <w:pPr>
        <w:rPr>
          <w:rFonts w:ascii="Calibri" w:hAnsi="Calibri" w:cs="Calibri"/>
          <w:b/>
          <w:szCs w:val="20"/>
        </w:rPr>
      </w:pPr>
      <w:r>
        <w:rPr>
          <w:rFonts w:hint="eastAsia"/>
        </w:rPr>
        <w:t>物业管理服务包括基本服务、房屋维护服务、公用设施设备维护服务、保洁服务、绿化服务、保安服务、会议服务等。</w:t>
      </w:r>
      <w:bookmarkEnd w:id="71"/>
      <w:bookmarkEnd w:id="72"/>
      <w:bookmarkStart w:id="73" w:name="_Toc26156"/>
      <w:bookmarkStart w:id="74" w:name="_Toc26485"/>
      <w:bookmarkStart w:id="75" w:name="_Toc10498"/>
      <w:r>
        <w:rPr>
          <w:rFonts w:hint="eastAsia" w:ascii="Calibri" w:hAnsi="Calibri" w:cs="Calibri"/>
          <w:b/>
          <w:szCs w:val="20"/>
        </w:rPr>
        <w:t>3.</w:t>
      </w:r>
      <w:bookmarkEnd w:id="73"/>
      <w:bookmarkEnd w:id="74"/>
      <w:bookmarkEnd w:id="75"/>
      <w:r>
        <w:rPr>
          <w:rFonts w:hint="eastAsia" w:ascii="Calibri" w:hAnsi="Calibri" w:cs="Calibri"/>
          <w:b/>
          <w:szCs w:val="20"/>
        </w:rPr>
        <w:t>1基本服务</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31"/>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shd w:val="clear" w:color="auto" w:fill="auto"/>
            <w:vAlign w:val="center"/>
          </w:tcPr>
          <w:p>
            <w:pPr>
              <w:widowControl/>
              <w:jc w:val="center"/>
              <w:rPr>
                <w:b/>
                <w:bCs/>
                <w:kern w:val="0"/>
              </w:rPr>
            </w:pPr>
            <w:r>
              <w:rPr>
                <w:b/>
                <w:bCs/>
                <w:kern w:val="0"/>
              </w:rPr>
              <w:t>序号</w:t>
            </w:r>
          </w:p>
        </w:tc>
        <w:tc>
          <w:tcPr>
            <w:tcW w:w="3297" w:type="dxa"/>
            <w:shd w:val="clear" w:color="auto" w:fill="auto"/>
            <w:vAlign w:val="center"/>
          </w:tcPr>
          <w:p>
            <w:pPr>
              <w:widowControl/>
              <w:jc w:val="center"/>
              <w:rPr>
                <w:b/>
                <w:bCs/>
                <w:kern w:val="0"/>
              </w:rPr>
            </w:pPr>
            <w:r>
              <w:rPr>
                <w:b/>
                <w:bCs/>
                <w:kern w:val="0"/>
              </w:rPr>
              <w:t>服务内容</w:t>
            </w:r>
          </w:p>
        </w:tc>
        <w:tc>
          <w:tcPr>
            <w:tcW w:w="10016" w:type="dxa"/>
            <w:shd w:val="clear" w:color="auto" w:fill="auto"/>
            <w:vAlign w:val="center"/>
          </w:tcPr>
          <w:p>
            <w:pPr>
              <w:widowControl/>
              <w:jc w:val="center"/>
              <w:rPr>
                <w:b/>
                <w:bCs/>
                <w:kern w:val="0"/>
              </w:rPr>
            </w:pPr>
            <w:r>
              <w:rPr>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t>1</w:t>
            </w:r>
          </w:p>
        </w:tc>
        <w:tc>
          <w:tcPr>
            <w:tcW w:w="3297" w:type="dxa"/>
            <w:vMerge w:val="restart"/>
            <w:shd w:val="clear" w:color="auto" w:fill="auto"/>
            <w:vAlign w:val="center"/>
          </w:tcPr>
          <w:p>
            <w:pPr>
              <w:widowControl/>
            </w:pPr>
            <w:r>
              <w:t>目标与责任</w:t>
            </w:r>
          </w:p>
        </w:tc>
        <w:tc>
          <w:tcPr>
            <w:tcW w:w="10016" w:type="dxa"/>
            <w:shd w:val="clear" w:color="auto" w:fill="auto"/>
            <w:vAlign w:val="center"/>
          </w:tcPr>
          <w:p>
            <w:pPr>
              <w:widowControl/>
              <w:jc w:val="left"/>
              <w:rPr>
                <w:kern w:val="0"/>
              </w:rPr>
            </w:pPr>
            <w:r>
              <w:rPr>
                <w:rFonts w:hint="eastAsia"/>
                <w:kern w:val="0"/>
              </w:rPr>
              <w:t>（1）</w:t>
            </w:r>
            <w:r>
              <w:rPr>
                <w:kern w:val="0"/>
              </w:rPr>
              <w:t>结合采购人要求及物业服务实际情况，制定年度管理目标，明确责任分工，并制定配套实施方案。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（2）落实安全生产职责，确保服务范围内一切生产经营活动安全进行。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t>2</w:t>
            </w:r>
          </w:p>
        </w:tc>
        <w:tc>
          <w:tcPr>
            <w:tcW w:w="3297" w:type="dxa"/>
            <w:vMerge w:val="restart"/>
            <w:shd w:val="clear" w:color="auto" w:fill="auto"/>
            <w:vAlign w:val="center"/>
          </w:tcPr>
          <w:p>
            <w:pPr>
              <w:widowControl/>
            </w:pPr>
            <w:r>
              <w:t>服务人员要求</w:t>
            </w:r>
          </w:p>
        </w:tc>
        <w:tc>
          <w:tcPr>
            <w:tcW w:w="10016" w:type="dxa"/>
            <w:shd w:val="clear" w:color="auto" w:fill="auto"/>
            <w:vAlign w:val="center"/>
          </w:tcPr>
          <w:p>
            <w:pPr>
              <w:widowControl/>
              <w:jc w:val="left"/>
              <w:rPr>
                <w:kern w:val="0"/>
              </w:rPr>
            </w:pPr>
            <w:r>
              <w:rPr>
                <w:rFonts w:hint="eastAsia"/>
                <w:kern w:val="0"/>
              </w:rPr>
              <w:t>（1）</w:t>
            </w:r>
            <w:r>
              <w:rPr>
                <w:kern w:val="0"/>
              </w:rPr>
              <w:t>每季度至少开展1次岗位技能、职业素质、服务知识、客户文化、绿色节能环保等教育培训，并进行适当形式的考核。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（2）</w:t>
            </w:r>
            <w:r>
              <w:rPr>
                <w:kern w:val="0"/>
              </w:rPr>
              <w:t>根据采购人要求对服务人员进行从业资格审查，审查结果向采购人报备。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（3）</w:t>
            </w:r>
            <w:r>
              <w:rPr>
                <w:bCs/>
              </w:rPr>
              <w:t>服务人员的年龄、学历、工作经验及资格条件</w:t>
            </w:r>
            <w:r>
              <w:rPr>
                <w:rFonts w:hint="eastAsia"/>
                <w:bCs/>
              </w:rPr>
              <w:t>应当</w:t>
            </w:r>
            <w:r>
              <w:rPr>
                <w:bCs/>
              </w:rPr>
              <w:t>与所在岗位能力要求相匹配，到岗前</w:t>
            </w:r>
            <w:r>
              <w:rPr>
                <w:rFonts w:hint="eastAsia"/>
                <w:bCs/>
              </w:rPr>
              <w:t>应当</w:t>
            </w:r>
            <w:r>
              <w:rPr>
                <w:bCs/>
              </w:rPr>
              <w:t>经过必要的岗前培训以达到岗位能力要求，国家、行业规定应</w:t>
            </w:r>
            <w:r>
              <w:rPr>
                <w:rFonts w:hint="eastAsia"/>
                <w:bCs/>
              </w:rPr>
              <w:t>当</w:t>
            </w:r>
            <w:r>
              <w:rPr>
                <w:bCs/>
              </w:rPr>
              <w:t>取得职业资格证书或特种作业证书的，应</w:t>
            </w:r>
            <w:r>
              <w:rPr>
                <w:rFonts w:hint="eastAsia"/>
                <w:bCs/>
              </w:rPr>
              <w:t>当</w:t>
            </w:r>
            <w:r>
              <w:rPr>
                <w:bCs/>
              </w:rPr>
              <w:t>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（4）</w:t>
            </w:r>
            <w:r>
              <w:rPr>
                <w:bCs/>
              </w:rPr>
              <w:t>如采购人认为服务人员不适应岗位要求或存在其他影响工作的，可要求供应商进行</w:t>
            </w:r>
            <w:r>
              <w:rPr>
                <w:rFonts w:hint="eastAsia"/>
                <w:bCs/>
              </w:rPr>
              <w:t>调换</w:t>
            </w:r>
            <w:r>
              <w:rPr>
                <w:bCs/>
              </w:rPr>
              <w:t>。如因供应商原因对服务人员进行</w:t>
            </w:r>
            <w:r>
              <w:rPr>
                <w:rFonts w:hint="eastAsia"/>
                <w:bCs/>
              </w:rPr>
              <w:t>调换</w:t>
            </w:r>
            <w:r>
              <w:rPr>
                <w:bCs/>
              </w:rPr>
              <w:t>，</w:t>
            </w:r>
            <w:r>
              <w:rPr>
                <w:rFonts w:hint="eastAsia"/>
                <w:bCs/>
              </w:rPr>
              <w:t>应当</w:t>
            </w:r>
            <w:r>
              <w:rPr>
                <w:bCs/>
              </w:rPr>
              <w:t>经采购人同意，更换比例不得超过本项目服务人员总数的20%。本项目服务人员不得在其他项目兼职。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（5）</w:t>
            </w:r>
            <w:r>
              <w:rPr>
                <w:kern w:val="0"/>
              </w:rPr>
              <w:t>着装</w:t>
            </w:r>
            <w:r>
              <w:rPr>
                <w:rFonts w:hint="eastAsia"/>
                <w:kern w:val="0"/>
              </w:rPr>
              <w:t>分类</w:t>
            </w:r>
            <w:r>
              <w:rPr>
                <w:kern w:val="0"/>
              </w:rPr>
              <w:t>统一，佩戴标识。仪容整洁、姿态端正、举止文明。用语文明礼貌，态度温和耐心。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（6）其它参照“5.物业管理服务人员需求”标准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t>3</w:t>
            </w:r>
          </w:p>
        </w:tc>
        <w:tc>
          <w:tcPr>
            <w:tcW w:w="3297" w:type="dxa"/>
            <w:vMerge w:val="restart"/>
            <w:shd w:val="clear" w:color="auto" w:fill="auto"/>
            <w:vAlign w:val="center"/>
          </w:tcPr>
          <w:p>
            <w:pPr>
              <w:widowControl/>
            </w:pPr>
            <w:r>
              <w:t>保密和</w:t>
            </w:r>
            <w:r>
              <w:rPr>
                <w:rFonts w:hint="eastAsia"/>
              </w:rPr>
              <w:t>思想政治</w:t>
            </w:r>
            <w:r>
              <w:t>教育</w:t>
            </w:r>
          </w:p>
        </w:tc>
        <w:tc>
          <w:tcPr>
            <w:tcW w:w="10016" w:type="dxa"/>
            <w:shd w:val="clear" w:color="auto" w:fill="auto"/>
            <w:vAlign w:val="center"/>
          </w:tcPr>
          <w:p>
            <w:pPr>
              <w:widowControl/>
              <w:jc w:val="left"/>
              <w:rPr>
                <w:kern w:val="0"/>
              </w:rPr>
            </w:pPr>
            <w:r>
              <w:rPr>
                <w:rFonts w:hint="eastAsia"/>
                <w:kern w:val="0"/>
              </w:rPr>
              <w:t>（1）</w:t>
            </w:r>
            <w:r>
              <w:rPr>
                <w:kern w:val="0"/>
              </w:rPr>
              <w:t>建立保密管理制度。制度内容应</w:t>
            </w:r>
            <w:r>
              <w:rPr>
                <w:rFonts w:hint="eastAsia"/>
                <w:kern w:val="0"/>
              </w:rPr>
              <w:t>当</w:t>
            </w:r>
            <w:r>
              <w:rPr>
                <w:kern w:val="0"/>
              </w:rPr>
              <w:t>包括但不限于：①明确重点要害岗位保密职责。②对涉密工作岗位的保密要求。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（2）根据实际情况签订</w:t>
            </w:r>
            <w:r>
              <w:rPr>
                <w:kern w:val="0"/>
              </w:rPr>
              <w:t>涉密工作岗位人员保密协议</w:t>
            </w:r>
            <w:r>
              <w:rPr>
                <w:rFonts w:hint="eastAsia"/>
                <w:kern w:val="0"/>
              </w:rPr>
              <w:t>并报</w:t>
            </w:r>
            <w:r>
              <w:rPr>
                <w:kern w:val="0"/>
              </w:rPr>
              <w:t>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（3）根据实际情况开展</w:t>
            </w:r>
            <w:r>
              <w:t>保密和</w:t>
            </w:r>
            <w:r>
              <w:rPr>
                <w:rFonts w:hint="eastAsia"/>
              </w:rPr>
              <w:t>思想政治</w:t>
            </w:r>
            <w:r>
              <w:t>教育</w:t>
            </w:r>
            <w:r>
              <w:rPr>
                <w:rFonts w:hint="eastAsia"/>
              </w:rPr>
              <w:t>培训等工作。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jc w:val="center"/>
            </w:pPr>
          </w:p>
        </w:tc>
        <w:tc>
          <w:tcPr>
            <w:tcW w:w="3297" w:type="dxa"/>
            <w:vMerge w:val="continue"/>
            <w:shd w:val="clear" w:color="auto" w:fill="auto"/>
            <w:vAlign w:val="center"/>
          </w:tcPr>
          <w:p/>
        </w:tc>
        <w:tc>
          <w:tcPr>
            <w:tcW w:w="10016" w:type="dxa"/>
            <w:shd w:val="clear" w:color="auto" w:fill="auto"/>
            <w:vAlign w:val="center"/>
          </w:tcPr>
          <w:p>
            <w:pPr>
              <w:widowControl/>
              <w:jc w:val="left"/>
              <w:rPr>
                <w:kern w:val="0"/>
              </w:rPr>
            </w:pPr>
            <w:r>
              <w:rPr>
                <w:rFonts w:hint="eastAsia"/>
                <w:kern w:val="0"/>
              </w:rPr>
              <w:t>（4）</w:t>
            </w:r>
            <w:r>
              <w:rPr>
                <w:kern w:val="0"/>
              </w:rPr>
              <w:t>发现服务人员</w:t>
            </w:r>
            <w:r>
              <w:rPr>
                <w:rFonts w:hint="eastAsia"/>
                <w:kern w:val="0"/>
              </w:rPr>
              <w:t>违法违规或</w:t>
            </w:r>
            <w:r>
              <w:rPr>
                <w:kern w:val="0"/>
              </w:rPr>
              <w:t>重大过失，及时报告采购人，并采取必要补救措施。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t>4</w:t>
            </w:r>
          </w:p>
        </w:tc>
        <w:tc>
          <w:tcPr>
            <w:tcW w:w="3297" w:type="dxa"/>
            <w:vMerge w:val="restart"/>
            <w:shd w:val="clear" w:color="auto" w:fill="auto"/>
            <w:vAlign w:val="center"/>
          </w:tcPr>
          <w:p>
            <w:pPr>
              <w:widowControl/>
            </w:pPr>
            <w:r>
              <w:t>档案管理</w:t>
            </w:r>
          </w:p>
        </w:tc>
        <w:tc>
          <w:tcPr>
            <w:tcW w:w="10016" w:type="dxa"/>
            <w:shd w:val="clear" w:color="auto" w:fill="auto"/>
            <w:vAlign w:val="center"/>
          </w:tcPr>
          <w:p>
            <w:pPr>
              <w:widowControl/>
              <w:jc w:val="left"/>
              <w:rPr>
                <w:kern w:val="0"/>
              </w:rPr>
            </w:pPr>
            <w:r>
              <w:rPr>
                <w:rFonts w:hint="eastAsia"/>
                <w:kern w:val="0"/>
              </w:rPr>
              <w:t>（1）</w:t>
            </w:r>
            <w:r>
              <w:rPr>
                <w:kern w:val="0"/>
              </w:rPr>
              <w:t>建立物业信息，准确、及时地对文件资料和服务记录进行归档保存，并确保其物理安全。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w:t>
            </w:r>
            <w:r>
              <w:rPr>
                <w:kern w:val="0"/>
              </w:rPr>
              <w:t>档案和记录齐全，包括但不限于：①</w:t>
            </w:r>
            <w:r>
              <w:rPr>
                <w:rFonts w:hint="eastAsia"/>
                <w:kern w:val="0"/>
              </w:rPr>
              <w:t>采购人</w:t>
            </w:r>
            <w:r>
              <w:rPr>
                <w:kern w:val="0"/>
              </w:rPr>
              <w:t>建议与投诉等。教育培训和考核记录。保密、思想政治教育培训记录。②房屋维护服务：房屋台账、使用说明、房屋装修、维保记录等。③</w:t>
            </w:r>
            <w:r>
              <w:rPr>
                <w:rFonts w:hint="eastAsia"/>
                <w:kern w:val="0"/>
              </w:rPr>
              <w:t>公用设施</w:t>
            </w:r>
            <w:r>
              <w:rPr>
                <w:kern w:val="0"/>
              </w:rPr>
              <w:t>设备维护服务：设备台账、设备卡、使用说明、维保记录</w:t>
            </w:r>
            <w:r>
              <w:rPr>
                <w:rFonts w:hint="eastAsia"/>
                <w:kern w:val="0"/>
              </w:rPr>
              <w:t>、巡查记录、设施设备安全运行、设施设备定期巡检、维护保养、维修档案</w:t>
            </w:r>
            <w:r>
              <w:rPr>
                <w:kern w:val="0"/>
              </w:rPr>
              <w:t>等。④</w:t>
            </w:r>
            <w:r>
              <w:rPr>
                <w:rFonts w:hint="eastAsia"/>
                <w:kern w:val="0"/>
              </w:rPr>
              <w:t>保安服务</w:t>
            </w:r>
            <w:r>
              <w:rPr>
                <w:kern w:val="0"/>
              </w:rPr>
              <w:t>：监控记录、突发事件演习与处置记录等。⑤保洁服务：工作日志、清洁检查表、用品清单、客户反馈表等。⑥绿化服务：绿化总平面图、清洁整改记录、消杀记录等。⑦其他：客户信息、财务明细、合同协议</w:t>
            </w:r>
            <w:r>
              <w:rPr>
                <w:rFonts w:hint="eastAsia"/>
                <w:kern w:val="0"/>
              </w:rPr>
              <w:t>、信报信息登记、大件物品进出登记</w:t>
            </w:r>
            <w:r>
              <w:rPr>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（3）</w:t>
            </w:r>
            <w:r>
              <w:rPr>
                <w:kern w:val="0"/>
              </w:rPr>
              <w:t>遵守采购人的信息、档案资料保密要求，未经许可，不得将</w:t>
            </w:r>
            <w:r>
              <w:rPr>
                <w:rFonts w:hint="eastAsia"/>
                <w:kern w:val="0"/>
              </w:rPr>
              <w:t>建筑物平面图等</w:t>
            </w:r>
            <w:r>
              <w:rPr>
                <w:kern w:val="0"/>
              </w:rPr>
              <w:t>资料转作其他用途</w:t>
            </w:r>
            <w:r>
              <w:rPr>
                <w:rFonts w:hint="eastAsia"/>
                <w:kern w:val="0"/>
              </w:rPr>
              <w:t>或向其他单位、个人提供</w:t>
            </w:r>
            <w:r>
              <w:rP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（4）履约结束后，相关资料交还采购人，采购人按政府采购相关规定存档。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t>5</w:t>
            </w:r>
          </w:p>
        </w:tc>
        <w:tc>
          <w:tcPr>
            <w:tcW w:w="3297" w:type="dxa"/>
            <w:vMerge w:val="restart"/>
            <w:shd w:val="clear" w:color="auto" w:fill="auto"/>
            <w:vAlign w:val="center"/>
          </w:tcPr>
          <w:p>
            <w:pPr>
              <w:widowControl/>
            </w:pPr>
            <w:r>
              <w:t>分包供应商管理</w:t>
            </w:r>
          </w:p>
        </w:tc>
        <w:tc>
          <w:tcPr>
            <w:tcW w:w="10016" w:type="dxa"/>
            <w:shd w:val="clear" w:color="auto" w:fill="auto"/>
            <w:vAlign w:val="center"/>
          </w:tcPr>
          <w:p>
            <w:pPr>
              <w:widowControl/>
              <w:jc w:val="left"/>
              <w:rPr>
                <w:kern w:val="0"/>
              </w:rPr>
            </w:pPr>
            <w:r>
              <w:rPr>
                <w:rFonts w:hint="eastAsia"/>
                <w:kern w:val="0"/>
              </w:rPr>
              <w:t>（1）</w:t>
            </w:r>
            <w:r>
              <w:rPr>
                <w:kern w:val="0"/>
              </w:rPr>
              <w:t>合理控制外包服务人员</w:t>
            </w:r>
            <w:r>
              <w:rPr>
                <w:rFonts w:hint="eastAsia"/>
                <w:kern w:val="0"/>
              </w:rPr>
              <w:t>数量和</w:t>
            </w:r>
            <w:r>
              <w:rPr>
                <w:kern w:val="0"/>
              </w:rPr>
              <w:t>流动率。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w:t>
            </w:r>
            <w:r>
              <w:rPr>
                <w:kern w:val="0"/>
              </w:rPr>
              <w:t>根据采购人要求明确对分包供应商的要求，确定工作流程。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（3）</w:t>
            </w:r>
            <w:r>
              <w:rPr>
                <w:kern w:val="0"/>
              </w:rPr>
              <w:t>明确安全管理责任和保密责任，签订安全管理责任书和保密责任书。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（4）</w:t>
            </w:r>
            <w:r>
              <w:rPr>
                <w:kern w:val="0"/>
              </w:rPr>
              <w:t>开展服务检查和监管，评估服务效果，必要时进行服务流程调整。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（5）</w:t>
            </w:r>
            <w:r>
              <w:rPr>
                <w:kern w:val="0"/>
              </w:rPr>
              <w:t>根据工作反馈意见与建议，持续提升服务品质。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（6）分包需要事前征得采购人同意。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t>6</w:t>
            </w:r>
          </w:p>
          <w:p>
            <w:pPr>
              <w:widowControl/>
              <w:jc w:val="center"/>
            </w:pPr>
          </w:p>
        </w:tc>
        <w:tc>
          <w:tcPr>
            <w:tcW w:w="3297" w:type="dxa"/>
            <w:vMerge w:val="restart"/>
            <w:shd w:val="clear" w:color="auto" w:fill="auto"/>
            <w:vAlign w:val="center"/>
          </w:tcPr>
          <w:p>
            <w:pPr>
              <w:widowControl/>
            </w:pPr>
            <w:r>
              <w:t>服务改进</w:t>
            </w:r>
          </w:p>
          <w:p>
            <w:pPr>
              <w:widowControl/>
            </w:pPr>
          </w:p>
        </w:tc>
        <w:tc>
          <w:tcPr>
            <w:tcW w:w="10016" w:type="dxa"/>
            <w:shd w:val="clear" w:color="auto" w:fill="auto"/>
            <w:vAlign w:val="center"/>
          </w:tcPr>
          <w:p>
            <w:pPr>
              <w:widowControl/>
              <w:jc w:val="left"/>
              <w:rPr>
                <w:kern w:val="0"/>
              </w:rPr>
            </w:pPr>
            <w:r>
              <w:rPr>
                <w:rFonts w:hint="eastAsia"/>
                <w:kern w:val="0"/>
              </w:rPr>
              <w:t>（1）</w:t>
            </w:r>
            <w:r>
              <w:rPr>
                <w:kern w:val="0"/>
              </w:rPr>
              <w:t>明确负责人，定期对物业服务过程进行自查，结合反馈意见与评价结果采取改进措施，持续提升管理与服务水平。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w:t>
            </w:r>
            <w:r>
              <w:rPr>
                <w:kern w:val="0"/>
              </w:rPr>
              <w:t>对不合格服务进行控制，对不合格服务的原因进行识别和分析，及时采取纠正措施，消除不合格的原因，防止不合格再发生。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（3）</w:t>
            </w:r>
            <w:r>
              <w:rPr>
                <w:kern w:val="0"/>
              </w:rPr>
              <w:t>需整改问题</w:t>
            </w:r>
            <w:r>
              <w:rPr>
                <w:rFonts w:hint="eastAsia"/>
                <w:kern w:val="0"/>
              </w:rPr>
              <w:t>及时</w:t>
            </w:r>
            <w:r>
              <w:rPr>
                <w:kern w:val="0"/>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rPr>
                <w:rFonts w:hint="eastAsia"/>
              </w:rPr>
              <w:t>7</w:t>
            </w:r>
          </w:p>
        </w:tc>
        <w:tc>
          <w:tcPr>
            <w:tcW w:w="3297" w:type="dxa"/>
            <w:vMerge w:val="restart"/>
            <w:shd w:val="clear" w:color="auto" w:fill="auto"/>
            <w:vAlign w:val="center"/>
          </w:tcPr>
          <w:p>
            <w:pPr>
              <w:widowControl/>
            </w:pPr>
            <w:r>
              <w:t>重大活动后勤保障</w:t>
            </w:r>
          </w:p>
        </w:tc>
        <w:tc>
          <w:tcPr>
            <w:tcW w:w="10016" w:type="dxa"/>
            <w:shd w:val="clear" w:color="auto" w:fill="auto"/>
            <w:vAlign w:val="center"/>
          </w:tcPr>
          <w:p>
            <w:pPr>
              <w:widowControl/>
              <w:jc w:val="left"/>
              <w:rPr>
                <w:kern w:val="0"/>
              </w:rPr>
            </w:pPr>
            <w:r>
              <w:rPr>
                <w:rFonts w:hint="eastAsia"/>
                <w:kern w:val="0"/>
              </w:rPr>
              <w:t>（1）</w:t>
            </w:r>
            <w:r>
              <w:rPr>
                <w:kern w:val="0"/>
              </w:rPr>
              <w:t>制订流程。配合采购人制订重大活动后勤保障工作流程，需对任务进行详细了解，并根据工作安排制定详细的后勤保障计划。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w:t>
            </w:r>
            <w:r>
              <w:rPr>
                <w:kern w:val="0"/>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（3）</w:t>
            </w:r>
            <w:r>
              <w:rPr>
                <w:kern w:val="0"/>
              </w:rPr>
              <w:t>收尾工作。对现场进行检查，做好清理工作。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rPr>
                <w:kern w:val="0"/>
              </w:rPr>
            </w:pPr>
            <w:r>
              <w:rPr>
                <w:rFonts w:hint="eastAsia"/>
                <w:kern w:val="0"/>
              </w:rPr>
              <w:t>8</w:t>
            </w:r>
          </w:p>
        </w:tc>
        <w:tc>
          <w:tcPr>
            <w:tcW w:w="3297" w:type="dxa"/>
            <w:vMerge w:val="restart"/>
            <w:shd w:val="clear" w:color="auto" w:fill="auto"/>
            <w:vAlign w:val="center"/>
          </w:tcPr>
          <w:p>
            <w:pPr>
              <w:widowControl/>
            </w:pPr>
            <w:r>
              <w:rPr>
                <w:kern w:val="0"/>
              </w:rPr>
              <w:t>应急保障预案</w:t>
            </w:r>
          </w:p>
        </w:tc>
        <w:tc>
          <w:tcPr>
            <w:tcW w:w="10016" w:type="dxa"/>
            <w:shd w:val="clear" w:color="auto" w:fill="auto"/>
            <w:vAlign w:val="center"/>
          </w:tcPr>
          <w:p>
            <w:pPr>
              <w:widowControl/>
              <w:jc w:val="left"/>
            </w:pPr>
            <w:r>
              <w:rPr>
                <w:rFonts w:hint="eastAsia"/>
                <w:kern w:val="0"/>
              </w:rPr>
              <w:t>（1）</w:t>
            </w:r>
            <w:r>
              <w:t>重点区域及安全隐患排查。结合项目的实际情况，对重点部位及危险隐患进行排查，并建立清单/台账；应</w:t>
            </w:r>
            <w:r>
              <w:rPr>
                <w:rFonts w:hint="eastAsia"/>
              </w:rPr>
              <w:t>当</w:t>
            </w:r>
            <w:r>
              <w:t>对危险隐患进行风险分析，制定相应措施进行控制或整改并定期监控；随着设施设备、服务内容的变化，及时更新清单/台账，使风险隐患始终处于受控状态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rPr>
                <w:kern w:val="0"/>
              </w:rPr>
            </w:pPr>
          </w:p>
        </w:tc>
        <w:tc>
          <w:tcPr>
            <w:tcW w:w="3297" w:type="dxa"/>
            <w:vMerge w:val="continue"/>
            <w:shd w:val="clear" w:color="auto" w:fill="auto"/>
            <w:vAlign w:val="center"/>
          </w:tcPr>
          <w:p>
            <w:pPr>
              <w:widowControl/>
              <w:rPr>
                <w:kern w:val="0"/>
              </w:rPr>
            </w:pPr>
          </w:p>
        </w:tc>
        <w:tc>
          <w:tcPr>
            <w:tcW w:w="10016" w:type="dxa"/>
            <w:shd w:val="clear" w:color="auto" w:fill="auto"/>
            <w:vAlign w:val="center"/>
          </w:tcPr>
          <w:p>
            <w:pPr>
              <w:widowControl/>
              <w:jc w:val="left"/>
            </w:pPr>
            <w:r>
              <w:rPr>
                <w:rFonts w:hint="eastAsia"/>
                <w:kern w:val="0"/>
              </w:rPr>
              <w:t>（2）</w:t>
            </w:r>
            <w:r>
              <w:t>应急预案的建立。根据办公楼隐患排查的结果和实际情况，制定专项预案，包括但不限于：火情火警紧急处理应急预案、紧急疏散应急预案、</w:t>
            </w:r>
            <w:r>
              <w:rPr>
                <w:rFonts w:hint="eastAsia"/>
              </w:rPr>
              <w:t>停水</w:t>
            </w:r>
            <w:r>
              <w:t>停电应急预案、有限空间救援应急预案、高空作业救援应急预案、恶劣天气应对应急预案等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rPr>
                <w:kern w:val="0"/>
              </w:rPr>
            </w:pPr>
          </w:p>
        </w:tc>
        <w:tc>
          <w:tcPr>
            <w:tcW w:w="3297" w:type="dxa"/>
            <w:vMerge w:val="continue"/>
            <w:shd w:val="clear" w:color="auto" w:fill="auto"/>
            <w:vAlign w:val="center"/>
          </w:tcPr>
          <w:p>
            <w:pPr>
              <w:widowControl/>
              <w:rPr>
                <w:kern w:val="0"/>
              </w:rPr>
            </w:pPr>
          </w:p>
        </w:tc>
        <w:tc>
          <w:tcPr>
            <w:tcW w:w="10016" w:type="dxa"/>
            <w:shd w:val="clear" w:color="auto" w:fill="auto"/>
            <w:vAlign w:val="center"/>
          </w:tcPr>
          <w:p>
            <w:pPr>
              <w:widowControl/>
              <w:jc w:val="left"/>
            </w:pPr>
            <w:r>
              <w:rPr>
                <w:rFonts w:hint="eastAsia"/>
                <w:kern w:val="0"/>
              </w:rPr>
              <w:t>（3）</w:t>
            </w:r>
            <w:r>
              <w:t>应急预案的培训和演练。应急预案定期培训和演练，组织相关岗位每半年至少开展一次专项应急预案演练；留存培训及演练记录和影像资料，并对预案进行评价，确保与实际情况相结合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rPr>
                <w:kern w:val="0"/>
              </w:rP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（4）</w:t>
            </w:r>
            <w:r>
              <w:t>应急物资的管理。根据专项预案中的应对需要</w:t>
            </w:r>
            <w:r>
              <w:rPr>
                <w:rFonts w:hint="eastAsia"/>
              </w:rPr>
              <w:t>、</w:t>
            </w:r>
            <w:r>
              <w:t>必要的应急物资，建立清单或台账，并由专人定期对应急物资进行检查，</w:t>
            </w:r>
            <w:r>
              <w:rPr>
                <w:rFonts w:hint="eastAsia"/>
              </w:rPr>
              <w:t>如有应急物资不足，及时通知采购人购置齐全，</w:t>
            </w:r>
            <w:r>
              <w:t>确保能够随时正常使用。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rPr>
                <w:rFonts w:hint="eastAsia"/>
              </w:rPr>
              <w:t>9</w:t>
            </w:r>
          </w:p>
        </w:tc>
        <w:tc>
          <w:tcPr>
            <w:tcW w:w="3297" w:type="dxa"/>
            <w:vMerge w:val="restart"/>
            <w:shd w:val="clear" w:color="auto" w:fill="auto"/>
            <w:vAlign w:val="center"/>
          </w:tcPr>
          <w:p>
            <w:pPr>
              <w:widowControl/>
            </w:pPr>
            <w:r>
              <w:t>服务方案</w:t>
            </w:r>
            <w:r>
              <w:rPr>
                <w:rFonts w:hint="eastAsia"/>
              </w:rPr>
              <w:t>及工作制度</w:t>
            </w:r>
          </w:p>
        </w:tc>
        <w:tc>
          <w:tcPr>
            <w:tcW w:w="10016" w:type="dxa"/>
            <w:shd w:val="clear" w:color="auto" w:fill="auto"/>
            <w:vAlign w:val="center"/>
          </w:tcPr>
          <w:p>
            <w:pPr>
              <w:widowControl/>
              <w:jc w:val="left"/>
              <w:rPr>
                <w:bCs/>
              </w:rPr>
            </w:pPr>
            <w:r>
              <w:rPr>
                <w:rFonts w:hint="eastAsia"/>
                <w:kern w:val="0"/>
              </w:rPr>
              <w:t>（1）制定工作制度，</w:t>
            </w:r>
            <w:r>
              <w:rPr>
                <w:rFonts w:hint="eastAsia"/>
                <w:bCs/>
              </w:rPr>
              <w:t>主要</w:t>
            </w:r>
            <w:r>
              <w:rPr>
                <w:bCs/>
              </w:rPr>
              <w:t>包括：</w:t>
            </w:r>
            <w:r>
              <w:rPr>
                <w:rFonts w:hint="eastAsia"/>
                <w:bCs/>
              </w:rPr>
              <w:t>人员录用制度、</w:t>
            </w:r>
            <w:r>
              <w:rPr>
                <w:kern w:val="0"/>
              </w:rPr>
              <w:t>档案管理制度</w:t>
            </w:r>
            <w:r>
              <w:rPr>
                <w:rFonts w:hint="eastAsia"/>
                <w:kern w:val="0"/>
              </w:rPr>
              <w:t>、</w:t>
            </w:r>
            <w:r>
              <w:rPr>
                <w:bCs/>
              </w:rPr>
              <w:t>物业服务管理制度</w:t>
            </w:r>
            <w:r>
              <w:rPr>
                <w:rFonts w:hint="eastAsia"/>
                <w:bCs/>
              </w:rPr>
              <w:t>、</w:t>
            </w:r>
            <w:r>
              <w:rPr>
                <w:rFonts w:hint="eastAsia"/>
                <w:kern w:val="0"/>
              </w:rPr>
              <w:t>公用设施设备相关管理制度等</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（2）制定</w:t>
            </w:r>
            <w:r>
              <w:rPr>
                <w:bCs/>
              </w:rPr>
              <w:t>项目实施方案</w:t>
            </w:r>
            <w:r>
              <w:rPr>
                <w:rFonts w:hint="eastAsia"/>
                <w:bCs/>
              </w:rPr>
              <w:t>，主要</w:t>
            </w:r>
            <w:r>
              <w:rPr>
                <w:bCs/>
              </w:rPr>
              <w:t>包括：</w:t>
            </w:r>
            <w:r>
              <w:rPr>
                <w:rFonts w:hint="eastAsia"/>
                <w:bCs/>
              </w:rPr>
              <w:t>交接</w:t>
            </w:r>
            <w:r>
              <w:rPr>
                <w:bCs/>
              </w:rPr>
              <w:t>方案、人员培训方案、人员稳定性方案、保密方案</w:t>
            </w:r>
            <w:r>
              <w:rPr>
                <w:rFonts w:hint="eastAsia"/>
                <w:bCs/>
              </w:rPr>
              <w:t>等</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（3）制定</w:t>
            </w:r>
            <w:r>
              <w:rPr>
                <w:bCs/>
              </w:rPr>
              <w:t>物业服务方案</w:t>
            </w:r>
            <w:r>
              <w:rPr>
                <w:rFonts w:hint="eastAsia"/>
                <w:bCs/>
              </w:rPr>
              <w:t>，主要</w:t>
            </w:r>
            <w:r>
              <w:rPr>
                <w:bCs/>
              </w:rPr>
              <w:t>包括：</w:t>
            </w:r>
            <w:r>
              <w:rPr>
                <w:rFonts w:hint="eastAsia"/>
                <w:bCs/>
              </w:rPr>
              <w:t>房屋维护服务方案、公用设施设备维护服务方案、</w:t>
            </w:r>
            <w:r>
              <w:rPr>
                <w:bCs/>
              </w:rPr>
              <w:t>绿化服务方案</w:t>
            </w:r>
            <w:r>
              <w:rPr>
                <w:rFonts w:hint="eastAsia"/>
                <w:bCs/>
              </w:rPr>
              <w:t>、</w:t>
            </w:r>
            <w:r>
              <w:rPr>
                <w:bCs/>
              </w:rPr>
              <w:t>保洁服务方案、</w:t>
            </w:r>
            <w:r>
              <w:rPr>
                <w:rFonts w:hint="eastAsia"/>
                <w:bCs/>
              </w:rPr>
              <w:t>保安</w:t>
            </w:r>
            <w:r>
              <w:rPr>
                <w:bCs/>
              </w:rPr>
              <w:t>服务方案、会议服务方案</w:t>
            </w:r>
            <w:r>
              <w:rPr>
                <w:rFonts w:hint="eastAsia"/>
                <w:bCs/>
              </w:rPr>
              <w:t>等</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rPr>
                <w:rFonts w:hint="eastAsia"/>
              </w:rPr>
              <w:t>10</w:t>
            </w:r>
          </w:p>
        </w:tc>
        <w:tc>
          <w:tcPr>
            <w:tcW w:w="3297" w:type="dxa"/>
            <w:vMerge w:val="restart"/>
            <w:shd w:val="clear" w:color="auto" w:fill="auto"/>
            <w:vAlign w:val="center"/>
          </w:tcPr>
          <w:p>
            <w:pPr>
              <w:widowControl/>
            </w:pPr>
            <w:r>
              <w:t>信报服务</w:t>
            </w:r>
          </w:p>
        </w:tc>
        <w:tc>
          <w:tcPr>
            <w:tcW w:w="10016" w:type="dxa"/>
            <w:shd w:val="clear" w:color="auto" w:fill="auto"/>
            <w:vAlign w:val="center"/>
          </w:tcPr>
          <w:p>
            <w:pPr>
              <w:widowControl/>
              <w:jc w:val="left"/>
              <w:rPr>
                <w:kern w:val="0"/>
              </w:rPr>
            </w:pPr>
            <w:r>
              <w:rPr>
                <w:rFonts w:hint="eastAsia"/>
                <w:kern w:val="0"/>
              </w:rPr>
              <w:t>（1）如特殊时期，根据要求对邮件、包裹和挂号信等进行正确分理、安全检查和防疫卫生检查。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w:t>
            </w:r>
            <w:r>
              <w:t>大件物品出入</w:t>
            </w:r>
            <w:r>
              <w:rPr>
                <w:rFonts w:hint="eastAsia"/>
              </w:rPr>
              <w:t>向采购人报告，待采购人确认无误后放行。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shd w:val="clear" w:color="auto" w:fill="auto"/>
            <w:vAlign w:val="center"/>
          </w:tcPr>
          <w:p>
            <w:pPr>
              <w:widowControl/>
              <w:jc w:val="center"/>
            </w:pPr>
            <w:r>
              <w:rPr>
                <w:rFonts w:hint="eastAsia"/>
              </w:rPr>
              <w:t>11</w:t>
            </w:r>
          </w:p>
        </w:tc>
        <w:tc>
          <w:tcPr>
            <w:tcW w:w="3297" w:type="dxa"/>
            <w:vMerge w:val="restart"/>
            <w:shd w:val="clear" w:color="auto" w:fill="auto"/>
            <w:vAlign w:val="center"/>
          </w:tcPr>
          <w:p>
            <w:pPr>
              <w:widowControl/>
            </w:pPr>
            <w:r>
              <w:t>服务</w:t>
            </w:r>
            <w:r>
              <w:rPr>
                <w:rFonts w:hint="eastAsia"/>
              </w:rPr>
              <w:t>热线及紧急维修</w:t>
            </w:r>
          </w:p>
        </w:tc>
        <w:tc>
          <w:tcPr>
            <w:tcW w:w="10016" w:type="dxa"/>
            <w:shd w:val="clear" w:color="auto" w:fill="auto"/>
            <w:vAlign w:val="center"/>
          </w:tcPr>
          <w:p>
            <w:pPr>
              <w:widowControl/>
              <w:jc w:val="left"/>
              <w:rPr>
                <w:kern w:val="0"/>
              </w:rPr>
            </w:pPr>
            <w:r>
              <w:rPr>
                <w:rFonts w:hint="eastAsia"/>
                <w:kern w:val="0"/>
              </w:rPr>
              <w:t>（1）设置24小时报修服务热线。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（2）</w:t>
            </w:r>
            <w:r>
              <w:t>紧急维修</w:t>
            </w:r>
            <w:r>
              <w:rPr>
                <w:rFonts w:hint="eastAsia"/>
              </w:rPr>
              <w:t>应当</w:t>
            </w:r>
            <w:r>
              <w:t>15分钟内到达现场</w:t>
            </w:r>
            <w:r>
              <w:rPr>
                <w:rFonts w:hint="eastAsia"/>
              </w:rPr>
              <w:t>，不间断维修直至修复。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shd w:val="clear" w:color="auto" w:fill="auto"/>
            <w:vAlign w:val="center"/>
          </w:tcPr>
          <w:p>
            <w:pPr>
              <w:widowControl/>
              <w:jc w:val="center"/>
            </w:pPr>
          </w:p>
        </w:tc>
        <w:tc>
          <w:tcPr>
            <w:tcW w:w="3297" w:type="dxa"/>
            <w:vMerge w:val="continue"/>
            <w:shd w:val="clear" w:color="auto" w:fill="auto"/>
            <w:vAlign w:val="center"/>
          </w:tcPr>
          <w:p>
            <w:pPr>
              <w:widowControl/>
            </w:pPr>
          </w:p>
        </w:tc>
        <w:tc>
          <w:tcPr>
            <w:tcW w:w="10016" w:type="dxa"/>
            <w:shd w:val="clear" w:color="auto" w:fill="auto"/>
            <w:vAlign w:val="center"/>
          </w:tcPr>
          <w:p>
            <w:pPr>
              <w:widowControl/>
              <w:jc w:val="left"/>
              <w:rPr>
                <w:kern w:val="0"/>
              </w:rPr>
            </w:pPr>
            <w:r>
              <w:rPr>
                <w:rFonts w:hint="eastAsia"/>
                <w:kern w:val="0"/>
              </w:rPr>
              <w:t>（3）涉及专业人员维修了，应配合采购人委托专业人员维修处理。</w:t>
            </w:r>
          </w:p>
        </w:tc>
      </w:tr>
    </w:tbl>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ascii="Calibri" w:hAnsi="Calibri" w:cs="Calibri"/>
          <w:bCs w:val="0"/>
          <w:sz w:val="21"/>
          <w:szCs w:val="20"/>
        </w:rPr>
        <w:t>3.2房屋维护服务</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4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shd w:val="clear" w:color="auto" w:fill="auto"/>
            <w:vAlign w:val="center"/>
          </w:tcPr>
          <w:p>
            <w:pPr>
              <w:widowControl/>
              <w:jc w:val="center"/>
              <w:rPr>
                <w:b/>
                <w:bCs/>
                <w:kern w:val="0"/>
              </w:rPr>
            </w:pPr>
            <w:r>
              <w:rPr>
                <w:rFonts w:hint="eastAsia"/>
                <w:b/>
                <w:bCs/>
                <w:kern w:val="0"/>
              </w:rPr>
              <w:t>序号</w:t>
            </w:r>
          </w:p>
        </w:tc>
        <w:tc>
          <w:tcPr>
            <w:tcW w:w="3319" w:type="dxa"/>
            <w:shd w:val="clear" w:color="auto" w:fill="auto"/>
            <w:vAlign w:val="center"/>
          </w:tcPr>
          <w:p>
            <w:pPr>
              <w:widowControl/>
              <w:jc w:val="center"/>
              <w:rPr>
                <w:b/>
                <w:bCs/>
                <w:kern w:val="0"/>
              </w:rPr>
            </w:pPr>
            <w:r>
              <w:rPr>
                <w:b/>
                <w:bCs/>
                <w:kern w:val="0"/>
              </w:rPr>
              <w:t>服务内容</w:t>
            </w:r>
          </w:p>
        </w:tc>
        <w:tc>
          <w:tcPr>
            <w:tcW w:w="10000" w:type="dxa"/>
            <w:shd w:val="clear" w:color="auto" w:fill="auto"/>
            <w:vAlign w:val="center"/>
          </w:tcPr>
          <w:p>
            <w:pPr>
              <w:widowControl/>
              <w:jc w:val="center"/>
              <w:rPr>
                <w:b/>
                <w:bCs/>
                <w:kern w:val="0"/>
              </w:rPr>
            </w:pPr>
            <w:r>
              <w:rPr>
                <w:rFonts w:hint="eastAsia"/>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shd w:val="clear" w:color="auto" w:fill="auto"/>
            <w:vAlign w:val="center"/>
          </w:tcPr>
          <w:p>
            <w:pPr>
              <w:widowControl/>
              <w:jc w:val="center"/>
            </w:pPr>
            <w:r>
              <w:rPr>
                <w:rFonts w:hint="eastAsia"/>
              </w:rPr>
              <w:t>1</w:t>
            </w:r>
          </w:p>
        </w:tc>
        <w:tc>
          <w:tcPr>
            <w:tcW w:w="3319" w:type="dxa"/>
            <w:vMerge w:val="restart"/>
            <w:shd w:val="clear" w:color="auto" w:fill="auto"/>
            <w:vAlign w:val="center"/>
          </w:tcPr>
          <w:p>
            <w:pPr>
              <w:widowControl/>
            </w:pPr>
            <w:r>
              <w:rPr>
                <w:rFonts w:hint="eastAsia"/>
              </w:rPr>
              <w:t>主体结构、围护结构、部品部件</w:t>
            </w:r>
          </w:p>
        </w:tc>
        <w:tc>
          <w:tcPr>
            <w:tcW w:w="10000" w:type="dxa"/>
            <w:shd w:val="clear" w:color="auto" w:fill="auto"/>
            <w:vAlign w:val="center"/>
          </w:tcPr>
          <w:p>
            <w:pPr>
              <w:widowControl/>
              <w:jc w:val="left"/>
              <w:rPr>
                <w:kern w:val="0"/>
              </w:rPr>
            </w:pPr>
            <w:r>
              <w:rPr>
                <w:rFonts w:hint="eastAsia"/>
                <w:kern w:val="0"/>
              </w:rPr>
              <w:t>（1）</w:t>
            </w:r>
            <w:r>
              <w:rPr>
                <w:kern w:val="0"/>
              </w:rPr>
              <w:t>每</w:t>
            </w:r>
            <w:r>
              <w:rPr>
                <w:rFonts w:hint="eastAsia"/>
                <w:kern w:val="0"/>
              </w:rPr>
              <w:t>日</w:t>
            </w:r>
            <w:r>
              <w:rPr>
                <w:kern w:val="0"/>
              </w:rPr>
              <w:t>至少</w:t>
            </w:r>
            <w:r>
              <w:rPr>
                <w:rFonts w:hint="eastAsia"/>
                <w:kern w:val="0"/>
              </w:rPr>
              <w:t>开展</w:t>
            </w:r>
            <w:r>
              <w:rPr>
                <w:kern w:val="0"/>
              </w:rPr>
              <w:t>1次</w:t>
            </w:r>
            <w:r>
              <w:rPr>
                <w:rFonts w:hint="eastAsia"/>
                <w:kern w:val="0"/>
              </w:rPr>
              <w:t>房屋结构安全</w:t>
            </w:r>
            <w:r>
              <w:rPr>
                <w:kern w:val="0"/>
              </w:rPr>
              <w:t>巡视</w:t>
            </w:r>
            <w:r>
              <w:rPr>
                <w:rFonts w:hint="eastAsia"/>
                <w:kern w:val="0"/>
              </w:rPr>
              <w:t>，</w:t>
            </w:r>
            <w:r>
              <w:rPr>
                <w:kern w:val="0"/>
              </w:rPr>
              <w:t>发现外观有变形、开裂等现象</w:t>
            </w:r>
            <w:r>
              <w:rPr>
                <w:rFonts w:hint="eastAsia"/>
                <w:kern w:val="0"/>
              </w:rPr>
              <w:t>，及时</w:t>
            </w:r>
            <w:r>
              <w:rPr>
                <w:kern w:val="0"/>
              </w:rPr>
              <w:t>建议</w:t>
            </w:r>
            <w:r>
              <w:rPr>
                <w:rFonts w:hint="eastAsia"/>
                <w:kern w:val="0"/>
              </w:rPr>
              <w:t>采购人</w:t>
            </w:r>
            <w:r>
              <w:rPr>
                <w:kern w:val="0"/>
              </w:rPr>
              <w:t>申请房屋安全鉴定</w:t>
            </w:r>
            <w:r>
              <w:rPr>
                <w:rFonts w:hint="eastAsia"/>
                <w:kern w:val="0"/>
              </w:rPr>
              <w:t>，</w:t>
            </w:r>
            <w:r>
              <w:rPr>
                <w:kern w:val="0"/>
              </w:rPr>
              <w:t>并采取必要的避险和防护措施</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rPr>
                <w:kern w:val="0"/>
              </w:rPr>
            </w:pPr>
            <w:r>
              <w:rPr>
                <w:rFonts w:hint="eastAsia"/>
                <w:kern w:val="0"/>
              </w:rPr>
              <w:t>（2）每日至少开展1</w:t>
            </w:r>
            <w:r>
              <w:rPr>
                <w:kern w:val="0"/>
              </w:rPr>
              <w:t>次外墙贴饰面、幕墙玻璃、雨篷、散水、空调室外机支撑构件等</w:t>
            </w:r>
            <w:r>
              <w:rPr>
                <w:rFonts w:hint="eastAsia"/>
                <w:kern w:val="0"/>
              </w:rPr>
              <w:t>检查，发现破损，及时向采购人报告，按采购人要求出具维修方案，待采购人同意后按维修方案实施维修。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rPr>
                <w:kern w:val="0"/>
              </w:rPr>
            </w:pPr>
            <w:r>
              <w:rPr>
                <w:rFonts w:hint="eastAsia"/>
                <w:kern w:val="0"/>
              </w:rPr>
              <w:t>（3）</w:t>
            </w:r>
            <w:r>
              <w:rPr>
                <w:kern w:val="0"/>
              </w:rPr>
              <w:t>每</w:t>
            </w:r>
            <w:r>
              <w:rPr>
                <w:rFonts w:hint="eastAsia"/>
                <w:kern w:val="0"/>
              </w:rPr>
              <w:t>日</w:t>
            </w:r>
            <w:r>
              <w:rPr>
                <w:kern w:val="0"/>
              </w:rPr>
              <w:t>至少</w:t>
            </w:r>
            <w:r>
              <w:rPr>
                <w:rFonts w:hint="eastAsia"/>
                <w:kern w:val="0"/>
              </w:rPr>
              <w:t>开展</w:t>
            </w:r>
            <w:r>
              <w:rPr>
                <w:kern w:val="0"/>
              </w:rPr>
              <w:t>1次公用部位的门、窗、楼梯、通风道</w:t>
            </w:r>
            <w:r>
              <w:rPr>
                <w:rFonts w:hint="eastAsia"/>
                <w:kern w:val="0"/>
              </w:rPr>
              <w:t>、</w:t>
            </w:r>
            <w:r>
              <w:rPr>
                <w:kern w:val="0"/>
              </w:rPr>
              <w:t>室内地面、墙面、吊顶和室外屋面等巡查</w:t>
            </w:r>
            <w:r>
              <w:rPr>
                <w:rFonts w:hint="eastAsia"/>
                <w:kern w:val="0"/>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（4）</w:t>
            </w:r>
            <w:r>
              <w:rPr>
                <w:kern w:val="0"/>
              </w:rPr>
              <w:t>每</w:t>
            </w:r>
            <w:r>
              <w:rPr>
                <w:rFonts w:hint="eastAsia"/>
                <w:kern w:val="0"/>
              </w:rPr>
              <w:t>次</w:t>
            </w:r>
            <w:r>
              <w:rPr>
                <w:kern w:val="0"/>
              </w:rPr>
              <w:t>强降雨天气前后、雨雪季节检查屋面防水和雨落管等</w:t>
            </w:r>
            <w:r>
              <w:rPr>
                <w:rFonts w:hint="eastAsia"/>
                <w:kern w:val="0"/>
              </w:rPr>
              <w:t>，发现破损，及时向采购人报告，按采购人要求出具维修方案，待采购人同意后按维修方案实施维修。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（5）</w:t>
            </w:r>
            <w:r>
              <w:t>办公楼外观完好，</w:t>
            </w:r>
            <w:r>
              <w:rPr>
                <w:rFonts w:hint="eastAsia"/>
              </w:rPr>
              <w:t>建筑装饰面</w:t>
            </w:r>
            <w:r>
              <w:t>无脱落</w:t>
            </w:r>
            <w:r>
              <w:rPr>
                <w:rFonts w:hint="eastAsia"/>
              </w:rPr>
              <w:t>、</w:t>
            </w:r>
            <w:r>
              <w:t>无破损</w:t>
            </w:r>
            <w:r>
              <w:rPr>
                <w:rFonts w:hint="eastAsia"/>
              </w:rPr>
              <w:t>、无</w:t>
            </w:r>
            <w:r>
              <w:t>污渍</w:t>
            </w:r>
            <w:r>
              <w:rPr>
                <w:rFonts w:hint="eastAsia"/>
              </w:rPr>
              <w:t>，</w:t>
            </w:r>
            <w:r>
              <w:t>玻璃幕墙清洁明亮、无破损</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（6）</w:t>
            </w:r>
            <w:r>
              <w:rPr>
                <w:rFonts w:hint="eastAsia"/>
              </w:rPr>
              <w:t>通道、楼梯、</w:t>
            </w:r>
            <w:r>
              <w:t>门窗等设施的完好和正常使用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（7）其它参照“5.物业管理服务人员需求”标准中的岗位职责，落实相应工作。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shd w:val="clear" w:color="auto" w:fill="auto"/>
            <w:vAlign w:val="center"/>
          </w:tcPr>
          <w:p>
            <w:pPr>
              <w:widowControl/>
              <w:jc w:val="center"/>
            </w:pPr>
            <w:r>
              <w:rPr>
                <w:rFonts w:hint="eastAsia"/>
              </w:rPr>
              <w:t>2</w:t>
            </w:r>
          </w:p>
        </w:tc>
        <w:tc>
          <w:tcPr>
            <w:tcW w:w="3319" w:type="dxa"/>
            <w:vMerge w:val="restart"/>
            <w:shd w:val="clear" w:color="auto" w:fill="auto"/>
            <w:vAlign w:val="center"/>
          </w:tcPr>
          <w:p>
            <w:pPr>
              <w:widowControl/>
            </w:pPr>
            <w:r>
              <w:rPr>
                <w:rFonts w:hint="eastAsia"/>
              </w:rPr>
              <w:t>其他设施</w:t>
            </w:r>
          </w:p>
        </w:tc>
        <w:tc>
          <w:tcPr>
            <w:tcW w:w="10000" w:type="dxa"/>
            <w:shd w:val="clear" w:color="auto" w:fill="auto"/>
            <w:vAlign w:val="center"/>
          </w:tcPr>
          <w:p>
            <w:pPr>
              <w:widowControl/>
              <w:jc w:val="left"/>
            </w:pPr>
            <w:r>
              <w:rPr>
                <w:rFonts w:hint="eastAsia"/>
                <w:kern w:val="0"/>
              </w:rPr>
              <w:t>（1）每日至少开展1次大门、围墙、道路、场地、管井、沟渠等巡查，每日至少检查1次雨污水管井、化粪池等巡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（2）每年至少开展1次防雷装置检测，发现失效，及时向采购人报告，按采购人要求出具维修方案，待采购人同意后按维修方案实施维修。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（3）</w:t>
            </w:r>
            <w:r>
              <w:t>路面状态良好，地漏通畅不堵塞</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rPr>
                <w:kern w:val="0"/>
              </w:rPr>
            </w:pPr>
            <w:r>
              <w:rPr>
                <w:rFonts w:hint="eastAsia"/>
                <w:kern w:val="0"/>
              </w:rPr>
              <w:t>（4）接到采购人家具报修服务后，及时通知家具供货商对保修期内的家具进行维修，及时对保修期外的家具进行维修。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rPr>
                <w:kern w:val="0"/>
              </w:rPr>
            </w:pPr>
            <w:r>
              <w:rPr>
                <w:rFonts w:hint="eastAsia"/>
                <w:kern w:val="0"/>
              </w:rPr>
              <w:t>（5）其它参照“5.物业管理服务人员需求”标准中的岗位职责，落实相应工作。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shd w:val="clear" w:color="auto" w:fill="auto"/>
            <w:vAlign w:val="center"/>
          </w:tcPr>
          <w:p>
            <w:pPr>
              <w:widowControl/>
              <w:jc w:val="center"/>
            </w:pPr>
            <w:r>
              <w:rPr>
                <w:rFonts w:hint="eastAsia"/>
              </w:rPr>
              <w:t>3</w:t>
            </w:r>
          </w:p>
        </w:tc>
        <w:tc>
          <w:tcPr>
            <w:tcW w:w="3319" w:type="dxa"/>
            <w:vMerge w:val="restart"/>
            <w:shd w:val="clear" w:color="auto" w:fill="auto"/>
            <w:vAlign w:val="center"/>
          </w:tcPr>
          <w:p>
            <w:pPr>
              <w:widowControl/>
            </w:pPr>
            <w:r>
              <w:t>装饰装修</w:t>
            </w:r>
            <w:r>
              <w:rPr>
                <w:rFonts w:hint="eastAsia"/>
              </w:rPr>
              <w:t>监督</w:t>
            </w:r>
            <w:r>
              <w:t>管理</w:t>
            </w:r>
          </w:p>
        </w:tc>
        <w:tc>
          <w:tcPr>
            <w:tcW w:w="10000" w:type="dxa"/>
            <w:shd w:val="clear" w:color="auto" w:fill="auto"/>
            <w:vAlign w:val="center"/>
          </w:tcPr>
          <w:p>
            <w:pPr>
              <w:widowControl/>
              <w:jc w:val="left"/>
            </w:pPr>
            <w:r>
              <w:rPr>
                <w:rFonts w:hint="eastAsia"/>
                <w:kern w:val="0"/>
              </w:rPr>
              <w:t>（1）装饰装修前，供应商应当与采购人或采购人委托的装修企业签订装饰装修管理服务协议，告知装饰装修须知，并对装饰装修过程进行管理服务。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（2）根据协议内容，做好装修垃圾临时堆放、清运等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（3）</w:t>
            </w:r>
            <w:r>
              <w:rPr>
                <w:rFonts w:hint="eastAsia"/>
              </w:rPr>
              <w:t>受</w:t>
            </w:r>
            <w:r>
              <w:rPr>
                <w:rFonts w:hint="eastAsia"/>
                <w:kern w:val="0"/>
              </w:rPr>
              <w:t>采购人</w:t>
            </w:r>
            <w:r>
              <w:rPr>
                <w:rFonts w:hint="eastAsia"/>
              </w:rPr>
              <w:t>委托</w:t>
            </w:r>
            <w:r>
              <w:t>对房屋内装修进行严格的监督管理</w:t>
            </w:r>
            <w:r>
              <w:rPr>
                <w:rFonts w:hint="eastAsia"/>
              </w:rPr>
              <w:t>，发现问题及时上报，</w:t>
            </w:r>
            <w:r>
              <w:t>确保不因装修而危及大楼结构安全、人身安全和影响正常办公秩序</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rPr>
                <w:kern w:val="0"/>
              </w:rPr>
            </w:pPr>
            <w:r>
              <w:rPr>
                <w:rFonts w:hint="eastAsia"/>
                <w:kern w:val="0"/>
              </w:rPr>
              <w:t>（4）按照采购人管理制度严格贯彻落实。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shd w:val="clear" w:color="auto" w:fill="auto"/>
            <w:vAlign w:val="center"/>
          </w:tcPr>
          <w:p>
            <w:pPr>
              <w:widowControl/>
              <w:jc w:val="center"/>
            </w:pPr>
            <w:r>
              <w:rPr>
                <w:rFonts w:hint="eastAsia"/>
              </w:rPr>
              <w:t>4</w:t>
            </w:r>
          </w:p>
        </w:tc>
        <w:tc>
          <w:tcPr>
            <w:tcW w:w="3319" w:type="dxa"/>
            <w:vMerge w:val="restart"/>
            <w:shd w:val="clear" w:color="auto" w:fill="auto"/>
            <w:vAlign w:val="center"/>
          </w:tcPr>
          <w:p>
            <w:pPr>
              <w:widowControl/>
            </w:pPr>
            <w:r>
              <w:t>标识标牌</w:t>
            </w:r>
          </w:p>
        </w:tc>
        <w:tc>
          <w:tcPr>
            <w:tcW w:w="10000" w:type="dxa"/>
            <w:shd w:val="clear" w:color="auto" w:fill="auto"/>
            <w:vAlign w:val="center"/>
          </w:tcPr>
          <w:p>
            <w:pPr>
              <w:widowControl/>
              <w:jc w:val="left"/>
            </w:pPr>
            <w:r>
              <w:rPr>
                <w:rFonts w:hint="eastAsia"/>
                <w:kern w:val="0"/>
              </w:rPr>
              <w:t>（1）标识标牌符合《公共信息图形符号 第1部分：通用符号》（GB/T 10001.1）的相关要求，消防与安全标识符合《安全标志及其使用导则》（GB2894）、《消防安全标志　第1部分：标志》（GB13495.1）的相关要求。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rPr>
                <w:kern w:val="0"/>
              </w:rPr>
            </w:pPr>
            <w:r>
              <w:rPr>
                <w:rFonts w:hint="eastAsia"/>
                <w:kern w:val="0"/>
              </w:rPr>
              <w:t>（2）每日至少检查1次标识标牌和消防与安全标识。应当规范清晰、路线指引正确、安装稳固。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shd w:val="clear" w:color="auto" w:fill="auto"/>
            <w:vAlign w:val="center"/>
          </w:tcPr>
          <w:p>
            <w:pPr>
              <w:widowControl/>
              <w:jc w:val="center"/>
            </w:pPr>
          </w:p>
        </w:tc>
        <w:tc>
          <w:tcPr>
            <w:tcW w:w="3319" w:type="dxa"/>
            <w:vMerge w:val="continue"/>
            <w:shd w:val="clear" w:color="auto" w:fill="auto"/>
            <w:vAlign w:val="center"/>
          </w:tcPr>
          <w:p>
            <w:pPr>
              <w:widowControl/>
            </w:pPr>
          </w:p>
        </w:tc>
        <w:tc>
          <w:tcPr>
            <w:tcW w:w="10000" w:type="dxa"/>
            <w:shd w:val="clear" w:color="auto" w:fill="auto"/>
            <w:vAlign w:val="center"/>
          </w:tcPr>
          <w:p>
            <w:pPr>
              <w:widowControl/>
              <w:jc w:val="left"/>
            </w:pPr>
            <w:r>
              <w:rPr>
                <w:rFonts w:hint="eastAsia"/>
                <w:kern w:val="0"/>
              </w:rPr>
              <w:t>（3）涉及广告入场制作的，应当现场监督，做好稳固措施。</w:t>
            </w:r>
          </w:p>
        </w:tc>
      </w:tr>
    </w:tbl>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hint="eastAsia" w:ascii="Calibri" w:hAnsi="Calibri" w:cs="Calibri"/>
          <w:bCs w:val="0"/>
          <w:sz w:val="21"/>
          <w:szCs w:val="20"/>
        </w:rPr>
        <w:t>3.3公用设施设备维护服务</w:t>
      </w:r>
    </w:p>
    <w:tbl>
      <w:tblPr>
        <w:tblStyle w:val="60"/>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163"/>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widowControl/>
              <w:jc w:val="center"/>
              <w:rPr>
                <w:b/>
                <w:bCs/>
                <w:kern w:val="0"/>
              </w:rPr>
            </w:pPr>
            <w:r>
              <w:rPr>
                <w:rFonts w:hint="eastAsia"/>
                <w:b/>
                <w:bCs/>
                <w:kern w:val="0"/>
              </w:rPr>
              <w:t>序号</w:t>
            </w:r>
          </w:p>
        </w:tc>
        <w:tc>
          <w:tcPr>
            <w:tcW w:w="3348" w:type="dxa"/>
            <w:shd w:val="clear" w:color="auto" w:fill="auto"/>
            <w:vAlign w:val="center"/>
          </w:tcPr>
          <w:p>
            <w:pPr>
              <w:widowControl/>
              <w:jc w:val="center"/>
              <w:rPr>
                <w:b/>
                <w:bCs/>
                <w:kern w:val="0"/>
              </w:rPr>
            </w:pPr>
            <w:r>
              <w:rPr>
                <w:b/>
                <w:bCs/>
                <w:kern w:val="0"/>
              </w:rPr>
              <w:t>服务内容</w:t>
            </w:r>
          </w:p>
        </w:tc>
        <w:tc>
          <w:tcPr>
            <w:tcW w:w="10020" w:type="dxa"/>
            <w:shd w:val="clear" w:color="auto" w:fill="auto"/>
            <w:vAlign w:val="center"/>
          </w:tcPr>
          <w:p>
            <w:pPr>
              <w:widowControl/>
              <w:jc w:val="center"/>
              <w:rPr>
                <w:b/>
                <w:bCs/>
                <w:kern w:val="0"/>
              </w:rPr>
            </w:pPr>
            <w:r>
              <w:rPr>
                <w:rFonts w:hint="eastAsia"/>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1</w:t>
            </w:r>
          </w:p>
        </w:tc>
        <w:tc>
          <w:tcPr>
            <w:tcW w:w="3348" w:type="dxa"/>
            <w:vMerge w:val="restart"/>
            <w:shd w:val="clear" w:color="auto" w:fill="auto"/>
            <w:vAlign w:val="center"/>
          </w:tcPr>
          <w:p>
            <w:pPr>
              <w:widowControl/>
            </w:pPr>
            <w:r>
              <w:t>基本要求</w:t>
            </w:r>
          </w:p>
        </w:tc>
        <w:tc>
          <w:tcPr>
            <w:tcW w:w="10020" w:type="dxa"/>
            <w:shd w:val="clear" w:color="auto" w:fill="auto"/>
            <w:vAlign w:val="center"/>
          </w:tcPr>
          <w:p>
            <w:pPr>
              <w:widowControl/>
              <w:jc w:val="left"/>
              <w:rPr>
                <w:kern w:val="0"/>
              </w:rPr>
            </w:pPr>
            <w:r>
              <w:rPr>
                <w:rFonts w:hint="eastAsia"/>
                <w:kern w:val="0"/>
              </w:rPr>
              <w:t>（1）重大节假日及恶劣天气前后，组织系统巡检1次。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（2）具备设施设备安全、稳定运行的环境和场所（含有限空间），温湿度、照度、粉尘和烟雾浓度等符合相关安全规范。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shd w:val="clear" w:color="auto" w:fill="auto"/>
            <w:vAlign w:val="center"/>
          </w:tcPr>
          <w:p>
            <w:pPr>
              <w:widowControl/>
              <w:jc w:val="center"/>
            </w:pPr>
            <w:r>
              <w:rPr>
                <w:rFonts w:hint="eastAsia"/>
              </w:rPr>
              <w:t>2</w:t>
            </w:r>
          </w:p>
        </w:tc>
        <w:tc>
          <w:tcPr>
            <w:tcW w:w="3348" w:type="dxa"/>
            <w:vMerge w:val="restart"/>
            <w:shd w:val="clear" w:color="auto" w:fill="auto"/>
            <w:vAlign w:val="center"/>
          </w:tcPr>
          <w:p>
            <w:pPr>
              <w:widowControl/>
            </w:pPr>
            <w:r>
              <w:t>设备机房</w:t>
            </w:r>
          </w:p>
        </w:tc>
        <w:tc>
          <w:tcPr>
            <w:tcW w:w="10020" w:type="dxa"/>
            <w:shd w:val="clear" w:color="auto" w:fill="auto"/>
            <w:vAlign w:val="center"/>
          </w:tcPr>
          <w:p>
            <w:pPr>
              <w:widowControl/>
              <w:jc w:val="left"/>
              <w:rPr>
                <w:kern w:val="0"/>
              </w:rPr>
            </w:pPr>
            <w:r>
              <w:rPr>
                <w:rFonts w:hint="eastAsia"/>
                <w:kern w:val="0"/>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（2）设备机房门窗、锁具应当完好、有效。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（3）每周至少开展1次清洁，整洁有序、无杂物、无积尘、无鼠、无虫害，每日至少开展1次温湿度符合设备运行要求的检查。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（4）按各设备机房国家标准规范规定维护/保管消防、通风、应急照明，防止小动物进入。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（5）安全防护用具配置齐全，检验合格。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（6）应急设施设备用品应当齐全、完备，可随时启用。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（7）其它参照“5.物业管理服务人员需求”标准中的岗位职责，落实相应工作。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3</w:t>
            </w:r>
          </w:p>
        </w:tc>
        <w:tc>
          <w:tcPr>
            <w:tcW w:w="3348" w:type="dxa"/>
            <w:vMerge w:val="restart"/>
            <w:shd w:val="clear" w:color="auto" w:fill="auto"/>
            <w:vAlign w:val="center"/>
          </w:tcPr>
          <w:p>
            <w:pPr>
              <w:widowControl/>
            </w:pPr>
            <w:r>
              <w:t>给排水系统</w:t>
            </w:r>
          </w:p>
        </w:tc>
        <w:tc>
          <w:tcPr>
            <w:tcW w:w="10020" w:type="dxa"/>
            <w:shd w:val="clear" w:color="auto" w:fill="auto"/>
            <w:vAlign w:val="center"/>
          </w:tcPr>
          <w:p>
            <w:pPr>
              <w:widowControl/>
              <w:jc w:val="left"/>
              <w:rPr>
                <w:kern w:val="0"/>
              </w:rPr>
            </w:pPr>
            <w:r>
              <w:rPr>
                <w:rFonts w:hint="eastAsia"/>
                <w:kern w:val="0"/>
              </w:rPr>
              <w:t>（1）对接相关单位确保生活饮用水卫生符合《生活饮用水卫生标准》（GB5749）的相关要求。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（2）对接相关单位确保二次供水卫生符合《二次供水设施卫生规范》（GB17051）的相关要求。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（3）设施设备、阀门、管道等运行正常，无跑、冒、滴、漏现象。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（4）有水泵房、水箱间的，每日至少巡视1次。每年至少养护1次水泵。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（5）遇供水单位限水、停水，按规定时间通知采购人。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（6）每季度至少开展1次对排水管进行疏通、清污，保证室内外排水系统通畅。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（7）其它参照“5.物业管理服务人员需求”标准中的岗位职责，落实相应工作。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4</w:t>
            </w:r>
          </w:p>
        </w:tc>
        <w:tc>
          <w:tcPr>
            <w:tcW w:w="3348" w:type="dxa"/>
            <w:vMerge w:val="restart"/>
            <w:shd w:val="clear" w:color="auto" w:fill="auto"/>
            <w:vAlign w:val="center"/>
          </w:tcPr>
          <w:p>
            <w:pPr>
              <w:widowControl/>
            </w:pPr>
            <w:r>
              <w:rPr>
                <w:rFonts w:hint="eastAsia"/>
              </w:rPr>
              <w:t>电梯系统</w:t>
            </w:r>
          </w:p>
        </w:tc>
        <w:tc>
          <w:tcPr>
            <w:tcW w:w="10020" w:type="dxa"/>
            <w:shd w:val="clear" w:color="auto" w:fill="auto"/>
            <w:vAlign w:val="center"/>
          </w:tcPr>
          <w:p>
            <w:pPr>
              <w:widowControl/>
              <w:jc w:val="left"/>
              <w:rPr>
                <w:kern w:val="0"/>
              </w:rPr>
            </w:pPr>
            <w:r>
              <w:rPr>
                <w:rFonts w:hint="eastAsia"/>
                <w:kern w:val="0"/>
              </w:rPr>
              <w:t>（1）电梯运行平稳、无异响、平层、开关正常。每日至少开展1次电梯的安全状况检查。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（2）电梯准用证、年检合格证等证件齐全。相关证件、紧急救援电话和乘客注意事项置于轿厢醒目位置。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（3）每年至少开展1次对电梯的全面检测，并出具检测报告，核发电梯使用标志。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（4）对接维保公司确保电梯维保应当符合《电梯维护保养规则》（TSG T5002）的有关要求。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（5）对接维保公司确保电梯使用应当符合《特种设备使用管理规则》（TSG 08）的有关要求。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（6）有电梯突发事件或事故的应急措施与救援预案，每年至少开展演练1次。电梯出现故障，物业服务人员10分钟内到场应急处理，维保专业人员30分钟内到场应急处理。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（7）到场进行救助和排除故障。电梯紧急电话保持畅通。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（8）电梯维修、保养时在现场设置提示标识和防护围栏。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（9）根据采购人需求，合理设置电梯开启的数量、时间。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（10）其它参照“5.物业管理服务人员需求”标准中的岗位职责，落实相应工作。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5</w:t>
            </w:r>
          </w:p>
        </w:tc>
        <w:tc>
          <w:tcPr>
            <w:tcW w:w="3348" w:type="dxa"/>
            <w:vMerge w:val="restart"/>
            <w:shd w:val="clear" w:color="auto" w:fill="auto"/>
            <w:vAlign w:val="center"/>
          </w:tcPr>
          <w:p>
            <w:pPr>
              <w:widowControl/>
            </w:pPr>
            <w:r>
              <w:t>空调系统</w:t>
            </w:r>
          </w:p>
        </w:tc>
        <w:tc>
          <w:tcPr>
            <w:tcW w:w="10020" w:type="dxa"/>
            <w:shd w:val="clear" w:color="auto" w:fill="auto"/>
            <w:vAlign w:val="center"/>
          </w:tcPr>
          <w:p>
            <w:pPr>
              <w:widowControl/>
              <w:jc w:val="left"/>
            </w:pPr>
            <w:r>
              <w:rPr>
                <w:rFonts w:hint="eastAsia"/>
                <w:kern w:val="0"/>
              </w:rPr>
              <w:t>（1）空调通风系统运行管理符合《空调通风系统运行管理标准》（GB50365）的相关要求。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（2）办公楼内温湿度、空气质量等符合《室内空气质量标准》（GB/T18883）的相关要求。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（3）定期维保并做好记录，保证空调设施设备处于良好状态。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（4）中央空调运行前对冷水机组、循环水泵、冷却塔、风机等设施设备进行系统检查，运行期间每日至少开展1次运行情况巡查。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（5）每半年至少开展1次管道、阀门检查并除锈。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（6）每年至少开展1次系统整体性维修养护，检验1次压力容器、仪表及冷却塔噪声。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（7）每年至少开展1次新风机、空气处理机滤网等清洗消毒；每1年至少开展1次风管清洗消毒。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（8）每年至少开展1次分体式空调主机（含空调过滤网）和室外机清洁。每日至少开展1次挂机和室外支架稳固性巡查。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pPr>
            <w:r>
              <w:rPr>
                <w:rFonts w:hint="eastAsia"/>
                <w:kern w:val="0"/>
              </w:rPr>
              <w:t>（9）制冷、供暖系统温度设定及启用时间符合节能要求。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（10）</w:t>
            </w:r>
            <w:r>
              <w:t>发现故障或损坏应</w:t>
            </w:r>
            <w:r>
              <w:rPr>
                <w:rFonts w:hint="eastAsia"/>
              </w:rPr>
              <w:t>当</w:t>
            </w:r>
            <w:r>
              <w:t>在30分钟内到场，紧急维修</w:t>
            </w:r>
            <w:r>
              <w:rPr>
                <w:rFonts w:hint="eastAsia"/>
              </w:rPr>
              <w:t>应当在</w:t>
            </w:r>
            <w:r>
              <w:t>15分钟内到达现场</w:t>
            </w:r>
            <w:r>
              <w:rPr>
                <w:rFonts w:hint="eastAsia"/>
              </w:rPr>
              <w:t>，在</w:t>
            </w:r>
            <w:r>
              <w:t>12小时内维修完毕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（11）其它参照“5.物业管理服务人员需求”标准中的岗位职责，落实相应工作。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6</w:t>
            </w:r>
          </w:p>
        </w:tc>
        <w:tc>
          <w:tcPr>
            <w:tcW w:w="3348" w:type="dxa"/>
            <w:vMerge w:val="restart"/>
            <w:shd w:val="clear" w:color="auto" w:fill="auto"/>
            <w:vAlign w:val="center"/>
          </w:tcPr>
          <w:p>
            <w:pPr>
              <w:widowControl/>
            </w:pPr>
            <w:r>
              <w:t>消防系统</w:t>
            </w:r>
          </w:p>
        </w:tc>
        <w:tc>
          <w:tcPr>
            <w:tcW w:w="10020" w:type="dxa"/>
            <w:shd w:val="clear" w:color="auto" w:fill="auto"/>
            <w:vAlign w:val="center"/>
          </w:tcPr>
          <w:p>
            <w:pPr>
              <w:widowControl/>
              <w:jc w:val="left"/>
              <w:rPr>
                <w:kern w:val="0"/>
              </w:rPr>
            </w:pPr>
            <w:r>
              <w:rPr>
                <w:rFonts w:hint="eastAsia"/>
                <w:kern w:val="0"/>
              </w:rPr>
              <w:t>（1）对接维保公司确保消防设施的维护管理符合《建筑消防设施的维护管理》（GB25201）的相关要求。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（2）对接维保公司确保消防设备检测符合《建筑消防设施检测技术规程》（GA503或XF503）的相关要求。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（3）消防设施平面图、火警疏散示意图、防火分区图等按幢设置在楼层醒目位置。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（4）消防系统各设施设备使用说明清晰，宜图文结合。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（5）日常巡查自动喷水灭火系统启动是否正常。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（6）日常巡查消火栓箱、防火门、灭火器、消防水泵、红外线报警器、应急照明、安全疏散等系统运行是否正常。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（7）日常巡查消防监控系统运行良好，自动和手动报警设施启动是否正常。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（8）日常巡查正压送风、防排烟系统运行是否正常。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（9）其它参照“5.物业管理服务人员需求”标准中的岗位职责，落实相应工作。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7</w:t>
            </w:r>
          </w:p>
        </w:tc>
        <w:tc>
          <w:tcPr>
            <w:tcW w:w="3348" w:type="dxa"/>
            <w:vMerge w:val="restart"/>
            <w:shd w:val="clear" w:color="auto" w:fill="auto"/>
            <w:vAlign w:val="center"/>
          </w:tcPr>
          <w:p>
            <w:pPr>
              <w:widowControl/>
            </w:pPr>
            <w:r>
              <w:t>供配电系统</w:t>
            </w:r>
          </w:p>
        </w:tc>
        <w:tc>
          <w:tcPr>
            <w:tcW w:w="10020" w:type="dxa"/>
            <w:shd w:val="clear" w:color="auto" w:fill="auto"/>
            <w:vAlign w:val="center"/>
          </w:tcPr>
          <w:p>
            <w:pPr>
              <w:widowControl/>
              <w:jc w:val="left"/>
              <w:rPr>
                <w:kern w:val="0"/>
              </w:rPr>
            </w:pPr>
            <w:r>
              <w:rPr>
                <w:rFonts w:hint="eastAsia"/>
                <w:kern w:val="0"/>
              </w:rPr>
              <w:t>（1）建立24小时运行值班监控制度。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（2）对供电范围内的电气设备定期巡视维护，加强高低压配电柜、配电箱、控制柜及线路等重点部位监测。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（3）公共使用的照明、指示灯具线路、开关、接地等保持完好，确保用电安全。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（4）核心部位用电建立高可控用电保障和配备应急发电设备，定期维护应急发电设备。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（5）发生非计划性停电的，应当在事件发生后及时通知采购人，快速恢复或启用应急电源，并做好应急事件上报及处理工作。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（6）复杂故障涉及供电部门维修处置的及时与供电部门联系，并向采购人报告。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（7）其它参照“5.物业管理服务人员需求”标准中的岗位职责，落实相应工作。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8</w:t>
            </w:r>
          </w:p>
        </w:tc>
        <w:tc>
          <w:tcPr>
            <w:tcW w:w="3348" w:type="dxa"/>
            <w:vMerge w:val="restart"/>
            <w:shd w:val="clear" w:color="auto" w:fill="auto"/>
            <w:vAlign w:val="center"/>
          </w:tcPr>
          <w:p>
            <w:pPr>
              <w:widowControl/>
            </w:pPr>
            <w:r>
              <w:t>弱电系统</w:t>
            </w:r>
          </w:p>
        </w:tc>
        <w:tc>
          <w:tcPr>
            <w:tcW w:w="10020" w:type="dxa"/>
            <w:shd w:val="clear" w:color="auto" w:fill="auto"/>
            <w:vAlign w:val="center"/>
          </w:tcPr>
          <w:p>
            <w:pPr>
              <w:widowControl/>
              <w:jc w:val="left"/>
              <w:rPr>
                <w:kern w:val="0"/>
              </w:rPr>
            </w:pPr>
            <w:r>
              <w:rPr>
                <w:rFonts w:hint="eastAsia"/>
                <w:kern w:val="0"/>
              </w:rPr>
              <w:t>（1）对接维保公司确保安全防范系统维护保养符合《安全防范系统维护保养规范》（GA/T 1081）的相关要求。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（2）保持监控系统、门禁系统、安全防范系统等运行正常，有故障及时排除。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shd w:val="clear" w:color="auto" w:fill="auto"/>
            <w:vAlign w:val="center"/>
          </w:tcPr>
          <w:p>
            <w:pPr>
              <w:widowControl/>
              <w:jc w:val="center"/>
            </w:pPr>
            <w:r>
              <w:rPr>
                <w:rFonts w:hint="eastAsia"/>
              </w:rPr>
              <w:t>9</w:t>
            </w:r>
          </w:p>
        </w:tc>
        <w:tc>
          <w:tcPr>
            <w:tcW w:w="3348" w:type="dxa"/>
            <w:vMerge w:val="restart"/>
            <w:shd w:val="clear" w:color="auto" w:fill="auto"/>
            <w:vAlign w:val="center"/>
          </w:tcPr>
          <w:p>
            <w:pPr>
              <w:widowControl/>
            </w:pPr>
            <w:r>
              <w:t>照明系统</w:t>
            </w:r>
          </w:p>
        </w:tc>
        <w:tc>
          <w:tcPr>
            <w:tcW w:w="10020" w:type="dxa"/>
            <w:shd w:val="clear" w:color="auto" w:fill="auto"/>
            <w:vAlign w:val="center"/>
          </w:tcPr>
          <w:p>
            <w:pPr>
              <w:widowControl/>
              <w:jc w:val="left"/>
              <w:rPr>
                <w:kern w:val="0"/>
              </w:rPr>
            </w:pPr>
            <w:r>
              <w:rPr>
                <w:rFonts w:hint="eastAsia"/>
                <w:kern w:val="0"/>
              </w:rPr>
              <w:t>（1）外观整洁无缺损、无松落。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（2）更换的照明灯具应当选用节能环保产品，亮度与更换前保持一致。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（3）每日至少开展1次公共区域照明设备巡视。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shd w:val="clear" w:color="auto" w:fill="auto"/>
            <w:vAlign w:val="center"/>
          </w:tcPr>
          <w:p>
            <w:pPr>
              <w:widowControl/>
              <w:jc w:val="center"/>
            </w:pPr>
          </w:p>
        </w:tc>
        <w:tc>
          <w:tcPr>
            <w:tcW w:w="3348" w:type="dxa"/>
            <w:vMerge w:val="continue"/>
            <w:shd w:val="clear" w:color="auto" w:fill="auto"/>
            <w:vAlign w:val="center"/>
          </w:tcPr>
          <w:p>
            <w:pPr>
              <w:widowControl/>
            </w:pPr>
          </w:p>
        </w:tc>
        <w:tc>
          <w:tcPr>
            <w:tcW w:w="10020" w:type="dxa"/>
            <w:shd w:val="clear" w:color="auto" w:fill="auto"/>
            <w:vAlign w:val="center"/>
          </w:tcPr>
          <w:p>
            <w:pPr>
              <w:widowControl/>
              <w:jc w:val="left"/>
              <w:rPr>
                <w:kern w:val="0"/>
              </w:rPr>
            </w:pPr>
            <w:r>
              <w:rPr>
                <w:rFonts w:hint="eastAsia"/>
                <w:kern w:val="0"/>
              </w:rPr>
              <w:t>（4）其它参照“5.物业管理服务人员需求”标准中的岗位职责，落实相应工作。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widowControl/>
              <w:jc w:val="center"/>
            </w:pPr>
            <w:r>
              <w:rPr>
                <w:rFonts w:hint="eastAsia"/>
              </w:rPr>
              <w:t>10</w:t>
            </w:r>
          </w:p>
        </w:tc>
        <w:tc>
          <w:tcPr>
            <w:tcW w:w="3348" w:type="dxa"/>
            <w:shd w:val="clear" w:color="auto" w:fill="auto"/>
            <w:vAlign w:val="center"/>
          </w:tcPr>
          <w:p>
            <w:pPr>
              <w:widowControl/>
            </w:pPr>
            <w:r>
              <w:t>锅炉设备/热力站</w:t>
            </w:r>
            <w:r>
              <w:rPr>
                <w:rFonts w:hint="eastAsia"/>
              </w:rPr>
              <w:t xml:space="preserve">    </w:t>
            </w:r>
            <w:r>
              <w:rPr>
                <w:rFonts w:hint="eastAsia" w:ascii="楷体" w:hAnsi="楷体" w:eastAsia="楷体" w:cs="楷体"/>
                <w:b/>
                <w:bCs/>
              </w:rPr>
              <w:t xml:space="preserve"> </w:t>
            </w:r>
          </w:p>
        </w:tc>
        <w:tc>
          <w:tcPr>
            <w:tcW w:w="10020" w:type="dxa"/>
            <w:shd w:val="clear" w:color="auto" w:fill="auto"/>
            <w:vAlign w:val="center"/>
          </w:tcPr>
          <w:p>
            <w:pPr>
              <w:widowControl/>
              <w:ind w:firstLine="210" w:firstLineChars="100"/>
              <w:jc w:val="left"/>
              <w:rPr>
                <w:kern w:val="0"/>
              </w:rPr>
            </w:pPr>
            <w:r>
              <w:rPr>
                <w:rFonts w:hint="eastAsia"/>
                <w:kern w:val="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shd w:val="clear" w:color="auto" w:fill="auto"/>
            <w:vAlign w:val="center"/>
          </w:tcPr>
          <w:p>
            <w:pPr>
              <w:widowControl/>
              <w:jc w:val="center"/>
            </w:pPr>
            <w:r>
              <w:rPr>
                <w:rFonts w:hint="eastAsia"/>
              </w:rPr>
              <w:t>11</w:t>
            </w:r>
          </w:p>
        </w:tc>
        <w:tc>
          <w:tcPr>
            <w:tcW w:w="3348" w:type="dxa"/>
            <w:shd w:val="clear" w:color="auto" w:fill="auto"/>
            <w:vAlign w:val="center"/>
          </w:tcPr>
          <w:p>
            <w:pPr>
              <w:widowControl/>
            </w:pPr>
            <w:r>
              <w:rPr>
                <w:rFonts w:hint="eastAsia"/>
              </w:rPr>
              <w:t xml:space="preserve">采暖系统     </w:t>
            </w:r>
          </w:p>
        </w:tc>
        <w:tc>
          <w:tcPr>
            <w:tcW w:w="10020" w:type="dxa"/>
            <w:shd w:val="clear" w:color="auto" w:fill="auto"/>
            <w:vAlign w:val="center"/>
          </w:tcPr>
          <w:p>
            <w:pPr>
              <w:widowControl/>
              <w:ind w:firstLine="210" w:firstLineChars="100"/>
              <w:jc w:val="left"/>
              <w:rPr>
                <w:kern w:val="0"/>
              </w:rPr>
            </w:pPr>
            <w:r>
              <w:rPr>
                <w:rFonts w:hint="eastAsia"/>
                <w:kern w:val="0"/>
              </w:rPr>
              <w:t>不涉及</w:t>
            </w:r>
          </w:p>
        </w:tc>
      </w:tr>
    </w:tbl>
    <w:p>
      <w:pPr>
        <w:rPr>
          <w:rFonts w:ascii="楷体" w:hAnsi="楷体" w:eastAsia="楷体" w:cs="楷体"/>
        </w:rPr>
      </w:pPr>
    </w:p>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ascii="Calibri" w:hAnsi="Calibri" w:cs="Calibri"/>
          <w:bCs w:val="0"/>
          <w:sz w:val="21"/>
          <w:szCs w:val="20"/>
        </w:rPr>
        <w:t>3.4保洁服务</w:t>
      </w:r>
    </w:p>
    <w:tbl>
      <w:tblPr>
        <w:tblStyle w:val="60"/>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78"/>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shd w:val="clear" w:color="auto" w:fill="auto"/>
            <w:vAlign w:val="center"/>
          </w:tcPr>
          <w:p>
            <w:pPr>
              <w:widowControl/>
              <w:jc w:val="center"/>
              <w:rPr>
                <w:b/>
                <w:bCs/>
                <w:kern w:val="0"/>
              </w:rPr>
            </w:pPr>
            <w:r>
              <w:rPr>
                <w:rFonts w:hint="eastAsia"/>
                <w:b/>
                <w:bCs/>
                <w:kern w:val="0"/>
              </w:rPr>
              <w:t>序号</w:t>
            </w:r>
          </w:p>
        </w:tc>
        <w:tc>
          <w:tcPr>
            <w:tcW w:w="3372" w:type="dxa"/>
            <w:shd w:val="clear" w:color="auto" w:fill="auto"/>
            <w:vAlign w:val="center"/>
          </w:tcPr>
          <w:p>
            <w:pPr>
              <w:widowControl/>
              <w:jc w:val="center"/>
              <w:rPr>
                <w:b/>
                <w:bCs/>
                <w:kern w:val="0"/>
              </w:rPr>
            </w:pPr>
            <w:r>
              <w:rPr>
                <w:b/>
                <w:bCs/>
                <w:kern w:val="0"/>
              </w:rPr>
              <w:t>服务内容</w:t>
            </w:r>
          </w:p>
        </w:tc>
        <w:tc>
          <w:tcPr>
            <w:tcW w:w="9978" w:type="dxa"/>
            <w:shd w:val="clear" w:color="auto" w:fill="auto"/>
            <w:vAlign w:val="center"/>
          </w:tcPr>
          <w:p>
            <w:pPr>
              <w:widowControl/>
              <w:jc w:val="center"/>
              <w:rPr>
                <w:b/>
                <w:bCs/>
                <w:kern w:val="0"/>
              </w:rPr>
            </w:pPr>
            <w:r>
              <w:rPr>
                <w:rFonts w:hint="eastAsia"/>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shd w:val="clear" w:color="auto" w:fill="auto"/>
            <w:vAlign w:val="center"/>
          </w:tcPr>
          <w:p>
            <w:pPr>
              <w:widowControl/>
              <w:jc w:val="center"/>
            </w:pPr>
            <w:r>
              <w:rPr>
                <w:rFonts w:hint="eastAsia"/>
              </w:rPr>
              <w:t>1</w:t>
            </w:r>
          </w:p>
        </w:tc>
        <w:tc>
          <w:tcPr>
            <w:tcW w:w="3372" w:type="dxa"/>
            <w:vMerge w:val="restart"/>
            <w:shd w:val="clear" w:color="auto" w:fill="auto"/>
            <w:vAlign w:val="center"/>
          </w:tcPr>
          <w:p>
            <w:pPr>
              <w:widowControl/>
            </w:pPr>
            <w:r>
              <w:rPr>
                <w:rFonts w:hint="eastAsia"/>
              </w:rPr>
              <w:t>基本要求</w:t>
            </w:r>
          </w:p>
        </w:tc>
        <w:tc>
          <w:tcPr>
            <w:tcW w:w="9978" w:type="dxa"/>
            <w:shd w:val="clear" w:color="auto" w:fill="auto"/>
            <w:vAlign w:val="center"/>
          </w:tcPr>
          <w:p>
            <w:pPr>
              <w:widowControl/>
              <w:jc w:val="left"/>
              <w:rPr>
                <w:kern w:val="0"/>
              </w:rPr>
            </w:pPr>
            <w:r>
              <w:rPr>
                <w:rFonts w:hint="eastAsia"/>
                <w:kern w:val="0"/>
              </w:rPr>
              <w:t>（1）建立保洁服务的工作制度及工作计划，并按照执行。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（2）做好保洁服务工作记录，记录填写规范、保存完好。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（3）作业时采取安全防护措施，防止对作业人员或他人造成伤害。相关耗材的环保、安全性等应当符合国家相关规定要求。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（4）进入保密区域时，有采购人相关人员全程在场。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（5）其它参照“5.物业管理服务人员需求”标准中的岗位职责，落实相应工作。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shd w:val="clear" w:color="auto" w:fill="auto"/>
            <w:vAlign w:val="center"/>
          </w:tcPr>
          <w:p>
            <w:pPr>
              <w:widowControl/>
              <w:jc w:val="center"/>
            </w:pPr>
            <w:r>
              <w:rPr>
                <w:rFonts w:hint="eastAsia"/>
              </w:rPr>
              <w:t>2</w:t>
            </w:r>
          </w:p>
        </w:tc>
        <w:tc>
          <w:tcPr>
            <w:tcW w:w="3372" w:type="dxa"/>
            <w:vMerge w:val="restart"/>
            <w:shd w:val="clear" w:color="auto" w:fill="auto"/>
            <w:vAlign w:val="center"/>
          </w:tcPr>
          <w:p>
            <w:pPr>
              <w:widowControl/>
            </w:pPr>
            <w:r>
              <w:t>办公用房区域保洁</w:t>
            </w:r>
          </w:p>
        </w:tc>
        <w:tc>
          <w:tcPr>
            <w:tcW w:w="9978" w:type="dxa"/>
            <w:shd w:val="clear" w:color="auto" w:fill="auto"/>
            <w:vAlign w:val="center"/>
          </w:tcPr>
          <w:p>
            <w:pPr>
              <w:widowControl/>
              <w:jc w:val="left"/>
              <w:rPr>
                <w:kern w:val="0"/>
              </w:rPr>
            </w:pPr>
            <w:r>
              <w:rPr>
                <w:rFonts w:hint="eastAsia"/>
                <w:kern w:val="0"/>
              </w:rPr>
              <w:t>（1）大厅、楼内公共通道：</w:t>
            </w:r>
          </w:p>
          <w:p>
            <w:pPr>
              <w:widowControl/>
              <w:ind w:firstLine="210" w:firstLineChars="100"/>
              <w:jc w:val="left"/>
              <w:rPr>
                <w:kern w:val="0"/>
              </w:rPr>
            </w:pPr>
            <w:r>
              <w:rPr>
                <w:rFonts w:hint="eastAsia"/>
                <w:kern w:val="0"/>
              </w:rPr>
              <w:t xml:space="preserve"> ①公共通道保持干净，无异味、无杂物、无积水，每日至少开展1次清洁作业。</w:t>
            </w:r>
          </w:p>
          <w:p>
            <w:pPr>
              <w:widowControl/>
              <w:ind w:firstLine="210" w:firstLineChars="100"/>
              <w:jc w:val="left"/>
              <w:rPr>
                <w:kern w:val="0"/>
              </w:rPr>
            </w:pPr>
            <w:r>
              <w:rPr>
                <w:rFonts w:hint="eastAsia"/>
                <w:kern w:val="0"/>
              </w:rPr>
              <w:t xml:space="preserve"> ②门窗玻璃干净无尘，透光性好，每周至少开展1次清洁作业。</w:t>
            </w:r>
          </w:p>
          <w:p>
            <w:pPr>
              <w:widowControl/>
              <w:ind w:firstLine="210" w:firstLineChars="100"/>
              <w:jc w:val="left"/>
            </w:pPr>
            <w:r>
              <w:rPr>
                <w:rFonts w:hint="eastAsia"/>
                <w:kern w:val="0"/>
              </w:rPr>
              <w:t xml:space="preserve"> ③指示牌干净，无污渍，每日至少开展1次清洁作业。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（2）电器、消防等设施设备：</w:t>
            </w:r>
          </w:p>
          <w:p>
            <w:pPr>
              <w:widowControl/>
              <w:ind w:firstLine="210" w:firstLineChars="100"/>
              <w:jc w:val="left"/>
              <w:rPr>
                <w:kern w:val="0"/>
              </w:rPr>
            </w:pPr>
            <w:r>
              <w:rPr>
                <w:rFonts w:hint="eastAsia"/>
                <w:kern w:val="0"/>
              </w:rPr>
              <w:t xml:space="preserve"> ①配电箱、设备机房、会议室音视频设备、消防栓及开关插座等保持表面干净，无尘无污迹，每月至少开展1次清洁作业。</w:t>
            </w:r>
          </w:p>
          <w:p>
            <w:pPr>
              <w:widowControl/>
              <w:ind w:firstLine="210" w:firstLineChars="100"/>
              <w:jc w:val="left"/>
            </w:pPr>
            <w:r>
              <w:rPr>
                <w:rFonts w:hint="eastAsia"/>
                <w:kern w:val="0"/>
              </w:rPr>
              <w:t xml:space="preserve"> ②监控摄像头、门禁系统等表面光亮，无尘、无斑点，每月至少开展1次清洁作业。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（3）楼梯及楼梯间保持干净、无异味、无杂物、无积水，每日至少开展1次清洁作业。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（4）</w:t>
            </w:r>
            <w:r>
              <w:rPr>
                <w:rFonts w:hint="eastAsia" w:ascii="楷体" w:hAnsi="楷体" w:eastAsia="楷体" w:cs="楷体"/>
              </w:rPr>
              <w:t>接待室</w:t>
            </w:r>
            <w:r>
              <w:rPr>
                <w:rFonts w:hint="eastAsia"/>
                <w:kern w:val="0"/>
              </w:rPr>
              <w:t>保持干净、无异味、无杂物、无积水，每日至少开展1次清洁作业。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（5）作业工具间：</w:t>
            </w:r>
          </w:p>
          <w:p>
            <w:pPr>
              <w:widowControl/>
              <w:ind w:firstLine="210" w:firstLineChars="100"/>
              <w:jc w:val="left"/>
              <w:rPr>
                <w:kern w:val="0"/>
              </w:rPr>
            </w:pPr>
            <w:r>
              <w:rPr>
                <w:rFonts w:hint="eastAsia"/>
                <w:kern w:val="0"/>
              </w:rPr>
              <w:t xml:space="preserve"> ①保持干净，无异味、无杂物、无积水，每日至少开展1次清洁作业。</w:t>
            </w:r>
          </w:p>
          <w:p>
            <w:pPr>
              <w:widowControl/>
              <w:ind w:firstLine="210" w:firstLineChars="100"/>
              <w:jc w:val="left"/>
            </w:pPr>
            <w:r>
              <w:rPr>
                <w:rFonts w:hint="eastAsia"/>
                <w:kern w:val="0"/>
              </w:rPr>
              <w:t xml:space="preserve"> ②作业工具摆放整齐有序，表面干净无渍，每日消毒。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（6）公共卫生间：</w:t>
            </w:r>
          </w:p>
          <w:p>
            <w:pPr>
              <w:widowControl/>
              <w:ind w:firstLine="210" w:firstLineChars="100"/>
              <w:jc w:val="left"/>
              <w:rPr>
                <w:kern w:val="0"/>
              </w:rPr>
            </w:pPr>
            <w:r>
              <w:rPr>
                <w:rFonts w:hint="eastAsia"/>
                <w:kern w:val="0"/>
              </w:rPr>
              <w:t xml:space="preserve"> ①保持干净，无异味，垃圾无溢出，每日至少开展1次清洁作业。</w:t>
            </w:r>
          </w:p>
          <w:p>
            <w:pPr>
              <w:widowControl/>
              <w:ind w:firstLine="210" w:firstLineChars="100"/>
              <w:jc w:val="left"/>
            </w:pPr>
            <w:r>
              <w:rPr>
                <w:rFonts w:hint="eastAsia"/>
                <w:kern w:val="0"/>
              </w:rPr>
              <w:t xml:space="preserve"> ②及时补充厕纸等必要用品。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（7）电梯轿厢：</w:t>
            </w:r>
          </w:p>
          <w:p>
            <w:pPr>
              <w:widowControl/>
              <w:ind w:left="315"/>
              <w:jc w:val="left"/>
              <w:rPr>
                <w:kern w:val="0"/>
              </w:rPr>
            </w:pPr>
            <w:r>
              <w:rPr>
                <w:rFonts w:hint="eastAsia"/>
                <w:kern w:val="0"/>
              </w:rPr>
              <w:t>①保持干净，无污渍、无粘贴物、无异味，每日至少开展1次清洁作业。</w:t>
            </w:r>
          </w:p>
          <w:p>
            <w:pPr>
              <w:widowControl/>
              <w:ind w:left="315"/>
              <w:jc w:val="left"/>
            </w:pPr>
            <w:r>
              <w:rPr>
                <w:rFonts w:hint="eastAsia"/>
                <w:kern w:val="0"/>
              </w:rPr>
              <w:t>②灯具、操作指示板明亮。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（8）平台、屋顶、天沟保持干净，有杂物及时清扫，每月至少开展1次清洁作业。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（9）</w:t>
            </w:r>
            <w:r>
              <w:rPr>
                <w:rFonts w:hint="eastAsia"/>
              </w:rPr>
              <w:t>石材地面、内墙做好养护工作</w:t>
            </w:r>
            <w:r>
              <w:rPr>
                <w:rFonts w:hint="eastAsia"/>
                <w:kern w:val="0"/>
              </w:rPr>
              <w:t>，每季度开展1次清洁作业。（各类材质地面、内墙服务管理标准详见3.4.1）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（10）其它参照“5.物业管理服务人员需求”标准中的岗位职责，落实相应工作。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shd w:val="clear" w:color="auto" w:fill="auto"/>
            <w:vAlign w:val="center"/>
          </w:tcPr>
          <w:p>
            <w:pPr>
              <w:widowControl/>
              <w:jc w:val="center"/>
            </w:pPr>
            <w:r>
              <w:rPr>
                <w:rFonts w:hint="eastAsia"/>
              </w:rPr>
              <w:t>3</w:t>
            </w:r>
          </w:p>
        </w:tc>
        <w:tc>
          <w:tcPr>
            <w:tcW w:w="3372" w:type="dxa"/>
            <w:vMerge w:val="restart"/>
            <w:shd w:val="clear" w:color="auto" w:fill="auto"/>
            <w:vAlign w:val="center"/>
          </w:tcPr>
          <w:p>
            <w:pPr>
              <w:widowControl/>
            </w:pPr>
            <w:r>
              <w:t>公共场地区域保洁</w:t>
            </w:r>
          </w:p>
        </w:tc>
        <w:tc>
          <w:tcPr>
            <w:tcW w:w="9978" w:type="dxa"/>
            <w:shd w:val="clear" w:color="auto" w:fill="auto"/>
            <w:vAlign w:val="center"/>
          </w:tcPr>
          <w:p>
            <w:pPr>
              <w:widowControl/>
              <w:jc w:val="left"/>
            </w:pPr>
            <w:r>
              <w:rPr>
                <w:rFonts w:hint="eastAsia"/>
                <w:kern w:val="0"/>
              </w:rPr>
              <w:t>（1）每日清扫道路地面、停车场等公共区域2次，保持干净、无杂物、无积水。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（2）雪、冰冻等恶劣天气时及时</w:t>
            </w:r>
            <w:r>
              <w:rPr>
                <w:rFonts w:hint="eastAsia" w:ascii="楷体" w:hAnsi="楷体" w:eastAsia="楷体" w:cs="楷体"/>
              </w:rPr>
              <w:t>清扫积水</w:t>
            </w:r>
            <w:r>
              <w:rPr>
                <w:rFonts w:hint="eastAsia"/>
                <w:kern w:val="0"/>
              </w:rPr>
              <w:t>、积雪，并采取安全防护措施。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（3）各种路标、宣传栏等保持干净，每月至少开展1次清洁作业。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（4）清洁室外照明设备，每月至少开展1次清洁作业。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（5）绿地内无杂物、无改变用途和破坏、践踏、占用现象，每日至少开展1次巡查。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（6）</w:t>
            </w:r>
            <w:r>
              <w:rPr>
                <w:rFonts w:hint="eastAsia"/>
              </w:rPr>
              <w:t>办公区外立面定期清洗、2米以上外窗玻璃擦拭，每年</w:t>
            </w:r>
            <w:r>
              <w:rPr>
                <w:rFonts w:hint="eastAsia"/>
                <w:kern w:val="0"/>
              </w:rPr>
              <w:t>至少开展</w:t>
            </w:r>
            <w:r>
              <w:rPr>
                <w:rFonts w:hint="eastAsia"/>
              </w:rPr>
              <w:t>1次清洗。</w:t>
            </w:r>
            <w:r>
              <w:rPr>
                <w:rFonts w:hint="eastAsia"/>
                <w:kern w:val="0"/>
              </w:rPr>
              <w:t>（各类材质外立面服务标准详见3.4.1）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（7）其它参照“5.物业管理服务人员需求”标准中的岗位职责，落实相应工作。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shd w:val="clear" w:color="auto" w:fill="auto"/>
            <w:vAlign w:val="center"/>
          </w:tcPr>
          <w:p>
            <w:pPr>
              <w:widowControl/>
              <w:jc w:val="center"/>
            </w:pPr>
            <w:r>
              <w:rPr>
                <w:rFonts w:hint="eastAsia"/>
              </w:rPr>
              <w:t>4</w:t>
            </w:r>
          </w:p>
        </w:tc>
        <w:tc>
          <w:tcPr>
            <w:tcW w:w="3372" w:type="dxa"/>
            <w:vMerge w:val="restart"/>
            <w:shd w:val="clear" w:color="auto" w:fill="auto"/>
            <w:vAlign w:val="center"/>
          </w:tcPr>
          <w:p>
            <w:pPr>
              <w:widowControl/>
            </w:pPr>
            <w:r>
              <w:t>垃圾处理</w:t>
            </w:r>
          </w:p>
        </w:tc>
        <w:tc>
          <w:tcPr>
            <w:tcW w:w="9978" w:type="dxa"/>
            <w:shd w:val="clear" w:color="auto" w:fill="auto"/>
            <w:vAlign w:val="center"/>
          </w:tcPr>
          <w:p>
            <w:pPr>
              <w:widowControl/>
              <w:jc w:val="left"/>
            </w:pPr>
            <w:r>
              <w:rPr>
                <w:rFonts w:hint="eastAsia"/>
                <w:kern w:val="0"/>
              </w:rPr>
              <w:t>（1）在指定位置摆放分类垃圾桶，并在显著处张贴垃圾分类标识。分类垃圾桶和垃圾分类标识根据所在城市的要求设置。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（2）桶身表面干净无污渍，每日开展至少1次清洁作业。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（3）垃圾中转房保持整洁，无明显异味，每日至少开展1次清洁作业。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（4）化粪池清掏，无明显异味，每年至少开展1次清洁作业。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（5）</w:t>
            </w:r>
            <w:r>
              <w:rPr>
                <w:rFonts w:hint="eastAsia"/>
              </w:rPr>
              <w:t>每日要对楼层产生的垃圾，进行清理分类，并运至垃圾集中堆放点。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（6）垃圾装袋，日产日清。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（7）建立垃圾清运台账，交由规范的渠道回收处理。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pPr>
            <w:r>
              <w:rPr>
                <w:rFonts w:hint="eastAsia"/>
                <w:kern w:val="0"/>
              </w:rPr>
              <w:t>（8）</w:t>
            </w:r>
            <w:r>
              <w:t>做好垃圾分类管理的宣传工作，督促并引导全员参与垃圾分类投放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（9）</w:t>
            </w:r>
            <w:r>
              <w:rPr>
                <w:rFonts w:hint="eastAsia"/>
              </w:rPr>
              <w:t>垃圾分类投放管理工作的执行标准，按</w:t>
            </w:r>
            <w:r>
              <w:rPr>
                <w:rFonts w:hint="eastAsia"/>
                <w:kern w:val="0"/>
              </w:rPr>
              <w:t>所在城市</w:t>
            </w:r>
            <w:r>
              <w:rPr>
                <w:rFonts w:hint="eastAsia"/>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（10）其它参照“5.物业管理服务人员需求”标准中的岗位职责，落实相应工作。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shd w:val="clear" w:color="auto" w:fill="auto"/>
            <w:vAlign w:val="center"/>
          </w:tcPr>
          <w:p>
            <w:pPr>
              <w:widowControl/>
              <w:jc w:val="center"/>
            </w:pPr>
            <w:r>
              <w:rPr>
                <w:rFonts w:hint="eastAsia"/>
              </w:rPr>
              <w:t>5</w:t>
            </w:r>
          </w:p>
        </w:tc>
        <w:tc>
          <w:tcPr>
            <w:tcW w:w="3372" w:type="dxa"/>
            <w:vMerge w:val="restart"/>
            <w:shd w:val="clear" w:color="auto" w:fill="auto"/>
            <w:vAlign w:val="center"/>
          </w:tcPr>
          <w:p>
            <w:pPr>
              <w:widowControl/>
            </w:pPr>
            <w:r>
              <w:t>卫生消毒</w:t>
            </w:r>
          </w:p>
        </w:tc>
        <w:tc>
          <w:tcPr>
            <w:tcW w:w="9978" w:type="dxa"/>
            <w:shd w:val="clear" w:color="auto" w:fill="auto"/>
            <w:vAlign w:val="center"/>
          </w:tcPr>
          <w:p>
            <w:pPr>
              <w:widowControl/>
              <w:jc w:val="left"/>
              <w:rPr>
                <w:kern w:val="0"/>
              </w:rPr>
            </w:pPr>
            <w:r>
              <w:rPr>
                <w:rFonts w:hint="eastAsia"/>
                <w:kern w:val="0"/>
              </w:rPr>
              <w:t>（1）办公用房区域、公共场所区域和周围环境预防性卫生消毒，</w:t>
            </w:r>
            <w:r>
              <w:rPr>
                <w:rFonts w:hint="eastAsia"/>
              </w:rPr>
              <w:t>消毒后及时通风，每月</w:t>
            </w:r>
            <w:r>
              <w:rPr>
                <w:rFonts w:hint="eastAsia"/>
                <w:kern w:val="0"/>
              </w:rPr>
              <w:t>至少开展</w:t>
            </w:r>
            <w:r>
              <w:rPr>
                <w:rFonts w:hint="eastAsia"/>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（2）采取综合措施消灭老鼠、蟑螂，控制室内外蚊虫孳生，达到基本无蝇</w:t>
            </w:r>
            <w:r>
              <w:rPr>
                <w:rFonts w:hint="eastAsia"/>
              </w:rPr>
              <w:t>，每季度</w:t>
            </w:r>
            <w:r>
              <w:rPr>
                <w:rFonts w:hint="eastAsia"/>
                <w:kern w:val="0"/>
              </w:rPr>
              <w:t>至少开展</w:t>
            </w:r>
            <w:r>
              <w:rPr>
                <w:rFonts w:hint="eastAsia"/>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（3）发生公共卫生事件时，邀请专业单位开展消毒、检测等工作。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shd w:val="clear" w:color="auto" w:fill="auto"/>
            <w:vAlign w:val="center"/>
          </w:tcPr>
          <w:p>
            <w:pPr>
              <w:widowControl/>
              <w:jc w:val="center"/>
            </w:pPr>
          </w:p>
        </w:tc>
        <w:tc>
          <w:tcPr>
            <w:tcW w:w="3372" w:type="dxa"/>
            <w:vMerge w:val="continue"/>
            <w:shd w:val="clear" w:color="auto" w:fill="auto"/>
            <w:vAlign w:val="center"/>
          </w:tcPr>
          <w:p>
            <w:pPr>
              <w:widowControl/>
            </w:pPr>
          </w:p>
        </w:tc>
        <w:tc>
          <w:tcPr>
            <w:tcW w:w="9978" w:type="dxa"/>
            <w:shd w:val="clear" w:color="auto" w:fill="auto"/>
            <w:vAlign w:val="center"/>
          </w:tcPr>
          <w:p>
            <w:pPr>
              <w:widowControl/>
              <w:jc w:val="left"/>
              <w:rPr>
                <w:kern w:val="0"/>
              </w:rPr>
            </w:pPr>
            <w:r>
              <w:rPr>
                <w:rFonts w:hint="eastAsia"/>
                <w:kern w:val="0"/>
              </w:rPr>
              <w:t>（4）其它参照“5.物业管理服务人员需求”标准中的岗位职责，落实相应工作。</w:t>
            </w:r>
          </w:p>
        </w:tc>
      </w:tr>
    </w:tbl>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ascii="Calibri" w:hAnsi="Calibri" w:cs="Calibri"/>
          <w:bCs w:val="0"/>
          <w:sz w:val="21"/>
          <w:szCs w:val="20"/>
        </w:rPr>
        <w:t>3.4.1具体清洁要求</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171"/>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rPr>
                <w:b/>
                <w:bCs/>
              </w:rPr>
            </w:pPr>
            <w:r>
              <w:rPr>
                <w:rFonts w:hint="eastAsia"/>
                <w:b/>
                <w:bCs/>
              </w:rPr>
              <w:t>序号</w:t>
            </w:r>
          </w:p>
        </w:tc>
        <w:tc>
          <w:tcPr>
            <w:tcW w:w="3368" w:type="dxa"/>
            <w:shd w:val="clear" w:color="auto" w:fill="auto"/>
            <w:vAlign w:val="center"/>
          </w:tcPr>
          <w:p>
            <w:pPr>
              <w:jc w:val="center"/>
              <w:rPr>
                <w:b/>
                <w:bCs/>
              </w:rPr>
            </w:pPr>
            <w:r>
              <w:rPr>
                <w:rFonts w:hint="eastAsia"/>
                <w:b/>
                <w:bCs/>
              </w:rPr>
              <w:t>材质</w:t>
            </w:r>
          </w:p>
        </w:tc>
        <w:tc>
          <w:tcPr>
            <w:tcW w:w="9947" w:type="dxa"/>
            <w:shd w:val="clear" w:color="auto" w:fill="auto"/>
            <w:vAlign w:val="center"/>
          </w:tcPr>
          <w:p>
            <w:pPr>
              <w:jc w:val="center"/>
              <w:rPr>
                <w:b/>
                <w:bCs/>
              </w:rPr>
            </w:pPr>
            <w:r>
              <w:rPr>
                <w:rFonts w:hint="eastAsia"/>
                <w:b/>
                <w:bCs/>
              </w:rPr>
              <w:t>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w:t>
            </w:r>
          </w:p>
        </w:tc>
        <w:tc>
          <w:tcPr>
            <w:tcW w:w="3368" w:type="dxa"/>
            <w:shd w:val="clear" w:color="auto" w:fill="auto"/>
            <w:vAlign w:val="center"/>
          </w:tcPr>
          <w:p>
            <w:r>
              <w:rPr>
                <w:rFonts w:hint="eastAsia"/>
              </w:rPr>
              <w:t xml:space="preserve">环氧地坪地面      </w:t>
            </w:r>
          </w:p>
        </w:tc>
        <w:tc>
          <w:tcPr>
            <w:tcW w:w="9947" w:type="dxa"/>
            <w:shd w:val="clear" w:color="auto" w:fill="auto"/>
            <w:vAlign w:val="center"/>
          </w:tcPr>
          <w:p>
            <w:pPr>
              <w:ind w:firstLine="210" w:firstLineChars="100"/>
            </w:pPr>
            <w:r>
              <w:rPr>
                <w:rFonts w:hint="eastAsia"/>
                <w:kern w:val="0"/>
              </w:rPr>
              <w:t>暂不涉及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2</w:t>
            </w:r>
          </w:p>
        </w:tc>
        <w:tc>
          <w:tcPr>
            <w:tcW w:w="3368" w:type="dxa"/>
            <w:shd w:val="clear" w:color="auto" w:fill="auto"/>
            <w:vAlign w:val="center"/>
          </w:tcPr>
          <w:p>
            <w:r>
              <w:rPr>
                <w:rFonts w:hint="eastAsia"/>
              </w:rPr>
              <w:t xml:space="preserve">耐磨漆地面     </w:t>
            </w:r>
          </w:p>
        </w:tc>
        <w:tc>
          <w:tcPr>
            <w:tcW w:w="9947" w:type="dxa"/>
            <w:shd w:val="clear" w:color="auto" w:fill="auto"/>
            <w:vAlign w:val="center"/>
          </w:tcPr>
          <w:p>
            <w:pPr>
              <w:ind w:firstLine="210" w:firstLineChars="100"/>
            </w:pPr>
            <w:r>
              <w:rPr>
                <w:rFonts w:hint="eastAsia"/>
                <w:kern w:val="0"/>
              </w:rPr>
              <w:t>暂不涉及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shd w:val="clear" w:color="auto" w:fill="auto"/>
            <w:vAlign w:val="center"/>
          </w:tcPr>
          <w:p>
            <w:pPr>
              <w:jc w:val="center"/>
            </w:pPr>
            <w:r>
              <w:rPr>
                <w:rFonts w:hint="eastAsia"/>
              </w:rPr>
              <w:t>4</w:t>
            </w:r>
          </w:p>
        </w:tc>
        <w:tc>
          <w:tcPr>
            <w:tcW w:w="3368" w:type="dxa"/>
            <w:vMerge w:val="restart"/>
            <w:shd w:val="clear" w:color="auto" w:fill="auto"/>
            <w:vAlign w:val="center"/>
          </w:tcPr>
          <w:p>
            <w:r>
              <w:rPr>
                <w:rFonts w:hint="eastAsia"/>
              </w:rPr>
              <w:t>石材地面</w:t>
            </w:r>
          </w:p>
        </w:tc>
        <w:tc>
          <w:tcPr>
            <w:tcW w:w="9947" w:type="dxa"/>
            <w:shd w:val="clear" w:color="auto" w:fill="auto"/>
            <w:vAlign w:val="center"/>
          </w:tcPr>
          <w:p>
            <w:r>
              <w:rPr>
                <w:rFonts w:hint="eastAsia"/>
                <w:kern w:val="0"/>
              </w:rPr>
              <w:t>（1）</w:t>
            </w:r>
            <w:r>
              <w:t>根据各区域的人流量及大理石的实际磨损程度制定大理石的晶面保养计划</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r>
              <w:rPr>
                <w:rFonts w:hint="eastAsia"/>
                <w:kern w:val="0"/>
              </w:rPr>
              <w:t>（2）</w:t>
            </w:r>
            <w:r>
              <w:rPr>
                <w:kern w:val="0"/>
              </w:rPr>
              <w:t>使用中性清洁剂清洁，避免使用强酸或强碱清洁剂，定期进行基础维护</w:t>
            </w: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pPr>
              <w:rPr>
                <w:kern w:val="0"/>
              </w:rPr>
            </w:pPr>
            <w:r>
              <w:rPr>
                <w:rFonts w:hint="eastAsia"/>
                <w:kern w:val="0"/>
              </w:rPr>
              <w:t>（3）其它参照“5.物业管理服务人员需求”标准中的岗位职责，落实相应工作。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shd w:val="clear" w:color="auto" w:fill="auto"/>
            <w:vAlign w:val="center"/>
          </w:tcPr>
          <w:p>
            <w:pPr>
              <w:jc w:val="center"/>
            </w:pPr>
            <w:r>
              <w:rPr>
                <w:rFonts w:hint="eastAsia"/>
              </w:rPr>
              <w:t>5</w:t>
            </w:r>
          </w:p>
        </w:tc>
        <w:tc>
          <w:tcPr>
            <w:tcW w:w="3368" w:type="dxa"/>
            <w:vMerge w:val="restart"/>
            <w:shd w:val="clear" w:color="auto" w:fill="auto"/>
            <w:vAlign w:val="center"/>
          </w:tcPr>
          <w:p>
            <w:r>
              <w:rPr>
                <w:rFonts w:hint="eastAsia"/>
              </w:rPr>
              <w:t>水磨石地面</w:t>
            </w:r>
          </w:p>
        </w:tc>
        <w:tc>
          <w:tcPr>
            <w:tcW w:w="9947" w:type="dxa"/>
            <w:shd w:val="clear" w:color="auto" w:fill="auto"/>
            <w:vAlign w:val="center"/>
          </w:tcPr>
          <w:p>
            <w:r>
              <w:rPr>
                <w:rFonts w:hint="eastAsia"/>
                <w:kern w:val="0"/>
              </w:rPr>
              <w:t>（1）</w:t>
            </w:r>
            <w:r>
              <w:rPr>
                <w:rFonts w:hint="eastAsia"/>
              </w:rPr>
              <w:t>日常清洁：推尘，保持地面干净无杂物。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r>
              <w:rPr>
                <w:rFonts w:hint="eastAsia"/>
                <w:kern w:val="0"/>
              </w:rPr>
              <w:t>（2）</w:t>
            </w:r>
            <w:r>
              <w:rPr>
                <w:rFonts w:hint="eastAsia"/>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pPr>
              <w:rPr>
                <w:kern w:val="0"/>
              </w:rPr>
            </w:pPr>
            <w:r>
              <w:rPr>
                <w:rFonts w:hint="eastAsia"/>
                <w:kern w:val="0"/>
              </w:rPr>
              <w:t>（3）其它参照“5.物业管理服务人员需求”标准中的岗位职责，落实相应工作。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shd w:val="clear" w:color="auto" w:fill="auto"/>
            <w:vAlign w:val="center"/>
          </w:tcPr>
          <w:p>
            <w:pPr>
              <w:jc w:val="center"/>
            </w:pPr>
            <w:r>
              <w:rPr>
                <w:rFonts w:hint="eastAsia"/>
              </w:rPr>
              <w:t>6</w:t>
            </w:r>
          </w:p>
        </w:tc>
        <w:tc>
          <w:tcPr>
            <w:tcW w:w="3368" w:type="dxa"/>
            <w:vMerge w:val="restart"/>
            <w:shd w:val="clear" w:color="auto" w:fill="auto"/>
            <w:vAlign w:val="center"/>
          </w:tcPr>
          <w:p>
            <w:r>
              <w:rPr>
                <w:rFonts w:hint="eastAsia"/>
              </w:rPr>
              <w:t>地胶板地面</w:t>
            </w:r>
          </w:p>
        </w:tc>
        <w:tc>
          <w:tcPr>
            <w:tcW w:w="9947" w:type="dxa"/>
            <w:shd w:val="clear" w:color="auto" w:fill="auto"/>
            <w:vAlign w:val="center"/>
          </w:tcPr>
          <w:p>
            <w:r>
              <w:rPr>
                <w:rFonts w:hint="eastAsia"/>
                <w:kern w:val="0"/>
              </w:rPr>
              <w:t>（1）</w:t>
            </w:r>
            <w: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r>
              <w:rPr>
                <w:rFonts w:hint="eastAsia"/>
                <w:kern w:val="0"/>
              </w:rPr>
              <w:t>（2）</w:t>
            </w:r>
            <w:r>
              <w:t>日常维护。使用湿润的拖把清洁，污染严重时局部清洁。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pPr>
              <w:rPr>
                <w:kern w:val="0"/>
              </w:rPr>
            </w:pPr>
            <w:r>
              <w:rPr>
                <w:rFonts w:hint="eastAsia"/>
                <w:kern w:val="0"/>
              </w:rPr>
              <w:t>（3）其它参照“5.物业管理服务人员需求”标准中的岗位职责，落实相应工作。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restart"/>
            <w:shd w:val="clear" w:color="auto" w:fill="auto"/>
            <w:vAlign w:val="center"/>
          </w:tcPr>
          <w:p>
            <w:pPr>
              <w:jc w:val="center"/>
            </w:pPr>
            <w:r>
              <w:rPr>
                <w:rFonts w:hint="eastAsia"/>
              </w:rPr>
              <w:t>7</w:t>
            </w:r>
          </w:p>
        </w:tc>
        <w:tc>
          <w:tcPr>
            <w:tcW w:w="3368" w:type="dxa"/>
            <w:vMerge w:val="restart"/>
            <w:shd w:val="clear" w:color="auto" w:fill="auto"/>
            <w:vAlign w:val="center"/>
          </w:tcPr>
          <w:p>
            <w:r>
              <w:rPr>
                <w:rFonts w:hint="eastAsia"/>
              </w:rPr>
              <w:t>地板地面</w:t>
            </w:r>
          </w:p>
        </w:tc>
        <w:tc>
          <w:tcPr>
            <w:tcW w:w="9947" w:type="dxa"/>
            <w:shd w:val="clear" w:color="auto" w:fill="auto"/>
            <w:vAlign w:val="center"/>
          </w:tcPr>
          <w:p>
            <w:r>
              <w:rPr>
                <w:rFonts w:hint="eastAsia"/>
                <w:kern w:val="0"/>
              </w:rPr>
              <w:t>（1）</w:t>
            </w:r>
            <w: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r>
              <w:rPr>
                <w:rFonts w:hint="eastAsia"/>
                <w:kern w:val="0"/>
              </w:rPr>
              <w:t>（2）</w:t>
            </w:r>
            <w:r>
              <w:t>日常维护。使用湿润的拖把清洁，污染严重时局部清洁。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vMerge w:val="continue"/>
            <w:shd w:val="clear" w:color="auto" w:fill="auto"/>
            <w:vAlign w:val="center"/>
          </w:tcPr>
          <w:p>
            <w:pPr>
              <w:jc w:val="center"/>
            </w:pPr>
          </w:p>
        </w:tc>
        <w:tc>
          <w:tcPr>
            <w:tcW w:w="3368" w:type="dxa"/>
            <w:vMerge w:val="continue"/>
            <w:shd w:val="clear" w:color="auto" w:fill="auto"/>
            <w:vAlign w:val="center"/>
          </w:tcPr>
          <w:p/>
        </w:tc>
        <w:tc>
          <w:tcPr>
            <w:tcW w:w="9947" w:type="dxa"/>
            <w:shd w:val="clear" w:color="auto" w:fill="auto"/>
            <w:vAlign w:val="center"/>
          </w:tcPr>
          <w:p>
            <w:pPr>
              <w:rPr>
                <w:kern w:val="0"/>
              </w:rPr>
            </w:pPr>
            <w:r>
              <w:rPr>
                <w:rFonts w:hint="eastAsia"/>
                <w:kern w:val="0"/>
              </w:rPr>
              <w:t>（3）其它参照“5.物业管理服务人员需求”标准中的岗位职责，落实相应工作。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8</w:t>
            </w:r>
          </w:p>
        </w:tc>
        <w:tc>
          <w:tcPr>
            <w:tcW w:w="3368" w:type="dxa"/>
            <w:shd w:val="clear" w:color="auto" w:fill="auto"/>
            <w:vAlign w:val="center"/>
          </w:tcPr>
          <w:p>
            <w:r>
              <w:rPr>
                <w:rFonts w:hint="eastAsia"/>
              </w:rPr>
              <w:t xml:space="preserve">地毯地面    </w:t>
            </w:r>
          </w:p>
        </w:tc>
        <w:tc>
          <w:tcPr>
            <w:tcW w:w="9947" w:type="dxa"/>
            <w:shd w:val="clear" w:color="auto" w:fill="auto"/>
            <w:vAlign w:val="center"/>
          </w:tcPr>
          <w:p>
            <w:r>
              <w:rPr>
                <w:rFonts w:hint="eastAsia"/>
                <w:kern w:val="0"/>
              </w:rPr>
              <w:t>暂不涉及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9</w:t>
            </w:r>
          </w:p>
        </w:tc>
        <w:tc>
          <w:tcPr>
            <w:tcW w:w="3368" w:type="dxa"/>
            <w:shd w:val="clear" w:color="auto" w:fill="auto"/>
            <w:vAlign w:val="center"/>
          </w:tcPr>
          <w:p>
            <w:r>
              <w:rPr>
                <w:rFonts w:hint="eastAsia"/>
              </w:rPr>
              <w:t>乳胶漆内墙</w:t>
            </w:r>
          </w:p>
        </w:tc>
        <w:tc>
          <w:tcPr>
            <w:tcW w:w="9947" w:type="dxa"/>
            <w:shd w:val="clear" w:color="auto" w:fill="auto"/>
            <w:vAlign w:val="center"/>
          </w:tcPr>
          <w:p>
            <w:r>
              <w:rPr>
                <w:rFonts w:hint="eastAsia"/>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10</w:t>
            </w:r>
          </w:p>
        </w:tc>
        <w:tc>
          <w:tcPr>
            <w:tcW w:w="3368" w:type="dxa"/>
            <w:shd w:val="clear" w:color="auto" w:fill="auto"/>
            <w:vAlign w:val="center"/>
          </w:tcPr>
          <w:p>
            <w:r>
              <w:rPr>
                <w:rFonts w:hint="eastAsia"/>
              </w:rPr>
              <w:t xml:space="preserve">墙纸内墙      </w:t>
            </w:r>
          </w:p>
        </w:tc>
        <w:tc>
          <w:tcPr>
            <w:tcW w:w="9947" w:type="dxa"/>
            <w:shd w:val="clear" w:color="auto" w:fill="auto"/>
            <w:vAlign w:val="center"/>
          </w:tcPr>
          <w:p>
            <w:r>
              <w:rPr>
                <w:rFonts w:hint="eastAsia"/>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11</w:t>
            </w:r>
          </w:p>
        </w:tc>
        <w:tc>
          <w:tcPr>
            <w:tcW w:w="3368" w:type="dxa"/>
            <w:shd w:val="clear" w:color="auto" w:fill="auto"/>
            <w:vAlign w:val="center"/>
          </w:tcPr>
          <w:p>
            <w:r>
              <w:rPr>
                <w:rFonts w:hint="eastAsia"/>
              </w:rPr>
              <w:t>木饰面内墙</w:t>
            </w:r>
          </w:p>
        </w:tc>
        <w:tc>
          <w:tcPr>
            <w:tcW w:w="9947" w:type="dxa"/>
            <w:shd w:val="clear" w:color="auto" w:fill="auto"/>
            <w:vAlign w:val="center"/>
          </w:tcPr>
          <w:p>
            <w:r>
              <w:rPr>
                <w:rFonts w:hint="eastAsia"/>
              </w:rPr>
              <w:t>有污渍时用中性清洁剂、半干布擦拭。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12</w:t>
            </w:r>
          </w:p>
        </w:tc>
        <w:tc>
          <w:tcPr>
            <w:tcW w:w="3368" w:type="dxa"/>
            <w:shd w:val="clear" w:color="auto" w:fill="auto"/>
            <w:vAlign w:val="center"/>
          </w:tcPr>
          <w:p>
            <w:r>
              <w:rPr>
                <w:rFonts w:hint="eastAsia"/>
              </w:rPr>
              <w:t>石材内墙</w:t>
            </w:r>
          </w:p>
        </w:tc>
        <w:tc>
          <w:tcPr>
            <w:tcW w:w="9947" w:type="dxa"/>
            <w:shd w:val="clear" w:color="auto" w:fill="auto"/>
            <w:vAlign w:val="center"/>
          </w:tcPr>
          <w:p>
            <w:r>
              <w:rPr>
                <w:rFonts w:hint="eastAsia"/>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13</w:t>
            </w:r>
          </w:p>
        </w:tc>
        <w:tc>
          <w:tcPr>
            <w:tcW w:w="3368" w:type="dxa"/>
            <w:shd w:val="clear" w:color="auto" w:fill="auto"/>
            <w:vAlign w:val="center"/>
          </w:tcPr>
          <w:p>
            <w:r>
              <w:rPr>
                <w:rFonts w:hint="eastAsia"/>
              </w:rPr>
              <w:t>金属板内墙</w:t>
            </w:r>
          </w:p>
        </w:tc>
        <w:tc>
          <w:tcPr>
            <w:tcW w:w="9947" w:type="dxa"/>
            <w:shd w:val="clear" w:color="auto" w:fill="auto"/>
            <w:vAlign w:val="center"/>
          </w:tcPr>
          <w:p>
            <w:r>
              <w:rPr>
                <w:rFonts w:hint="eastAsia"/>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14</w:t>
            </w:r>
          </w:p>
        </w:tc>
        <w:tc>
          <w:tcPr>
            <w:tcW w:w="3368" w:type="dxa"/>
            <w:shd w:val="clear" w:color="auto" w:fill="auto"/>
            <w:vAlign w:val="center"/>
          </w:tcPr>
          <w:p>
            <w:r>
              <w:t>涂料外墙</w:t>
            </w:r>
          </w:p>
        </w:tc>
        <w:tc>
          <w:tcPr>
            <w:tcW w:w="9947" w:type="dxa"/>
            <w:shd w:val="clear" w:color="auto" w:fill="auto"/>
            <w:vAlign w:val="center"/>
          </w:tcPr>
          <w:p>
            <w:r>
              <w:rPr>
                <w:rFonts w:hint="eastAsia"/>
              </w:rPr>
              <w:t>视情况定期专业清洗。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15</w:t>
            </w:r>
          </w:p>
        </w:tc>
        <w:tc>
          <w:tcPr>
            <w:tcW w:w="3368" w:type="dxa"/>
            <w:shd w:val="clear" w:color="auto" w:fill="auto"/>
            <w:vAlign w:val="center"/>
          </w:tcPr>
          <w:p>
            <w:r>
              <w:t>真石漆</w:t>
            </w:r>
            <w:r>
              <w:rPr>
                <w:rFonts w:hint="eastAsia"/>
              </w:rPr>
              <w:t>外墙</w:t>
            </w:r>
          </w:p>
        </w:tc>
        <w:tc>
          <w:tcPr>
            <w:tcW w:w="9947" w:type="dxa"/>
            <w:shd w:val="clear" w:color="auto" w:fill="auto"/>
            <w:vAlign w:val="center"/>
          </w:tcPr>
          <w:p>
            <w:r>
              <w:rPr>
                <w:rFonts w:hint="eastAsia"/>
              </w:rPr>
              <w:t xml:space="preserve">视情况定期专业清洗。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16</w:t>
            </w:r>
          </w:p>
        </w:tc>
        <w:tc>
          <w:tcPr>
            <w:tcW w:w="3368" w:type="dxa"/>
            <w:shd w:val="clear" w:color="auto" w:fill="auto"/>
            <w:vAlign w:val="center"/>
          </w:tcPr>
          <w:p>
            <w:r>
              <w:rPr>
                <w:rFonts w:hint="eastAsia"/>
              </w:rPr>
              <w:t>瓷砖外墙</w:t>
            </w:r>
          </w:p>
        </w:tc>
        <w:tc>
          <w:tcPr>
            <w:tcW w:w="9947" w:type="dxa"/>
            <w:shd w:val="clear" w:color="auto" w:fill="auto"/>
            <w:vAlign w:val="center"/>
          </w:tcPr>
          <w:p>
            <w:r>
              <w:rPr>
                <w:rFonts w:hint="eastAsia"/>
              </w:rPr>
              <w:t>视情况定期专业清洗。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17</w:t>
            </w:r>
          </w:p>
        </w:tc>
        <w:tc>
          <w:tcPr>
            <w:tcW w:w="3368" w:type="dxa"/>
            <w:shd w:val="clear" w:color="auto" w:fill="auto"/>
            <w:vAlign w:val="center"/>
          </w:tcPr>
          <w:p>
            <w:r>
              <w:rPr>
                <w:rFonts w:hint="eastAsia"/>
              </w:rPr>
              <w:t>保温一体板外墙</w:t>
            </w:r>
          </w:p>
        </w:tc>
        <w:tc>
          <w:tcPr>
            <w:tcW w:w="9947" w:type="dxa"/>
            <w:shd w:val="clear" w:color="auto" w:fill="auto"/>
            <w:vAlign w:val="center"/>
          </w:tcPr>
          <w:p>
            <w:r>
              <w:rPr>
                <w:rFonts w:hint="eastAsia"/>
              </w:rPr>
              <w:t>暂不涉及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18</w:t>
            </w:r>
          </w:p>
        </w:tc>
        <w:tc>
          <w:tcPr>
            <w:tcW w:w="3368" w:type="dxa"/>
            <w:shd w:val="clear" w:color="auto" w:fill="auto"/>
            <w:vAlign w:val="center"/>
          </w:tcPr>
          <w:p>
            <w:r>
              <w:rPr>
                <w:rFonts w:hint="eastAsia"/>
              </w:rPr>
              <w:t>铝板外墙</w:t>
            </w:r>
          </w:p>
        </w:tc>
        <w:tc>
          <w:tcPr>
            <w:tcW w:w="9947" w:type="dxa"/>
            <w:shd w:val="clear" w:color="auto" w:fill="auto"/>
            <w:vAlign w:val="center"/>
          </w:tcPr>
          <w:p>
            <w:r>
              <w:rPr>
                <w:rFonts w:hint="eastAsia"/>
              </w:rPr>
              <w:t>暂不涉及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19</w:t>
            </w:r>
          </w:p>
        </w:tc>
        <w:tc>
          <w:tcPr>
            <w:tcW w:w="3368" w:type="dxa"/>
            <w:shd w:val="clear" w:color="auto" w:fill="auto"/>
            <w:vAlign w:val="center"/>
          </w:tcPr>
          <w:p>
            <w:r>
              <w:t>干挂石材</w:t>
            </w:r>
            <w:r>
              <w:rPr>
                <w:rFonts w:hint="eastAsia"/>
              </w:rPr>
              <w:t>外墙</w:t>
            </w:r>
          </w:p>
        </w:tc>
        <w:tc>
          <w:tcPr>
            <w:tcW w:w="9947" w:type="dxa"/>
            <w:shd w:val="clear" w:color="auto" w:fill="auto"/>
            <w:vAlign w:val="center"/>
          </w:tcPr>
          <w:p>
            <w:r>
              <w:rPr>
                <w:rFonts w:hint="eastAsia"/>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8" w:type="dxa"/>
            <w:shd w:val="clear" w:color="auto" w:fill="auto"/>
            <w:vAlign w:val="center"/>
          </w:tcPr>
          <w:p>
            <w:pPr>
              <w:jc w:val="center"/>
            </w:pPr>
            <w:r>
              <w:rPr>
                <w:rFonts w:hint="eastAsia"/>
              </w:rPr>
              <w:t>20</w:t>
            </w:r>
          </w:p>
        </w:tc>
        <w:tc>
          <w:tcPr>
            <w:tcW w:w="3368" w:type="dxa"/>
            <w:shd w:val="clear" w:color="auto" w:fill="auto"/>
            <w:vAlign w:val="center"/>
          </w:tcPr>
          <w:p>
            <w:r>
              <w:rPr>
                <w:rFonts w:hint="eastAsia"/>
              </w:rPr>
              <w:t>玻璃幕墙外墙</w:t>
            </w:r>
          </w:p>
        </w:tc>
        <w:tc>
          <w:tcPr>
            <w:tcW w:w="9947" w:type="dxa"/>
            <w:shd w:val="clear" w:color="auto" w:fill="auto"/>
            <w:vAlign w:val="center"/>
          </w:tcPr>
          <w:p>
            <w:r>
              <w:rPr>
                <w:rFonts w:hint="eastAsia" w:ascii="楷体" w:hAnsi="楷体" w:eastAsia="楷体" w:cs="楷体"/>
              </w:rPr>
              <w:t>视情况</w:t>
            </w:r>
            <w:r>
              <w:rPr>
                <w:rFonts w:hint="eastAsia"/>
              </w:rPr>
              <w:t xml:space="preserve">定期专业清洗。    </w:t>
            </w:r>
          </w:p>
        </w:tc>
      </w:tr>
    </w:tbl>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ascii="Calibri" w:hAnsi="Calibri" w:cs="Calibri"/>
          <w:bCs w:val="0"/>
          <w:sz w:val="21"/>
          <w:szCs w:val="20"/>
        </w:rPr>
        <w:t>3.5绿化服务</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176"/>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shd w:val="clear" w:color="auto" w:fill="auto"/>
            <w:vAlign w:val="center"/>
          </w:tcPr>
          <w:p>
            <w:pPr>
              <w:widowControl/>
              <w:jc w:val="center"/>
              <w:rPr>
                <w:b/>
                <w:bCs/>
                <w:kern w:val="0"/>
              </w:rPr>
            </w:pPr>
            <w:r>
              <w:rPr>
                <w:rFonts w:hint="eastAsia"/>
                <w:b/>
                <w:bCs/>
                <w:kern w:val="0"/>
              </w:rPr>
              <w:t>序号</w:t>
            </w:r>
          </w:p>
        </w:tc>
        <w:tc>
          <w:tcPr>
            <w:tcW w:w="3369" w:type="dxa"/>
            <w:shd w:val="clear" w:color="auto" w:fill="auto"/>
            <w:vAlign w:val="center"/>
          </w:tcPr>
          <w:p>
            <w:pPr>
              <w:widowControl/>
              <w:jc w:val="center"/>
              <w:rPr>
                <w:b/>
                <w:bCs/>
                <w:kern w:val="0"/>
              </w:rPr>
            </w:pPr>
            <w:r>
              <w:rPr>
                <w:b/>
                <w:bCs/>
                <w:kern w:val="0"/>
              </w:rPr>
              <w:t>服务内容</w:t>
            </w:r>
          </w:p>
        </w:tc>
        <w:tc>
          <w:tcPr>
            <w:tcW w:w="9934" w:type="dxa"/>
            <w:shd w:val="clear" w:color="auto" w:fill="auto"/>
            <w:vAlign w:val="center"/>
          </w:tcPr>
          <w:p>
            <w:pPr>
              <w:widowControl/>
              <w:jc w:val="center"/>
              <w:rPr>
                <w:b/>
                <w:bCs/>
                <w:kern w:val="0"/>
              </w:rPr>
            </w:pPr>
            <w:r>
              <w:rPr>
                <w:rFonts w:hint="eastAsia"/>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shd w:val="clear" w:color="auto" w:fill="auto"/>
            <w:vAlign w:val="center"/>
          </w:tcPr>
          <w:p>
            <w:pPr>
              <w:widowControl/>
              <w:jc w:val="center"/>
            </w:pPr>
            <w:r>
              <w:rPr>
                <w:rFonts w:hint="eastAsia"/>
              </w:rPr>
              <w:t>1</w:t>
            </w:r>
          </w:p>
        </w:tc>
        <w:tc>
          <w:tcPr>
            <w:tcW w:w="3369" w:type="dxa"/>
            <w:vMerge w:val="restart"/>
            <w:shd w:val="clear" w:color="auto" w:fill="auto"/>
            <w:vAlign w:val="center"/>
          </w:tcPr>
          <w:p>
            <w:pPr>
              <w:widowControl/>
            </w:pPr>
            <w:r>
              <w:rPr>
                <w:rFonts w:hint="eastAsia"/>
              </w:rPr>
              <w:t>基本要求</w:t>
            </w:r>
          </w:p>
        </w:tc>
        <w:tc>
          <w:tcPr>
            <w:tcW w:w="9934" w:type="dxa"/>
            <w:shd w:val="clear" w:color="auto" w:fill="auto"/>
            <w:vAlign w:val="center"/>
          </w:tcPr>
          <w:p>
            <w:pPr>
              <w:widowControl/>
              <w:jc w:val="left"/>
              <w:rPr>
                <w:kern w:val="0"/>
              </w:rPr>
            </w:pPr>
            <w:r>
              <w:rPr>
                <w:rFonts w:hint="eastAsia"/>
                <w:kern w:val="0"/>
              </w:rPr>
              <w:t>（1）制定绿化服务的工作制度及工作计划，并按照执行。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（2）做好绿化服务工作记录，填写规范。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（3）作业时采取安全防护措施，防止对作业人员或他人造成伤害。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（4）相关耗材的环保、安全性应当符合规定要求。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（5）其它参照“5.物业管理服务人员需求”标准中的岗位职责，落实相应工作。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shd w:val="clear" w:color="auto" w:fill="auto"/>
            <w:vAlign w:val="center"/>
          </w:tcPr>
          <w:p>
            <w:pPr>
              <w:widowControl/>
              <w:jc w:val="center"/>
            </w:pPr>
            <w:r>
              <w:rPr>
                <w:rFonts w:hint="eastAsia"/>
              </w:rPr>
              <w:t>2</w:t>
            </w:r>
          </w:p>
        </w:tc>
        <w:tc>
          <w:tcPr>
            <w:tcW w:w="3369" w:type="dxa"/>
            <w:vMerge w:val="restart"/>
            <w:shd w:val="clear" w:color="auto" w:fill="auto"/>
            <w:vAlign w:val="center"/>
          </w:tcPr>
          <w:p>
            <w:pPr>
              <w:widowControl/>
            </w:pPr>
            <w:r>
              <w:rPr>
                <w:rFonts w:hint="eastAsia"/>
              </w:rPr>
              <w:t>室外绿化养护</w:t>
            </w:r>
          </w:p>
        </w:tc>
        <w:tc>
          <w:tcPr>
            <w:tcW w:w="9934" w:type="dxa"/>
            <w:shd w:val="clear" w:color="auto" w:fill="auto"/>
            <w:vAlign w:val="center"/>
          </w:tcPr>
          <w:p>
            <w:pPr>
              <w:widowControl/>
              <w:jc w:val="left"/>
              <w:rPr>
                <w:kern w:val="0"/>
              </w:rPr>
            </w:pPr>
            <w:r>
              <w:rPr>
                <w:rFonts w:hint="eastAsia"/>
                <w:kern w:val="0"/>
              </w:rPr>
              <w:t>（1）</w:t>
            </w:r>
            <w:r>
              <w:rPr>
                <w:rFonts w:hint="eastAsia"/>
              </w:rPr>
              <w:t>根据生长环境、植物特性进行除草、灌溉、施肥、整形修剪、防治病虫害等。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（2）根据生长情况修剪绿地，绿地内无枯草、无杂物，</w:t>
            </w:r>
            <w:r>
              <w:rPr>
                <w:rFonts w:hint="eastAsia"/>
              </w:rPr>
              <w:t>无干枯坏死和病虫侵害，基本无裸露土地。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（3）定期修剪树木、花卉等，</w:t>
            </w:r>
            <w:r>
              <w:t>灌乔木生长正常、造型美观自然、花枝新鲜，无枯叶、无病虫、无死树缺株</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（4）</w:t>
            </w:r>
            <w:r>
              <w:rPr>
                <w:rFonts w:hint="eastAsia"/>
              </w:rPr>
              <w:t>绿篱生长造型正常，颜色正常，修剪及时，基本无死株和干死株，有虫株率在10%以下。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（5）</w:t>
            </w:r>
            <w:r>
              <w:rPr>
                <w:rFonts w:hint="eastAsia"/>
              </w:rPr>
              <w:t>清除花坛和花景的花蒂、黄叶、杂草、垃圾，做好病虫害防治。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（6）</w:t>
            </w:r>
            <w:r>
              <w:rPr>
                <w:rFonts w:hint="eastAsia"/>
              </w:rPr>
              <w:t>水池水面定期清理，无枯枝落叶、水质清洁。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（7）根据病虫害发生规律实施综合治理，通常在病虫率高时，以药剂杀死病虫，以确保植物良好生长。产生垃圾的主要区域和路段做到日产日清。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（8）雨雪、冰冻等恶劣天气来临前，专人巡查，对绿植做好预防措施，排除安全隐患。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（9）恶劣天气后，及时清除倒树断枝，疏通道路，尽快恢复原状。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vAlign w:val="center"/>
          </w:tcPr>
          <w:p>
            <w:pPr>
              <w:widowControl/>
              <w:jc w:val="center"/>
            </w:pPr>
          </w:p>
        </w:tc>
        <w:tc>
          <w:tcPr>
            <w:tcW w:w="3369" w:type="dxa"/>
            <w:vMerge w:val="continue"/>
            <w:shd w:val="clear" w:color="auto" w:fill="auto"/>
            <w:vAlign w:val="center"/>
          </w:tcPr>
          <w:p>
            <w:pPr>
              <w:widowControl/>
            </w:pPr>
          </w:p>
        </w:tc>
        <w:tc>
          <w:tcPr>
            <w:tcW w:w="9934" w:type="dxa"/>
            <w:shd w:val="clear" w:color="auto" w:fill="auto"/>
            <w:vAlign w:val="center"/>
          </w:tcPr>
          <w:p>
            <w:pPr>
              <w:widowControl/>
              <w:jc w:val="left"/>
              <w:rPr>
                <w:kern w:val="0"/>
              </w:rPr>
            </w:pPr>
            <w:r>
              <w:rPr>
                <w:rFonts w:hint="eastAsia"/>
                <w:kern w:val="0"/>
              </w:rPr>
              <w:t>（10）其它参照“5.物业管理服务人员需求”标准中的岗位职责，落实相应工作。</w:t>
            </w:r>
          </w:p>
        </w:tc>
      </w:tr>
    </w:tbl>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1"/>
        </w:rPr>
      </w:pPr>
      <w:r>
        <w:rPr>
          <w:rFonts w:hint="eastAsia" w:ascii="Calibri" w:hAnsi="Calibri" w:cs="Calibri"/>
          <w:bCs w:val="0"/>
          <w:sz w:val="21"/>
          <w:szCs w:val="21"/>
        </w:rPr>
        <w:t>3.6保安服务</w:t>
      </w:r>
    </w:p>
    <w:tbl>
      <w:tblPr>
        <w:tblStyle w:val="60"/>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175"/>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shd w:val="clear" w:color="auto" w:fill="auto"/>
            <w:vAlign w:val="center"/>
          </w:tcPr>
          <w:p>
            <w:pPr>
              <w:widowControl/>
              <w:jc w:val="center"/>
              <w:rPr>
                <w:b/>
                <w:bCs/>
                <w:kern w:val="0"/>
              </w:rPr>
            </w:pPr>
            <w:r>
              <w:rPr>
                <w:rFonts w:hint="eastAsia"/>
                <w:b/>
                <w:bCs/>
                <w:kern w:val="0"/>
              </w:rPr>
              <w:t>序号</w:t>
            </w:r>
          </w:p>
        </w:tc>
        <w:tc>
          <w:tcPr>
            <w:tcW w:w="3367" w:type="dxa"/>
            <w:shd w:val="clear" w:color="auto" w:fill="auto"/>
            <w:vAlign w:val="center"/>
          </w:tcPr>
          <w:p>
            <w:pPr>
              <w:widowControl/>
              <w:jc w:val="center"/>
              <w:rPr>
                <w:b/>
                <w:bCs/>
                <w:kern w:val="0"/>
              </w:rPr>
            </w:pPr>
            <w:r>
              <w:rPr>
                <w:b/>
                <w:bCs/>
                <w:kern w:val="0"/>
              </w:rPr>
              <w:t>服务内容</w:t>
            </w:r>
          </w:p>
        </w:tc>
        <w:tc>
          <w:tcPr>
            <w:tcW w:w="9886" w:type="dxa"/>
            <w:shd w:val="clear" w:color="auto" w:fill="auto"/>
            <w:vAlign w:val="center"/>
          </w:tcPr>
          <w:p>
            <w:pPr>
              <w:widowControl/>
              <w:jc w:val="center"/>
              <w:rPr>
                <w:b/>
                <w:bCs/>
                <w:kern w:val="0"/>
              </w:rPr>
            </w:pPr>
            <w:r>
              <w:rPr>
                <w:rFonts w:hint="eastAsia"/>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1</w:t>
            </w:r>
          </w:p>
        </w:tc>
        <w:tc>
          <w:tcPr>
            <w:tcW w:w="3367" w:type="dxa"/>
            <w:vMerge w:val="restart"/>
            <w:shd w:val="clear" w:color="auto" w:fill="auto"/>
            <w:vAlign w:val="center"/>
          </w:tcPr>
          <w:p>
            <w:pPr>
              <w:widowControl/>
            </w:pPr>
            <w:r>
              <w:t>基本要求</w:t>
            </w:r>
          </w:p>
        </w:tc>
        <w:tc>
          <w:tcPr>
            <w:tcW w:w="9886" w:type="dxa"/>
            <w:shd w:val="clear" w:color="auto" w:fill="auto"/>
            <w:vAlign w:val="center"/>
          </w:tcPr>
          <w:p>
            <w:pPr>
              <w:widowControl/>
              <w:jc w:val="left"/>
              <w:rPr>
                <w:kern w:val="0"/>
              </w:rPr>
            </w:pPr>
            <w:r>
              <w:rPr>
                <w:rFonts w:hint="eastAsia"/>
                <w:kern w:val="0"/>
              </w:rPr>
              <w:t>（1）建立保安服务相关制度，并按照执行。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（2）对巡查、值守及异常情况等做好相关记录，填写规范，保存完好。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（3）配备保安服务必要的器材。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2</w:t>
            </w:r>
          </w:p>
        </w:tc>
        <w:tc>
          <w:tcPr>
            <w:tcW w:w="3367" w:type="dxa"/>
            <w:vMerge w:val="restart"/>
            <w:shd w:val="clear" w:color="auto" w:fill="auto"/>
            <w:vAlign w:val="center"/>
          </w:tcPr>
          <w:p>
            <w:pPr>
              <w:widowControl/>
            </w:pPr>
            <w:r>
              <w:t>出入管理</w:t>
            </w:r>
          </w:p>
        </w:tc>
        <w:tc>
          <w:tcPr>
            <w:tcW w:w="9886" w:type="dxa"/>
            <w:shd w:val="clear" w:color="auto" w:fill="auto"/>
            <w:vAlign w:val="center"/>
          </w:tcPr>
          <w:p>
            <w:pPr>
              <w:widowControl/>
              <w:jc w:val="left"/>
              <w:rPr>
                <w:kern w:val="0"/>
              </w:rPr>
            </w:pPr>
            <w:r>
              <w:rPr>
                <w:rFonts w:hint="eastAsia"/>
                <w:kern w:val="0"/>
              </w:rPr>
              <w:t>（1）办公楼（区）主出入口应当实行 24小时值班制。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（2）设置门岗。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（3）在出入口对外来人员及其携带大件物品、外来车辆进行询问和记录，并与相关部门取得联系，同意后方可进入。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（4）大件物品搬出有相关部门开具的证明和清单，经核实后放行。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（5）排查可疑人员，对于不出示证件、不按规定登记、不听劝阻而强行闯入者，及时劝离，必要时通知公安机关进行处理。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（6）有效疏导如出入口人群集聚、车辆拥堵、货物堵塞道路等情况。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（7）根据物业服务合同约定，大宗物品进出会同接收单位收件人审检，严防违禁品（包括毒品、军火弹药、管制刀具、易燃易爆品等）、限带品（包括动物、任何未经授权的专业摄影设备、无人机等）进入。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（8）</w:t>
            </w:r>
            <w:r>
              <w:rPr>
                <w:kern w:val="0"/>
              </w:rPr>
              <w:t>提供现场接待服务。</w:t>
            </w:r>
          </w:p>
          <w:p>
            <w:pPr>
              <w:widowControl/>
              <w:ind w:firstLine="210" w:firstLineChars="100"/>
              <w:jc w:val="left"/>
            </w:pPr>
            <w:r>
              <w:rPr>
                <w:rFonts w:hint="eastAsia"/>
              </w:rPr>
              <w:t>①</w:t>
            </w:r>
            <w:r>
              <w:t>做好来访人员、车辆进出证件登记，及时通报</w:t>
            </w:r>
            <w:r>
              <w:rPr>
                <w:rFonts w:hint="eastAsia"/>
              </w:rPr>
              <w:t>。</w:t>
            </w:r>
          </w:p>
          <w:p>
            <w:pPr>
              <w:widowControl/>
              <w:ind w:firstLine="210" w:firstLineChars="100"/>
              <w:jc w:val="left"/>
            </w:pPr>
            <w:r>
              <w:rPr>
                <w:rFonts w:hint="eastAsia"/>
              </w:rPr>
              <w:t>②</w:t>
            </w:r>
            <w:r>
              <w:t>严禁无关人员、可疑人员和危险物品进入办公楼（区）内。</w:t>
            </w:r>
          </w:p>
          <w:p>
            <w:pPr>
              <w:widowControl/>
              <w:ind w:firstLine="210" w:firstLineChars="100"/>
              <w:jc w:val="left"/>
            </w:pPr>
            <w:r>
              <w:rPr>
                <w:rFonts w:hint="eastAsia"/>
              </w:rPr>
              <w:t>③</w:t>
            </w:r>
            <w:r>
              <w:t>物品摆放整齐有序、分类放置。</w:t>
            </w:r>
          </w:p>
          <w:p>
            <w:pPr>
              <w:widowControl/>
              <w:ind w:firstLine="210" w:firstLineChars="100"/>
              <w:jc w:val="left"/>
            </w:pPr>
            <w:r>
              <w:rPr>
                <w:rFonts w:hint="eastAsia"/>
              </w:rPr>
              <w:t>④</w:t>
            </w:r>
            <w:r>
              <w:t>对来访人员咨询、</w:t>
            </w:r>
            <w:r>
              <w:rPr>
                <w:rFonts w:ascii="楷体" w:hAnsi="楷体" w:eastAsia="楷体" w:cs="楷体"/>
              </w:rPr>
              <w:t>建议</w:t>
            </w:r>
            <w:r>
              <w:t>、求助等事项，及时处理或答复</w:t>
            </w:r>
            <w:r>
              <w:rPr>
                <w:rFonts w:hint="eastAsia"/>
              </w:rPr>
              <w:t>。</w:t>
            </w:r>
          </w:p>
          <w:p>
            <w:pPr>
              <w:widowControl/>
              <w:ind w:firstLine="210" w:firstLineChars="100"/>
              <w:jc w:val="left"/>
            </w:pPr>
            <w:r>
              <w:rPr>
                <w:rFonts w:hint="eastAsia"/>
              </w:rPr>
              <w:t>⑤</w:t>
            </w:r>
            <w:r>
              <w:t>与被访人进行核实确认；告知被访人的办公室门牌号；告知访客注意事项（</w:t>
            </w:r>
            <w:r>
              <w:rPr>
                <w:rFonts w:hint="eastAsia"/>
              </w:rPr>
              <w:t>根据实际需要</w:t>
            </w:r>
            <w:r>
              <w:t>填写</w:t>
            </w:r>
            <w:r>
              <w:rPr>
                <w:rFonts w:hint="eastAsia"/>
              </w:rPr>
              <w:t>注意事项</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pPr>
            <w:r>
              <w:rPr>
                <w:rFonts w:hint="eastAsia"/>
                <w:kern w:val="0"/>
              </w:rPr>
              <w:t>（9）其它参照“5.物业管理服务人员需求”标准中的岗位职责，落实相应工作。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3</w:t>
            </w:r>
          </w:p>
        </w:tc>
        <w:tc>
          <w:tcPr>
            <w:tcW w:w="3367" w:type="dxa"/>
            <w:vMerge w:val="restart"/>
            <w:shd w:val="clear" w:color="auto" w:fill="auto"/>
            <w:vAlign w:val="center"/>
          </w:tcPr>
          <w:p>
            <w:pPr>
              <w:widowControl/>
            </w:pPr>
            <w:r>
              <w:t>值班巡查</w:t>
            </w:r>
          </w:p>
        </w:tc>
        <w:tc>
          <w:tcPr>
            <w:tcW w:w="9886" w:type="dxa"/>
            <w:shd w:val="clear" w:color="auto" w:fill="auto"/>
            <w:vAlign w:val="center"/>
          </w:tcPr>
          <w:p>
            <w:pPr>
              <w:widowControl/>
              <w:jc w:val="left"/>
              <w:rPr>
                <w:kern w:val="0"/>
              </w:rPr>
            </w:pPr>
            <w:r>
              <w:rPr>
                <w:rFonts w:hint="eastAsia"/>
                <w:kern w:val="0"/>
              </w:rPr>
              <w:t>（1）建立24小时值班巡查制度。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（2）制定巡查路线，按照指定时间和路线执行，加强重点区域、重点部位及装修区域的巡查。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（3）巡查期间保持通信设施设备畅通，遇到异常情况立即上报并在现场采取相应措施。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（4）收到监控室指令后，巡查人员及时到达指定地点并迅速采取相应措施。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（5）其它参照“5.物业管理服务人员需求”标准中的岗位职责，落实相应工作。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4</w:t>
            </w:r>
          </w:p>
        </w:tc>
        <w:tc>
          <w:tcPr>
            <w:tcW w:w="3367" w:type="dxa"/>
            <w:vMerge w:val="restart"/>
            <w:shd w:val="clear" w:color="auto" w:fill="auto"/>
            <w:vAlign w:val="center"/>
          </w:tcPr>
          <w:p>
            <w:pPr>
              <w:widowControl/>
            </w:pPr>
            <w:r>
              <w:t>监控值守</w:t>
            </w:r>
          </w:p>
        </w:tc>
        <w:tc>
          <w:tcPr>
            <w:tcW w:w="9886" w:type="dxa"/>
            <w:shd w:val="clear" w:color="auto" w:fill="auto"/>
            <w:vAlign w:val="center"/>
          </w:tcPr>
          <w:p>
            <w:pPr>
              <w:widowControl/>
              <w:jc w:val="left"/>
              <w:rPr>
                <w:kern w:val="0"/>
              </w:rPr>
            </w:pPr>
            <w:r>
              <w:rPr>
                <w:rFonts w:hint="eastAsia"/>
                <w:kern w:val="0"/>
              </w:rPr>
              <w:t>（1）监控室环境符合系统设备运行要求，定期进行检查和检测，确保系统功能正常。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（2）监控设备24小时正常运行，监控室实行专人24小时值班制度。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（3）监控记录画面清晰，发现问题及时汇报。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（4）值班期间遵守操作规程和保密制度，做好监控记录的保存工作。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 xml:space="preserve">（5）监控记录保持完整，保存时间不应少于30天。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（6）无关人员进入监控室或查阅监控记录，经授权人批准并做好相关记录。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（7）监控室收到火情等报警信号、其他异常情况信号后，及时报警并安排其他安保人员前往现场进行处理。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（8）其它参照“5.物业管理服务人员需求”标准中的岗位职责，落实相应工作。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5</w:t>
            </w:r>
          </w:p>
        </w:tc>
        <w:tc>
          <w:tcPr>
            <w:tcW w:w="3367" w:type="dxa"/>
            <w:vMerge w:val="restart"/>
            <w:shd w:val="clear" w:color="auto" w:fill="auto"/>
            <w:vAlign w:val="center"/>
          </w:tcPr>
          <w:p>
            <w:pPr>
              <w:widowControl/>
            </w:pPr>
            <w:r>
              <w:t>车辆停放</w:t>
            </w:r>
          </w:p>
        </w:tc>
        <w:tc>
          <w:tcPr>
            <w:tcW w:w="9886" w:type="dxa"/>
            <w:shd w:val="clear" w:color="auto" w:fill="auto"/>
            <w:vAlign w:val="center"/>
          </w:tcPr>
          <w:p>
            <w:pPr>
              <w:widowControl/>
              <w:jc w:val="left"/>
              <w:rPr>
                <w:kern w:val="0"/>
              </w:rPr>
            </w:pPr>
            <w:r>
              <w:rPr>
                <w:rFonts w:hint="eastAsia"/>
                <w:kern w:val="0"/>
              </w:rPr>
              <w:t>（1）车辆行驶路线设置合理、规范，导向标志完整、清晰。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（2）合理规划车辆停放区域，张贴车辆引导标识，对车辆及停放区域实行规范管理。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（3）严禁在办公楼的公用走道、楼梯间、安全出口处等公共区域停放车辆或充电。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（4）非机动车定点有序停放。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（5）发现车辆异常情况及时通知车主，并做好登记；发生交通事故、自然灾害等意外事故时及时赶赴现场疏导和协助处理，响应时间不超过3分钟。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（6）其它参照“5.物业管理服务人员需求”标准中的岗位职责，落实相应工作。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6</w:t>
            </w:r>
          </w:p>
        </w:tc>
        <w:tc>
          <w:tcPr>
            <w:tcW w:w="3367" w:type="dxa"/>
            <w:vMerge w:val="restart"/>
            <w:shd w:val="clear" w:color="auto" w:fill="auto"/>
            <w:vAlign w:val="center"/>
          </w:tcPr>
          <w:p>
            <w:pPr>
              <w:widowControl/>
            </w:pPr>
            <w:r>
              <w:t>消防安全管理</w:t>
            </w:r>
          </w:p>
        </w:tc>
        <w:tc>
          <w:tcPr>
            <w:tcW w:w="9886" w:type="dxa"/>
            <w:shd w:val="clear" w:color="auto" w:fill="auto"/>
            <w:vAlign w:val="center"/>
          </w:tcPr>
          <w:p>
            <w:pPr>
              <w:widowControl/>
              <w:jc w:val="left"/>
              <w:rPr>
                <w:kern w:val="0"/>
              </w:rPr>
            </w:pPr>
            <w:r>
              <w:rPr>
                <w:rFonts w:hint="eastAsia"/>
                <w:kern w:val="0"/>
              </w:rPr>
              <w:t>（1）建立消防安全责任制，确定各级消防安全责任人及其职责。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（2）消防控制室实行24小时值班制度，每班不少于2人。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（3）消火栓、应急照明、应急物资、消防及人员逃生通道、消防车通道可随时正常使用。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（4）易燃易爆品设专区专人管理，做好相关记录。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（5）定期组织消防安全宣传，每半年至少开展1次消防演练。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（6）其它参照“5.物业管理服务人员需求”标准中的岗位职责，落实相应工作。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7</w:t>
            </w:r>
          </w:p>
        </w:tc>
        <w:tc>
          <w:tcPr>
            <w:tcW w:w="3367" w:type="dxa"/>
            <w:vMerge w:val="restart"/>
            <w:shd w:val="clear" w:color="auto" w:fill="auto"/>
            <w:vAlign w:val="center"/>
          </w:tcPr>
          <w:p>
            <w:pPr>
              <w:widowControl/>
            </w:pPr>
            <w:r>
              <w:t>突发事件处理</w:t>
            </w:r>
          </w:p>
        </w:tc>
        <w:tc>
          <w:tcPr>
            <w:tcW w:w="9886" w:type="dxa"/>
            <w:shd w:val="clear" w:color="auto" w:fill="auto"/>
            <w:vAlign w:val="center"/>
          </w:tcPr>
          <w:p>
            <w:pPr>
              <w:widowControl/>
              <w:jc w:val="left"/>
              <w:rPr>
                <w:kern w:val="0"/>
              </w:rPr>
            </w:pPr>
            <w:r>
              <w:rPr>
                <w:rFonts w:hint="eastAsia"/>
                <w:kern w:val="0"/>
              </w:rPr>
              <w:t>（1）制定突发事件安全责任书，明确突发事件责任人及应承担的安全责任。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（2）建立应急突发事件处置队伍，明确各自的职责。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（3）识别、分析各种潜在风险，针对不同风险类型制定相应解决方案，并配备应急物资。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（4）每半年至少开展1次突发事件应急演练，并有相应记录。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（5）发生意外事件时，及时采取应急措施，维护办公区域物业服务正常进行，保护人身财产安全。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（6）办公区域物业服务应急预案终止实施后，积极采取措施，在尽可能短的时间内，消除事故带来的不良影响，妥善安置和慰问受害及受影响的人员和部门。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（7）事故处理后，及时形成事故应急总结报告，完善应急救援工作方案。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（8）其它参照“5.物业管理服务人员需求”标准中的岗位职责，落实相应工作。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shd w:val="clear" w:color="auto" w:fill="auto"/>
            <w:vAlign w:val="center"/>
          </w:tcPr>
          <w:p>
            <w:pPr>
              <w:widowControl/>
              <w:jc w:val="center"/>
            </w:pPr>
            <w:r>
              <w:rPr>
                <w:rFonts w:hint="eastAsia"/>
              </w:rPr>
              <w:t>8</w:t>
            </w:r>
          </w:p>
        </w:tc>
        <w:tc>
          <w:tcPr>
            <w:tcW w:w="3367" w:type="dxa"/>
            <w:vMerge w:val="restart"/>
            <w:shd w:val="clear" w:color="auto" w:fill="auto"/>
            <w:vAlign w:val="center"/>
          </w:tcPr>
          <w:p>
            <w:pPr>
              <w:widowControl/>
            </w:pPr>
            <w:r>
              <w:t>大型活动秩序</w:t>
            </w:r>
          </w:p>
        </w:tc>
        <w:tc>
          <w:tcPr>
            <w:tcW w:w="9886" w:type="dxa"/>
            <w:shd w:val="clear" w:color="auto" w:fill="auto"/>
            <w:vAlign w:val="center"/>
          </w:tcPr>
          <w:p>
            <w:pPr>
              <w:widowControl/>
              <w:jc w:val="left"/>
              <w:rPr>
                <w:kern w:val="0"/>
              </w:rPr>
            </w:pPr>
            <w:r>
              <w:rPr>
                <w:rFonts w:hint="eastAsia"/>
                <w:kern w:val="0"/>
              </w:rPr>
              <w:t>（1）制定相应的活动秩序维护方案，合理安排人员，并对场所的安全隐患进行排查。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（2）应当保障通道、出入口、停车场等区域畅通。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（3）活动举办过程中，做好现场秩序的维护和突发事故的处置工作，确保活动正常进行。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shd w:val="clear" w:color="auto" w:fill="auto"/>
            <w:vAlign w:val="center"/>
          </w:tcPr>
          <w:p>
            <w:pPr>
              <w:widowControl/>
              <w:jc w:val="center"/>
            </w:pPr>
          </w:p>
        </w:tc>
        <w:tc>
          <w:tcPr>
            <w:tcW w:w="3367" w:type="dxa"/>
            <w:vMerge w:val="continue"/>
            <w:shd w:val="clear" w:color="auto" w:fill="auto"/>
            <w:vAlign w:val="center"/>
          </w:tcPr>
          <w:p>
            <w:pPr>
              <w:widowControl/>
            </w:pPr>
          </w:p>
        </w:tc>
        <w:tc>
          <w:tcPr>
            <w:tcW w:w="9886" w:type="dxa"/>
            <w:shd w:val="clear" w:color="auto" w:fill="auto"/>
            <w:vAlign w:val="center"/>
          </w:tcPr>
          <w:p>
            <w:pPr>
              <w:widowControl/>
              <w:jc w:val="left"/>
              <w:rPr>
                <w:kern w:val="0"/>
              </w:rPr>
            </w:pPr>
            <w:r>
              <w:rPr>
                <w:rFonts w:hint="eastAsia"/>
                <w:kern w:val="0"/>
              </w:rPr>
              <w:t>（4）其它参照“5.物业管理服务人员需求”标准中的岗位职责，落实相应工作。</w:t>
            </w:r>
          </w:p>
        </w:tc>
      </w:tr>
    </w:tbl>
    <w:p>
      <w:pPr>
        <w:pStyle w:val="4"/>
        <w:keepNext w:val="0"/>
        <w:keepLines w:val="0"/>
        <w:widowControl/>
        <w:numPr>
          <w:ilvl w:val="255"/>
          <w:numId w:val="0"/>
        </w:numPr>
        <w:autoSpaceDE w:val="0"/>
        <w:autoSpaceDN w:val="0"/>
        <w:adjustRightInd/>
        <w:snapToGrid w:val="0"/>
        <w:spacing w:before="0" w:after="0" w:line="300" w:lineRule="auto"/>
        <w:rPr>
          <w:rFonts w:ascii="Calibri" w:hAnsi="Calibri" w:cs="Calibri"/>
          <w:bCs w:val="0"/>
          <w:sz w:val="21"/>
          <w:szCs w:val="20"/>
        </w:rPr>
      </w:pPr>
      <w:r>
        <w:rPr>
          <w:rFonts w:hint="eastAsia" w:ascii="Calibri" w:hAnsi="Calibri" w:cs="Calibri"/>
          <w:bCs w:val="0"/>
          <w:sz w:val="21"/>
          <w:szCs w:val="20"/>
        </w:rPr>
        <w:t>3.7会议服务</w:t>
      </w:r>
    </w:p>
    <w:tbl>
      <w:tblPr>
        <w:tblStyle w:val="60"/>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163"/>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shd w:val="clear" w:color="auto" w:fill="auto"/>
            <w:vAlign w:val="center"/>
          </w:tcPr>
          <w:p>
            <w:pPr>
              <w:widowControl/>
              <w:jc w:val="center"/>
              <w:rPr>
                <w:b/>
                <w:bCs/>
                <w:kern w:val="0"/>
              </w:rPr>
            </w:pPr>
            <w:r>
              <w:rPr>
                <w:rFonts w:hint="eastAsia"/>
                <w:b/>
                <w:bCs/>
                <w:kern w:val="0"/>
              </w:rPr>
              <w:t>序号</w:t>
            </w:r>
          </w:p>
        </w:tc>
        <w:tc>
          <w:tcPr>
            <w:tcW w:w="3348" w:type="dxa"/>
            <w:shd w:val="clear" w:color="auto" w:fill="auto"/>
            <w:vAlign w:val="center"/>
          </w:tcPr>
          <w:p>
            <w:pPr>
              <w:widowControl/>
              <w:jc w:val="center"/>
              <w:rPr>
                <w:b/>
                <w:bCs/>
                <w:kern w:val="0"/>
              </w:rPr>
            </w:pPr>
            <w:r>
              <w:rPr>
                <w:b/>
                <w:bCs/>
                <w:kern w:val="0"/>
              </w:rPr>
              <w:t>服务内容</w:t>
            </w:r>
          </w:p>
        </w:tc>
        <w:tc>
          <w:tcPr>
            <w:tcW w:w="9867" w:type="dxa"/>
            <w:shd w:val="clear" w:color="auto" w:fill="auto"/>
            <w:vAlign w:val="center"/>
          </w:tcPr>
          <w:p>
            <w:pPr>
              <w:widowControl/>
              <w:jc w:val="center"/>
              <w:rPr>
                <w:b/>
                <w:bCs/>
                <w:kern w:val="0"/>
              </w:rPr>
            </w:pPr>
            <w:r>
              <w:rPr>
                <w:rFonts w:hint="eastAsia"/>
                <w:b/>
                <w:bCs/>
                <w:kern w:val="0"/>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shd w:val="clear" w:color="auto" w:fill="auto"/>
            <w:vAlign w:val="center"/>
          </w:tcPr>
          <w:p>
            <w:pPr>
              <w:widowControl/>
              <w:jc w:val="center"/>
            </w:pPr>
            <w:r>
              <w:rPr>
                <w:rFonts w:hint="eastAsia"/>
              </w:rPr>
              <w:t>1</w:t>
            </w:r>
          </w:p>
        </w:tc>
        <w:tc>
          <w:tcPr>
            <w:tcW w:w="3348" w:type="dxa"/>
            <w:shd w:val="clear" w:color="auto" w:fill="auto"/>
            <w:vAlign w:val="center"/>
          </w:tcPr>
          <w:p>
            <w:pPr>
              <w:widowControl/>
            </w:pPr>
            <w:r>
              <w:t>会议受理</w:t>
            </w:r>
          </w:p>
        </w:tc>
        <w:tc>
          <w:tcPr>
            <w:tcW w:w="9867" w:type="dxa"/>
            <w:shd w:val="clear" w:color="auto" w:fill="auto"/>
            <w:vAlign w:val="center"/>
          </w:tcPr>
          <w:p>
            <w:pPr>
              <w:widowControl/>
            </w:pP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shd w:val="clear" w:color="auto" w:fill="auto"/>
            <w:vAlign w:val="center"/>
          </w:tcPr>
          <w:p>
            <w:pPr>
              <w:widowControl/>
              <w:jc w:val="center"/>
            </w:pPr>
            <w:r>
              <w:rPr>
                <w:rFonts w:hint="eastAsia"/>
              </w:rPr>
              <w:t>2</w:t>
            </w:r>
          </w:p>
        </w:tc>
        <w:tc>
          <w:tcPr>
            <w:tcW w:w="3348" w:type="dxa"/>
            <w:shd w:val="clear" w:color="auto" w:fill="auto"/>
            <w:vAlign w:val="center"/>
          </w:tcPr>
          <w:p>
            <w:pPr>
              <w:widowControl/>
            </w:pPr>
            <w:r>
              <w:t>会前准备</w:t>
            </w:r>
          </w:p>
        </w:tc>
        <w:tc>
          <w:tcPr>
            <w:tcW w:w="9867" w:type="dxa"/>
            <w:shd w:val="clear" w:color="auto" w:fill="auto"/>
            <w:vAlign w:val="center"/>
          </w:tcPr>
          <w:p>
            <w:pPr>
              <w:widowControl/>
            </w:pPr>
            <w:r>
              <w:t>根据会议需求、场地大小、用途，明确</w:t>
            </w:r>
            <w:r>
              <w:rPr>
                <w:rFonts w:hint="eastAsia"/>
              </w:rPr>
              <w:t>会议桌椅、物品、设备、文具等</w:t>
            </w:r>
            <w:r>
              <w:t>摆放规定</w:t>
            </w:r>
            <w:r>
              <w:rPr>
                <w:rFonts w:hint="eastAsia"/>
              </w:rPr>
              <w:t>，音、视频设施保障措施。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shd w:val="clear" w:color="auto" w:fill="auto"/>
            <w:vAlign w:val="center"/>
          </w:tcPr>
          <w:p>
            <w:pPr>
              <w:widowControl/>
              <w:jc w:val="center"/>
            </w:pPr>
            <w:r>
              <w:rPr>
                <w:rFonts w:hint="eastAsia"/>
              </w:rPr>
              <w:t>3</w:t>
            </w:r>
          </w:p>
        </w:tc>
        <w:tc>
          <w:tcPr>
            <w:tcW w:w="3348" w:type="dxa"/>
            <w:shd w:val="clear" w:color="auto" w:fill="auto"/>
            <w:vAlign w:val="center"/>
          </w:tcPr>
          <w:p>
            <w:pPr>
              <w:widowControl/>
            </w:pPr>
            <w:r>
              <w:t>引导服务</w:t>
            </w:r>
          </w:p>
        </w:tc>
        <w:tc>
          <w:tcPr>
            <w:tcW w:w="9867" w:type="dxa"/>
            <w:shd w:val="clear" w:color="auto" w:fill="auto"/>
            <w:vAlign w:val="center"/>
          </w:tcPr>
          <w:p>
            <w:pPr>
              <w:widowControl/>
            </w:pPr>
            <w:r>
              <w:t>做好引导牌并放置在指定位置</w:t>
            </w:r>
            <w:r>
              <w:rPr>
                <w:rFonts w:hint="eastAsia"/>
              </w:rPr>
              <w:t>，</w:t>
            </w:r>
            <w:r>
              <w:t>引导人员引导手势规范，语言标准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shd w:val="clear" w:color="auto" w:fill="auto"/>
            <w:vAlign w:val="center"/>
          </w:tcPr>
          <w:p>
            <w:pPr>
              <w:widowControl/>
              <w:jc w:val="center"/>
            </w:pPr>
            <w:r>
              <w:rPr>
                <w:rFonts w:hint="eastAsia"/>
              </w:rPr>
              <w:t>4</w:t>
            </w:r>
          </w:p>
        </w:tc>
        <w:tc>
          <w:tcPr>
            <w:tcW w:w="3348" w:type="dxa"/>
            <w:shd w:val="clear" w:color="auto" w:fill="auto"/>
            <w:vAlign w:val="center"/>
          </w:tcPr>
          <w:p>
            <w:pPr>
              <w:widowControl/>
            </w:pPr>
            <w:r>
              <w:t>会中服务</w:t>
            </w:r>
          </w:p>
        </w:tc>
        <w:tc>
          <w:tcPr>
            <w:tcW w:w="9867" w:type="dxa"/>
            <w:shd w:val="clear" w:color="auto" w:fill="auto"/>
            <w:vAlign w:val="center"/>
          </w:tcPr>
          <w:p>
            <w:pPr>
              <w:widowControl/>
            </w:pPr>
            <w:r>
              <w:rPr>
                <w:rFonts w:hint="eastAsia"/>
              </w:rPr>
              <w:t>视情况</w:t>
            </w:r>
            <w:r>
              <w:t>会议</w:t>
            </w:r>
            <w:r>
              <w:rPr>
                <w:rFonts w:hint="eastAsia"/>
              </w:rPr>
              <w:t>期间</w:t>
            </w:r>
            <w:r>
              <w:t>按要求加水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shd w:val="clear" w:color="auto" w:fill="auto"/>
            <w:vAlign w:val="center"/>
          </w:tcPr>
          <w:p>
            <w:pPr>
              <w:widowControl/>
              <w:jc w:val="center"/>
            </w:pPr>
            <w:r>
              <w:rPr>
                <w:rFonts w:hint="eastAsia"/>
              </w:rPr>
              <w:t>5</w:t>
            </w:r>
          </w:p>
        </w:tc>
        <w:tc>
          <w:tcPr>
            <w:tcW w:w="3348" w:type="dxa"/>
            <w:shd w:val="clear" w:color="auto" w:fill="auto"/>
            <w:vAlign w:val="center"/>
          </w:tcPr>
          <w:p>
            <w:pPr>
              <w:widowControl/>
            </w:pPr>
            <w:r>
              <w:t>会后</w:t>
            </w:r>
            <w:r>
              <w:rPr>
                <w:rFonts w:hint="eastAsia"/>
              </w:rPr>
              <w:t>整理</w:t>
            </w:r>
          </w:p>
        </w:tc>
        <w:tc>
          <w:tcPr>
            <w:tcW w:w="9867" w:type="dxa"/>
            <w:shd w:val="clear" w:color="auto" w:fill="auto"/>
            <w:vAlign w:val="center"/>
          </w:tcPr>
          <w:p>
            <w:pPr>
              <w:widowControl/>
            </w:pPr>
            <w:r>
              <w:t>对会议现场进行检查，做好会场清扫工作。</w:t>
            </w:r>
          </w:p>
        </w:tc>
      </w:tr>
    </w:tbl>
    <w:p>
      <w:pPr>
        <w:pStyle w:val="2"/>
        <w:numPr>
          <w:ilvl w:val="255"/>
          <w:numId w:val="0"/>
        </w:numPr>
        <w:ind w:left="854"/>
        <w:rPr>
          <w:szCs w:val="21"/>
        </w:rPr>
      </w:pPr>
      <w:bookmarkStart w:id="76" w:name="_Toc26417"/>
      <w:bookmarkStart w:id="77" w:name="_Toc27983"/>
      <w:bookmarkStart w:id="78" w:name="_Toc12052"/>
    </w:p>
    <w:p>
      <w:pPr>
        <w:pStyle w:val="2"/>
        <w:numPr>
          <w:ilvl w:val="255"/>
          <w:numId w:val="0"/>
        </w:numPr>
        <w:snapToGrid w:val="0"/>
        <w:spacing w:line="300" w:lineRule="auto"/>
        <w:jc w:val="both"/>
        <w:rPr>
          <w:rFonts w:ascii="Calibri" w:hAnsi="Calibri" w:eastAsia="宋体" w:cs="Calibri"/>
          <w:sz w:val="21"/>
          <w:szCs w:val="21"/>
          <w:lang w:val="en-US"/>
        </w:rPr>
      </w:pPr>
      <w:r>
        <w:rPr>
          <w:rFonts w:hint="eastAsia" w:ascii="Calibri" w:hAnsi="Calibri" w:eastAsia="宋体" w:cs="Calibri"/>
          <w:sz w:val="21"/>
          <w:szCs w:val="21"/>
          <w:lang w:val="en-US"/>
        </w:rPr>
        <w:t>4.供应商履行合同所需的设备</w:t>
      </w:r>
    </w:p>
    <w:p>
      <w:pPr>
        <w:ind w:firstLine="420" w:firstLineChars="200"/>
      </w:pPr>
      <w:r>
        <w:rPr>
          <w:rFonts w:hint="eastAsia"/>
        </w:rPr>
        <w:t>采购人根据项目实际需求，需要供应商提供作业设备（自有或租赁）用于物业管理服务的，可在下表中列出，举例如下：</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910"/>
        <w:gridCol w:w="3624"/>
        <w:gridCol w:w="998"/>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widowControl/>
              <w:jc w:val="center"/>
              <w:rPr>
                <w:b/>
                <w:bCs/>
                <w:kern w:val="0"/>
              </w:rPr>
            </w:pPr>
            <w:r>
              <w:rPr>
                <w:b/>
                <w:bCs/>
                <w:kern w:val="0"/>
              </w:rPr>
              <w:t>序号</w:t>
            </w:r>
          </w:p>
        </w:tc>
        <w:tc>
          <w:tcPr>
            <w:tcW w:w="4650" w:type="dxa"/>
            <w:vAlign w:val="center"/>
          </w:tcPr>
          <w:p>
            <w:pPr>
              <w:widowControl/>
              <w:jc w:val="center"/>
              <w:rPr>
                <w:b/>
                <w:bCs/>
                <w:kern w:val="0"/>
              </w:rPr>
            </w:pPr>
            <w:r>
              <w:rPr>
                <w:rFonts w:hint="eastAsia"/>
                <w:b/>
                <w:bCs/>
                <w:kern w:val="0"/>
              </w:rPr>
              <w:t>用途</w:t>
            </w:r>
          </w:p>
        </w:tc>
        <w:tc>
          <w:tcPr>
            <w:tcW w:w="5829" w:type="dxa"/>
            <w:vAlign w:val="center"/>
          </w:tcPr>
          <w:p>
            <w:pPr>
              <w:widowControl/>
              <w:jc w:val="center"/>
              <w:rPr>
                <w:b/>
                <w:bCs/>
                <w:kern w:val="0"/>
              </w:rPr>
            </w:pPr>
            <w:r>
              <w:rPr>
                <w:rFonts w:hint="eastAsia"/>
                <w:b/>
                <w:bCs/>
                <w:kern w:val="0"/>
              </w:rPr>
              <w:t>作业设备</w:t>
            </w:r>
            <w:r>
              <w:rPr>
                <w:b/>
                <w:bCs/>
                <w:kern w:val="0"/>
              </w:rPr>
              <w:t>名称</w:t>
            </w:r>
          </w:p>
        </w:tc>
        <w:tc>
          <w:tcPr>
            <w:tcW w:w="1494" w:type="dxa"/>
            <w:vAlign w:val="center"/>
          </w:tcPr>
          <w:p>
            <w:pPr>
              <w:widowControl/>
              <w:jc w:val="center"/>
              <w:rPr>
                <w:b/>
                <w:bCs/>
                <w:kern w:val="0"/>
              </w:rPr>
            </w:pPr>
            <w:r>
              <w:rPr>
                <w:rFonts w:hint="eastAsia"/>
                <w:b/>
                <w:bCs/>
                <w:kern w:val="0"/>
              </w:rPr>
              <w:t>数量</w:t>
            </w:r>
          </w:p>
        </w:tc>
        <w:tc>
          <w:tcPr>
            <w:tcW w:w="1453" w:type="dxa"/>
            <w:vAlign w:val="center"/>
          </w:tcPr>
          <w:p>
            <w:pPr>
              <w:widowControl/>
              <w:jc w:val="center"/>
              <w:rPr>
                <w:b/>
                <w:bCs/>
                <w:kern w:val="0"/>
              </w:rPr>
            </w:pPr>
            <w:r>
              <w:rPr>
                <w:rFonts w:hint="eastAsia"/>
                <w:b/>
                <w:bCs/>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widowControl/>
              <w:jc w:val="center"/>
              <w:rPr>
                <w:kern w:val="0"/>
              </w:rPr>
            </w:pPr>
            <w:r>
              <w:rPr>
                <w:rFonts w:hint="eastAsia"/>
                <w:kern w:val="0"/>
              </w:rPr>
              <w:t>1</w:t>
            </w:r>
          </w:p>
        </w:tc>
        <w:tc>
          <w:tcPr>
            <w:tcW w:w="4650" w:type="dxa"/>
            <w:vAlign w:val="center"/>
          </w:tcPr>
          <w:p>
            <w:pPr>
              <w:widowControl/>
              <w:jc w:val="center"/>
              <w:rPr>
                <w:kern w:val="0"/>
              </w:rPr>
            </w:pPr>
            <w:r>
              <w:rPr>
                <w:rFonts w:hint="eastAsia"/>
                <w:kern w:val="0"/>
              </w:rPr>
              <w:t>基本服务</w:t>
            </w:r>
          </w:p>
        </w:tc>
        <w:tc>
          <w:tcPr>
            <w:tcW w:w="5829" w:type="dxa"/>
            <w:vAlign w:val="center"/>
          </w:tcPr>
          <w:p>
            <w:pPr>
              <w:widowControl/>
              <w:jc w:val="center"/>
              <w:rPr>
                <w:kern w:val="0"/>
              </w:rPr>
            </w:pPr>
          </w:p>
        </w:tc>
        <w:tc>
          <w:tcPr>
            <w:tcW w:w="1494" w:type="dxa"/>
            <w:vAlign w:val="center"/>
          </w:tcPr>
          <w:p>
            <w:pPr>
              <w:widowControl/>
              <w:jc w:val="center"/>
              <w:rPr>
                <w:kern w:val="0"/>
              </w:rPr>
            </w:pPr>
            <w:r>
              <w:rPr>
                <w:rFonts w:hint="eastAsia"/>
                <w:kern w:val="0"/>
              </w:rPr>
              <w:t>/</w:t>
            </w:r>
          </w:p>
        </w:tc>
        <w:tc>
          <w:tcPr>
            <w:tcW w:w="1453" w:type="dxa"/>
            <w:vAlign w:val="center"/>
          </w:tcPr>
          <w:p>
            <w:pPr>
              <w:widowControl/>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34" w:type="dxa"/>
            <w:vAlign w:val="center"/>
          </w:tcPr>
          <w:p>
            <w:pPr>
              <w:widowControl/>
              <w:jc w:val="center"/>
              <w:rPr>
                <w:kern w:val="0"/>
              </w:rPr>
            </w:pPr>
            <w:r>
              <w:rPr>
                <w:rFonts w:hint="eastAsia"/>
                <w:kern w:val="0"/>
              </w:rPr>
              <w:t>2</w:t>
            </w:r>
          </w:p>
        </w:tc>
        <w:tc>
          <w:tcPr>
            <w:tcW w:w="4650" w:type="dxa"/>
            <w:vAlign w:val="center"/>
          </w:tcPr>
          <w:p>
            <w:pPr>
              <w:widowControl/>
              <w:jc w:val="center"/>
              <w:rPr>
                <w:kern w:val="0"/>
              </w:rPr>
            </w:pPr>
            <w:r>
              <w:rPr>
                <w:rFonts w:hint="eastAsia"/>
                <w:kern w:val="0"/>
              </w:rPr>
              <w:t>房屋维修服务</w:t>
            </w:r>
          </w:p>
        </w:tc>
        <w:tc>
          <w:tcPr>
            <w:tcW w:w="5829" w:type="dxa"/>
            <w:vAlign w:val="center"/>
          </w:tcPr>
          <w:p>
            <w:pPr>
              <w:widowControl/>
              <w:jc w:val="center"/>
              <w:rPr>
                <w:kern w:val="0"/>
              </w:rPr>
            </w:pPr>
          </w:p>
        </w:tc>
        <w:tc>
          <w:tcPr>
            <w:tcW w:w="1494" w:type="dxa"/>
            <w:vAlign w:val="center"/>
          </w:tcPr>
          <w:p>
            <w:pPr>
              <w:widowControl/>
              <w:jc w:val="center"/>
              <w:rPr>
                <w:kern w:val="0"/>
              </w:rPr>
            </w:pPr>
            <w:r>
              <w:rPr>
                <w:rFonts w:hint="eastAsia"/>
                <w:kern w:val="0"/>
              </w:rPr>
              <w:t>/</w:t>
            </w:r>
          </w:p>
        </w:tc>
        <w:tc>
          <w:tcPr>
            <w:tcW w:w="1453" w:type="dxa"/>
            <w:vAlign w:val="center"/>
          </w:tcPr>
          <w:p>
            <w:pPr>
              <w:widowControl/>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widowControl/>
              <w:jc w:val="center"/>
              <w:rPr>
                <w:kern w:val="0"/>
              </w:rPr>
            </w:pPr>
            <w:r>
              <w:rPr>
                <w:rFonts w:hint="eastAsia"/>
                <w:kern w:val="0"/>
              </w:rPr>
              <w:t>3</w:t>
            </w:r>
          </w:p>
        </w:tc>
        <w:tc>
          <w:tcPr>
            <w:tcW w:w="4650" w:type="dxa"/>
            <w:vAlign w:val="center"/>
          </w:tcPr>
          <w:p>
            <w:pPr>
              <w:widowControl/>
              <w:jc w:val="center"/>
              <w:rPr>
                <w:kern w:val="0"/>
              </w:rPr>
            </w:pPr>
            <w:r>
              <w:rPr>
                <w:rFonts w:hint="eastAsia"/>
              </w:rPr>
              <w:t>公用设施设备维护服务</w:t>
            </w:r>
          </w:p>
        </w:tc>
        <w:tc>
          <w:tcPr>
            <w:tcW w:w="5829" w:type="dxa"/>
            <w:vAlign w:val="center"/>
          </w:tcPr>
          <w:p>
            <w:pPr>
              <w:widowControl/>
              <w:jc w:val="center"/>
              <w:rPr>
                <w:kern w:val="0"/>
              </w:rPr>
            </w:pPr>
            <w:r>
              <w:rPr>
                <w:rFonts w:hint="eastAsia"/>
                <w:kern w:val="0"/>
              </w:rPr>
              <w:t>电工作业基础工具</w:t>
            </w:r>
          </w:p>
        </w:tc>
        <w:tc>
          <w:tcPr>
            <w:tcW w:w="1494" w:type="dxa"/>
            <w:vAlign w:val="center"/>
          </w:tcPr>
          <w:p>
            <w:pPr>
              <w:widowControl/>
              <w:jc w:val="center"/>
              <w:rPr>
                <w:kern w:val="0"/>
              </w:rPr>
            </w:pPr>
            <w:r>
              <w:rPr>
                <w:rFonts w:hint="eastAsia"/>
                <w:kern w:val="0"/>
              </w:rPr>
              <w:t>根据实际需要</w:t>
            </w:r>
          </w:p>
        </w:tc>
        <w:tc>
          <w:tcPr>
            <w:tcW w:w="1453" w:type="dxa"/>
            <w:vAlign w:val="center"/>
          </w:tcPr>
          <w:p>
            <w:pPr>
              <w:widowControl/>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4" w:type="dxa"/>
            <w:vAlign w:val="center"/>
          </w:tcPr>
          <w:p>
            <w:pPr>
              <w:widowControl/>
              <w:jc w:val="center"/>
              <w:rPr>
                <w:kern w:val="0"/>
              </w:rPr>
            </w:pPr>
            <w:r>
              <w:rPr>
                <w:rFonts w:hint="eastAsia"/>
                <w:kern w:val="0"/>
              </w:rPr>
              <w:t>4</w:t>
            </w:r>
          </w:p>
        </w:tc>
        <w:tc>
          <w:tcPr>
            <w:tcW w:w="4650" w:type="dxa"/>
            <w:vAlign w:val="center"/>
          </w:tcPr>
          <w:p>
            <w:pPr>
              <w:widowControl/>
              <w:jc w:val="center"/>
            </w:pPr>
            <w:r>
              <w:rPr>
                <w:rFonts w:hint="eastAsia"/>
              </w:rPr>
              <w:t>保洁服务</w:t>
            </w:r>
          </w:p>
        </w:tc>
        <w:tc>
          <w:tcPr>
            <w:tcW w:w="5829" w:type="dxa"/>
            <w:vAlign w:val="center"/>
          </w:tcPr>
          <w:p>
            <w:pPr>
              <w:widowControl/>
              <w:jc w:val="center"/>
              <w:rPr>
                <w:kern w:val="0"/>
              </w:rPr>
            </w:pPr>
            <w:r>
              <w:rPr>
                <w:rFonts w:hint="eastAsia"/>
                <w:kern w:val="0"/>
              </w:rPr>
              <w:t>清洁工具</w:t>
            </w:r>
          </w:p>
        </w:tc>
        <w:tc>
          <w:tcPr>
            <w:tcW w:w="1494" w:type="dxa"/>
            <w:vAlign w:val="center"/>
          </w:tcPr>
          <w:p>
            <w:pPr>
              <w:widowControl/>
              <w:jc w:val="center"/>
              <w:rPr>
                <w:kern w:val="0"/>
              </w:rPr>
            </w:pPr>
            <w:r>
              <w:rPr>
                <w:rFonts w:hint="eastAsia"/>
                <w:kern w:val="0"/>
              </w:rPr>
              <w:t>根据实际需要</w:t>
            </w:r>
          </w:p>
        </w:tc>
        <w:tc>
          <w:tcPr>
            <w:tcW w:w="1453" w:type="dxa"/>
            <w:vAlign w:val="center"/>
          </w:tcPr>
          <w:p>
            <w:pPr>
              <w:widowControl/>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widowControl/>
              <w:jc w:val="center"/>
              <w:rPr>
                <w:kern w:val="0"/>
              </w:rPr>
            </w:pPr>
            <w:r>
              <w:rPr>
                <w:rFonts w:hint="eastAsia"/>
                <w:kern w:val="0"/>
              </w:rPr>
              <w:t>5</w:t>
            </w:r>
          </w:p>
        </w:tc>
        <w:tc>
          <w:tcPr>
            <w:tcW w:w="4650" w:type="dxa"/>
            <w:vAlign w:val="center"/>
          </w:tcPr>
          <w:p>
            <w:pPr>
              <w:widowControl/>
              <w:jc w:val="center"/>
            </w:pPr>
            <w:r>
              <w:rPr>
                <w:rFonts w:hint="eastAsia"/>
              </w:rPr>
              <w:t>绿化服务</w:t>
            </w:r>
          </w:p>
        </w:tc>
        <w:tc>
          <w:tcPr>
            <w:tcW w:w="5829" w:type="dxa"/>
            <w:vAlign w:val="center"/>
          </w:tcPr>
          <w:p>
            <w:pPr>
              <w:widowControl/>
              <w:jc w:val="center"/>
              <w:rPr>
                <w:kern w:val="0"/>
              </w:rPr>
            </w:pPr>
            <w:r>
              <w:rPr>
                <w:rFonts w:hint="eastAsia"/>
                <w:kern w:val="0"/>
              </w:rPr>
              <w:t>园林工具</w:t>
            </w:r>
          </w:p>
        </w:tc>
        <w:tc>
          <w:tcPr>
            <w:tcW w:w="1494" w:type="dxa"/>
            <w:vAlign w:val="center"/>
          </w:tcPr>
          <w:p>
            <w:pPr>
              <w:widowControl/>
              <w:jc w:val="center"/>
              <w:rPr>
                <w:kern w:val="0"/>
              </w:rPr>
            </w:pPr>
            <w:r>
              <w:rPr>
                <w:rFonts w:hint="eastAsia"/>
                <w:kern w:val="0"/>
              </w:rPr>
              <w:t>根据实际需要</w:t>
            </w:r>
          </w:p>
        </w:tc>
        <w:tc>
          <w:tcPr>
            <w:tcW w:w="1453" w:type="dxa"/>
            <w:vAlign w:val="center"/>
          </w:tcPr>
          <w:p>
            <w:pPr>
              <w:widowControl/>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widowControl/>
              <w:jc w:val="center"/>
              <w:rPr>
                <w:kern w:val="0"/>
              </w:rPr>
            </w:pPr>
            <w:r>
              <w:rPr>
                <w:rFonts w:hint="eastAsia"/>
                <w:kern w:val="0"/>
              </w:rPr>
              <w:t>6</w:t>
            </w:r>
          </w:p>
        </w:tc>
        <w:tc>
          <w:tcPr>
            <w:tcW w:w="4650" w:type="dxa"/>
            <w:vAlign w:val="center"/>
          </w:tcPr>
          <w:p>
            <w:pPr>
              <w:widowControl/>
              <w:jc w:val="center"/>
            </w:pPr>
            <w:r>
              <w:rPr>
                <w:rFonts w:hint="eastAsia"/>
              </w:rPr>
              <w:t>保安服务</w:t>
            </w:r>
          </w:p>
        </w:tc>
        <w:tc>
          <w:tcPr>
            <w:tcW w:w="5829" w:type="dxa"/>
            <w:vAlign w:val="center"/>
          </w:tcPr>
          <w:p>
            <w:pPr>
              <w:widowControl/>
              <w:jc w:val="center"/>
              <w:rPr>
                <w:kern w:val="0"/>
              </w:rPr>
            </w:pPr>
            <w:r>
              <w:rPr>
                <w:rFonts w:hint="eastAsia"/>
                <w:kern w:val="0"/>
              </w:rPr>
              <w:t>安保人员服装、通讯设备</w:t>
            </w:r>
          </w:p>
        </w:tc>
        <w:tc>
          <w:tcPr>
            <w:tcW w:w="1494" w:type="dxa"/>
            <w:vAlign w:val="center"/>
          </w:tcPr>
          <w:p>
            <w:pPr>
              <w:widowControl/>
              <w:jc w:val="center"/>
              <w:rPr>
                <w:kern w:val="0"/>
              </w:rPr>
            </w:pPr>
            <w:r>
              <w:rPr>
                <w:rFonts w:hint="eastAsia"/>
                <w:kern w:val="0"/>
              </w:rPr>
              <w:t>根据实际需要</w:t>
            </w:r>
          </w:p>
        </w:tc>
        <w:tc>
          <w:tcPr>
            <w:tcW w:w="1453" w:type="dxa"/>
            <w:vAlign w:val="center"/>
          </w:tcPr>
          <w:p>
            <w:pPr>
              <w:widowControl/>
              <w:jc w:val="center"/>
              <w:rPr>
                <w:kern w:val="0"/>
              </w:rPr>
            </w:pPr>
            <w:r>
              <w:rPr>
                <w:rFonts w:hint="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widowControl/>
              <w:jc w:val="center"/>
              <w:rPr>
                <w:kern w:val="0"/>
              </w:rPr>
            </w:pPr>
            <w:r>
              <w:rPr>
                <w:rFonts w:hint="eastAsia"/>
                <w:kern w:val="0"/>
              </w:rPr>
              <w:t>7</w:t>
            </w:r>
          </w:p>
        </w:tc>
        <w:tc>
          <w:tcPr>
            <w:tcW w:w="4650" w:type="dxa"/>
            <w:vAlign w:val="center"/>
          </w:tcPr>
          <w:p>
            <w:pPr>
              <w:widowControl/>
              <w:jc w:val="center"/>
              <w:rPr>
                <w:kern w:val="0"/>
              </w:rPr>
            </w:pPr>
            <w:r>
              <w:rPr>
                <w:rFonts w:hint="eastAsia"/>
                <w:kern w:val="0"/>
              </w:rPr>
              <w:t>会议服务</w:t>
            </w:r>
          </w:p>
        </w:tc>
        <w:tc>
          <w:tcPr>
            <w:tcW w:w="5829" w:type="dxa"/>
            <w:vAlign w:val="center"/>
          </w:tcPr>
          <w:p>
            <w:pPr>
              <w:widowControl/>
              <w:jc w:val="center"/>
              <w:rPr>
                <w:kern w:val="0"/>
              </w:rPr>
            </w:pPr>
          </w:p>
        </w:tc>
        <w:tc>
          <w:tcPr>
            <w:tcW w:w="1494" w:type="dxa"/>
            <w:vAlign w:val="center"/>
          </w:tcPr>
          <w:p>
            <w:pPr>
              <w:widowControl/>
              <w:jc w:val="center"/>
              <w:rPr>
                <w:kern w:val="0"/>
              </w:rPr>
            </w:pPr>
            <w:r>
              <w:rPr>
                <w:rFonts w:hint="eastAsia"/>
                <w:kern w:val="0"/>
              </w:rPr>
              <w:t>/</w:t>
            </w:r>
          </w:p>
        </w:tc>
        <w:tc>
          <w:tcPr>
            <w:tcW w:w="1453" w:type="dxa"/>
            <w:vAlign w:val="center"/>
          </w:tcPr>
          <w:p>
            <w:pPr>
              <w:widowControl/>
              <w:jc w:val="center"/>
              <w:rPr>
                <w:kern w:val="0"/>
              </w:rPr>
            </w:pPr>
            <w:r>
              <w:rPr>
                <w:rFonts w:hint="eastAsia"/>
                <w:kern w:val="0"/>
              </w:rPr>
              <w:t>/</w:t>
            </w:r>
          </w:p>
        </w:tc>
      </w:tr>
    </w:tbl>
    <w:p>
      <w:pPr>
        <w:pStyle w:val="19"/>
        <w:rPr>
          <w:b/>
          <w:bCs/>
        </w:rPr>
      </w:pPr>
      <w:r>
        <w:rPr>
          <w:rFonts w:hint="eastAsia" w:ascii="楷体" w:hAnsi="楷体" w:eastAsia="楷体" w:cs="楷体"/>
        </w:rPr>
        <w:t>注：采购人已无偿提供的作业设备，不在此重复要求。</w:t>
      </w:r>
    </w:p>
    <w:p/>
    <w:p>
      <w:pPr>
        <w:pStyle w:val="2"/>
        <w:numPr>
          <w:ilvl w:val="255"/>
          <w:numId w:val="0"/>
        </w:numPr>
        <w:snapToGrid w:val="0"/>
        <w:spacing w:line="300" w:lineRule="auto"/>
        <w:jc w:val="both"/>
        <w:rPr>
          <w:rFonts w:ascii="Calibri" w:hAnsi="Calibri" w:eastAsia="宋体" w:cs="Calibri"/>
          <w:sz w:val="21"/>
          <w:lang w:val="en-US"/>
        </w:rPr>
      </w:pPr>
      <w:r>
        <w:rPr>
          <w:rFonts w:ascii="Calibri" w:hAnsi="Calibri" w:eastAsia="宋体" w:cs="Calibri"/>
          <w:sz w:val="21"/>
          <w:lang w:val="en-US"/>
        </w:rPr>
        <w:t>5.物业管理服务人员需求</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65"/>
        <w:gridCol w:w="765"/>
        <w:gridCol w:w="929"/>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shd w:val="clear" w:color="auto" w:fill="auto"/>
            <w:vAlign w:val="center"/>
          </w:tcPr>
          <w:p>
            <w:pPr>
              <w:widowControl/>
              <w:jc w:val="center"/>
              <w:rPr>
                <w:b/>
              </w:rPr>
            </w:pPr>
            <w:r>
              <w:rPr>
                <w:b/>
              </w:rPr>
              <w:t>部门职能</w:t>
            </w:r>
          </w:p>
        </w:tc>
        <w:tc>
          <w:tcPr>
            <w:tcW w:w="1110" w:type="dxa"/>
            <w:shd w:val="clear" w:color="auto" w:fill="auto"/>
            <w:vAlign w:val="center"/>
          </w:tcPr>
          <w:p>
            <w:pPr>
              <w:widowControl/>
              <w:jc w:val="center"/>
              <w:rPr>
                <w:b/>
              </w:rPr>
            </w:pPr>
            <w:r>
              <w:rPr>
                <w:b/>
              </w:rPr>
              <w:t>岗位</w:t>
            </w:r>
          </w:p>
        </w:tc>
        <w:tc>
          <w:tcPr>
            <w:tcW w:w="1110" w:type="dxa"/>
            <w:shd w:val="clear" w:color="auto" w:fill="auto"/>
            <w:vAlign w:val="center"/>
          </w:tcPr>
          <w:p>
            <w:pPr>
              <w:widowControl/>
              <w:jc w:val="distribute"/>
              <w:rPr>
                <w:b/>
              </w:rPr>
            </w:pPr>
            <w:r>
              <w:rPr>
                <w:b/>
              </w:rPr>
              <w:t>同时</w:t>
            </w:r>
          </w:p>
          <w:p>
            <w:pPr>
              <w:widowControl/>
              <w:jc w:val="distribute"/>
              <w:rPr>
                <w:b/>
              </w:rPr>
            </w:pPr>
            <w:r>
              <w:rPr>
                <w:b/>
              </w:rPr>
              <w:t>在岗人数</w:t>
            </w:r>
          </w:p>
        </w:tc>
        <w:tc>
          <w:tcPr>
            <w:tcW w:w="1380" w:type="dxa"/>
            <w:shd w:val="clear" w:color="auto" w:fill="auto"/>
            <w:vAlign w:val="center"/>
          </w:tcPr>
          <w:p>
            <w:pPr>
              <w:widowControl/>
              <w:jc w:val="center"/>
              <w:rPr>
                <w:b/>
              </w:rPr>
            </w:pPr>
            <w:r>
              <w:rPr>
                <w:b/>
              </w:rPr>
              <w:t>岗位</w:t>
            </w:r>
          </w:p>
          <w:p>
            <w:pPr>
              <w:widowControl/>
              <w:jc w:val="center"/>
              <w:rPr>
                <w:b/>
              </w:rPr>
            </w:pPr>
            <w:r>
              <w:rPr>
                <w:b/>
              </w:rPr>
              <w:t>所需总人数</w:t>
            </w:r>
          </w:p>
        </w:tc>
        <w:tc>
          <w:tcPr>
            <w:tcW w:w="9837" w:type="dxa"/>
            <w:shd w:val="clear" w:color="auto" w:fill="auto"/>
            <w:vAlign w:val="center"/>
          </w:tcPr>
          <w:p>
            <w:pPr>
              <w:widowControl/>
              <w:jc w:val="center"/>
              <w:rPr>
                <w:b/>
              </w:rPr>
            </w:pPr>
            <w:r>
              <w:rPr>
                <w:b/>
              </w:rPr>
              <w:t>备注（岗位所需服务时长或时段、需具备的上岗资格证</w:t>
            </w:r>
            <w:r>
              <w:rPr>
                <w:rFonts w:hint="eastAsia"/>
                <w:b/>
              </w:rPr>
              <w:t>、人员学历、工作经验</w:t>
            </w:r>
            <w:r>
              <w:rPr>
                <w:b/>
              </w:rPr>
              <w:t>等</w:t>
            </w:r>
            <w:r>
              <w:rPr>
                <w:rFonts w:hint="eastAsia"/>
                <w:b/>
              </w:rPr>
              <w:t>要求</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shd w:val="clear" w:color="auto" w:fill="auto"/>
            <w:vAlign w:val="center"/>
          </w:tcPr>
          <w:p>
            <w:pPr>
              <w:widowControl/>
              <w:jc w:val="center"/>
              <w:rPr>
                <w:bCs/>
              </w:rPr>
            </w:pPr>
            <w:r>
              <w:rPr>
                <w:bCs/>
              </w:rPr>
              <w:t>服务中心</w:t>
            </w:r>
          </w:p>
        </w:tc>
        <w:tc>
          <w:tcPr>
            <w:tcW w:w="1110" w:type="dxa"/>
            <w:shd w:val="clear" w:color="auto" w:fill="auto"/>
            <w:vAlign w:val="center"/>
          </w:tcPr>
          <w:p>
            <w:pPr>
              <w:widowControl/>
              <w:jc w:val="center"/>
              <w:rPr>
                <w:bCs/>
              </w:rPr>
            </w:pPr>
            <w:r>
              <w:rPr>
                <w:bCs/>
              </w:rPr>
              <w:t>项目经理</w:t>
            </w:r>
          </w:p>
        </w:tc>
        <w:tc>
          <w:tcPr>
            <w:tcW w:w="1110" w:type="dxa"/>
            <w:shd w:val="clear" w:color="auto" w:fill="auto"/>
            <w:vAlign w:val="center"/>
          </w:tcPr>
          <w:p>
            <w:pPr>
              <w:widowControl/>
              <w:jc w:val="center"/>
              <w:rPr>
                <w:bCs/>
              </w:rPr>
            </w:pPr>
            <w:r>
              <w:rPr>
                <w:bCs/>
              </w:rPr>
              <w:t>1</w:t>
            </w:r>
          </w:p>
        </w:tc>
        <w:tc>
          <w:tcPr>
            <w:tcW w:w="1380" w:type="dxa"/>
            <w:shd w:val="clear" w:color="auto" w:fill="auto"/>
            <w:vAlign w:val="center"/>
          </w:tcPr>
          <w:p>
            <w:pPr>
              <w:widowControl/>
              <w:jc w:val="center"/>
              <w:rPr>
                <w:bCs/>
              </w:rPr>
            </w:pPr>
            <w:r>
              <w:rPr>
                <w:bCs/>
              </w:rPr>
              <w:t>1</w:t>
            </w:r>
          </w:p>
        </w:tc>
        <w:tc>
          <w:tcPr>
            <w:tcW w:w="9837" w:type="dxa"/>
            <w:shd w:val="clear" w:color="auto" w:fill="auto"/>
            <w:vAlign w:val="center"/>
          </w:tcPr>
          <w:p>
            <w:pPr>
              <w:widowControl/>
            </w:pPr>
            <w:r>
              <w:rPr>
                <w:rFonts w:hint="eastAsia"/>
              </w:rPr>
              <w:t>1.岗位要求：</w:t>
            </w:r>
          </w:p>
          <w:p>
            <w:pPr>
              <w:widowControl/>
            </w:pPr>
            <w:r>
              <w:t>物业经理1人(年龄30--50岁)，物业管理或相关专业大专以上学历并持有物业经理上岗证等从事行业工作所需的所有证书，无不良记录，3年以上物业管理从业经验并有小区、商业工作经验。</w:t>
            </w:r>
            <w:r>
              <w:rPr>
                <w:rFonts w:hint="eastAsia"/>
              </w:rPr>
              <w:t>每日在岗时间不少于8小时，即（8:00-12:00；15:00-19:00），服务期内不可以被抽调至其他项目。</w:t>
            </w:r>
          </w:p>
          <w:p>
            <w:pPr>
              <w:widowControl/>
            </w:pPr>
            <w:r>
              <w:t>2.工作职责：</w:t>
            </w:r>
          </w:p>
          <w:p>
            <w:pPr>
              <w:widowControl/>
            </w:pPr>
            <w:r>
              <w:t>①乙方物业经理负责甲方日常物业管理工作，确保物业服务范围内的工作质量，为甲方提供良好的服务。</w:t>
            </w:r>
          </w:p>
          <w:p>
            <w:pPr>
              <w:widowControl/>
            </w:pPr>
            <w:r>
              <w:t>②负责制定本项目年度工作目标和计划并组织实施。每月召开员工工作例会，分别每半年和全年召开员工总结大会，总结项目工作中存在的问题，完善和改进物业管理工作和服务态度等，并及时向甲方汇报工作情况及总结报告。能根据各时期的实际状况，提出改进和提高物业管理工作水平的解决方案。听取甲方的意见和要求，并在规定期限内落实执行。</w:t>
            </w:r>
          </w:p>
          <w:p>
            <w:pPr>
              <w:widowControl/>
            </w:pPr>
            <w:r>
              <w:t>③安排乙方全体员工工作任务，监督、检查各项工作完成情况，完善员工的考勤登记，协调员工关系，做好员工职业安全教育等各类培训，加强思想教育，端正工作态度，不断提高本项目员工的工作能力、业务能力和素质水平。</w:t>
            </w:r>
          </w:p>
          <w:p>
            <w:pPr>
              <w:widowControl/>
            </w:pPr>
            <w:r>
              <w:t>④建立甲方公共配套设施设备档案，定期检查项目公共设施设备的运行情况。按照物业管理工作需要，对甲方物业服务范围内的公共用地、公共环境、公共秩序、公共设施设备、合作用房用电安全、清洁卫生、绿化保养、四害消杀等情况进行日常巡视检查，形成检查记录；每月组织一次对机电设备、建筑、公共设施、环境卫生和消防安全等方面的综合性检查；督促电梯、消防、弱电等维保公司按照规定进行维保服务，及时跟进汇报维保情况，并形成工作档案。及时发现问题并跟进整改落实，及时将整改情况报告给甲方，确保安全生产。</w:t>
            </w:r>
          </w:p>
          <w:p>
            <w:pPr>
              <w:widowControl/>
            </w:pPr>
            <w:r>
              <w:t>⑤配备工程维修专业人员，安排维修人员维修甲方的报修工作，及时完成甲方交办的日常维修任务，排除建筑物排水管道堵塞疏通、雨水井口和建筑物楼顶排水口的清淤工作等。</w:t>
            </w:r>
          </w:p>
          <w:p>
            <w:pPr>
              <w:widowControl/>
            </w:pPr>
            <w:r>
              <w:t>⑥负责受理日常甲方客户的报装、报修及投诉等工作，按照甲方要求指导合作方报备装修方案、动火作业审批等，检查装修施工现场，及时纠正不遵守甲方装修管理规定的违章行为。加强和甲方客户的沟通并采取有效措施，协调沟通解决合作方的各类诉求问题，协助甲方推进事业发展。</w:t>
            </w:r>
          </w:p>
          <w:p>
            <w:pPr>
              <w:widowControl/>
            </w:pPr>
            <w:r>
              <w:t>⑦根据甲方工作要求，做好文化宫合作方费用催缴（水电费、物业费、合作费等）、整改通知书发放工作，并及时跟进合作方整改情况，确保合作方在规定时间内全部缴清费用。</w:t>
            </w:r>
          </w:p>
          <w:p>
            <w:pPr>
              <w:widowControl/>
            </w:pPr>
            <w:r>
              <w:t>⑧制定本项目物业管理、人员管理等各项工作制度，并按相关要求及时修改和完善。</w:t>
            </w:r>
          </w:p>
          <w:p>
            <w:pPr>
              <w:widowControl/>
            </w:pPr>
            <w:r>
              <w:t>⑨发生紧急事件时，立即组织相关责任人员处理，依照应急方案执行。在事后组织相关责任人员总结、学习，分析原因并向乙方和甲方提交情况说明。</w:t>
            </w:r>
          </w:p>
          <w:p>
            <w:pPr>
              <w:widowControl/>
            </w:pPr>
            <w:r>
              <w:t>⑩按照甲方要求，整理维修、更换等工作前、中、后各阶段的照片等资料。</w:t>
            </w:r>
          </w:p>
          <w:p>
            <w:pPr>
              <w:widowControl/>
            </w:pPr>
            <w:r>
              <w:t>⑪完成甲方交办的其他任务。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restart"/>
            <w:shd w:val="clear" w:color="auto" w:fill="auto"/>
            <w:vAlign w:val="center"/>
          </w:tcPr>
          <w:p>
            <w:pPr>
              <w:widowControl/>
              <w:rPr>
                <w:bCs/>
              </w:rPr>
            </w:pPr>
            <w:r>
              <w:rPr>
                <w:rFonts w:hint="eastAsia"/>
                <w:bCs/>
              </w:rPr>
              <w:t>基本服务</w:t>
            </w:r>
          </w:p>
        </w:tc>
        <w:tc>
          <w:tcPr>
            <w:tcW w:w="1110" w:type="dxa"/>
            <w:shd w:val="clear" w:color="auto" w:fill="auto"/>
            <w:vAlign w:val="center"/>
          </w:tcPr>
          <w:p>
            <w:pPr>
              <w:widowControl/>
              <w:rPr>
                <w:bCs/>
              </w:rPr>
            </w:pPr>
            <w:r>
              <w:rPr>
                <w:bCs/>
              </w:rPr>
              <w:t>主管</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前台</w:t>
            </w:r>
            <w:r>
              <w:rPr>
                <w:rFonts w:hint="eastAsia"/>
                <w:bCs/>
              </w:rPr>
              <w:t>（或传达室）</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内勤</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客服</w:t>
            </w:r>
            <w:r>
              <w:rPr>
                <w:rFonts w:hint="eastAsia"/>
                <w:bCs/>
              </w:rPr>
              <w:t>（24小时服务热线）</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restart"/>
            <w:shd w:val="clear" w:color="auto" w:fill="auto"/>
            <w:vAlign w:val="center"/>
          </w:tcPr>
          <w:p>
            <w:pPr>
              <w:widowControl/>
              <w:rPr>
                <w:bCs/>
              </w:rPr>
            </w:pPr>
            <w:r>
              <w:rPr>
                <w:rFonts w:hint="eastAsia"/>
                <w:bCs/>
              </w:rPr>
              <w:t>房屋维护服务</w:t>
            </w:r>
          </w:p>
        </w:tc>
        <w:tc>
          <w:tcPr>
            <w:tcW w:w="1110" w:type="dxa"/>
            <w:shd w:val="clear" w:color="auto" w:fill="auto"/>
            <w:vAlign w:val="center"/>
          </w:tcPr>
          <w:p>
            <w:pPr>
              <w:widowControl/>
              <w:rPr>
                <w:bCs/>
              </w:rPr>
            </w:pPr>
            <w:r>
              <w:rPr>
                <w:bCs/>
              </w:rPr>
              <w:t>主管</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综合维修</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restart"/>
            <w:shd w:val="clear" w:color="auto" w:fill="auto"/>
            <w:vAlign w:val="center"/>
          </w:tcPr>
          <w:p>
            <w:pPr>
              <w:widowControl/>
              <w:rPr>
                <w:bCs/>
              </w:rPr>
            </w:pPr>
            <w:r>
              <w:rPr>
                <w:rFonts w:hint="eastAsia"/>
              </w:rPr>
              <w:t>公用设施设备维护服务</w:t>
            </w:r>
          </w:p>
        </w:tc>
        <w:tc>
          <w:tcPr>
            <w:tcW w:w="1110" w:type="dxa"/>
            <w:shd w:val="clear" w:color="auto" w:fill="auto"/>
            <w:vAlign w:val="center"/>
          </w:tcPr>
          <w:p>
            <w:pPr>
              <w:widowControl/>
              <w:rPr>
                <w:bCs/>
              </w:rPr>
            </w:pPr>
            <w:r>
              <w:rPr>
                <w:rFonts w:hint="eastAsia"/>
                <w:bCs/>
              </w:rPr>
              <w:t>主管</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弱电维修</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高配工</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水电工</w:t>
            </w:r>
          </w:p>
        </w:tc>
        <w:tc>
          <w:tcPr>
            <w:tcW w:w="1110" w:type="dxa"/>
            <w:shd w:val="clear" w:color="auto" w:fill="auto"/>
            <w:vAlign w:val="center"/>
          </w:tcPr>
          <w:p>
            <w:pPr>
              <w:widowControl/>
              <w:jc w:val="center"/>
              <w:rPr>
                <w:bCs/>
              </w:rPr>
            </w:pPr>
            <w:r>
              <w:rPr>
                <w:rFonts w:hint="eastAsia"/>
                <w:bCs/>
              </w:rPr>
              <w:t>1</w:t>
            </w:r>
          </w:p>
        </w:tc>
        <w:tc>
          <w:tcPr>
            <w:tcW w:w="1380" w:type="dxa"/>
            <w:shd w:val="clear" w:color="auto" w:fill="auto"/>
            <w:vAlign w:val="center"/>
          </w:tcPr>
          <w:p>
            <w:pPr>
              <w:widowControl/>
              <w:jc w:val="center"/>
              <w:rPr>
                <w:bCs/>
              </w:rPr>
            </w:pPr>
            <w:r>
              <w:rPr>
                <w:rFonts w:hint="eastAsia"/>
                <w:bCs/>
              </w:rPr>
              <w:t>1</w:t>
            </w:r>
          </w:p>
        </w:tc>
        <w:tc>
          <w:tcPr>
            <w:tcW w:w="9837" w:type="dxa"/>
            <w:shd w:val="clear" w:color="auto" w:fill="auto"/>
            <w:vAlign w:val="center"/>
          </w:tcPr>
          <w:p>
            <w:pPr>
              <w:widowControl/>
            </w:pPr>
            <w:r>
              <w:t>1.岗位要求：</w:t>
            </w:r>
          </w:p>
          <w:p>
            <w:pPr>
              <w:widowControl/>
            </w:pPr>
            <w:r>
              <w:t>①年龄要求在25--60岁之间，上班时间：上午08:00--12:00，下午14:30--18:00。</w:t>
            </w:r>
          </w:p>
          <w:p>
            <w:pPr>
              <w:widowControl/>
            </w:pPr>
            <w:r>
              <w:t>②持有从业资格证书，熟悉掌握相应的专业知识和专业技能。</w:t>
            </w:r>
          </w:p>
          <w:p>
            <w:pPr>
              <w:widowControl/>
            </w:pPr>
            <w:r>
              <w:t>③具有良好的沟通能力、执行能力和团队合作精神，责任心强。</w:t>
            </w:r>
          </w:p>
          <w:p>
            <w:pPr>
              <w:widowControl/>
            </w:pPr>
            <w:r>
              <w:t>④有较强的服务意识，应变能力；工作严谨、敬业。</w:t>
            </w:r>
          </w:p>
          <w:p>
            <w:pPr>
              <w:widowControl/>
            </w:pPr>
            <w:r>
              <w:t>⑤有水、电、门窗、小区内基础设施等物业维修相关经验。</w:t>
            </w:r>
          </w:p>
          <w:p>
            <w:pPr>
              <w:widowControl/>
            </w:pPr>
            <w:r>
              <w:t>⑥有较好的技术和较强的工作能力。</w:t>
            </w:r>
          </w:p>
          <w:p>
            <w:pPr>
              <w:widowControl/>
            </w:pPr>
            <w:r>
              <w:t>2.工作标准：</w:t>
            </w:r>
          </w:p>
          <w:p>
            <w:pPr>
              <w:widowControl/>
            </w:pPr>
            <w:r>
              <w:t>①上班期间严格按照工作要求完成工作，并及时有效地完成甲方交办的工作。非上班时段保持手机畅通，以应对处理停水停电等突发事件；如甲方举行活动，要根据甲方的要求进行配合完成工作。</w:t>
            </w:r>
          </w:p>
          <w:p>
            <w:pPr>
              <w:widowControl/>
            </w:pPr>
            <w:r>
              <w:t xml:space="preserve">②工作时间按规定着装，佩戴工作牌，严格遵守操作规程、工作标准，坚决贯彻执行“安全第一”的原则。 </w:t>
            </w:r>
          </w:p>
          <w:p>
            <w:pPr>
              <w:widowControl/>
            </w:pPr>
            <w:r>
              <w:t>③对甲方的房屋、水、电、公共设施设备进行维修养护管理，确保其正常运行和完好。负责配电室、电梯机房、楼层电井的日常运行、维修、保养；负责管辖范围内所有公共设备的应急维修；负责甲方外围照明灯具的启、停；做好甲方各场馆的照明灯具、开关、插座等的修理与更换；负责电气、各配电箱（柜）表面清洁；负责设备电气的维修保养和故障检修工作；每周一次巡查责任设备并做好相关记录，每半月一次清洁责任设备及周围环境卫生；每半月负责一次消火栓泵、喷淋泵、送风排烟机、双电源发动机组启动测试并做好相关保养记录等。</w:t>
            </w:r>
          </w:p>
          <w:p>
            <w:pPr>
              <w:widowControl/>
            </w:pPr>
            <w:r>
              <w:t>④熟悉甲方房屋的分布情况，各场馆内外部结构，附属设施，水、电、消防系统的管线走向，分布状况及管线主控制位置，以及设备的性能和使用状况。</w:t>
            </w:r>
          </w:p>
          <w:p>
            <w:pPr>
              <w:widowControl/>
            </w:pPr>
            <w:r>
              <w:t>⑤加强业务知识，具备工民建的基础知识，能识施工图纸，绘制简单的平面图，结构详图，管线大致系统图，能清楚的在图上标出发生故障的位置。</w:t>
            </w:r>
          </w:p>
          <w:p>
            <w:pPr>
              <w:widowControl/>
            </w:pPr>
            <w:r>
              <w:t>⑥定期巡视甲方各场所及公共设施，掌握公共设施及消防设施的运行和完好状况，如发现有损坏隐患或其它不正常的情况，应及时组织抢修，以确保公共设施完好，设备运转正常。</w:t>
            </w:r>
          </w:p>
          <w:p>
            <w:pPr>
              <w:widowControl/>
            </w:pPr>
            <w:r>
              <w:t>⑦定期巡视甲方场地，定期对地漏口进行巡查，保证上下水、排污管道畅通，按规章制度要求定期疏浚雨水井、污水井及管道。保持污水不外泄，环境清洁。</w:t>
            </w:r>
          </w:p>
          <w:p>
            <w:pPr>
              <w:widowControl/>
            </w:pPr>
            <w:r>
              <w:t>⑧如发生台风、下雨天气，要密切关注地下停车场的排水系统，并根据实际情况打开抽水系统，确保地下停车场不能有积水。</w:t>
            </w:r>
          </w:p>
          <w:p>
            <w:pPr>
              <w:widowControl/>
            </w:pPr>
            <w:r>
              <w:t>⑨在维修楼地面渗水时，必须准确地找到漏、渗水的原因，做好一次修好，少返修或不返修。</w:t>
            </w:r>
          </w:p>
          <w:p>
            <w:pPr>
              <w:widowControl/>
            </w:pPr>
            <w:r>
              <w:t>⑩电工必须持上岗证，并且严格遵守安全操作规程，佩带工作证，穿工作服，穿绝缘鞋，戴绝缘手套等安全防护设备。</w:t>
            </w:r>
          </w:p>
          <w:p>
            <w:pPr>
              <w:widowControl/>
            </w:pPr>
            <w:r>
              <w:t>⑪水工在清理地下水池时，在保证地下水池处于通风状态下才能作业，维修给水管道须关闭总阀时，应提前通知甲方做好蓄水准备的情况下作业。</w:t>
            </w:r>
          </w:p>
          <w:p>
            <w:pPr>
              <w:widowControl/>
            </w:pPr>
            <w:r>
              <w:t>⑫配合抄表员做好水、电计量的抄表和水电费的收缴工作。</w:t>
            </w:r>
          </w:p>
          <w:p>
            <w:pPr>
              <w:widowControl/>
            </w:pPr>
            <w:r>
              <w:t xml:space="preserve">⑬发现重要电气设备故障时，应及时向物业管理人员汇报，做到及时抢修，并分析事故原因，做好记录，提出建议。 </w:t>
            </w:r>
          </w:p>
          <w:p>
            <w:pPr>
              <w:widowControl/>
            </w:pPr>
            <w:r>
              <w:t xml:space="preserve">⑭定期清洁配电房，做到“三净”（设备净、机房净、工作场地净），确保设备正常运行。 </w:t>
            </w:r>
          </w:p>
          <w:p>
            <w:pPr>
              <w:widowControl/>
            </w:pPr>
            <w:r>
              <w:t>⑮负责空调送、排风系统的运行管理工作；负责空调设备的运行、换季清洗、维修保养工作；负责空调给水系统的维修保养和故障检修。熟悉所管辖的空调、风机及冷水泵系统，制冷机空调器及水泵的安全情况和各处开关的操作规程。</w:t>
            </w:r>
          </w:p>
          <w:p>
            <w:pPr>
              <w:widowControl/>
            </w:pPr>
            <w:r>
              <w:t xml:space="preserve">⑯认真学习专业知识，积极参加岗位培训，不断提高工作水准；熟悉设备结构、性能及系统情况，做到故障判断准确，维修快捷；做好节能节材工作。 </w:t>
            </w:r>
          </w:p>
          <w:p>
            <w:pPr>
              <w:widowControl/>
            </w:pPr>
            <w:r>
              <w:t>⑰做好机组日常保养工作，根据每个场所的实际情况和气温变化情况，合理开启空调，努力降低成本。</w:t>
            </w:r>
          </w:p>
          <w:p>
            <w:pPr>
              <w:widowControl/>
            </w:pPr>
            <w:r>
              <w:t>⑱必须在指定的时间内对所属设备进行巡回检查，定期清洗风机盘管；必须按规定填写值班检查日记，按规定做好设备的日常及月度保养；做好平时小修和按计划实行三级保养的工作；确保重点设备处于良好的运行状态。</w:t>
            </w:r>
          </w:p>
          <w:p>
            <w:pPr>
              <w:widowControl/>
            </w:pPr>
            <w:r>
              <w:t>⑲熟悉所管辖区域的智能化系统的分布、运行等技术资料；负责所管辖的区域可视对讲机系统、门禁系统、交通管理系统、室内及户外监控系统，供水、供电、供气、消防报警系统智能化设备的定期巡查及维护，并按规定填写相关记录。</w:t>
            </w:r>
          </w:p>
          <w:p>
            <w:pPr>
              <w:widowControl/>
            </w:pPr>
            <w:r>
              <w:t>⑳根据智能化系统安全操作规程、维修保养规程和各类管理制度，执行有关技术规程和管理制度。</w:t>
            </w:r>
          </w:p>
          <w:p>
            <w:pPr>
              <w:widowControl/>
            </w:pPr>
            <w:r>
              <w:t>㉑发挥工作主动性，做好甲方交办的其他各项工作任务，与其他部门通力合作，确保各项工作顺利进行。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暖通工</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锅炉工</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电梯工</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restart"/>
            <w:shd w:val="clear" w:color="auto" w:fill="auto"/>
            <w:vAlign w:val="center"/>
          </w:tcPr>
          <w:p>
            <w:pPr>
              <w:widowControl/>
              <w:rPr>
                <w:bCs/>
              </w:rPr>
            </w:pPr>
            <w:r>
              <w:rPr>
                <w:rFonts w:hint="eastAsia"/>
                <w:bCs/>
              </w:rPr>
              <w:t>保洁服务</w:t>
            </w:r>
          </w:p>
        </w:tc>
        <w:tc>
          <w:tcPr>
            <w:tcW w:w="1110" w:type="dxa"/>
            <w:shd w:val="clear" w:color="auto" w:fill="auto"/>
            <w:vAlign w:val="center"/>
          </w:tcPr>
          <w:p>
            <w:pPr>
              <w:widowControl/>
              <w:rPr>
                <w:bCs/>
              </w:rPr>
            </w:pPr>
            <w:r>
              <w:rPr>
                <w:bCs/>
              </w:rPr>
              <w:t>主管</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保洁员</w:t>
            </w:r>
          </w:p>
        </w:tc>
        <w:tc>
          <w:tcPr>
            <w:tcW w:w="1110" w:type="dxa"/>
            <w:shd w:val="clear" w:color="auto" w:fill="auto"/>
            <w:vAlign w:val="center"/>
          </w:tcPr>
          <w:p>
            <w:pPr>
              <w:widowControl/>
              <w:jc w:val="center"/>
              <w:rPr>
                <w:bCs/>
              </w:rPr>
            </w:pPr>
            <w:r>
              <w:rPr>
                <w:rFonts w:hint="eastAsia"/>
                <w:bCs/>
              </w:rPr>
              <w:t>5</w:t>
            </w:r>
          </w:p>
        </w:tc>
        <w:tc>
          <w:tcPr>
            <w:tcW w:w="1380" w:type="dxa"/>
            <w:shd w:val="clear" w:color="auto" w:fill="auto"/>
            <w:vAlign w:val="center"/>
          </w:tcPr>
          <w:p>
            <w:pPr>
              <w:widowControl/>
              <w:jc w:val="center"/>
              <w:rPr>
                <w:bCs/>
              </w:rPr>
            </w:pPr>
            <w:r>
              <w:rPr>
                <w:rFonts w:hint="eastAsia"/>
                <w:bCs/>
              </w:rPr>
              <w:t>5</w:t>
            </w:r>
          </w:p>
        </w:tc>
        <w:tc>
          <w:tcPr>
            <w:tcW w:w="9837" w:type="dxa"/>
            <w:shd w:val="clear" w:color="auto" w:fill="auto"/>
            <w:vAlign w:val="center"/>
          </w:tcPr>
          <w:p>
            <w:pPr>
              <w:widowControl/>
            </w:pPr>
            <w:r>
              <w:rPr>
                <w:rFonts w:hint="eastAsia"/>
              </w:rPr>
              <w:t>1.岗位要求：</w:t>
            </w:r>
          </w:p>
          <w:p>
            <w:pPr>
              <w:widowControl/>
            </w:pPr>
            <w:r>
              <w:t>30-55岁，身体健康，能吃苦耐劳，有责任心，能熟练操作、使用保洁（园林绿化）设备和用品，遵纪守法，无不良记录</w:t>
            </w:r>
            <w:r>
              <w:rPr>
                <w:rFonts w:hint="eastAsia"/>
              </w:rPr>
              <w:t>。每日在岗时间不少于7小时，即（7:00-11:00；14:00-17:00）</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2.工作职责：</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2.1室内：（文化宫大楼内的卫生间、楼道地面、自营场馆等公共区域，活动结束前后需及时完成清扫。</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①楼道地面、楼梯、电梯每日拖洗两次，巡回保洁，无明显灰尘、污迹。</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②开关盒、表箱盖：2米以下每日清扫一次；2米以上每周一次，无明显灰尘、污迹。</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③扶手、门：每日擦抹一次，无明显灰尘、污迹。</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④天花板、公共楼道灯、会议室和场所吊灯：每一个月除尘一次，无明显灰尘、虫网。</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⑤玻璃：所有窗户玻璃每月定期清洁一次，无明显积灰、污迹。（暴风雨过后如有明显污渍要及时清洁）；一楼大厅玻璃门及玻璃窗保证至少每周擦2次，并保证无污渍，光泽。</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⑥会议室、演艺厅、展厅、室内球馆等场馆依据会议、活动日程安排提前搞好卫生、打好开水；会议、活动期间做好服务工作；会议或活动结束后打扫干净场地。</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⑦卫生间每天需做到巡回保洁，确保运作正常，每日消毒一次；保持地面清洁、无杂物、无积水、无毛发、无异味、便池、水池下水道要畅通。墙面四周及阴角做到无水迹、无蜘蛛网；镜子及金属部分，应保持干净，无浮尘、污渍、手印、水迹、无锈斑；天花板上无污渍、无漏水或有小水泡等现象，保持干净、清洁，完好无损；瓷砖：2米以下每日擦抹一次；2米以上每半个月清洁一次，无明显积灰、水渍。</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2.2室外：室外公共、绿化等区域。</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①道路地面、绿地、门窗档遮雨棚顶（视线所到之处）：每日清扫一次，并巡回保洁，无明显暴露垃圾、卫生死角；院内硬化地面无痰渍、污渍。</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②花坛：每天擦抹一次，无积灰、无污迹。</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③垃圾收集：对一楼商铺及每层楼的垃圾需每天进行清除、外运，做到垃圾日产日清，保持垃圾全部进垃圾箱，保证箱外无垃圾。</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④垃圾桶（箱）：配备足量垃圾箱（筒），对垃圾箱（桶）每天清刷，做到箱（桶）体清洁无污迹、无异味、无损坏。</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⑤窨井（含集水井）每半年清理一次，内壁无粘附物、井底无沉淀物。</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⑥明沟：每周清扫一次，无明显垃圾，无堵塞。</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⑦消毒灭害：窨井、明沟喷洒药水，每季一次（5、6、7、8、9月每月喷洒一次），定期完成四害防治工作。</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⑧地下停车场、室内外楼梯、不锈钢扶手，每日清洗一次；做到每日巡回保洁，确保无积灰、污迹、垃圾。</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⑨可上去的屋顶和雨水沟不定期清扫，要求确保无积水、无垃圾。</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2.3其他：</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①文化宫大院每月进行一次大扫除。每月大扫除日期由乙方指定，并上报给甲方。</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②所有员工在工作期间要接受甲方的领导和监督，遵守甲方的有关规章制度。</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③如遇台风、暴风雨天气，乙方需按甲方的要求对场地及公共设施进行加强巡逻、检查；在灾后及时组织人员对场地进行清扫和各类设施的检查。</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④根据甲方的需求，无条件地完成甲方交办的工作。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垃圾清运工</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23" w:type="dxa"/>
            <w:shd w:val="clear" w:color="auto" w:fill="auto"/>
            <w:vAlign w:val="center"/>
          </w:tcPr>
          <w:p>
            <w:pPr>
              <w:widowControl/>
              <w:rPr>
                <w:bCs/>
              </w:rPr>
            </w:pPr>
            <w:r>
              <w:rPr>
                <w:rFonts w:hint="eastAsia"/>
                <w:bCs/>
              </w:rPr>
              <w:t>绿化服务</w:t>
            </w:r>
          </w:p>
        </w:tc>
        <w:tc>
          <w:tcPr>
            <w:tcW w:w="1110" w:type="dxa"/>
            <w:shd w:val="clear" w:color="auto" w:fill="auto"/>
            <w:vAlign w:val="center"/>
          </w:tcPr>
          <w:p>
            <w:pPr>
              <w:widowControl/>
              <w:rPr>
                <w:bCs/>
              </w:rPr>
            </w:pPr>
            <w:r>
              <w:rPr>
                <w:bCs/>
              </w:rPr>
              <w:t>绿化工</w:t>
            </w:r>
          </w:p>
        </w:tc>
        <w:tc>
          <w:tcPr>
            <w:tcW w:w="1110" w:type="dxa"/>
            <w:shd w:val="clear" w:color="auto" w:fill="auto"/>
            <w:vAlign w:val="center"/>
          </w:tcPr>
          <w:p>
            <w:pPr>
              <w:widowControl/>
              <w:jc w:val="center"/>
              <w:rPr>
                <w:bCs/>
              </w:rPr>
            </w:pPr>
            <w:r>
              <w:rPr>
                <w:rFonts w:hint="eastAsia"/>
                <w:bCs/>
              </w:rPr>
              <w:t>1</w:t>
            </w:r>
          </w:p>
        </w:tc>
        <w:tc>
          <w:tcPr>
            <w:tcW w:w="1380" w:type="dxa"/>
            <w:shd w:val="clear" w:color="auto" w:fill="auto"/>
            <w:vAlign w:val="center"/>
          </w:tcPr>
          <w:p>
            <w:pPr>
              <w:widowControl/>
              <w:jc w:val="center"/>
              <w:rPr>
                <w:bCs/>
              </w:rPr>
            </w:pPr>
            <w:r>
              <w:rPr>
                <w:rFonts w:hint="eastAsia"/>
                <w:bCs/>
              </w:rPr>
              <w:t>1</w:t>
            </w:r>
          </w:p>
        </w:tc>
        <w:tc>
          <w:tcPr>
            <w:tcW w:w="9837" w:type="dxa"/>
            <w:shd w:val="clear" w:color="auto" w:fill="auto"/>
            <w:vAlign w:val="center"/>
          </w:tcPr>
          <w:p>
            <w:pPr>
              <w:widowControl/>
            </w:pPr>
            <w:r>
              <w:rPr>
                <w:rFonts w:hint="eastAsia"/>
              </w:rPr>
              <w:t>1.岗位职责：</w:t>
            </w:r>
          </w:p>
          <w:p>
            <w:pPr>
              <w:widowControl/>
            </w:pPr>
            <w:r>
              <w:t>园林1人，25-60岁，身体健康，能吃苦耐劳，有责任心，能熟练操作、使用园林绿化设备和用品，遵纪守法，无不良记录。</w:t>
            </w:r>
            <w:r>
              <w:rPr>
                <w:rFonts w:hint="eastAsia"/>
              </w:rPr>
              <w:t>每日在岗时间不少于7小时，即（7:00-11:00；14:00-17:00）</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2.工作职责：</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①负责文化宫绿地及行道树的养护管理工作，确保树木、花草生长旺盛，绿地内卫生整洁，无枯枝落叶。</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②做好辖区内树木、花草的日常养护管理工作监督，及时浇水、扶正、打药、施肥、修剪（应优先满足甲方需求）。</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③定期、定时进行虫害防治工作。</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④及时做好绿化苗木、花草的补植工作，保证绿化美观。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restart"/>
            <w:shd w:val="clear" w:color="auto" w:fill="auto"/>
            <w:vAlign w:val="center"/>
          </w:tcPr>
          <w:p>
            <w:pPr>
              <w:widowControl/>
              <w:rPr>
                <w:bCs/>
              </w:rPr>
            </w:pPr>
            <w:r>
              <w:rPr>
                <w:rFonts w:hint="eastAsia"/>
                <w:bCs/>
              </w:rPr>
              <w:t>保安服务</w:t>
            </w:r>
          </w:p>
        </w:tc>
        <w:tc>
          <w:tcPr>
            <w:tcW w:w="1110" w:type="dxa"/>
            <w:shd w:val="clear" w:color="auto" w:fill="auto"/>
            <w:vAlign w:val="center"/>
          </w:tcPr>
          <w:p>
            <w:pPr>
              <w:widowControl/>
              <w:rPr>
                <w:bCs/>
              </w:rPr>
            </w:pPr>
            <w:r>
              <w:rPr>
                <w:bCs/>
              </w:rPr>
              <w:t>主管</w:t>
            </w:r>
          </w:p>
        </w:tc>
        <w:tc>
          <w:tcPr>
            <w:tcW w:w="1110" w:type="dxa"/>
            <w:shd w:val="clear" w:color="auto" w:fill="auto"/>
            <w:vAlign w:val="center"/>
          </w:tcPr>
          <w:p>
            <w:pPr>
              <w:widowControl/>
              <w:jc w:val="center"/>
              <w:rPr>
                <w:bCs/>
              </w:rPr>
            </w:pPr>
            <w:r>
              <w:rPr>
                <w:rFonts w:hint="eastAsia"/>
                <w:bCs/>
              </w:rPr>
              <w:t>1</w:t>
            </w:r>
          </w:p>
        </w:tc>
        <w:tc>
          <w:tcPr>
            <w:tcW w:w="1380" w:type="dxa"/>
            <w:shd w:val="clear" w:color="auto" w:fill="auto"/>
            <w:vAlign w:val="center"/>
          </w:tcPr>
          <w:p>
            <w:pPr>
              <w:widowControl/>
              <w:jc w:val="center"/>
              <w:rPr>
                <w:bCs/>
              </w:rPr>
            </w:pPr>
            <w:r>
              <w:rPr>
                <w:rFonts w:hint="eastAsia"/>
                <w:bCs/>
              </w:rPr>
              <w:t>1</w:t>
            </w:r>
          </w:p>
        </w:tc>
        <w:tc>
          <w:tcPr>
            <w:tcW w:w="9837" w:type="dxa"/>
            <w:shd w:val="clear" w:color="auto" w:fill="auto"/>
            <w:vAlign w:val="center"/>
          </w:tcPr>
          <w:p>
            <w:pPr>
              <w:widowControl/>
            </w:pPr>
            <w:r>
              <w:rPr>
                <w:rFonts w:hint="eastAsia"/>
              </w:rPr>
              <w:t>1.岗位要求：</w:t>
            </w:r>
          </w:p>
          <w:p>
            <w:pPr>
              <w:widowControl/>
            </w:pPr>
            <w:r>
              <w:t>安保主管1人，年龄30--</w:t>
            </w:r>
            <w:r>
              <w:rPr>
                <w:rFonts w:hint="eastAsia"/>
              </w:rPr>
              <w:t>6</w:t>
            </w:r>
            <w:r>
              <w:t>0岁之间，大专及以上学历（若确实优秀者，可以放宽学历限制</w:t>
            </w:r>
            <w:r>
              <w:rPr>
                <w:rFonts w:hint="eastAsia"/>
              </w:rPr>
              <w:t>至高中</w:t>
            </w:r>
            <w:r>
              <w:t>）</w:t>
            </w:r>
            <w:r>
              <w:rPr>
                <w:rFonts w:hint="eastAsia"/>
              </w:rPr>
              <w:t>每日在岗时间不少于8小时，即（8:00-12:00；15:00-19:00）</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2.工作职责：</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①配合协助物业经理做好人员的日常管理、思想教育工作，做好以"四防"(防火、防盗、防破坏、防治安灾害事故)为中心的安全教育和法制教育,定期检查"四防"设施,增强全员的安全意识和法制观念。</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②负责配合物业经理对应急突发事件的现场指挥和秩序维持，在处理事件的过程及时保存视频、音频记录，对于工作中产生的视频、音频记录严禁外流。</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③监督落实乙方制定的上岗人员在岗情况，尤其严守夜间巡逻人员和监控室（消防控制室）值班人员的工作纪律，增强各值班人员的法律意识，确保人员按时在岗。</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④加强学习各项应急技能和处理一般纠纷的法律法规，积极组织文化宫组织开展的安全生产技能培训和应急演习。</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⑤跟进文化宫维保公司开展定期维护保养以及工程维护施工情况，全程跟进监督，并将工作照片，维保记录反馈至物业经理，检查监督消防维保、弱电维保、电梯维保、物业设施设备点检、物业维修更换表格登记记录，确保登记完整准确。</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⑥负责对安保秩序员的培训、考核及评估工作，做好本单位安保秩序员的思想工作,关心员工生活,提高服务水平。</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⑦配合物业经理处理甲方和合作方之间的矛盾问题，协调生产关系。</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⑧管理各合作用房和场馆的钥匙，日常巡查巡视各合作机构和各场馆安全运行状况，确保日常安全生产监督。</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⑨配合甲方招募工作，带领意向合作人员前期考察合作用房。</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⑩定期组织人员整理物业仓库，盘点物资。</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⑪完成甲方交办的其他任务。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领班</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门岗</w:t>
            </w:r>
          </w:p>
        </w:tc>
        <w:tc>
          <w:tcPr>
            <w:tcW w:w="1110" w:type="dxa"/>
            <w:shd w:val="clear" w:color="auto" w:fill="auto"/>
            <w:vAlign w:val="center"/>
          </w:tcPr>
          <w:p>
            <w:pPr>
              <w:widowControl/>
              <w:jc w:val="center"/>
              <w:rPr>
                <w:bCs/>
              </w:rPr>
            </w:pPr>
            <w:r>
              <w:rPr>
                <w:rFonts w:hint="eastAsia"/>
                <w:bCs/>
              </w:rPr>
              <w:t>2</w:t>
            </w:r>
          </w:p>
        </w:tc>
        <w:tc>
          <w:tcPr>
            <w:tcW w:w="1380" w:type="dxa"/>
            <w:shd w:val="clear" w:color="auto" w:fill="auto"/>
            <w:vAlign w:val="center"/>
          </w:tcPr>
          <w:p>
            <w:pPr>
              <w:widowControl/>
              <w:jc w:val="center"/>
              <w:rPr>
                <w:bCs/>
              </w:rPr>
            </w:pPr>
            <w:r>
              <w:rPr>
                <w:rFonts w:hint="eastAsia"/>
                <w:bCs/>
              </w:rPr>
              <w:t>8</w:t>
            </w:r>
          </w:p>
        </w:tc>
        <w:tc>
          <w:tcPr>
            <w:tcW w:w="9837" w:type="dxa"/>
            <w:shd w:val="clear" w:color="auto" w:fill="auto"/>
            <w:vAlign w:val="center"/>
          </w:tcPr>
          <w:p>
            <w:pPr>
              <w:pStyle w:val="2"/>
              <w:numPr>
                <w:ilvl w:val="0"/>
                <w:numId w:val="0"/>
              </w:numPr>
              <w:tabs>
                <w:tab w:val="left" w:pos="405"/>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 xml:space="preserve">1.岗位要求： </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安保秩序员16人，(必须有6名及以上持有消防设施操作员相关资格证书)；安保秩序员要求年龄30--50岁），实行每班8小时工作制。安保秩序员要求无不良记录，持证上岗，有较强的责任心、服务意识，必须经过安保秩序员公司的培训；能处理和应对甲方公共秩序维护工作，能正确使用各类消防器械和设备，能够熟悉、掌握各类刑事、治安案件和各类灾害事故的应急预案；上岗时佩戴统一标志，安保秩序员按需求穿戴统一制服，佩戴规范，仪容仪表规范整齐，当值时坐姿端正。文明执勤，训练有素，言语规范，认真负责；配备必备的安全护卫器械。</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②安保秩序员所需的各种服装、防护设施设备、工具、器械均由乙方自行解决。</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2.岗位职责：</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①安保秩序员负责24小时值班看守，全天确保执勤人员定期全院巡视，并填写《大院内巡查签到表》，保证大院内东西无丢失、损坏，并把每日情况如实写到《巡逻记录表》上。</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②严密监视大院内的各种情况，发现可疑或不安全迹象，要及时处置或报告；不定时巡查文化宫大楼及大院内各种设备设施情况，维护大院内安全秩序，防止发生事故；巡查、登记各区域的安全及公共部分设施、设备完好情况；制止大院内发生的打架、滋扰事件；劝阻大院内的推销、散发广告等；禁止无关人员(产品推销及收购废品等闲杂人员)进入。</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③负责大院内车辆交通、停车及相关设施的管理；指挥并引导车辆的有序通行和停放，主动疏导车辆出入路口；维持地上（下）停车场交通秩序，保证道路畅通无阻；对进出停车场的车辆进行检查，当发现进场车辆有损坏时，应立即向车主或司机指出，并做好记录，防止因责任不清而发生纠纷。</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④认真做好执勤记录，严格执行交接班制度，做到交接清楚，责任明确。接班人员未上岗前，当班人员不准离岗，要有详细完整的交接班记录。</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⑤保持值班室、大院和大门口环境整洁、有序、道路畅通。</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⑥文化宫大楼各场所关闭后，要及时对文化宫大楼各楼道、窗户关闭的情况进行安全检查，严禁任何人在文化宫大楼内逗留（除工作人员之外；有特殊情况要提前向乙方及甲方进行报备）；关闭各楼道内、各场馆及卫生间不必要的电灯；经巡查后要及时对文化宫大厅大门（南门）、各个电梯及楼梯口的大门上锁；按时开启、关闭报警及其他有关设施；必须懂得每个电箱的操作程序，确保甲方大楼所有电气设备的正常使用；负责开启、关闭照明灯具。</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⑦对消防设施进行定期检查，发现问题及时报告。</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⑧接到火警、警情后3分钟内到达现场，并及时上报乙方经理、甲方与警方，协助有关部门开展工作。</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⑨值班人员要定期勤巡逻，多观察，随时注意进入地下停车场的车辆情况及驾驶员的行为，对发现的可疑情况要及时报告协管班长及甲方。</w:t>
            </w:r>
          </w:p>
          <w:p>
            <w:pPr>
              <w:pStyle w:val="2"/>
              <w:numPr>
                <w:ilvl w:val="0"/>
                <w:numId w:val="0"/>
              </w:numPr>
              <w:tabs>
                <w:tab w:val="clear" w:pos="432"/>
              </w:tabs>
              <w:rPr>
                <w:rFonts w:ascii="Times New Roman" w:hAnsi="Times New Roman" w:eastAsia="宋体"/>
                <w:b w:val="0"/>
                <w:bCs w:val="0"/>
                <w:sz w:val="21"/>
                <w:szCs w:val="24"/>
                <w:lang w:val="en-US"/>
              </w:rPr>
            </w:pPr>
            <w:r>
              <w:rPr>
                <w:rFonts w:ascii="Times New Roman" w:hAnsi="Times New Roman" w:eastAsia="宋体"/>
                <w:b w:val="0"/>
                <w:bCs w:val="0"/>
                <w:sz w:val="21"/>
                <w:szCs w:val="24"/>
                <w:lang w:val="en-US"/>
              </w:rPr>
              <w:t>⑩根据甲方的需求，无条件地完成甲方交办的其它工作。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消控岗</w:t>
            </w:r>
          </w:p>
        </w:tc>
        <w:tc>
          <w:tcPr>
            <w:tcW w:w="1110" w:type="dxa"/>
            <w:shd w:val="clear" w:color="auto" w:fill="auto"/>
            <w:vAlign w:val="center"/>
          </w:tcPr>
          <w:p>
            <w:pPr>
              <w:widowControl/>
              <w:jc w:val="center"/>
              <w:rPr>
                <w:bCs/>
              </w:rPr>
            </w:pPr>
            <w:r>
              <w:rPr>
                <w:rFonts w:hint="eastAsia"/>
                <w:bCs/>
              </w:rPr>
              <w:t>2</w:t>
            </w:r>
          </w:p>
        </w:tc>
        <w:tc>
          <w:tcPr>
            <w:tcW w:w="1380" w:type="dxa"/>
            <w:shd w:val="clear" w:color="auto" w:fill="auto"/>
            <w:vAlign w:val="center"/>
          </w:tcPr>
          <w:p>
            <w:pPr>
              <w:widowControl/>
              <w:jc w:val="center"/>
              <w:rPr>
                <w:bCs/>
              </w:rPr>
            </w:pPr>
            <w:r>
              <w:rPr>
                <w:rFonts w:hint="eastAsia"/>
                <w:bCs/>
              </w:rPr>
              <w:t>8</w:t>
            </w:r>
          </w:p>
        </w:tc>
        <w:tc>
          <w:tcPr>
            <w:tcW w:w="9837" w:type="dxa"/>
            <w:shd w:val="clear" w:color="auto" w:fill="auto"/>
            <w:vAlign w:val="center"/>
          </w:tcPr>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2.1特殊岗位职责（消防监控室）：</w:t>
            </w:r>
          </w:p>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①消防、监控室安保秩序员负责24小时值班看守，实行每班6小时工作制，消防值守人员需具备消防设施操作员相应资格证书。</w:t>
            </w:r>
          </w:p>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②认真检查电视监控安全运行，重点部位的安全防范情况，并做好详实记录。</w:t>
            </w:r>
          </w:p>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③认真分析录像查看过程中发现的违法违规行为，跟踪监控对象的行动状态，准确判断可疑、异常情况。对发现的异常情况认真登记，同时向安保秩序员班长汇报，按照班长的指示和有关规定作出处理，遇到紧急且重大情况可越级报告。</w:t>
            </w:r>
          </w:p>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④根据要求对地下停车场的停车情况或发生的事故，及时进行监督、管理、调度。</w:t>
            </w:r>
          </w:p>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⑤定期对消防设施进行定期检查，发现问题及时报告后并进行整改。</w:t>
            </w:r>
          </w:p>
          <w:p>
            <w:pPr>
              <w:pStyle w:val="2"/>
              <w:numPr>
                <w:ilvl w:val="0"/>
                <w:numId w:val="0"/>
              </w:numPr>
              <w:tabs>
                <w:tab w:val="clear" w:pos="432"/>
              </w:tabs>
              <w:rPr>
                <w:rFonts w:ascii="Times New Roman" w:hAnsi="Times New Roman" w:eastAsia="宋体"/>
                <w:b w:val="0"/>
                <w:bCs w:val="0"/>
                <w:sz w:val="21"/>
                <w:szCs w:val="24"/>
                <w:lang w:val="en-US"/>
              </w:rPr>
            </w:pPr>
            <w:r>
              <w:rPr>
                <w:rFonts w:hint="eastAsia" w:ascii="Times New Roman" w:hAnsi="Times New Roman" w:eastAsia="宋体"/>
                <w:b w:val="0"/>
                <w:bCs w:val="0"/>
                <w:sz w:val="21"/>
                <w:szCs w:val="24"/>
                <w:lang w:val="en-US"/>
              </w:rPr>
              <w:t>⑥按照甲方（业主）要求保持消防、监控室24小时开通，并保持完整的监控记录，每天定期进行检查，并做好记录。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巡逻岗</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r>
              <w:rPr>
                <w:bCs/>
              </w:rPr>
              <w:t>车管岗</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vMerge w:val="continue"/>
            <w:shd w:val="clear" w:color="auto" w:fill="auto"/>
            <w:vAlign w:val="center"/>
          </w:tcPr>
          <w:p>
            <w:pPr>
              <w:widowControl/>
              <w:rPr>
                <w:bCs/>
              </w:rPr>
            </w:pPr>
          </w:p>
        </w:tc>
        <w:tc>
          <w:tcPr>
            <w:tcW w:w="1110" w:type="dxa"/>
            <w:shd w:val="clear" w:color="auto" w:fill="auto"/>
            <w:vAlign w:val="center"/>
          </w:tcPr>
          <w:p>
            <w:pPr>
              <w:widowControl/>
              <w:rPr>
                <w:bCs/>
              </w:rPr>
            </w:pP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shd w:val="clear" w:color="auto" w:fill="auto"/>
            <w:vAlign w:val="center"/>
          </w:tcPr>
          <w:p>
            <w:pPr>
              <w:widowControl/>
              <w:rPr>
                <w:bCs/>
              </w:rPr>
            </w:pPr>
            <w:r>
              <w:rPr>
                <w:rFonts w:hint="eastAsia"/>
                <w:bCs/>
              </w:rPr>
              <w:t>会议服务</w:t>
            </w:r>
          </w:p>
        </w:tc>
        <w:tc>
          <w:tcPr>
            <w:tcW w:w="1110" w:type="dxa"/>
            <w:shd w:val="clear" w:color="auto" w:fill="auto"/>
            <w:vAlign w:val="center"/>
          </w:tcPr>
          <w:p>
            <w:pPr>
              <w:widowControl/>
              <w:rPr>
                <w:bCs/>
              </w:rPr>
            </w:pPr>
            <w:r>
              <w:rPr>
                <w:bCs/>
              </w:rPr>
              <w:t>会务</w:t>
            </w: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p>
        </w:tc>
        <w:tc>
          <w:tcPr>
            <w:tcW w:w="9837" w:type="dxa"/>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3" w:type="dxa"/>
            <w:shd w:val="clear" w:color="auto" w:fill="auto"/>
            <w:vAlign w:val="center"/>
          </w:tcPr>
          <w:p>
            <w:pPr>
              <w:widowControl/>
              <w:rPr>
                <w:bCs/>
              </w:rPr>
            </w:pPr>
            <w:r>
              <w:rPr>
                <w:rFonts w:hint="eastAsia"/>
                <w:bCs/>
              </w:rPr>
              <w:t>合计</w:t>
            </w:r>
          </w:p>
        </w:tc>
        <w:tc>
          <w:tcPr>
            <w:tcW w:w="1110" w:type="dxa"/>
            <w:shd w:val="clear" w:color="auto" w:fill="auto"/>
            <w:vAlign w:val="center"/>
          </w:tcPr>
          <w:p>
            <w:pPr>
              <w:widowControl/>
              <w:rPr>
                <w:bCs/>
              </w:rPr>
            </w:pPr>
          </w:p>
        </w:tc>
        <w:tc>
          <w:tcPr>
            <w:tcW w:w="1110" w:type="dxa"/>
            <w:shd w:val="clear" w:color="auto" w:fill="auto"/>
            <w:vAlign w:val="center"/>
          </w:tcPr>
          <w:p>
            <w:pPr>
              <w:widowControl/>
              <w:jc w:val="center"/>
              <w:rPr>
                <w:bCs/>
              </w:rPr>
            </w:pPr>
          </w:p>
        </w:tc>
        <w:tc>
          <w:tcPr>
            <w:tcW w:w="1380" w:type="dxa"/>
            <w:shd w:val="clear" w:color="auto" w:fill="auto"/>
            <w:vAlign w:val="center"/>
          </w:tcPr>
          <w:p>
            <w:pPr>
              <w:widowControl/>
              <w:jc w:val="center"/>
              <w:rPr>
                <w:bCs/>
              </w:rPr>
            </w:pPr>
            <w:r>
              <w:rPr>
                <w:rFonts w:hint="eastAsia"/>
                <w:bCs/>
              </w:rPr>
              <w:t>25</w:t>
            </w:r>
          </w:p>
        </w:tc>
        <w:tc>
          <w:tcPr>
            <w:tcW w:w="9837" w:type="dxa"/>
            <w:shd w:val="clear" w:color="auto" w:fill="auto"/>
            <w:vAlign w:val="center"/>
          </w:tcPr>
          <w:p>
            <w:pPr>
              <w:widowControl/>
              <w:rPr>
                <w:highlight w:val="yellow"/>
              </w:rPr>
            </w:pPr>
          </w:p>
        </w:tc>
      </w:tr>
    </w:tbl>
    <w:p>
      <w:pPr>
        <w:widowControl/>
        <w:ind w:firstLine="420" w:firstLineChars="200"/>
        <w:jc w:val="left"/>
        <w:rPr>
          <w:rFonts w:ascii="楷体" w:hAnsi="楷体" w:eastAsia="楷体" w:cs="楷体"/>
          <w:bCs/>
        </w:rPr>
      </w:pPr>
      <w:r>
        <w:rPr>
          <w:rFonts w:hint="eastAsia" w:ascii="楷体" w:hAnsi="楷体" w:eastAsia="楷体" w:cs="楷体"/>
        </w:rPr>
        <w:t>注：</w:t>
      </w:r>
      <w:r>
        <w:rPr>
          <w:rFonts w:hint="eastAsia" w:ascii="楷体" w:hAnsi="楷体" w:eastAsia="楷体" w:cs="楷体"/>
          <w:bCs/>
        </w:rPr>
        <w:t>供应商应当按国家相关法律法规，合理确定服务人员工资标准、工作时间等。</w:t>
      </w:r>
    </w:p>
    <w:p>
      <w:pPr>
        <w:widowControl/>
        <w:ind w:left="840" w:leftChars="200" w:hanging="420" w:hangingChars="200"/>
        <w:jc w:val="left"/>
        <w:rPr>
          <w:rFonts w:ascii="楷体" w:hAnsi="楷体" w:eastAsia="楷体" w:cs="楷体"/>
          <w:bCs/>
          <w:kern w:val="0"/>
        </w:rPr>
      </w:pPr>
      <w:r>
        <w:rPr>
          <w:rFonts w:hint="eastAsia" w:ascii="楷体" w:hAnsi="楷体" w:eastAsia="楷体" w:cs="楷体"/>
          <w:bCs/>
          <w:kern w:val="0"/>
        </w:rPr>
        <w:t xml:space="preserve">    </w:t>
      </w:r>
      <w:r>
        <w:rPr>
          <w:rFonts w:hint="eastAsia" w:ascii="楷体" w:hAnsi="楷体" w:eastAsia="楷体" w:cs="楷体"/>
          <w:bCs/>
        </w:rPr>
        <w:t>供应商</w:t>
      </w:r>
      <w:r>
        <w:rPr>
          <w:rFonts w:hint="eastAsia" w:ascii="楷体" w:hAnsi="楷体" w:eastAsia="楷体" w:cs="楷体"/>
          <w:bCs/>
          <w:kern w:val="0"/>
          <w:lang w:bidi="ar"/>
        </w:rPr>
        <w:t>应当自行为服务人员办理必需的保险</w:t>
      </w:r>
      <w:r>
        <w:rPr>
          <w:rFonts w:hint="eastAsia" w:ascii="楷体" w:hAnsi="楷体" w:eastAsia="楷体" w:cs="楷体"/>
          <w:bCs/>
        </w:rPr>
        <w:t>，有关人员伤亡及第三者责任险均应当考虑在报价因素中。</w:t>
      </w:r>
      <w:bookmarkEnd w:id="76"/>
      <w:bookmarkEnd w:id="77"/>
      <w:bookmarkEnd w:id="78"/>
      <w:bookmarkStart w:id="79" w:name="_Toc20385"/>
      <w:bookmarkStart w:id="80" w:name="_Toc21574"/>
      <w:bookmarkStart w:id="81" w:name="_Toc1962"/>
    </w:p>
    <w:p>
      <w:pPr>
        <w:pStyle w:val="2"/>
        <w:numPr>
          <w:ilvl w:val="255"/>
          <w:numId w:val="0"/>
        </w:numPr>
        <w:snapToGrid w:val="0"/>
        <w:spacing w:line="300" w:lineRule="auto"/>
        <w:jc w:val="both"/>
        <w:rPr>
          <w:rFonts w:ascii="Calibri" w:hAnsi="Calibri" w:eastAsia="宋体" w:cs="Calibri"/>
          <w:sz w:val="21"/>
          <w:lang w:val="en-US" w:bidi="ar"/>
        </w:rPr>
      </w:pPr>
      <w:r>
        <w:rPr>
          <w:rFonts w:ascii="Calibri" w:hAnsi="Calibri" w:eastAsia="宋体" w:cs="Calibri"/>
          <w:sz w:val="21"/>
          <w:lang w:val="en-US" w:bidi="ar"/>
        </w:rPr>
        <w:t>6.商务要求</w:t>
      </w:r>
    </w:p>
    <w:p>
      <w:pPr>
        <w:pStyle w:val="2"/>
        <w:numPr>
          <w:ilvl w:val="255"/>
          <w:numId w:val="0"/>
        </w:numPr>
        <w:snapToGrid w:val="0"/>
        <w:spacing w:line="300" w:lineRule="auto"/>
        <w:jc w:val="both"/>
        <w:rPr>
          <w:rFonts w:ascii="Calibri" w:hAnsi="Calibri" w:eastAsia="宋体" w:cs="Calibri"/>
          <w:sz w:val="21"/>
          <w:lang w:val="en-US" w:bidi="ar"/>
        </w:rPr>
      </w:pPr>
      <w:r>
        <w:rPr>
          <w:rFonts w:ascii="Calibri" w:hAnsi="Calibri" w:eastAsia="宋体" w:cs="Calibri"/>
          <w:sz w:val="21"/>
          <w:lang w:val="en-US" w:bidi="ar"/>
        </w:rPr>
        <w:t>6.1实施期限</w:t>
      </w:r>
    </w:p>
    <w:p>
      <w:pPr>
        <w:pStyle w:val="2"/>
        <w:numPr>
          <w:ilvl w:val="0"/>
          <w:numId w:val="0"/>
        </w:numPr>
        <w:tabs>
          <w:tab w:val="clear" w:pos="432"/>
        </w:tabs>
        <w:ind w:firstLine="420"/>
        <w:rPr>
          <w:rFonts w:ascii="Times New Roman" w:hAnsi="Times New Roman" w:eastAsia="宋体"/>
          <w:b w:val="0"/>
          <w:bCs w:val="0"/>
          <w:kern w:val="0"/>
          <w:sz w:val="21"/>
          <w:szCs w:val="24"/>
          <w:lang w:val="en-US" w:bidi="ar"/>
        </w:rPr>
      </w:pPr>
      <w:r>
        <w:rPr>
          <w:rFonts w:hint="eastAsia" w:ascii="Times New Roman" w:hAnsi="Times New Roman" w:eastAsia="宋体"/>
          <w:b w:val="0"/>
          <w:bCs w:val="0"/>
          <w:kern w:val="0"/>
          <w:sz w:val="21"/>
          <w:szCs w:val="24"/>
          <w:lang w:val="en-US" w:bidi="ar"/>
        </w:rPr>
        <w:t>自合同签订起1年。</w:t>
      </w:r>
    </w:p>
    <w:p>
      <w:pPr>
        <w:pStyle w:val="2"/>
        <w:numPr>
          <w:ilvl w:val="255"/>
          <w:numId w:val="0"/>
        </w:numPr>
        <w:snapToGrid w:val="0"/>
        <w:spacing w:line="300" w:lineRule="auto"/>
        <w:jc w:val="both"/>
        <w:rPr>
          <w:rFonts w:ascii="Calibri" w:hAnsi="Calibri" w:eastAsia="宋体" w:cs="Calibri"/>
          <w:sz w:val="21"/>
          <w:lang w:val="en-US" w:bidi="ar"/>
        </w:rPr>
      </w:pPr>
      <w:r>
        <w:rPr>
          <w:rFonts w:ascii="Calibri" w:hAnsi="Calibri" w:eastAsia="宋体" w:cs="Calibri"/>
          <w:sz w:val="21"/>
          <w:lang w:val="en-US" w:bidi="ar"/>
        </w:rPr>
        <w:t>6.2付款方式</w:t>
      </w:r>
    </w:p>
    <w:p>
      <w:pPr>
        <w:pStyle w:val="2"/>
        <w:numPr>
          <w:ilvl w:val="0"/>
          <w:numId w:val="0"/>
        </w:numPr>
        <w:tabs>
          <w:tab w:val="clear" w:pos="432"/>
        </w:tabs>
        <w:ind w:firstLine="420"/>
        <w:rPr>
          <w:rFonts w:ascii="Times New Roman" w:hAnsi="Times New Roman" w:eastAsia="宋体"/>
          <w:b w:val="0"/>
          <w:bCs w:val="0"/>
          <w:kern w:val="0"/>
          <w:sz w:val="21"/>
          <w:szCs w:val="24"/>
          <w:lang w:val="en-US" w:bidi="ar"/>
        </w:rPr>
      </w:pPr>
      <w:r>
        <w:rPr>
          <w:rFonts w:hint="eastAsia" w:ascii="Times New Roman" w:hAnsi="Times New Roman" w:eastAsia="宋体"/>
          <w:b w:val="0"/>
          <w:bCs w:val="0"/>
          <w:kern w:val="0"/>
          <w:sz w:val="21"/>
          <w:szCs w:val="24"/>
          <w:lang w:val="en-US" w:bidi="ar"/>
        </w:rPr>
        <w:t>签订合同后15个工作日内，采购人向</w:t>
      </w:r>
      <w:r>
        <w:rPr>
          <w:rFonts w:ascii="Times New Roman" w:hAnsi="Times New Roman" w:eastAsia="宋体"/>
          <w:b w:val="0"/>
          <w:bCs w:val="0"/>
          <w:kern w:val="0"/>
          <w:sz w:val="21"/>
          <w:szCs w:val="24"/>
          <w:lang w:val="en-US" w:bidi="ar"/>
        </w:rPr>
        <w:t>供应商</w:t>
      </w:r>
      <w:r>
        <w:rPr>
          <w:rFonts w:hint="eastAsia" w:ascii="Times New Roman" w:hAnsi="Times New Roman" w:eastAsia="宋体"/>
          <w:b w:val="0"/>
          <w:bCs w:val="0"/>
          <w:kern w:val="0"/>
          <w:sz w:val="21"/>
          <w:szCs w:val="24"/>
          <w:lang w:val="en-US" w:bidi="ar"/>
        </w:rPr>
        <w:t>预付合同总价的10%;剩余合同总价的90%款项，每月的物业管理服务费用需经采购人考核合格，并分12次(即每月1次)以转账方式支付。</w:t>
      </w:r>
    </w:p>
    <w:p>
      <w:pPr>
        <w:rPr>
          <w:rFonts w:ascii="Calibri" w:hAnsi="Calibri" w:cs="Calibri"/>
          <w:b/>
          <w:bCs/>
          <w:szCs w:val="32"/>
          <w:lang w:bidi="ar"/>
        </w:rPr>
      </w:pPr>
      <w:r>
        <w:rPr>
          <w:rFonts w:ascii="Calibri" w:hAnsi="Calibri" w:cs="Calibri"/>
          <w:b/>
          <w:bCs/>
          <w:szCs w:val="32"/>
          <w:lang w:bidi="ar"/>
        </w:rPr>
        <w:t>6.3验收标准与要求</w:t>
      </w:r>
    </w:p>
    <w:p>
      <w:pPr>
        <w:pStyle w:val="2"/>
        <w:numPr>
          <w:ilvl w:val="0"/>
          <w:numId w:val="0"/>
        </w:numPr>
        <w:tabs>
          <w:tab w:val="clear" w:pos="432"/>
        </w:tabs>
        <w:ind w:firstLine="420"/>
        <w:rPr>
          <w:rFonts w:ascii="Times New Roman" w:hAnsi="Times New Roman" w:eastAsia="宋体"/>
          <w:b w:val="0"/>
          <w:bCs w:val="0"/>
          <w:kern w:val="0"/>
          <w:sz w:val="21"/>
          <w:szCs w:val="24"/>
          <w:lang w:val="en-US" w:bidi="ar"/>
        </w:rPr>
      </w:pPr>
      <w:r>
        <w:rPr>
          <w:rFonts w:ascii="Times New Roman" w:hAnsi="Times New Roman" w:eastAsia="宋体"/>
          <w:b w:val="0"/>
          <w:bCs w:val="0"/>
          <w:kern w:val="0"/>
          <w:sz w:val="21"/>
          <w:szCs w:val="24"/>
          <w:lang w:val="en-US" w:bidi="ar"/>
        </w:rPr>
        <w:t>供应商</w:t>
      </w:r>
      <w:r>
        <w:rPr>
          <w:rFonts w:hint="eastAsia" w:ascii="Times New Roman" w:hAnsi="Times New Roman" w:eastAsia="宋体"/>
          <w:b w:val="0"/>
          <w:bCs w:val="0"/>
          <w:kern w:val="0"/>
          <w:sz w:val="21"/>
          <w:szCs w:val="24"/>
          <w:lang w:val="en-US" w:bidi="ar"/>
        </w:rPr>
        <w:t>每月的物业管理服务费用需经采购人考核合格，并分12次(即每月1次)以转账方式支付;如出现服务质量问题或者考核低于85分，第一次扣除当月物业管理服务费款项的3%，第二次扣除当月物业管理服务费款项的6%，第三次扣除当月物业管理服务费款项的9%。超过三次以上采购人有权终止合同。</w:t>
      </w:r>
    </w:p>
    <w:bookmarkEnd w:id="79"/>
    <w:bookmarkEnd w:id="80"/>
    <w:bookmarkEnd w:id="81"/>
    <w:p>
      <w:pPr>
        <w:widowControl/>
        <w:snapToGrid w:val="0"/>
        <w:spacing w:line="360" w:lineRule="auto"/>
        <w:ind w:firstLine="241" w:firstLineChars="100"/>
        <w:jc w:val="left"/>
        <w:rPr>
          <w:rFonts w:ascii="宋体" w:hAnsi="宋体" w:cs="宋体"/>
          <w:b/>
          <w:sz w:val="24"/>
        </w:rPr>
      </w:pPr>
    </w:p>
    <w:p>
      <w:pPr>
        <w:widowControl/>
        <w:snapToGrid w:val="0"/>
        <w:spacing w:line="360" w:lineRule="auto"/>
        <w:ind w:left="142"/>
        <w:jc w:val="left"/>
        <w:rPr>
          <w:rFonts w:ascii="宋体" w:hAnsi="宋体" w:cs="宋体"/>
          <w:b/>
          <w:sz w:val="24"/>
        </w:rPr>
      </w:pPr>
    </w:p>
    <w:p>
      <w:pPr>
        <w:pStyle w:val="2"/>
        <w:numPr>
          <w:ilvl w:val="255"/>
          <w:numId w:val="0"/>
        </w:numPr>
      </w:pPr>
    </w:p>
    <w:p>
      <w:pPr>
        <w:pStyle w:val="2"/>
        <w:numPr>
          <w:ilvl w:val="255"/>
          <w:numId w:val="0"/>
        </w:numPr>
      </w:pPr>
    </w:p>
    <w:p/>
    <w:p>
      <w:pPr>
        <w:widowControl/>
        <w:snapToGrid w:val="0"/>
        <w:spacing w:line="360" w:lineRule="auto"/>
        <w:ind w:left="142"/>
        <w:jc w:val="left"/>
        <w:rPr>
          <w:rFonts w:ascii="宋体" w:hAnsi="宋体" w:cs="宋体"/>
          <w:b/>
          <w:sz w:val="24"/>
        </w:rPr>
      </w:pPr>
    </w:p>
    <w:p>
      <w:pPr>
        <w:adjustRightInd/>
        <w:spacing w:line="360" w:lineRule="auto"/>
        <w:jc w:val="center"/>
        <w:outlineLvl w:val="0"/>
        <w:rPr>
          <w:rFonts w:cs="仿宋_GB2312" w:asciiTheme="minorEastAsia" w:hAnsiTheme="minorEastAsia" w:eastAsiaTheme="minorEastAsia"/>
          <w:b/>
          <w:sz w:val="36"/>
          <w:szCs w:val="36"/>
        </w:rPr>
      </w:pPr>
      <w:bookmarkStart w:id="82" w:name="_Toc181203098"/>
      <w:r>
        <w:rPr>
          <w:rFonts w:hint="eastAsia" w:cs="仿宋_GB2312" w:asciiTheme="minorEastAsia" w:hAnsiTheme="minorEastAsia" w:eastAsiaTheme="minorEastAsia"/>
          <w:b/>
          <w:sz w:val="36"/>
          <w:szCs w:val="36"/>
        </w:rPr>
        <w:t xml:space="preserve">第五部分  </w:t>
      </w:r>
      <w:bookmarkEnd w:id="67"/>
      <w:bookmarkEnd w:id="68"/>
      <w:bookmarkStart w:id="83" w:name="第四部分"/>
      <w:r>
        <w:rPr>
          <w:rFonts w:hint="eastAsia" w:cs="仿宋_GB2312" w:asciiTheme="minorEastAsia" w:hAnsiTheme="minorEastAsia" w:eastAsiaTheme="minorEastAsia"/>
          <w:b/>
          <w:sz w:val="36"/>
          <w:szCs w:val="36"/>
        </w:rPr>
        <w:t>评审方法及评审标准</w:t>
      </w:r>
      <w:bookmarkEnd w:id="82"/>
    </w:p>
    <w:p>
      <w:pPr>
        <w:snapToGrid w:val="0"/>
        <w:spacing w:line="420" w:lineRule="exact"/>
        <w:ind w:firstLine="3213" w:firstLineChars="1000"/>
        <w:rPr>
          <w:rFonts w:ascii="宋体" w:hAnsi="宋体" w:cs="宋体"/>
          <w:b/>
          <w:sz w:val="32"/>
          <w:szCs w:val="20"/>
        </w:rPr>
      </w:pPr>
      <w:r>
        <w:rPr>
          <w:rFonts w:hint="eastAsia" w:ascii="宋体" w:hAnsi="宋体" w:cs="宋体"/>
          <w:b/>
          <w:sz w:val="32"/>
          <w:szCs w:val="20"/>
        </w:rPr>
        <w:t>评标办法前附表</w:t>
      </w:r>
    </w:p>
    <w:p>
      <w:pPr>
        <w:snapToGrid w:val="0"/>
        <w:spacing w:line="500" w:lineRule="exact"/>
        <w:ind w:firstLine="482" w:firstLineChars="200"/>
        <w:rPr>
          <w:rFonts w:ascii="宋体" w:hAnsi="Calibri" w:cs="宋体"/>
          <w:b/>
          <w:bCs/>
          <w:sz w:val="24"/>
        </w:rPr>
      </w:pPr>
      <w:r>
        <w:rPr>
          <w:rFonts w:hint="eastAsia" w:ascii="宋体" w:hAnsi="Calibri" w:cs="宋体"/>
          <w:b/>
          <w:bCs/>
          <w:sz w:val="24"/>
        </w:rPr>
        <w:t>一、磋商原则</w:t>
      </w:r>
    </w:p>
    <w:p>
      <w:pPr>
        <w:autoSpaceDE w:val="0"/>
        <w:autoSpaceDN w:val="0"/>
        <w:spacing w:line="500" w:lineRule="exact"/>
        <w:ind w:firstLine="480" w:firstLineChars="200"/>
        <w:rPr>
          <w:rFonts w:ascii="宋体" w:hAnsi="宋体" w:cs="宋体"/>
          <w:kern w:val="0"/>
          <w:sz w:val="24"/>
        </w:rPr>
      </w:pPr>
      <w:r>
        <w:rPr>
          <w:rFonts w:hint="eastAsia" w:ascii="宋体" w:hAnsi="宋体" w:cs="宋体"/>
          <w:kern w:val="0"/>
          <w:sz w:val="24"/>
        </w:rPr>
        <w:t>(一)磋商小组构成：本采购项目的磋商小组由采购人代表和有关技术、经济等方面的专家组成，成员人数应当为三人以上单数。其中，技术、经济等方面的专家不得少于成员总数的三分之二。</w:t>
      </w:r>
    </w:p>
    <w:p>
      <w:pPr>
        <w:autoSpaceDE w:val="0"/>
        <w:autoSpaceDN w:val="0"/>
        <w:spacing w:line="500" w:lineRule="exact"/>
        <w:ind w:firstLine="480" w:firstLineChars="200"/>
        <w:rPr>
          <w:rFonts w:ascii="宋体" w:hAnsi="宋体" w:cs="宋体"/>
          <w:kern w:val="0"/>
          <w:sz w:val="24"/>
        </w:rPr>
      </w:pPr>
      <w:r>
        <w:rPr>
          <w:rFonts w:hint="eastAsia" w:ascii="宋体" w:hAnsi="宋体" w:cs="宋体"/>
          <w:kern w:val="0"/>
          <w:sz w:val="24"/>
        </w:rPr>
        <w:t>（二)磋商依据：评委将以磋商文件、磋商响应文件为磋商依据，对磋商供应商的价格、服务方案、履约能力等方面内容按百分制打分。</w:t>
      </w:r>
    </w:p>
    <w:p>
      <w:pPr>
        <w:autoSpaceDE w:val="0"/>
        <w:autoSpaceDN w:val="0"/>
        <w:spacing w:line="500" w:lineRule="exact"/>
        <w:ind w:firstLine="480" w:firstLineChars="200"/>
        <w:rPr>
          <w:rFonts w:ascii="宋体" w:hAnsi="宋体" w:cs="宋体"/>
          <w:kern w:val="0"/>
          <w:sz w:val="24"/>
        </w:rPr>
      </w:pPr>
      <w:r>
        <w:rPr>
          <w:rFonts w:hint="eastAsia" w:ascii="宋体" w:hAnsi="宋体" w:cs="宋体"/>
          <w:kern w:val="0"/>
          <w:sz w:val="24"/>
        </w:rPr>
        <w:t>(三)磋商方式：以封闭方式进行。</w:t>
      </w:r>
    </w:p>
    <w:p>
      <w:pPr>
        <w:widowControl/>
        <w:adjustRightInd/>
        <w:spacing w:line="500" w:lineRule="exact"/>
        <w:ind w:left="562" w:hanging="562"/>
        <w:rPr>
          <w:rFonts w:ascii="宋体" w:hAnsi="宋体" w:cs="宋体"/>
          <w:b/>
          <w:bCs/>
          <w:kern w:val="0"/>
          <w:sz w:val="24"/>
        </w:rPr>
      </w:pPr>
      <w:r>
        <w:rPr>
          <w:rFonts w:hint="eastAsia" w:ascii="宋体" w:hAnsi="宋体" w:cs="宋体"/>
          <w:b/>
          <w:kern w:val="0"/>
          <w:sz w:val="24"/>
        </w:rPr>
        <w:t xml:space="preserve">    </w:t>
      </w:r>
      <w:r>
        <w:rPr>
          <w:rFonts w:hint="eastAsia" w:ascii="宋体" w:hAnsi="宋体" w:cs="宋体"/>
          <w:b/>
          <w:bCs/>
          <w:kern w:val="0"/>
          <w:sz w:val="24"/>
        </w:rPr>
        <w:t>二、评审方法</w:t>
      </w:r>
    </w:p>
    <w:p>
      <w:pPr>
        <w:autoSpaceDE w:val="0"/>
        <w:autoSpaceDN w:val="0"/>
        <w:spacing w:line="500" w:lineRule="exact"/>
        <w:ind w:firstLine="480" w:firstLineChars="200"/>
        <w:jc w:val="left"/>
        <w:rPr>
          <w:rFonts w:ascii="宋体" w:hAnsi="宋体" w:cs="宋体"/>
          <w:kern w:val="0"/>
          <w:sz w:val="24"/>
        </w:rPr>
      </w:pPr>
      <w:r>
        <w:rPr>
          <w:rFonts w:hint="eastAsia" w:ascii="宋体" w:hAnsi="宋体" w:cs="宋体"/>
          <w:kern w:val="0"/>
          <w:sz w:val="24"/>
        </w:rPr>
        <w:t>（一）对进入详评的，采用百分制综合评分法。</w:t>
      </w:r>
    </w:p>
    <w:p>
      <w:pPr>
        <w:autoSpaceDE w:val="0"/>
        <w:autoSpaceDN w:val="0"/>
        <w:spacing w:line="500" w:lineRule="exact"/>
        <w:ind w:firstLine="480" w:firstLineChars="200"/>
        <w:jc w:val="left"/>
        <w:rPr>
          <w:rFonts w:ascii="宋体" w:hAnsi="宋体" w:cs="宋体"/>
          <w:kern w:val="0"/>
          <w:sz w:val="24"/>
        </w:rPr>
      </w:pPr>
      <w:r>
        <w:rPr>
          <w:rFonts w:hint="eastAsia" w:ascii="宋体" w:hAnsi="宋体" w:cs="宋体"/>
          <w:kern w:val="0"/>
          <w:sz w:val="24"/>
        </w:rPr>
        <w:t>（二）计分办法（按四舍五入取至百分位）</w:t>
      </w:r>
      <w:bookmarkStart w:id="84" w:name="_Toc4662"/>
      <w:r>
        <w:rPr>
          <w:rFonts w:hint="eastAsia" w:ascii="宋体" w:hAnsi="宋体" w:cs="宋体"/>
          <w:kern w:val="0"/>
          <w:sz w:val="24"/>
        </w:rPr>
        <w:t>.</w:t>
      </w:r>
    </w:p>
    <w:p>
      <w:pPr>
        <w:autoSpaceDE w:val="0"/>
        <w:autoSpaceDN w:val="0"/>
        <w:spacing w:line="500" w:lineRule="exact"/>
        <w:ind w:firstLine="480" w:firstLineChars="200"/>
        <w:jc w:val="left"/>
        <w:rPr>
          <w:rFonts w:ascii="宋体" w:hAnsi="宋体" w:cs="宋体"/>
          <w:b/>
          <w:bCs/>
          <w:kern w:val="0"/>
          <w:sz w:val="24"/>
          <w:lang w:val="zh-CN" w:bidi="zh-CN"/>
        </w:rPr>
      </w:pPr>
      <w:r>
        <w:rPr>
          <w:rFonts w:hint="eastAsia" w:ascii="宋体" w:hAnsi="宋体" w:cs="宋体"/>
          <w:kern w:val="0"/>
          <w:sz w:val="24"/>
        </w:rPr>
        <w:t>1、</w:t>
      </w:r>
      <w:r>
        <w:rPr>
          <w:rFonts w:hint="eastAsia" w:ascii="宋体" w:hAnsi="宋体" w:cs="宋体"/>
          <w:b/>
          <w:bCs/>
          <w:kern w:val="0"/>
          <w:sz w:val="24"/>
          <w:lang w:val="zh-CN" w:bidi="zh-CN"/>
        </w:rPr>
        <w:t>价格分（满分30分）</w:t>
      </w:r>
      <w:bookmarkEnd w:id="84"/>
    </w:p>
    <w:p>
      <w:pPr>
        <w:autoSpaceDE w:val="0"/>
        <w:autoSpaceDN w:val="0"/>
        <w:adjustRightInd/>
        <w:spacing w:line="500" w:lineRule="exact"/>
        <w:ind w:firstLine="480" w:firstLineChars="200"/>
        <w:jc w:val="left"/>
        <w:rPr>
          <w:rFonts w:ascii="宋体" w:hAnsi="宋体" w:cs="宋体"/>
          <w:kern w:val="0"/>
          <w:sz w:val="24"/>
        </w:rPr>
      </w:pPr>
      <w:r>
        <w:rPr>
          <w:rFonts w:hint="eastAsia" w:ascii="宋体" w:hAnsi="宋体" w:cs="宋体"/>
          <w:kern w:val="0"/>
          <w:sz w:val="24"/>
        </w:rPr>
        <w:t>（1）以进入综合评分环节的最低的磋商评审价为基准价，基准价报价得分为30分。</w:t>
      </w:r>
    </w:p>
    <w:p>
      <w:pPr>
        <w:autoSpaceDE w:val="0"/>
        <w:autoSpaceDN w:val="0"/>
        <w:adjustRightInd/>
        <w:spacing w:line="500" w:lineRule="exact"/>
        <w:ind w:firstLine="480" w:firstLineChars="200"/>
        <w:jc w:val="left"/>
        <w:rPr>
          <w:rFonts w:ascii="宋体" w:hAnsi="宋体" w:cs="宋体"/>
          <w:kern w:val="0"/>
          <w:sz w:val="24"/>
        </w:rPr>
      </w:pPr>
      <w:r>
        <w:rPr>
          <w:rFonts w:hint="eastAsia" w:ascii="宋体" w:hAnsi="宋体" w:cs="宋体"/>
          <w:kern w:val="0"/>
          <w:sz w:val="24"/>
        </w:rPr>
        <w:t>（2）价格分计算公式：某磋商供应商价格分=磋商基准价/某磋商供应商磋商评审价×30分</w:t>
      </w:r>
    </w:p>
    <w:p>
      <w:pPr>
        <w:autoSpaceDE w:val="0"/>
        <w:autoSpaceDN w:val="0"/>
        <w:spacing w:line="500" w:lineRule="exact"/>
        <w:ind w:firstLine="482" w:firstLineChars="200"/>
        <w:jc w:val="left"/>
        <w:rPr>
          <w:rFonts w:ascii="宋体" w:hAnsi="宋体" w:cs="宋体"/>
          <w:sz w:val="24"/>
        </w:rPr>
      </w:pPr>
      <w:r>
        <w:rPr>
          <w:rFonts w:hint="eastAsia" w:ascii="宋体" w:hAnsi="宋体" w:cs="宋体"/>
          <w:b/>
          <w:sz w:val="24"/>
        </w:rPr>
        <w:t>2.项目得分（满分62分）</w:t>
      </w:r>
    </w:p>
    <w:p>
      <w:pPr>
        <w:widowControl/>
        <w:spacing w:line="500" w:lineRule="exact"/>
        <w:ind w:firstLine="482" w:firstLineChars="200"/>
        <w:rPr>
          <w:rFonts w:ascii="宋体" w:hAnsi="宋体" w:cs="宋体"/>
          <w:b/>
          <w:sz w:val="24"/>
        </w:rPr>
      </w:pPr>
      <w:bookmarkStart w:id="85" w:name="（1）管理制度分（内部管理架构、岗位责任、管理维护运作制度及标准、管理人员考核制"/>
      <w:bookmarkEnd w:id="85"/>
      <w:bookmarkStart w:id="86" w:name="（2）工资薪酬发放水平分（满分7分）（工资薪酬不含五险一金及各类津补贴）"/>
      <w:bookmarkEnd w:id="86"/>
      <w:r>
        <w:rPr>
          <w:rFonts w:hint="eastAsia" w:ascii="宋体" w:hAnsi="宋体" w:cs="宋体"/>
          <w:b/>
          <w:sz w:val="24"/>
        </w:rPr>
        <w:t>（1）人员配置、培训、奖惩及管理（15分）</w:t>
      </w:r>
    </w:p>
    <w:p>
      <w:pPr>
        <w:widowControl/>
        <w:spacing w:line="500" w:lineRule="exact"/>
        <w:ind w:firstLine="480" w:firstLineChars="200"/>
        <w:rPr>
          <w:rFonts w:ascii="宋体" w:hAnsi="宋体" w:cs="宋体"/>
          <w:sz w:val="24"/>
        </w:rPr>
      </w:pPr>
      <w:r>
        <w:rPr>
          <w:rFonts w:hint="eastAsia" w:ascii="宋体" w:hAnsi="宋体" w:cs="宋体"/>
          <w:sz w:val="24"/>
        </w:rPr>
        <w:t>不提供相关内容或方案得0分。</w:t>
      </w:r>
    </w:p>
    <w:p>
      <w:pPr>
        <w:widowControl/>
        <w:spacing w:line="500" w:lineRule="exact"/>
        <w:ind w:firstLine="480" w:firstLineChars="200"/>
        <w:rPr>
          <w:rFonts w:ascii="宋体" w:hAnsi="宋体" w:cs="宋体"/>
          <w:sz w:val="24"/>
        </w:rPr>
      </w:pPr>
      <w:r>
        <w:rPr>
          <w:rFonts w:hint="eastAsia" w:ascii="宋体" w:hAnsi="宋体" w:cs="宋体"/>
          <w:sz w:val="24"/>
        </w:rPr>
        <w:t>一档（5分）：投入配置人数基本满足要求，人员排班计划基本合理，但缺少培训、奖惩、管理等方案；</w:t>
      </w:r>
    </w:p>
    <w:p>
      <w:pPr>
        <w:widowControl/>
        <w:spacing w:line="500" w:lineRule="exact"/>
        <w:ind w:firstLine="480" w:firstLineChars="200"/>
        <w:rPr>
          <w:rFonts w:ascii="宋体" w:hAnsi="宋体" w:cs="宋体"/>
          <w:sz w:val="24"/>
        </w:rPr>
      </w:pPr>
      <w:r>
        <w:rPr>
          <w:rFonts w:hint="eastAsia" w:ascii="宋体" w:hAnsi="宋体" w:cs="宋体"/>
          <w:sz w:val="24"/>
        </w:rPr>
        <w:t>二档（10分）：投入人员满足要求、排班计划合理，人员管理、培训及激励制度和方案能响应本项目要求，满足采购文件基本要求，本项目物业经理持应急救援员证书，提供2025年6月以来任意1个月社保医保缴纳证明；</w:t>
      </w:r>
    </w:p>
    <w:p>
      <w:pPr>
        <w:spacing w:line="500" w:lineRule="exact"/>
        <w:ind w:firstLine="480" w:firstLineChars="200"/>
        <w:rPr>
          <w:rFonts w:ascii="宋体" w:hAnsi="宋体" w:cs="宋体"/>
          <w:sz w:val="24"/>
        </w:rPr>
      </w:pPr>
      <w:r>
        <w:rPr>
          <w:rFonts w:hint="eastAsia" w:ascii="宋体" w:hAnsi="宋体" w:cs="宋体"/>
          <w:sz w:val="24"/>
        </w:rPr>
        <w:t>三档（15分）：投入人员要求、排班计划符合甲方要求和劳动保障规定，人员管理、培训及激励制度和方案详细，全面具体，针对性和可操作性强，服务人员的管理满足项目实际需要，本项目物业经理持保安员证书、应急救援员证书、</w:t>
      </w:r>
      <w:bookmarkStart w:id="87" w:name="OLE_LINK9"/>
      <w:r>
        <w:rPr>
          <w:rFonts w:hint="eastAsia" w:ascii="宋体" w:hAnsi="宋体" w:cs="宋体"/>
          <w:sz w:val="24"/>
        </w:rPr>
        <w:t>消防设施操作员证书</w:t>
      </w:r>
      <w:bookmarkEnd w:id="87"/>
      <w:r>
        <w:rPr>
          <w:rFonts w:hint="eastAsia" w:ascii="宋体" w:hAnsi="宋体" w:cs="宋体"/>
          <w:sz w:val="24"/>
        </w:rPr>
        <w:t>和低压电工证，提供2025年6月以来任意1个月社保医保缴纳证明。</w:t>
      </w:r>
    </w:p>
    <w:p>
      <w:pPr>
        <w:widowControl/>
        <w:spacing w:line="500" w:lineRule="exact"/>
        <w:ind w:firstLine="482" w:firstLineChars="200"/>
        <w:rPr>
          <w:rFonts w:ascii="宋体" w:hAnsi="宋体" w:cs="宋体"/>
          <w:b/>
          <w:sz w:val="24"/>
        </w:rPr>
      </w:pPr>
      <w:r>
        <w:rPr>
          <w:rFonts w:hint="eastAsia" w:ascii="宋体" w:hAnsi="宋体" w:cs="宋体"/>
          <w:b/>
          <w:sz w:val="24"/>
        </w:rPr>
        <w:t>（2）安保管理服务（9分）</w:t>
      </w:r>
    </w:p>
    <w:p>
      <w:pPr>
        <w:widowControl/>
        <w:spacing w:line="500" w:lineRule="exact"/>
        <w:ind w:firstLine="480" w:firstLineChars="200"/>
        <w:rPr>
          <w:rFonts w:ascii="宋体" w:hAnsi="宋体" w:cs="宋体"/>
          <w:sz w:val="24"/>
        </w:rPr>
      </w:pPr>
      <w:r>
        <w:rPr>
          <w:rFonts w:hint="eastAsia" w:ascii="宋体" w:hAnsi="宋体" w:cs="宋体"/>
          <w:sz w:val="24"/>
        </w:rPr>
        <w:t>不提供相关内容或方案得0分。</w:t>
      </w:r>
    </w:p>
    <w:p>
      <w:pPr>
        <w:widowControl/>
        <w:spacing w:line="500" w:lineRule="exact"/>
        <w:ind w:firstLine="480" w:firstLineChars="200"/>
        <w:rPr>
          <w:rFonts w:ascii="宋体" w:hAnsi="宋体" w:cs="宋体"/>
          <w:sz w:val="24"/>
        </w:rPr>
      </w:pPr>
      <w:r>
        <w:rPr>
          <w:rFonts w:hint="eastAsia" w:ascii="宋体" w:hAnsi="宋体" w:cs="宋体"/>
          <w:sz w:val="24"/>
        </w:rPr>
        <w:t>一档（3分）：人员要求基本满足，岗位证书缺失，无安保服务方案；</w:t>
      </w:r>
    </w:p>
    <w:p>
      <w:pPr>
        <w:widowControl/>
        <w:spacing w:line="500" w:lineRule="exact"/>
        <w:ind w:firstLine="480" w:firstLineChars="200"/>
        <w:rPr>
          <w:rFonts w:ascii="宋体" w:hAnsi="宋体" w:cs="宋体"/>
          <w:sz w:val="24"/>
        </w:rPr>
      </w:pPr>
      <w:r>
        <w:rPr>
          <w:rFonts w:hint="eastAsia" w:ascii="宋体" w:hAnsi="宋体" w:cs="宋体"/>
          <w:sz w:val="24"/>
        </w:rPr>
        <w:t>二档（6分）：人员要求满足，岗位证书齐全，按照24小时排班制提供安保服务方案；</w:t>
      </w:r>
    </w:p>
    <w:p>
      <w:pPr>
        <w:spacing w:line="500" w:lineRule="exact"/>
        <w:ind w:firstLine="480" w:firstLineChars="200"/>
        <w:rPr>
          <w:rFonts w:ascii="宋体" w:hAnsi="宋体" w:cs="宋体"/>
          <w:sz w:val="24"/>
        </w:rPr>
      </w:pPr>
      <w:r>
        <w:rPr>
          <w:rFonts w:hint="eastAsia" w:ascii="宋体" w:hAnsi="宋体" w:cs="宋体"/>
          <w:sz w:val="24"/>
        </w:rPr>
        <w:t>三档（9分）：人员要求满足，岗位证书齐全，严格落实24小时排班制，安保服务方案详细并贴合甲方实际情况，方案（包含但不限于交接班制度、车辆管理、人员仪容仪表管理、服务标准等）有较强的针对性和可操作性。</w:t>
      </w:r>
    </w:p>
    <w:p>
      <w:pPr>
        <w:widowControl/>
        <w:spacing w:line="500" w:lineRule="exact"/>
        <w:ind w:firstLine="482" w:firstLineChars="200"/>
        <w:rPr>
          <w:rFonts w:ascii="宋体" w:hAnsi="宋体" w:cs="宋体"/>
          <w:b/>
          <w:sz w:val="24"/>
        </w:rPr>
      </w:pPr>
      <w:r>
        <w:rPr>
          <w:rFonts w:hint="eastAsia" w:ascii="宋体" w:hAnsi="宋体" w:cs="宋体"/>
          <w:b/>
          <w:sz w:val="24"/>
        </w:rPr>
        <w:t>（3）卫生保洁服务（9分）</w:t>
      </w:r>
    </w:p>
    <w:p>
      <w:pPr>
        <w:widowControl/>
        <w:spacing w:line="500" w:lineRule="exact"/>
        <w:ind w:firstLine="480" w:firstLineChars="200"/>
        <w:rPr>
          <w:rFonts w:ascii="宋体" w:hAnsi="宋体" w:cs="宋体"/>
          <w:sz w:val="24"/>
        </w:rPr>
      </w:pPr>
      <w:r>
        <w:rPr>
          <w:rFonts w:hint="eastAsia" w:ascii="宋体" w:hAnsi="宋体" w:cs="宋体"/>
          <w:sz w:val="24"/>
        </w:rPr>
        <w:t>不提供相关内容或方案得0分。</w:t>
      </w:r>
    </w:p>
    <w:p>
      <w:pPr>
        <w:widowControl/>
        <w:spacing w:line="500" w:lineRule="exact"/>
        <w:ind w:firstLine="480" w:firstLineChars="200"/>
        <w:rPr>
          <w:rFonts w:ascii="宋体" w:hAnsi="宋体" w:cs="宋体"/>
          <w:sz w:val="24"/>
        </w:rPr>
      </w:pPr>
      <w:r>
        <w:rPr>
          <w:rFonts w:hint="eastAsia" w:ascii="宋体" w:hAnsi="宋体" w:cs="宋体"/>
          <w:sz w:val="24"/>
        </w:rPr>
        <w:t>一档（3分）：保洁作业频率和质量标准基本满足要求，但缺少其它规范；</w:t>
      </w:r>
    </w:p>
    <w:p>
      <w:pPr>
        <w:spacing w:line="500" w:lineRule="exact"/>
        <w:ind w:firstLine="480" w:firstLineChars="200"/>
        <w:rPr>
          <w:rFonts w:ascii="宋体" w:hAnsi="宋体" w:cs="宋体"/>
          <w:sz w:val="24"/>
        </w:rPr>
      </w:pPr>
      <w:r>
        <w:rPr>
          <w:rFonts w:hint="eastAsia" w:ascii="宋体" w:hAnsi="宋体" w:cs="宋体"/>
          <w:sz w:val="24"/>
        </w:rPr>
        <w:t>二档（6分）：保洁作业频率和质量标准满足要求，保洁方案内容粗略；</w:t>
      </w:r>
    </w:p>
    <w:p>
      <w:pPr>
        <w:spacing w:line="500" w:lineRule="exact"/>
        <w:ind w:firstLine="480" w:firstLineChars="200"/>
        <w:rPr>
          <w:rFonts w:ascii="宋体" w:hAnsi="宋体" w:cs="宋体"/>
          <w:sz w:val="24"/>
        </w:rPr>
      </w:pPr>
      <w:r>
        <w:rPr>
          <w:rFonts w:hint="eastAsia" w:ascii="宋体" w:hAnsi="宋体" w:cs="宋体"/>
          <w:sz w:val="24"/>
        </w:rPr>
        <w:t>三档（9分）：保洁作业频率和质量标准满足要求，提供保洁员日常工作方案，方案（包含但不限于作业频率、质量标准、工作纪律、责任区域划分、“四害”消杀、垃圾清运、水沟清理、活动现场卫生等）制度充分完善。</w:t>
      </w:r>
    </w:p>
    <w:p>
      <w:pPr>
        <w:widowControl/>
        <w:spacing w:line="500" w:lineRule="exact"/>
        <w:ind w:firstLine="482" w:firstLineChars="200"/>
        <w:rPr>
          <w:rFonts w:ascii="宋体" w:hAnsi="宋体" w:cs="宋体"/>
          <w:b/>
          <w:sz w:val="24"/>
        </w:rPr>
      </w:pPr>
      <w:r>
        <w:rPr>
          <w:rFonts w:hint="eastAsia" w:ascii="宋体" w:hAnsi="宋体" w:cs="宋体"/>
          <w:b/>
          <w:sz w:val="24"/>
        </w:rPr>
        <w:t>（4）园林绿化服务（8分）</w:t>
      </w:r>
    </w:p>
    <w:p>
      <w:pPr>
        <w:widowControl/>
        <w:spacing w:line="500" w:lineRule="exact"/>
        <w:ind w:firstLine="480" w:firstLineChars="200"/>
        <w:rPr>
          <w:rFonts w:ascii="宋体" w:hAnsi="宋体" w:cs="宋体"/>
          <w:sz w:val="24"/>
        </w:rPr>
      </w:pPr>
      <w:r>
        <w:rPr>
          <w:rFonts w:hint="eastAsia" w:ascii="宋体" w:hAnsi="宋体" w:cs="宋体"/>
          <w:sz w:val="24"/>
        </w:rPr>
        <w:t>不提供相关内容或方案得0分。</w:t>
      </w:r>
    </w:p>
    <w:p>
      <w:pPr>
        <w:spacing w:line="500" w:lineRule="exact"/>
        <w:ind w:firstLine="480" w:firstLineChars="200"/>
        <w:rPr>
          <w:rFonts w:ascii="宋体" w:hAnsi="宋体" w:cs="宋体"/>
          <w:sz w:val="24"/>
        </w:rPr>
      </w:pPr>
      <w:r>
        <w:rPr>
          <w:rFonts w:hint="eastAsia" w:ascii="宋体" w:hAnsi="宋体" w:cs="宋体"/>
          <w:sz w:val="24"/>
        </w:rPr>
        <w:t>一档（3分）：园林绿化方案基本贴合甲方实际情况，有长期养护计划和措施；</w:t>
      </w:r>
    </w:p>
    <w:p>
      <w:pPr>
        <w:spacing w:line="500" w:lineRule="exact"/>
        <w:ind w:firstLine="480" w:firstLineChars="200"/>
        <w:rPr>
          <w:rFonts w:ascii="宋体" w:hAnsi="宋体" w:cs="宋体"/>
          <w:sz w:val="24"/>
        </w:rPr>
      </w:pPr>
      <w:r>
        <w:rPr>
          <w:rFonts w:hint="eastAsia" w:ascii="宋体" w:hAnsi="宋体" w:cs="宋体"/>
          <w:sz w:val="24"/>
        </w:rPr>
        <w:t>二档（6分）：园林绿化方案贴合甲方实际情况，有长期养护计划和措施，能够体现台风、汛期等特殊情况下的应对措施；</w:t>
      </w:r>
    </w:p>
    <w:p>
      <w:pPr>
        <w:spacing w:line="500" w:lineRule="exact"/>
        <w:ind w:firstLine="480" w:firstLineChars="200"/>
        <w:rPr>
          <w:rFonts w:ascii="宋体" w:hAnsi="宋体" w:cs="宋体"/>
          <w:sz w:val="24"/>
        </w:rPr>
      </w:pPr>
      <w:r>
        <w:rPr>
          <w:rFonts w:hint="eastAsia" w:ascii="宋体" w:hAnsi="宋体" w:cs="宋体"/>
          <w:sz w:val="24"/>
        </w:rPr>
        <w:t>三档（8分）：园林绿化方案贴合甲方实际情况，针对性和可行性强，有长期养护计划和措施，能够体现台风、汛期等特殊情况下的应对措施，有提升甲方园林绿化品质的建议和方案。</w:t>
      </w:r>
    </w:p>
    <w:p>
      <w:pPr>
        <w:widowControl/>
        <w:spacing w:line="500" w:lineRule="exact"/>
        <w:ind w:firstLine="482" w:firstLineChars="200"/>
        <w:rPr>
          <w:rFonts w:ascii="宋体" w:hAnsi="宋体" w:cs="宋体"/>
          <w:b/>
          <w:sz w:val="24"/>
        </w:rPr>
      </w:pPr>
      <w:r>
        <w:rPr>
          <w:rFonts w:hint="eastAsia" w:ascii="宋体" w:hAnsi="宋体" w:cs="宋体"/>
          <w:b/>
          <w:sz w:val="24"/>
        </w:rPr>
        <w:t>（5）工程维修服务（9分）</w:t>
      </w:r>
    </w:p>
    <w:p>
      <w:pPr>
        <w:widowControl/>
        <w:spacing w:line="500" w:lineRule="exact"/>
        <w:ind w:firstLine="480" w:firstLineChars="200"/>
        <w:rPr>
          <w:rFonts w:ascii="宋体" w:hAnsi="宋体" w:cs="宋体"/>
          <w:sz w:val="24"/>
        </w:rPr>
      </w:pPr>
      <w:r>
        <w:rPr>
          <w:rFonts w:hint="eastAsia" w:ascii="宋体" w:hAnsi="宋体" w:cs="宋体"/>
          <w:sz w:val="24"/>
        </w:rPr>
        <w:t>不提供相关内容或方案得0分。</w:t>
      </w:r>
    </w:p>
    <w:p>
      <w:pPr>
        <w:spacing w:line="500" w:lineRule="exact"/>
        <w:ind w:firstLine="480" w:firstLineChars="200"/>
        <w:rPr>
          <w:rFonts w:ascii="宋体" w:hAnsi="宋体" w:cs="宋体"/>
          <w:sz w:val="24"/>
        </w:rPr>
      </w:pPr>
      <w:r>
        <w:rPr>
          <w:rFonts w:hint="eastAsia" w:ascii="宋体" w:hAnsi="宋体" w:cs="宋体"/>
          <w:sz w:val="24"/>
        </w:rPr>
        <w:t>一档（3分）：人员要求基本满足，缺失电工证，有维修服务方案，但不切合甲方实际情况；</w:t>
      </w:r>
    </w:p>
    <w:p>
      <w:pPr>
        <w:spacing w:line="500" w:lineRule="exact"/>
        <w:ind w:firstLine="480" w:firstLineChars="200"/>
        <w:rPr>
          <w:rFonts w:ascii="宋体" w:hAnsi="宋体" w:cs="宋体"/>
          <w:sz w:val="24"/>
        </w:rPr>
      </w:pPr>
      <w:r>
        <w:rPr>
          <w:rFonts w:hint="eastAsia" w:ascii="宋体" w:hAnsi="宋体" w:cs="宋体"/>
          <w:sz w:val="24"/>
        </w:rPr>
        <w:t>二档（6分）：人员要求满足，电工证等证件齐全，工程维修服务方案基本满足甲方需求，但方案粗略；</w:t>
      </w:r>
    </w:p>
    <w:p>
      <w:pPr>
        <w:spacing w:line="500" w:lineRule="exact"/>
        <w:ind w:firstLine="480" w:firstLineChars="200"/>
        <w:rPr>
          <w:rFonts w:ascii="宋体" w:hAnsi="宋体" w:cs="宋体"/>
          <w:sz w:val="24"/>
        </w:rPr>
      </w:pPr>
      <w:r>
        <w:rPr>
          <w:rFonts w:hint="eastAsia" w:ascii="宋体" w:hAnsi="宋体" w:cs="宋体"/>
          <w:sz w:val="24"/>
        </w:rPr>
        <w:t>三档（9分）：人员要求满足，电工证等证件齐全，工程维修服务方案贴合甲方实际情况方案（包括但不限于设施设备的巡查点检机制、问题反馈机制、报修维修机制、物品库存管理机制、长期养护保养计划和档案管理制度等）针对性、可行性和时效性强。</w:t>
      </w:r>
    </w:p>
    <w:p>
      <w:pPr>
        <w:widowControl/>
        <w:spacing w:line="500" w:lineRule="exact"/>
        <w:ind w:firstLine="482" w:firstLineChars="200"/>
        <w:rPr>
          <w:rFonts w:ascii="宋体" w:hAnsi="宋体" w:cs="宋体"/>
          <w:b/>
          <w:sz w:val="24"/>
        </w:rPr>
      </w:pPr>
      <w:r>
        <w:rPr>
          <w:rFonts w:hint="eastAsia" w:ascii="宋体" w:hAnsi="宋体" w:cs="宋体"/>
          <w:b/>
          <w:sz w:val="24"/>
        </w:rPr>
        <w:t>（6）</w:t>
      </w:r>
      <w:bookmarkStart w:id="88" w:name="OLE_LINK11"/>
      <w:bookmarkStart w:id="89" w:name="OLE_LINK12"/>
      <w:r>
        <w:rPr>
          <w:rFonts w:hint="eastAsia" w:ascii="宋体" w:hAnsi="宋体" w:cs="宋体"/>
          <w:b/>
          <w:sz w:val="24"/>
        </w:rPr>
        <w:t>安全生产管理和应急事件处置（满分12分）</w:t>
      </w:r>
    </w:p>
    <w:p>
      <w:pPr>
        <w:widowControl/>
        <w:spacing w:line="500" w:lineRule="exact"/>
        <w:ind w:firstLine="480" w:firstLineChars="200"/>
        <w:rPr>
          <w:rFonts w:ascii="宋体" w:hAnsi="宋体" w:cs="宋体"/>
          <w:sz w:val="24"/>
        </w:rPr>
      </w:pPr>
      <w:r>
        <w:rPr>
          <w:rFonts w:hint="eastAsia" w:ascii="宋体" w:hAnsi="宋体" w:cs="宋体"/>
          <w:sz w:val="24"/>
        </w:rPr>
        <w:t>不提供相关内容或方案得0分。</w:t>
      </w:r>
    </w:p>
    <w:p>
      <w:pPr>
        <w:widowControl/>
        <w:spacing w:line="500" w:lineRule="exact"/>
        <w:ind w:firstLine="480" w:firstLineChars="200"/>
        <w:rPr>
          <w:rFonts w:ascii="宋体" w:hAnsi="宋体" w:cs="宋体"/>
          <w:sz w:val="24"/>
        </w:rPr>
      </w:pPr>
      <w:r>
        <w:rPr>
          <w:rFonts w:hint="eastAsia" w:ascii="宋体" w:hAnsi="宋体" w:cs="宋体"/>
          <w:sz w:val="24"/>
        </w:rPr>
        <w:t>一档（4分）：有日常安全生产管理方案和应急机制（突发事件的应急方案、工作人员突然离职的应急措施及其它应急措施）简单；</w:t>
      </w:r>
    </w:p>
    <w:p>
      <w:pPr>
        <w:widowControl/>
        <w:spacing w:line="500" w:lineRule="exact"/>
        <w:ind w:firstLine="480" w:firstLineChars="200"/>
        <w:rPr>
          <w:rFonts w:ascii="宋体" w:hAnsi="宋体" w:cs="宋体"/>
          <w:sz w:val="24"/>
        </w:rPr>
      </w:pPr>
      <w:r>
        <w:rPr>
          <w:rFonts w:hint="eastAsia" w:ascii="宋体" w:hAnsi="宋体" w:cs="宋体"/>
          <w:sz w:val="24"/>
        </w:rPr>
        <w:t>二档（8分）：有日常安全生产管理方案和应急机制（突发事件的应急方案、工作人员突然离职的应急措施及其它应急措施）全面，可行合理；</w:t>
      </w:r>
    </w:p>
    <w:p>
      <w:pPr>
        <w:spacing w:line="500" w:lineRule="exact"/>
        <w:ind w:firstLine="480" w:firstLineChars="200"/>
        <w:rPr>
          <w:rFonts w:ascii="宋体" w:hAnsi="宋体" w:cs="宋体"/>
          <w:sz w:val="24"/>
        </w:rPr>
      </w:pPr>
      <w:r>
        <w:rPr>
          <w:rFonts w:hint="eastAsia" w:ascii="宋体" w:hAnsi="宋体" w:cs="宋体"/>
          <w:sz w:val="24"/>
        </w:rPr>
        <w:t>三档（12分）：安全生产管理方案符合甲方实际情况，有安全生产工作档案管理机制，能有效落实安全生产培训计划，流程清晰责任明确。应急机制（突发事件的应急方案、工作人员突然离职的应急措施及其它应急措施）全面，可行合理，针对性强。应急机构负责人持有应急救援员证书，提供</w:t>
      </w:r>
      <w:r>
        <w:rPr>
          <w:rFonts w:ascii="宋体" w:hAnsi="宋体" w:cs="宋体"/>
          <w:sz w:val="24"/>
        </w:rPr>
        <w:t>2025年6月以来</w:t>
      </w:r>
      <w:r>
        <w:rPr>
          <w:rFonts w:hint="eastAsia" w:ascii="宋体" w:hAnsi="宋体" w:cs="宋体"/>
          <w:sz w:val="24"/>
        </w:rPr>
        <w:t>任意</w:t>
      </w:r>
      <w:r>
        <w:rPr>
          <w:rFonts w:ascii="宋体" w:hAnsi="宋体" w:cs="宋体"/>
          <w:sz w:val="24"/>
        </w:rPr>
        <w:t>1个月</w:t>
      </w:r>
      <w:r>
        <w:rPr>
          <w:rFonts w:hint="eastAsia" w:ascii="宋体" w:hAnsi="宋体" w:cs="宋体"/>
          <w:sz w:val="24"/>
        </w:rPr>
        <w:t>社保医保缴纳证明。</w:t>
      </w:r>
    </w:p>
    <w:bookmarkEnd w:id="88"/>
    <w:bookmarkEnd w:id="89"/>
    <w:p>
      <w:pPr>
        <w:widowControl/>
        <w:spacing w:line="500" w:lineRule="exact"/>
        <w:ind w:firstLine="482" w:firstLineChars="200"/>
        <w:rPr>
          <w:rFonts w:ascii="宋体" w:hAnsi="宋体" w:cs="宋体"/>
          <w:b/>
          <w:sz w:val="24"/>
        </w:rPr>
      </w:pPr>
      <w:bookmarkStart w:id="90" w:name="3、项目实施分（满分24分）"/>
      <w:bookmarkEnd w:id="90"/>
      <w:r>
        <w:rPr>
          <w:rFonts w:hint="eastAsia" w:ascii="宋体" w:hAnsi="宋体" w:cs="宋体"/>
          <w:b/>
          <w:sz w:val="24"/>
        </w:rPr>
        <w:t>3.信誉业绩分（满分8分）</w:t>
      </w:r>
    </w:p>
    <w:p>
      <w:pPr>
        <w:widowControl/>
        <w:spacing w:line="500" w:lineRule="exact"/>
        <w:ind w:firstLine="480" w:firstLineChars="200"/>
        <w:rPr>
          <w:rFonts w:ascii="宋体" w:hAnsi="宋体" w:cs="宋体"/>
          <w:sz w:val="24"/>
        </w:rPr>
      </w:pPr>
      <w:r>
        <w:rPr>
          <w:rFonts w:hint="eastAsia" w:ascii="宋体" w:hAnsi="宋体" w:cs="宋体"/>
          <w:sz w:val="24"/>
        </w:rPr>
        <w:t>（1）</w:t>
      </w:r>
      <w:bookmarkStart w:id="91" w:name="OLE_LINK13"/>
      <w:r>
        <w:rPr>
          <w:rFonts w:hint="eastAsia" w:ascii="宋体" w:hAnsi="宋体" w:cs="宋体"/>
          <w:sz w:val="24"/>
        </w:rPr>
        <w:t>磋商供应商获得有效的质量管理体系认证，环境管理体系认证，职业健康安全管理体系认证，环卫清洁服务企业资质认证，环境清洁维护服务企业资质认证，每获得一项得1分，满分5分，不重复计分。（提供证书复印件）</w:t>
      </w:r>
      <w:bookmarkEnd w:id="91"/>
      <w:r>
        <w:rPr>
          <w:rFonts w:hint="eastAsia" w:ascii="宋体" w:hAnsi="宋体" w:cs="宋体"/>
          <w:sz w:val="24"/>
        </w:rPr>
        <w:t>；</w:t>
      </w:r>
    </w:p>
    <w:p>
      <w:pPr>
        <w:widowControl/>
        <w:spacing w:line="500" w:lineRule="exact"/>
        <w:ind w:firstLine="480" w:firstLineChars="200"/>
        <w:rPr>
          <w:rFonts w:ascii="宋体" w:hAnsi="宋体" w:cs="宋体"/>
          <w:sz w:val="24"/>
          <w:u w:val="single"/>
        </w:rPr>
      </w:pPr>
      <w:r>
        <w:rPr>
          <w:rFonts w:hint="eastAsia" w:ascii="宋体" w:hAnsi="宋体" w:cs="宋体"/>
          <w:sz w:val="24"/>
        </w:rPr>
        <w:t>（2）</w:t>
      </w:r>
      <w:bookmarkStart w:id="92" w:name="OLE_LINK10"/>
      <w:r>
        <w:rPr>
          <w:rFonts w:hint="eastAsia" w:ascii="宋体" w:hAnsi="宋体" w:cs="宋体"/>
          <w:sz w:val="24"/>
        </w:rPr>
        <w:t>磋商供应商2021年以来，完成同类物业管理服务项目，每个项目的1分，满分3分（需提供有效合同复印件或中标/成交通知书）</w:t>
      </w:r>
      <w:bookmarkEnd w:id="92"/>
      <w:r>
        <w:rPr>
          <w:rFonts w:hint="eastAsia" w:ascii="宋体" w:hAnsi="宋体" w:cs="宋体"/>
          <w:sz w:val="24"/>
          <w:u w:val="none"/>
        </w:rPr>
        <w:t>。</w:t>
      </w:r>
    </w:p>
    <w:p>
      <w:pPr>
        <w:widowControl/>
        <w:autoSpaceDE w:val="0"/>
        <w:autoSpaceDN w:val="0"/>
        <w:snapToGrid w:val="0"/>
        <w:spacing w:line="500" w:lineRule="exact"/>
        <w:ind w:firstLine="482" w:firstLineChars="200"/>
        <w:jc w:val="left"/>
        <w:rPr>
          <w:rFonts w:ascii="宋体" w:hAnsi="宋体" w:cs="宋体"/>
          <w:b/>
          <w:bCs/>
          <w:color w:val="000000"/>
          <w:kern w:val="0"/>
          <w:sz w:val="24"/>
          <w:lang w:val="zh-CN" w:bidi="zh-CN"/>
        </w:rPr>
      </w:pPr>
      <w:r>
        <w:rPr>
          <w:rFonts w:hint="eastAsia" w:ascii="宋体" w:hAnsi="宋体" w:cs="宋体"/>
          <w:b/>
          <w:bCs/>
          <w:color w:val="000000"/>
          <w:kern w:val="0"/>
          <w:sz w:val="24"/>
          <w:lang w:val="zh-CN" w:bidi="zh-CN"/>
        </w:rPr>
        <w:t>三、总分=1+2+3</w:t>
      </w:r>
    </w:p>
    <w:p>
      <w:pPr>
        <w:snapToGrid w:val="0"/>
        <w:spacing w:line="500" w:lineRule="exact"/>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供应商编制响应文件（商务技术文件部分）时，建议按此目录（序号和内容）提供评标标准相应的商务技术资料。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2"/>
        <w:numPr>
          <w:ilvl w:val="255"/>
          <w:numId w:val="0"/>
        </w:numPr>
      </w:pPr>
    </w:p>
    <w:p>
      <w:pPr>
        <w:pStyle w:val="392"/>
        <w:spacing w:before="0"/>
        <w:ind w:firstLine="643"/>
        <w:jc w:val="center"/>
        <w:outlineLvl w:val="1"/>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outlineLvl w:val="1"/>
        <w:rPr>
          <w:rFonts w:cs="仿宋_GB2312" w:asciiTheme="minorEastAsia" w:hAnsiTheme="minorEastAsia" w:eastAsiaTheme="minorEastAsia"/>
          <w:b/>
          <w:sz w:val="28"/>
          <w:szCs w:val="18"/>
        </w:rPr>
      </w:pPr>
    </w:p>
    <w:p>
      <w:pPr>
        <w:pStyle w:val="392"/>
        <w:spacing w:before="0"/>
        <w:ind w:firstLine="0" w:firstLineChars="0"/>
        <w:outlineLvl w:val="1"/>
        <w:rPr>
          <w:rFonts w:cs="仿宋_GB2312" w:asciiTheme="minorEastAsia" w:hAnsiTheme="minorEastAsia" w:eastAsiaTheme="minorEastAsia"/>
          <w:b/>
          <w:sz w:val="28"/>
          <w:szCs w:val="18"/>
        </w:rPr>
      </w:pPr>
    </w:p>
    <w:p>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3"/>
        <w:spacing w:line="360" w:lineRule="auto"/>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3.19供应商仅提交备份响应文件，没有在电子交易平台传输提交响应文件的，响应无效；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 处（含）以上错误一致的；4.不同供应商联系人为同一人或不同联系人的联系电话一致的；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6.</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bookmarkStart w:id="93" w:name="_Toc181203099"/>
      <w:r>
        <w:rPr>
          <w:rFonts w:hint="eastAsia" w:cs="仿宋_GB2312" w:asciiTheme="minorEastAsia" w:hAnsiTheme="minorEastAsia" w:eastAsiaTheme="minorEastAsia"/>
          <w:b/>
          <w:sz w:val="36"/>
          <w:szCs w:val="36"/>
        </w:rPr>
        <w:t>第六部分</w:t>
      </w:r>
      <w:bookmarkEnd w:id="83"/>
      <w:r>
        <w:rPr>
          <w:rFonts w:hint="eastAsia" w:cs="仿宋_GB2312" w:asciiTheme="minorEastAsia" w:hAnsiTheme="minorEastAsia" w:eastAsiaTheme="minorEastAsia"/>
          <w:b/>
          <w:sz w:val="36"/>
          <w:szCs w:val="36"/>
        </w:rPr>
        <w:t xml:space="preserve">  拟签订的合同文本</w:t>
      </w:r>
      <w:bookmarkEnd w:id="93"/>
    </w:p>
    <w:p>
      <w:pPr>
        <w:spacing w:line="480" w:lineRule="auto"/>
        <w:jc w:val="center"/>
        <w:rPr>
          <w:rFonts w:ascii="宋体" w:hAnsi="宋体" w:cs="宋体"/>
          <w:b/>
          <w:sz w:val="24"/>
        </w:rPr>
      </w:pPr>
      <w:bookmarkStart w:id="94" w:name="第五部分"/>
      <w:bookmarkStart w:id="95" w:name="_Toc86217003"/>
    </w:p>
    <w:p>
      <w:pPr>
        <w:spacing w:line="480" w:lineRule="auto"/>
        <w:jc w:val="center"/>
        <w:rPr>
          <w:rFonts w:ascii="宋体" w:hAnsi="宋体" w:cs="宋体"/>
          <w:b/>
          <w:sz w:val="24"/>
        </w:rPr>
      </w:pPr>
    </w:p>
    <w:p>
      <w:pPr>
        <w:pStyle w:val="631"/>
      </w:pPr>
    </w:p>
    <w:p>
      <w:pPr>
        <w:pStyle w:val="631"/>
      </w:pPr>
    </w:p>
    <w:p>
      <w:pPr>
        <w:pStyle w:val="631"/>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281"/>
        <w:ind w:firstLine="2843" w:firstLineChars="1180"/>
        <w:rPr>
          <w:rFonts w:ascii="宋体" w:hAnsi="宋体" w:cs="宋体"/>
          <w:b/>
          <w:szCs w:val="24"/>
        </w:rPr>
      </w:pPr>
    </w:p>
    <w:p>
      <w:pPr>
        <w:pStyle w:val="23"/>
        <w:spacing w:after="120"/>
      </w:pPr>
    </w:p>
    <w:p>
      <w:pPr>
        <w:pStyle w:val="23"/>
        <w:spacing w:after="120"/>
      </w:pPr>
    </w:p>
    <w:p>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pPr>
        <w:pStyle w:val="631"/>
      </w:pPr>
    </w:p>
    <w:p>
      <w:pPr>
        <w:pStyle w:val="631"/>
      </w:pPr>
    </w:p>
    <w:p>
      <w:pPr>
        <w:pStyle w:val="631"/>
      </w:pPr>
    </w:p>
    <w:p>
      <w:pPr>
        <w:pStyle w:val="631"/>
      </w:pPr>
    </w:p>
    <w:p>
      <w:pPr>
        <w:pStyle w:val="631"/>
      </w:pPr>
    </w:p>
    <w:p>
      <w:pPr>
        <w:pStyle w:val="631"/>
      </w:pPr>
    </w:p>
    <w:p>
      <w:pPr>
        <w:pStyle w:val="631"/>
      </w:pPr>
    </w:p>
    <w:p>
      <w:pPr>
        <w:pStyle w:val="631"/>
      </w:pPr>
    </w:p>
    <w:p>
      <w:pPr>
        <w:pStyle w:val="631"/>
      </w:pPr>
    </w:p>
    <w:p>
      <w:pPr>
        <w:pStyle w:val="631"/>
      </w:pPr>
    </w:p>
    <w:p>
      <w:pPr>
        <w:spacing w:line="360" w:lineRule="auto"/>
        <w:jc w:val="center"/>
        <w:outlineLvl w:val="1"/>
        <w:rPr>
          <w:rFonts w:ascii="宋体" w:hAnsi="宋体" w:cs="宋体"/>
          <w:b/>
          <w:sz w:val="24"/>
        </w:rPr>
      </w:pPr>
      <w:bookmarkStart w:id="96" w:name="_Toc22209"/>
      <w:r>
        <w:rPr>
          <w:rFonts w:hint="eastAsia" w:ascii="宋体" w:hAnsi="宋体"/>
          <w:b/>
          <w:sz w:val="24"/>
        </w:rPr>
        <w:t>第一节 政府采购合同协议书</w:t>
      </w:r>
      <w:bookmarkEnd w:id="96"/>
    </w:p>
    <w:p>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w:t>
      </w:r>
      <w:r>
        <w:rPr>
          <w:rFonts w:hint="eastAsia" w:ascii="宋体" w:hAnsi="宋体"/>
          <w:sz w:val="24"/>
          <w:u w:val="single"/>
        </w:rPr>
        <w:t>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成交供应商</w:t>
      </w:r>
      <w:r>
        <w:rPr>
          <w:rFonts w:hint="eastAsia" w:ascii="宋体" w:hAnsi="宋体"/>
          <w:sz w:val="24"/>
        </w:rPr>
        <w:t>。现于</w:t>
      </w:r>
      <w:r>
        <w:rPr>
          <w:rFonts w:hint="eastAsia" w:ascii="宋体" w:hAnsi="宋体" w:cs="宋体"/>
          <w:sz w:val="24"/>
        </w:rPr>
        <w:t>成交通知书</w:t>
      </w:r>
      <w:r>
        <w:rPr>
          <w:rFonts w:hint="eastAsia" w:ascii="宋体" w:hAnsi="宋体"/>
          <w:sz w:val="24"/>
        </w:rPr>
        <w:t>发出之日起</w:t>
      </w:r>
      <w:r>
        <w:rPr>
          <w:rFonts w:hint="eastAsia" w:ascii="宋体" w:hAnsi="宋体"/>
          <w:sz w:val="24"/>
          <w:u w:val="single"/>
        </w:rPr>
        <w:t>5</w:t>
      </w:r>
      <w:r>
        <w:rPr>
          <w:rFonts w:hint="eastAsia" w:ascii="宋体" w:hAnsi="宋体"/>
          <w:sz w:val="24"/>
        </w:rPr>
        <w:t>个工作日内，按照采购文件确定的事项签订本合同。</w:t>
      </w:r>
    </w:p>
    <w:p>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360" w:lineRule="auto"/>
        <w:ind w:firstLine="482" w:firstLineChars="200"/>
        <w:rPr>
          <w:rFonts w:ascii="宋体" w:hAnsi="宋体"/>
          <w:sz w:val="24"/>
        </w:rPr>
      </w:pPr>
      <w:bookmarkStart w:id="97" w:name="_Toc15367"/>
      <w:bookmarkStart w:id="98" w:name="_Toc22967"/>
      <w:bookmarkStart w:id="99" w:name="_Toc19273"/>
      <w:bookmarkStart w:id="100" w:name="_Toc20421"/>
      <w:bookmarkStart w:id="101" w:name="_Toc28855"/>
      <w:r>
        <w:rPr>
          <w:rFonts w:ascii="宋体" w:hAnsi="宋体"/>
          <w:b/>
          <w:sz w:val="24"/>
        </w:rPr>
        <w:t xml:space="preserve">1.1 </w:t>
      </w:r>
      <w:r>
        <w:rPr>
          <w:rFonts w:hint="eastAsia" w:ascii="宋体" w:hAnsi="宋体"/>
          <w:b/>
          <w:sz w:val="24"/>
        </w:rPr>
        <w:t>合同组成部分</w:t>
      </w:r>
      <w:bookmarkEnd w:id="97"/>
      <w:bookmarkEnd w:id="98"/>
      <w:bookmarkEnd w:id="99"/>
      <w:bookmarkEnd w:id="100"/>
      <w:bookmarkEnd w:id="101"/>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360" w:lineRule="auto"/>
        <w:ind w:firstLine="482" w:firstLineChars="200"/>
        <w:rPr>
          <w:rFonts w:ascii="宋体" w:hAnsi="宋体"/>
          <w:b/>
          <w:sz w:val="24"/>
        </w:rPr>
      </w:pPr>
      <w:bookmarkStart w:id="102" w:name="_Toc6773"/>
      <w:bookmarkStart w:id="103" w:name="_Toc18585"/>
      <w:bookmarkStart w:id="104" w:name="_Toc2918"/>
      <w:bookmarkStart w:id="105" w:name="_Toc6311"/>
      <w:bookmarkStart w:id="106" w:name="_Toc22185"/>
      <w:r>
        <w:rPr>
          <w:rFonts w:ascii="宋体" w:hAnsi="宋体"/>
          <w:b/>
          <w:sz w:val="24"/>
        </w:rPr>
        <w:t xml:space="preserve">1.2 </w:t>
      </w:r>
      <w:r>
        <w:rPr>
          <w:rFonts w:hint="eastAsia" w:ascii="宋体" w:hAnsi="宋体"/>
          <w:b/>
          <w:sz w:val="24"/>
        </w:rPr>
        <w:t>标的</w:t>
      </w:r>
      <w:bookmarkEnd w:id="102"/>
      <w:bookmarkEnd w:id="103"/>
      <w:bookmarkEnd w:id="104"/>
      <w:bookmarkEnd w:id="105"/>
      <w:bookmarkEnd w:id="106"/>
    </w:p>
    <w:p>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62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pPr>
        <w:spacing w:line="360" w:lineRule="auto"/>
        <w:ind w:firstLine="480" w:firstLineChars="200"/>
        <w:rPr>
          <w:rFonts w:ascii="宋体" w:hAnsi="宋体" w:cs="宋体"/>
          <w:sz w:val="24"/>
          <w:u w:val="single"/>
        </w:rPr>
      </w:pPr>
      <w:bookmarkStart w:id="107" w:name="_Toc13918"/>
      <w:bookmarkStart w:id="108" w:name="_Toc4929"/>
      <w:bookmarkStart w:id="109" w:name="_Toc1386"/>
      <w:bookmarkStart w:id="110" w:name="_Toc5635"/>
      <w:bookmarkStart w:id="111"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ascii="宋体" w:hAnsi="宋体"/>
          <w:b/>
          <w:sz w:val="24"/>
        </w:rPr>
      </w:pPr>
      <w:r>
        <w:rPr>
          <w:rFonts w:ascii="宋体" w:hAnsi="宋体"/>
          <w:b/>
          <w:sz w:val="24"/>
        </w:rPr>
        <w:t>1.3 价款</w:t>
      </w:r>
      <w:bookmarkEnd w:id="107"/>
      <w:bookmarkEnd w:id="108"/>
      <w:bookmarkEnd w:id="109"/>
      <w:bookmarkEnd w:id="110"/>
      <w:bookmarkEnd w:id="111"/>
    </w:p>
    <w:p>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jc w:val="center"/>
              <w:rPr>
                <w:rFonts w:hAnsi="宋体"/>
                <w:sz w:val="24"/>
                <w:szCs w:val="24"/>
              </w:rPr>
            </w:pPr>
            <w:r>
              <w:rPr>
                <w:rFonts w:hAnsi="宋体"/>
                <w:sz w:val="24"/>
                <w:szCs w:val="24"/>
              </w:rPr>
              <w:t>序号</w:t>
            </w:r>
          </w:p>
        </w:tc>
        <w:tc>
          <w:tcPr>
            <w:tcW w:w="3402" w:type="dxa"/>
            <w:vAlign w:val="center"/>
          </w:tcPr>
          <w:p>
            <w:pPr>
              <w:pStyle w:val="621"/>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pPr>
              <w:pStyle w:val="621"/>
              <w:spacing w:line="360" w:lineRule="auto"/>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hAnsi="宋体"/>
                <w:sz w:val="24"/>
                <w:szCs w:val="24"/>
              </w:rPr>
            </w:pPr>
          </w:p>
        </w:tc>
        <w:tc>
          <w:tcPr>
            <w:tcW w:w="3402" w:type="dxa"/>
            <w:vAlign w:val="center"/>
          </w:tcPr>
          <w:p>
            <w:pPr>
              <w:pStyle w:val="621"/>
              <w:spacing w:line="360" w:lineRule="auto"/>
              <w:ind w:firstLine="200"/>
              <w:jc w:val="center"/>
              <w:rPr>
                <w:rFonts w:hAnsi="宋体"/>
                <w:sz w:val="24"/>
                <w:szCs w:val="24"/>
              </w:rPr>
            </w:pPr>
          </w:p>
        </w:tc>
        <w:tc>
          <w:tcPr>
            <w:tcW w:w="2552" w:type="dxa"/>
            <w:vAlign w:val="center"/>
          </w:tcPr>
          <w:p>
            <w:pPr>
              <w:pStyle w:val="621"/>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hAnsi="宋体"/>
                <w:sz w:val="24"/>
                <w:szCs w:val="24"/>
              </w:rPr>
            </w:pPr>
          </w:p>
        </w:tc>
        <w:tc>
          <w:tcPr>
            <w:tcW w:w="3402" w:type="dxa"/>
            <w:vAlign w:val="center"/>
          </w:tcPr>
          <w:p>
            <w:pPr>
              <w:pStyle w:val="621"/>
              <w:spacing w:line="360" w:lineRule="auto"/>
              <w:ind w:firstLine="200"/>
              <w:jc w:val="center"/>
              <w:rPr>
                <w:rFonts w:hAnsi="宋体"/>
                <w:sz w:val="24"/>
                <w:szCs w:val="24"/>
              </w:rPr>
            </w:pPr>
          </w:p>
        </w:tc>
        <w:tc>
          <w:tcPr>
            <w:tcW w:w="2552" w:type="dxa"/>
            <w:vAlign w:val="center"/>
          </w:tcPr>
          <w:p>
            <w:pPr>
              <w:pStyle w:val="621"/>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hAnsi="宋体"/>
                <w:sz w:val="24"/>
                <w:szCs w:val="24"/>
              </w:rPr>
            </w:pPr>
          </w:p>
        </w:tc>
        <w:tc>
          <w:tcPr>
            <w:tcW w:w="3402" w:type="dxa"/>
            <w:vAlign w:val="center"/>
          </w:tcPr>
          <w:p>
            <w:pPr>
              <w:pStyle w:val="621"/>
              <w:spacing w:line="360" w:lineRule="auto"/>
              <w:ind w:firstLine="200"/>
              <w:jc w:val="center"/>
              <w:rPr>
                <w:rFonts w:hAnsi="宋体"/>
                <w:sz w:val="24"/>
                <w:szCs w:val="24"/>
              </w:rPr>
            </w:pPr>
          </w:p>
        </w:tc>
        <w:tc>
          <w:tcPr>
            <w:tcW w:w="2552" w:type="dxa"/>
            <w:vAlign w:val="center"/>
          </w:tcPr>
          <w:p>
            <w:pPr>
              <w:pStyle w:val="621"/>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hAnsi="宋体"/>
                <w:sz w:val="24"/>
                <w:szCs w:val="24"/>
              </w:rPr>
            </w:pPr>
          </w:p>
        </w:tc>
        <w:tc>
          <w:tcPr>
            <w:tcW w:w="3402" w:type="dxa"/>
            <w:vAlign w:val="center"/>
          </w:tcPr>
          <w:p>
            <w:pPr>
              <w:pStyle w:val="621"/>
              <w:spacing w:line="360" w:lineRule="auto"/>
              <w:ind w:firstLine="200"/>
              <w:jc w:val="center"/>
              <w:rPr>
                <w:rFonts w:hAnsi="宋体"/>
                <w:sz w:val="24"/>
                <w:szCs w:val="24"/>
              </w:rPr>
            </w:pPr>
          </w:p>
        </w:tc>
        <w:tc>
          <w:tcPr>
            <w:tcW w:w="2552" w:type="dxa"/>
            <w:vAlign w:val="center"/>
          </w:tcPr>
          <w:p>
            <w:pPr>
              <w:pStyle w:val="621"/>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pPr>
              <w:pStyle w:val="621"/>
              <w:spacing w:line="360" w:lineRule="auto"/>
              <w:ind w:firstLine="200"/>
              <w:jc w:val="center"/>
              <w:rPr>
                <w:rFonts w:hAnsi="宋体"/>
                <w:sz w:val="24"/>
                <w:szCs w:val="24"/>
              </w:rPr>
            </w:pPr>
          </w:p>
        </w:tc>
      </w:tr>
    </w:tbl>
    <w:p>
      <w:pPr>
        <w:spacing w:line="360" w:lineRule="auto"/>
        <w:ind w:firstLine="480" w:firstLineChars="200"/>
        <w:rPr>
          <w:rFonts w:ascii="宋体" w:hAnsi="宋体"/>
          <w:sz w:val="24"/>
        </w:rPr>
      </w:pPr>
      <w:bookmarkStart w:id="112" w:name="_Toc3654"/>
      <w:bookmarkStart w:id="113" w:name="_Toc30158"/>
      <w:bookmarkStart w:id="114" w:name="_Toc14993"/>
      <w:bookmarkStart w:id="115" w:name="_Toc30506"/>
      <w:bookmarkStart w:id="116"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631"/>
      </w:pPr>
      <w:r>
        <w:rPr>
          <w:rFonts w:hint="eastAsia"/>
        </w:rPr>
        <w:t>1.3.3其他计价方式：                   。</w:t>
      </w:r>
    </w:p>
    <w:bookmarkEnd w:id="112"/>
    <w:bookmarkEnd w:id="113"/>
    <w:bookmarkEnd w:id="114"/>
    <w:bookmarkEnd w:id="115"/>
    <w:bookmarkEnd w:id="116"/>
    <w:p>
      <w:pPr>
        <w:pStyle w:val="629"/>
        <w:spacing w:before="0" w:beforeAutospacing="0" w:after="0" w:afterAutospacing="0" w:line="360" w:lineRule="auto"/>
        <w:ind w:firstLine="480"/>
        <w:rPr>
          <w:b/>
        </w:rPr>
      </w:pPr>
      <w:bookmarkStart w:id="117" w:name="_Toc10340"/>
      <w:bookmarkStart w:id="118" w:name="_Toc1814"/>
      <w:bookmarkStart w:id="119" w:name="_Toc22618"/>
      <w:bookmarkStart w:id="120" w:name="_Toc3625"/>
      <w:bookmarkStart w:id="121" w:name="_Toc4760"/>
      <w:bookmarkStart w:id="122" w:name="_Toc8772"/>
      <w:bookmarkStart w:id="123" w:name="_Toc11108"/>
      <w:bookmarkStart w:id="124" w:name="_Toc31421"/>
      <w:r>
        <w:rPr>
          <w:rFonts w:hint="eastAsia"/>
          <w:b/>
        </w:rPr>
        <w:t>1.4履约保证金</w:t>
      </w:r>
    </w:p>
    <w:p>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31"/>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1.5</w:t>
      </w:r>
      <w:bookmarkEnd w:id="117"/>
      <w:bookmarkEnd w:id="118"/>
      <w:bookmarkEnd w:id="119"/>
      <w:r>
        <w:rPr>
          <w:rFonts w:hint="eastAsia" w:ascii="宋体" w:hAnsi="宋体" w:cs="宋体"/>
          <w:b/>
          <w:sz w:val="24"/>
        </w:rPr>
        <w:t>预付款</w:t>
      </w:r>
    </w:p>
    <w:p>
      <w:pPr>
        <w:pStyle w:val="62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20"/>
      <w:bookmarkEnd w:id="121"/>
      <w:bookmarkEnd w:id="122"/>
      <w:bookmarkEnd w:id="123"/>
      <w:bookmarkEnd w:id="124"/>
    </w:p>
    <w:p>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sz w:val="24"/>
          <w:u w:val="single"/>
        </w:rPr>
        <w:t>合同专用条款</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sz w:val="24"/>
          <w:u w:val="single"/>
        </w:rPr>
        <w:t>合同专用条款</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sz w:val="24"/>
          <w:u w:val="single"/>
        </w:rPr>
        <w:t>合同专用条款</w:t>
      </w:r>
      <w:r>
        <w:rPr>
          <w:rFonts w:hint="eastAsia" w:ascii="宋体" w:hAnsi="宋体"/>
          <w:sz w:val="24"/>
        </w:rPr>
        <w:t>。</w:t>
      </w:r>
    </w:p>
    <w:p>
      <w:pPr>
        <w:spacing w:line="360" w:lineRule="auto"/>
        <w:ind w:firstLine="480" w:firstLineChars="200"/>
        <w:rPr>
          <w:rFonts w:ascii="宋体" w:hAnsi="宋体"/>
          <w:bCs/>
          <w:sz w:val="24"/>
        </w:rPr>
      </w:pPr>
      <w:bookmarkStart w:id="125" w:name="_Toc3079"/>
      <w:bookmarkStart w:id="126" w:name="_Toc2375"/>
      <w:bookmarkStart w:id="127" w:name="_Toc24662"/>
      <w:bookmarkStart w:id="128" w:name="_Toc5698"/>
      <w:bookmarkStart w:id="129" w:name="_Toc8586"/>
      <w:r>
        <w:rPr>
          <w:rFonts w:hint="eastAsia" w:ascii="宋体" w:hAnsi="宋体"/>
          <w:bCs/>
          <w:sz w:val="24"/>
        </w:rPr>
        <w:t>1.7.4若服务</w:t>
      </w:r>
      <w:r>
        <w:rPr>
          <w:rFonts w:hint="eastAsia"/>
          <w:bCs/>
          <w:sz w:val="24"/>
        </w:rPr>
        <w:t>涉及货物的，则货物的：</w:t>
      </w:r>
    </w:p>
    <w:p>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sz w:val="24"/>
          <w:u w:val="single"/>
        </w:rPr>
        <w:t>合同专用条款</w:t>
      </w:r>
      <w:r>
        <w:rPr>
          <w:rFonts w:hint="eastAsia" w:ascii="宋体" w:hAnsi="宋体" w:cs="宋体"/>
          <w:sz w:val="24"/>
        </w:rPr>
        <w:t>。</w:t>
      </w:r>
    </w:p>
    <w:p>
      <w:pPr>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125"/>
      <w:bookmarkEnd w:id="126"/>
      <w:bookmarkEnd w:id="127"/>
      <w:bookmarkEnd w:id="128"/>
      <w:bookmarkEnd w:id="129"/>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631"/>
        <w:rPr>
          <w:b/>
          <w:bCs/>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w:t>
      </w:r>
      <w:r>
        <w:rPr>
          <w:rFonts w:hint="eastAsia"/>
        </w:rPr>
        <w:t xml:space="preserve">5（可根据情况修改） </w:t>
      </w:r>
      <w:r>
        <w:rPr>
          <w:rFonts w:hint="eastAsia"/>
          <w:u w:val="single"/>
        </w:rPr>
        <w:t xml:space="preserve">  </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360" w:lineRule="auto"/>
        <w:ind w:firstLine="480" w:firstLineChars="200"/>
        <w:rPr>
          <w:rFonts w:ascii="宋体" w:hAnsi="宋体" w:cs="宋体"/>
          <w:sz w:val="24"/>
        </w:rPr>
      </w:pPr>
      <w:bookmarkStart w:id="130" w:name="_Toc30329"/>
      <w:bookmarkStart w:id="131" w:name="_Toc26807"/>
      <w:bookmarkStart w:id="132" w:name="_Toc18683"/>
      <w:bookmarkStart w:id="133" w:name="_Toc9497"/>
      <w:bookmarkStart w:id="134"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sz w:val="24"/>
          <w:u w:val="single"/>
        </w:rPr>
        <w:t>合同专用条款</w:t>
      </w:r>
      <w:r>
        <w:rPr>
          <w:rFonts w:hint="eastAsia" w:ascii="宋体" w:hAnsi="宋体" w:cs="宋体"/>
          <w:sz w:val="24"/>
        </w:rPr>
        <w:t>另有约定的，从其约定。</w:t>
      </w:r>
    </w:p>
    <w:bookmarkEnd w:id="130"/>
    <w:bookmarkEnd w:id="131"/>
    <w:bookmarkEnd w:id="132"/>
    <w:bookmarkEnd w:id="133"/>
    <w:bookmarkEnd w:id="134"/>
    <w:p>
      <w:pPr>
        <w:spacing w:line="360" w:lineRule="auto"/>
        <w:ind w:firstLine="482" w:firstLineChars="200"/>
        <w:rPr>
          <w:rFonts w:ascii="宋体" w:hAnsi="宋体" w:cs="宋体"/>
          <w:b/>
          <w:sz w:val="24"/>
        </w:rPr>
      </w:pPr>
      <w:r>
        <w:rPr>
          <w:rFonts w:hint="eastAsia" w:ascii="宋体" w:hAnsi="宋体" w:cs="宋体"/>
          <w:b/>
          <w:sz w:val="24"/>
        </w:rPr>
        <w:t>1.9合同争议的解决</w:t>
      </w:r>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pPr>
        <w:spacing w:line="360" w:lineRule="auto"/>
        <w:ind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pPr>
        <w:spacing w:line="360" w:lineRule="auto"/>
        <w:ind w:firstLine="600" w:firstLineChars="250"/>
        <w:rPr>
          <w:rFonts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pPr>
        <w:spacing w:line="360" w:lineRule="auto"/>
        <w:ind w:firstLine="482" w:firstLineChars="200"/>
        <w:rPr>
          <w:rFonts w:ascii="宋体" w:hAnsi="宋体" w:cs="宋体"/>
          <w:b/>
          <w:sz w:val="24"/>
        </w:rPr>
      </w:pPr>
      <w:r>
        <w:rPr>
          <w:rFonts w:hint="eastAsia" w:ascii="宋体" w:hAnsi="宋体" w:cs="宋体"/>
          <w:b/>
          <w:sz w:val="24"/>
        </w:rPr>
        <w:t>2.0 合同生效</w:t>
      </w:r>
    </w:p>
    <w:p>
      <w:pPr>
        <w:spacing w:line="360" w:lineRule="auto"/>
        <w:ind w:firstLine="480" w:firstLineChars="200"/>
        <w:rPr>
          <w:rFonts w:ascii="宋体" w:hAnsi="宋体"/>
          <w:sz w:val="24"/>
          <w:lang w:val="zh-CN"/>
        </w:rPr>
      </w:pPr>
      <w:r>
        <w:rPr>
          <w:rFonts w:hint="eastAsia" w:ascii="宋体" w:hAnsi="宋体" w:cs="宋体"/>
          <w:sz w:val="24"/>
        </w:rPr>
        <w:t>本合同自双方当事人盖章签字时生效。</w:t>
      </w:r>
    </w:p>
    <w:tbl>
      <w:tblPr>
        <w:tblStyle w:val="60"/>
        <w:tblW w:w="4926"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6"/>
        <w:gridCol w:w="2628"/>
        <w:gridCol w:w="2156"/>
        <w:gridCol w:w="230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0" w:type="pct"/>
            <w:gridSpan w:val="2"/>
            <w:tcBorders>
              <w:top w:val="single" w:color="auto" w:sz="4"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9" w:type="pct"/>
            <w:gridSpan w:val="2"/>
            <w:tcBorders>
              <w:top w:val="single" w:color="auto" w:sz="4"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z w:val="24"/>
              </w:rPr>
            </w:pPr>
            <w:r>
              <w:rPr>
                <w:rFonts w:hint="eastAsia" w:ascii="Calibri" w:hAnsi="Calibri"/>
                <w:sz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单位名称（公章或合同章）</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644"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法定代表人</w:t>
            </w:r>
          </w:p>
          <w:p>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法定代表人</w:t>
            </w:r>
          </w:p>
          <w:p>
            <w:pPr>
              <w:snapToGrid w:val="0"/>
              <w:spacing w:line="360" w:lineRule="auto"/>
              <w:jc w:val="center"/>
              <w:rPr>
                <w:rFonts w:ascii="Calibri" w:hAnsi="Calibri"/>
                <w:sz w:val="24"/>
              </w:rPr>
            </w:pPr>
            <w:r>
              <w:rPr>
                <w:rFonts w:hint="eastAsia" w:ascii="Calibri" w:hAnsi="Calibri"/>
                <w:sz w:val="24"/>
              </w:rPr>
              <w:t>或其委托代理人（签章）</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联系电话</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通信地址</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邮政编码</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电子邮箱</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统一社会信用代码</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开户名称</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开户银行</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left w:val="single" w:color="auto" w:sz="4"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ascii="Calibri" w:hAnsi="Calibri"/>
                <w:sz w:val="24"/>
              </w:rPr>
            </w:pPr>
            <w:r>
              <w:rPr>
                <w:rFonts w:hint="eastAsia" w:ascii="Calibri" w:hAnsi="Calibri"/>
                <w:sz w:val="24"/>
              </w:rPr>
              <w:t>银行账号</w:t>
            </w:r>
          </w:p>
        </w:tc>
        <w:tc>
          <w:tcPr>
            <w:tcW w:w="1260" w:type="pct"/>
            <w:tcBorders>
              <w:top w:val="single" w:color="auto" w:sz="2" w:space="0"/>
              <w:left w:val="single" w:color="auto" w:sz="2" w:space="0"/>
              <w:bottom w:val="single" w:color="auto" w:sz="2" w:space="0"/>
              <w:right w:val="single" w:color="auto" w:sz="4" w:space="0"/>
            </w:tcBorders>
            <w:vAlign w:val="center"/>
          </w:tcPr>
          <w:p>
            <w:pPr>
              <w:snapToGrid w:val="0"/>
              <w:spacing w:line="360" w:lineRule="auto"/>
              <w:jc w:val="center"/>
              <w:rPr>
                <w:rFonts w:ascii="Calibri" w:hAnsi="Calibri"/>
                <w:spacing w:val="20"/>
                <w:sz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pPr>
        <w:widowControl/>
        <w:spacing w:line="360" w:lineRule="auto"/>
        <w:jc w:val="left"/>
        <w:rPr>
          <w:rFonts w:ascii="宋体" w:hAnsi="宋体"/>
          <w:b/>
          <w:sz w:val="24"/>
        </w:rPr>
      </w:pPr>
    </w:p>
    <w:p>
      <w:pPr>
        <w:pStyle w:val="281"/>
        <w:spacing w:after="0"/>
        <w:ind w:firstLine="482"/>
        <w:jc w:val="center"/>
        <w:outlineLvl w:val="1"/>
        <w:rPr>
          <w:rFonts w:ascii="宋体" w:hAnsi="宋体"/>
          <w:b/>
          <w:szCs w:val="24"/>
        </w:rPr>
      </w:pPr>
      <w:r>
        <w:rPr>
          <w:rFonts w:hint="eastAsia" w:ascii="宋体" w:hAnsi="宋体"/>
          <w:b/>
          <w:szCs w:val="24"/>
        </w:rPr>
        <w:t>第二节</w:t>
      </w:r>
      <w:r>
        <w:rPr>
          <w:rFonts w:ascii="宋体" w:hAnsi="宋体"/>
          <w:b/>
          <w:szCs w:val="24"/>
        </w:rPr>
        <w:t xml:space="preserve"> </w:t>
      </w:r>
      <w:r>
        <w:rPr>
          <w:rFonts w:hint="eastAsia" w:ascii="宋体" w:hAnsi="宋体"/>
          <w:b/>
          <w:szCs w:val="24"/>
        </w:rPr>
        <w:t>合同一般条款</w:t>
      </w:r>
    </w:p>
    <w:p>
      <w:pPr>
        <w:spacing w:line="360" w:lineRule="auto"/>
        <w:ind w:firstLine="482" w:firstLineChars="200"/>
        <w:rPr>
          <w:rFonts w:ascii="宋体" w:hAnsi="宋体"/>
          <w:b/>
          <w:sz w:val="24"/>
        </w:rPr>
      </w:pPr>
      <w:bookmarkStart w:id="135" w:name="_Toc25079"/>
      <w:bookmarkStart w:id="136" w:name="_Toc19680"/>
      <w:bookmarkStart w:id="137" w:name="_Toc31297"/>
      <w:bookmarkStart w:id="138" w:name="_Toc14021"/>
      <w:bookmarkStart w:id="139" w:name="_Toc5228"/>
      <w:r>
        <w:rPr>
          <w:rFonts w:ascii="宋体" w:hAnsi="宋体"/>
          <w:b/>
          <w:sz w:val="24"/>
        </w:rPr>
        <w:t>2.1 定义</w:t>
      </w:r>
      <w:bookmarkEnd w:id="135"/>
      <w:bookmarkEnd w:id="136"/>
      <w:bookmarkEnd w:id="137"/>
      <w:bookmarkEnd w:id="138"/>
      <w:bookmarkEnd w:id="139"/>
    </w:p>
    <w:p>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成交</w:t>
      </w:r>
      <w:r>
        <w:rPr>
          <w:rFonts w:ascii="宋体" w:hAnsi="宋体"/>
          <w:sz w:val="24"/>
        </w:rPr>
        <w:t>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ascii="宋体" w:hAnsi="宋体"/>
          <w:sz w:val="24"/>
        </w:rPr>
        <w:t>2.1.6 “现场”系指合同约定提供服务的地点。</w:t>
      </w:r>
    </w:p>
    <w:p>
      <w:pPr>
        <w:spacing w:line="360" w:lineRule="auto"/>
        <w:ind w:firstLine="482" w:firstLineChars="200"/>
        <w:rPr>
          <w:rFonts w:ascii="宋体" w:hAnsi="宋体"/>
          <w:b/>
          <w:sz w:val="24"/>
        </w:rPr>
      </w:pPr>
      <w:bookmarkStart w:id="140" w:name="_Toc23289"/>
      <w:bookmarkStart w:id="141" w:name="_Toc16752"/>
      <w:bookmarkStart w:id="142" w:name="_Toc31402"/>
      <w:bookmarkStart w:id="143" w:name="_Toc19539"/>
      <w:bookmarkStart w:id="144" w:name="_Toc3769"/>
      <w:r>
        <w:rPr>
          <w:rFonts w:ascii="宋体" w:hAnsi="宋体"/>
          <w:b/>
          <w:sz w:val="24"/>
        </w:rPr>
        <w:t>2.2 技术规范</w:t>
      </w:r>
      <w:bookmarkEnd w:id="140"/>
      <w:bookmarkEnd w:id="141"/>
      <w:bookmarkEnd w:id="142"/>
      <w:bookmarkEnd w:id="143"/>
      <w:bookmarkEnd w:id="144"/>
    </w:p>
    <w:p>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360" w:lineRule="auto"/>
        <w:ind w:firstLine="482" w:firstLineChars="200"/>
        <w:rPr>
          <w:rFonts w:ascii="宋体" w:hAnsi="宋体"/>
          <w:b/>
          <w:sz w:val="24"/>
        </w:rPr>
      </w:pPr>
      <w:bookmarkStart w:id="145" w:name="_Toc12412"/>
      <w:bookmarkStart w:id="146" w:name="_Toc4133"/>
      <w:bookmarkStart w:id="147" w:name="_Toc9161"/>
      <w:bookmarkStart w:id="148" w:name="_Toc27945"/>
      <w:bookmarkStart w:id="149" w:name="_Toc13673"/>
      <w:r>
        <w:rPr>
          <w:rFonts w:ascii="宋体" w:hAnsi="宋体"/>
          <w:b/>
          <w:sz w:val="24"/>
        </w:rPr>
        <w:t>2.3 知识产权</w:t>
      </w:r>
      <w:bookmarkEnd w:id="145"/>
      <w:bookmarkEnd w:id="146"/>
      <w:bookmarkEnd w:id="147"/>
      <w:bookmarkEnd w:id="148"/>
      <w:bookmarkEnd w:id="149"/>
    </w:p>
    <w:p>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sz w:val="24"/>
          <w:u w:val="single"/>
        </w:rPr>
        <w:t>合同专用条款</w:t>
      </w:r>
      <w:r>
        <w:rPr>
          <w:rFonts w:ascii="宋体" w:hAnsi="宋体"/>
          <w:sz w:val="24"/>
        </w:rPr>
        <w:t>。</w:t>
      </w:r>
    </w:p>
    <w:p>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360" w:lineRule="auto"/>
        <w:ind w:firstLine="482" w:firstLineChars="200"/>
        <w:rPr>
          <w:rFonts w:ascii="宋体" w:hAnsi="宋体"/>
          <w:b/>
          <w:sz w:val="24"/>
        </w:rPr>
      </w:pPr>
      <w:bookmarkStart w:id="150" w:name="_Toc22011"/>
      <w:bookmarkStart w:id="151" w:name="_Toc31233"/>
      <w:bookmarkStart w:id="152" w:name="_Toc32670"/>
      <w:bookmarkStart w:id="153" w:name="_Toc26555"/>
      <w:bookmarkStart w:id="154" w:name="_Toc15447"/>
      <w:r>
        <w:rPr>
          <w:rFonts w:ascii="宋体" w:hAnsi="宋体"/>
          <w:b/>
          <w:sz w:val="24"/>
        </w:rPr>
        <w:t>2.5 结算方式和付款条件</w:t>
      </w:r>
      <w:bookmarkEnd w:id="150"/>
      <w:bookmarkEnd w:id="151"/>
      <w:bookmarkEnd w:id="152"/>
      <w:bookmarkEnd w:id="153"/>
      <w:bookmarkEnd w:id="154"/>
    </w:p>
    <w:p>
      <w:pPr>
        <w:spacing w:line="360" w:lineRule="auto"/>
        <w:ind w:firstLine="480" w:firstLineChars="200"/>
        <w:rPr>
          <w:rFonts w:ascii="宋体" w:hAnsi="宋体"/>
          <w:sz w:val="24"/>
        </w:rPr>
      </w:pPr>
      <w:r>
        <w:rPr>
          <w:rFonts w:ascii="宋体" w:hAnsi="宋体"/>
          <w:sz w:val="24"/>
        </w:rPr>
        <w:t>详见</w:t>
      </w:r>
      <w:r>
        <w:rPr>
          <w:rFonts w:ascii="宋体" w:hAnsi="宋体"/>
          <w:b/>
          <w:sz w:val="24"/>
          <w:u w:val="single"/>
        </w:rPr>
        <w:t>合同专用条款</w:t>
      </w:r>
      <w:r>
        <w:rPr>
          <w:rFonts w:ascii="宋体" w:hAnsi="宋体"/>
          <w:sz w:val="24"/>
        </w:rPr>
        <w:t>。</w:t>
      </w:r>
    </w:p>
    <w:p>
      <w:pPr>
        <w:spacing w:line="360" w:lineRule="auto"/>
        <w:ind w:firstLine="482" w:firstLineChars="200"/>
        <w:rPr>
          <w:rFonts w:ascii="宋体" w:hAnsi="宋体"/>
          <w:b/>
          <w:sz w:val="24"/>
        </w:rPr>
      </w:pPr>
      <w:bookmarkStart w:id="155" w:name="_Toc30507"/>
      <w:bookmarkStart w:id="156" w:name="_Toc16163"/>
      <w:bookmarkStart w:id="157" w:name="_Toc13154"/>
      <w:bookmarkStart w:id="158" w:name="_Toc18990"/>
      <w:bookmarkStart w:id="159" w:name="_Toc13467"/>
      <w:r>
        <w:rPr>
          <w:rFonts w:ascii="宋体" w:hAnsi="宋体"/>
          <w:b/>
          <w:sz w:val="24"/>
        </w:rPr>
        <w:t>2.6 技术资料和保密义务</w:t>
      </w:r>
      <w:bookmarkEnd w:id="155"/>
      <w:bookmarkEnd w:id="156"/>
      <w:bookmarkEnd w:id="157"/>
      <w:bookmarkEnd w:id="158"/>
      <w:bookmarkEnd w:id="159"/>
    </w:p>
    <w:p>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360" w:lineRule="auto"/>
        <w:ind w:firstLine="482" w:firstLineChars="200"/>
        <w:rPr>
          <w:rFonts w:ascii="宋体" w:hAnsi="宋体"/>
          <w:b/>
          <w:sz w:val="24"/>
        </w:rPr>
      </w:pPr>
      <w:bookmarkStart w:id="160" w:name="_Toc19069"/>
      <w:r>
        <w:rPr>
          <w:rFonts w:ascii="宋体" w:hAnsi="宋体"/>
          <w:b/>
          <w:sz w:val="24"/>
        </w:rPr>
        <w:t xml:space="preserve">2.7 </w:t>
      </w:r>
      <w:r>
        <w:rPr>
          <w:rFonts w:hint="eastAsia" w:ascii="宋体" w:hAnsi="宋体"/>
          <w:b/>
          <w:sz w:val="24"/>
        </w:rPr>
        <w:t>质量保证</w:t>
      </w:r>
      <w:bookmarkEnd w:id="160"/>
    </w:p>
    <w:p>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360" w:lineRule="auto"/>
        <w:ind w:firstLine="482" w:firstLineChars="200"/>
        <w:rPr>
          <w:rFonts w:ascii="宋体" w:hAnsi="宋体"/>
          <w:b/>
          <w:sz w:val="24"/>
        </w:rPr>
      </w:pPr>
      <w:bookmarkStart w:id="161" w:name="_Toc22267"/>
      <w:r>
        <w:rPr>
          <w:rFonts w:ascii="宋体" w:hAnsi="宋体"/>
          <w:b/>
          <w:sz w:val="24"/>
        </w:rPr>
        <w:t xml:space="preserve">2.8 </w:t>
      </w:r>
      <w:r>
        <w:rPr>
          <w:rFonts w:hint="eastAsia" w:ascii="宋体" w:hAnsi="宋体"/>
          <w:b/>
          <w:sz w:val="24"/>
        </w:rPr>
        <w:t>延迟履行</w:t>
      </w:r>
      <w:bookmarkEnd w:id="161"/>
    </w:p>
    <w:p>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rPr>
          <w:rFonts w:ascii="宋体" w:hAnsi="宋体"/>
          <w:b/>
          <w:sz w:val="24"/>
        </w:rPr>
      </w:pPr>
      <w:bookmarkStart w:id="162" w:name="_Toc10611"/>
      <w:r>
        <w:rPr>
          <w:rFonts w:ascii="宋体" w:hAnsi="宋体"/>
          <w:b/>
          <w:sz w:val="24"/>
        </w:rPr>
        <w:t xml:space="preserve">2.9 </w:t>
      </w:r>
      <w:r>
        <w:rPr>
          <w:rFonts w:hint="eastAsia" w:ascii="宋体" w:hAnsi="宋体"/>
          <w:b/>
          <w:sz w:val="24"/>
        </w:rPr>
        <w:t>合同变更</w:t>
      </w:r>
      <w:bookmarkEnd w:id="162"/>
    </w:p>
    <w:p>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宋体" w:hAnsi="宋体"/>
          <w:b/>
          <w:sz w:val="24"/>
        </w:rPr>
      </w:pPr>
      <w:bookmarkStart w:id="163" w:name="_Toc10663"/>
      <w:bookmarkStart w:id="164" w:name="_Toc26689"/>
      <w:bookmarkStart w:id="165" w:name="_Toc23368"/>
      <w:bookmarkStart w:id="166" w:name="_Toc21830"/>
      <w:bookmarkStart w:id="167" w:name="_Toc42"/>
      <w:r>
        <w:rPr>
          <w:rFonts w:ascii="宋体" w:hAnsi="宋体"/>
          <w:b/>
          <w:sz w:val="24"/>
        </w:rPr>
        <w:t>2.10 合同转让和分包</w:t>
      </w:r>
      <w:bookmarkEnd w:id="163"/>
      <w:bookmarkEnd w:id="164"/>
      <w:bookmarkEnd w:id="165"/>
      <w:bookmarkEnd w:id="166"/>
      <w:bookmarkEnd w:id="167"/>
    </w:p>
    <w:p>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360" w:lineRule="auto"/>
        <w:ind w:firstLine="482" w:firstLineChars="200"/>
        <w:rPr>
          <w:rFonts w:ascii="宋体" w:hAnsi="宋体"/>
          <w:b/>
          <w:sz w:val="24"/>
        </w:rPr>
      </w:pPr>
      <w:bookmarkStart w:id="168" w:name="_Toc14371"/>
      <w:bookmarkStart w:id="169" w:name="_Toc32494"/>
      <w:bookmarkStart w:id="170" w:name="_Toc4720"/>
      <w:bookmarkStart w:id="171" w:name="_Toc25571"/>
      <w:bookmarkStart w:id="172" w:name="_Toc26633"/>
      <w:r>
        <w:rPr>
          <w:rFonts w:ascii="宋体" w:hAnsi="宋体"/>
          <w:b/>
          <w:sz w:val="24"/>
        </w:rPr>
        <w:t>2.11 不可抗力</w:t>
      </w:r>
      <w:bookmarkEnd w:id="168"/>
      <w:bookmarkEnd w:id="169"/>
      <w:bookmarkEnd w:id="170"/>
      <w:bookmarkEnd w:id="171"/>
      <w:bookmarkEnd w:id="172"/>
    </w:p>
    <w:p>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sz w:val="24"/>
          <w:u w:val="single"/>
        </w:rPr>
        <w:t>合同专用条款</w:t>
      </w:r>
      <w:r>
        <w:rPr>
          <w:rFonts w:ascii="宋体" w:hAnsi="宋体"/>
          <w:sz w:val="24"/>
        </w:rPr>
        <w:t>约定时间内以书面形式变更合同</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rPr>
          <w:rFonts w:ascii="宋体" w:hAnsi="宋体"/>
          <w:b/>
          <w:sz w:val="24"/>
        </w:rPr>
      </w:pPr>
      <w:bookmarkStart w:id="173" w:name="_Toc3638"/>
      <w:bookmarkStart w:id="174" w:name="_Toc23854"/>
      <w:bookmarkStart w:id="175" w:name="_Toc24465"/>
      <w:bookmarkStart w:id="176" w:name="_Toc14115"/>
      <w:bookmarkStart w:id="177" w:name="_Toc25783"/>
      <w:r>
        <w:rPr>
          <w:rFonts w:ascii="宋体" w:hAnsi="宋体"/>
          <w:b/>
          <w:sz w:val="24"/>
        </w:rPr>
        <w:t>2.12 税费</w:t>
      </w:r>
      <w:bookmarkEnd w:id="173"/>
      <w:bookmarkEnd w:id="174"/>
      <w:bookmarkEnd w:id="175"/>
      <w:bookmarkEnd w:id="176"/>
      <w:bookmarkEnd w:id="177"/>
    </w:p>
    <w:p>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rPr>
          <w:rFonts w:ascii="宋体" w:hAnsi="宋体"/>
          <w:b/>
          <w:sz w:val="24"/>
        </w:rPr>
      </w:pPr>
      <w:bookmarkStart w:id="178" w:name="_Toc7315"/>
      <w:bookmarkStart w:id="179" w:name="_Toc25525"/>
      <w:bookmarkStart w:id="180" w:name="_Toc26883"/>
      <w:bookmarkStart w:id="181" w:name="_Toc30105"/>
      <w:bookmarkStart w:id="182" w:name="_Toc14814"/>
      <w:r>
        <w:rPr>
          <w:rFonts w:ascii="宋体" w:hAnsi="宋体"/>
          <w:b/>
          <w:sz w:val="24"/>
        </w:rPr>
        <w:t>2.13 乙方破产</w:t>
      </w:r>
      <w:bookmarkEnd w:id="178"/>
      <w:bookmarkEnd w:id="179"/>
      <w:bookmarkEnd w:id="180"/>
      <w:bookmarkEnd w:id="181"/>
      <w:bookmarkEnd w:id="182"/>
    </w:p>
    <w:p>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rPr>
          <w:rFonts w:ascii="宋体" w:hAnsi="宋体"/>
          <w:b/>
          <w:sz w:val="24"/>
        </w:rPr>
      </w:pPr>
      <w:bookmarkStart w:id="183" w:name="_Toc1123"/>
      <w:bookmarkStart w:id="184" w:name="_Toc23323"/>
      <w:bookmarkStart w:id="185" w:name="_Toc2016"/>
      <w:r>
        <w:rPr>
          <w:rFonts w:ascii="宋体" w:hAnsi="宋体"/>
          <w:b/>
          <w:sz w:val="24"/>
        </w:rPr>
        <w:t>2.14 合同中止、终止</w:t>
      </w:r>
      <w:bookmarkEnd w:id="183"/>
      <w:bookmarkEnd w:id="184"/>
      <w:bookmarkEnd w:id="185"/>
    </w:p>
    <w:p>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b/>
          <w:sz w:val="24"/>
        </w:rPr>
      </w:pPr>
      <w:bookmarkStart w:id="186" w:name="_Toc1969"/>
      <w:bookmarkStart w:id="187" w:name="_Toc17363"/>
      <w:bookmarkStart w:id="188" w:name="_Toc14525"/>
      <w:r>
        <w:rPr>
          <w:rFonts w:ascii="宋体" w:hAnsi="宋体"/>
          <w:b/>
          <w:sz w:val="24"/>
        </w:rPr>
        <w:t>2.15 检验和验收</w:t>
      </w:r>
      <w:bookmarkEnd w:id="186"/>
      <w:bookmarkEnd w:id="187"/>
      <w:bookmarkEnd w:id="188"/>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sz w:val="24"/>
          <w:u w:val="single"/>
        </w:rPr>
        <w:t>合同专用条款</w:t>
      </w:r>
      <w:r>
        <w:rPr>
          <w:rFonts w:hint="eastAsia" w:ascii="宋体" w:hAnsi="宋体"/>
          <w:sz w:val="24"/>
        </w:rPr>
        <w:t>。</w:t>
      </w:r>
    </w:p>
    <w:p>
      <w:pPr>
        <w:spacing w:line="360" w:lineRule="auto"/>
        <w:ind w:firstLine="482" w:firstLineChars="200"/>
        <w:rPr>
          <w:rFonts w:ascii="宋体" w:hAnsi="宋体"/>
          <w:b/>
          <w:sz w:val="24"/>
        </w:rPr>
      </w:pPr>
      <w:bookmarkStart w:id="189" w:name="_Toc12666"/>
      <w:bookmarkStart w:id="190" w:name="_Toc9808"/>
      <w:bookmarkStart w:id="191" w:name="_Toc31892"/>
      <w:bookmarkStart w:id="192" w:name="_Toc2308"/>
      <w:bookmarkStart w:id="193" w:name="_Toc25198"/>
      <w:r>
        <w:rPr>
          <w:rFonts w:ascii="宋体" w:hAnsi="宋体"/>
          <w:b/>
          <w:sz w:val="24"/>
        </w:rPr>
        <w:t>2.16 通知和送达</w:t>
      </w:r>
      <w:bookmarkEnd w:id="189"/>
      <w:bookmarkEnd w:id="190"/>
      <w:bookmarkEnd w:id="191"/>
      <w:bookmarkEnd w:id="192"/>
      <w:bookmarkEnd w:id="193"/>
    </w:p>
    <w:p>
      <w:pPr>
        <w:spacing w:line="360" w:lineRule="auto"/>
        <w:ind w:firstLine="480" w:firstLineChars="200"/>
        <w:rPr>
          <w:rFonts w:ascii="宋体" w:hAnsi="宋体"/>
          <w:sz w:val="24"/>
        </w:rPr>
      </w:pPr>
      <w:bookmarkStart w:id="194" w:name="_Toc18401"/>
      <w:bookmarkStart w:id="195"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94"/>
      <w:bookmarkEnd w:id="195"/>
    </w:p>
    <w:p>
      <w:pPr>
        <w:spacing w:line="360" w:lineRule="auto"/>
        <w:ind w:firstLine="482" w:firstLineChars="200"/>
        <w:rPr>
          <w:rFonts w:ascii="宋体" w:hAnsi="宋体"/>
          <w:b/>
          <w:sz w:val="24"/>
        </w:rPr>
      </w:pPr>
      <w:bookmarkStart w:id="196" w:name="_Toc12254"/>
      <w:bookmarkStart w:id="197" w:name="_Toc27644"/>
      <w:bookmarkStart w:id="198" w:name="_Toc5063"/>
      <w:bookmarkStart w:id="199" w:name="_Toc28906"/>
      <w:bookmarkStart w:id="200"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96"/>
      <w:bookmarkEnd w:id="197"/>
      <w:bookmarkEnd w:id="198"/>
      <w:bookmarkEnd w:id="199"/>
      <w:bookmarkEnd w:id="200"/>
    </w:p>
    <w:p>
      <w:pPr>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360" w:lineRule="auto"/>
        <w:ind w:firstLine="482" w:firstLineChars="200"/>
        <w:rPr>
          <w:rFonts w:ascii="宋体" w:hAnsi="宋体" w:cs="宋体"/>
          <w:b/>
          <w:sz w:val="24"/>
        </w:rPr>
      </w:pPr>
      <w:r>
        <w:rPr>
          <w:rFonts w:hint="eastAsia" w:ascii="宋体" w:hAnsi="宋体" w:cs="宋体"/>
          <w:b/>
          <w:sz w:val="24"/>
        </w:rPr>
        <w:t>2.18 计量单位</w:t>
      </w:r>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360" w:lineRule="auto"/>
        <w:ind w:firstLine="480" w:firstLineChars="200"/>
        <w:rPr>
          <w:rFonts w:ascii="宋体" w:hAnsi="宋体"/>
          <w:sz w:val="24"/>
        </w:rPr>
      </w:pPr>
      <w:r>
        <w:rPr>
          <w:rFonts w:ascii="宋体" w:hAnsi="宋体"/>
          <w:sz w:val="24"/>
        </w:rPr>
        <w:t>合同份数按</w:t>
      </w:r>
      <w:r>
        <w:rPr>
          <w:rFonts w:ascii="宋体" w:hAnsi="宋体"/>
          <w:b/>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第三节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仿宋_GB2312" w:asciiTheme="minorEastAsia" w:hAnsiTheme="minorEastAsia" w:eastAsiaTheme="minorEastAsia"/>
          <w:b/>
          <w:sz w:val="36"/>
          <w:szCs w:val="20"/>
        </w:rPr>
      </w:pPr>
      <w:bookmarkStart w:id="201" w:name="_Toc181203100"/>
      <w:r>
        <w:rPr>
          <w:rFonts w:hint="eastAsia" w:cs="仿宋_GB2312" w:asciiTheme="minorEastAsia" w:hAnsiTheme="minorEastAsia" w:eastAsiaTheme="minorEastAsia"/>
          <w:b/>
          <w:sz w:val="36"/>
          <w:szCs w:val="20"/>
        </w:rPr>
        <w:t>第七部分</w:t>
      </w:r>
      <w:bookmarkEnd w:id="94"/>
      <w:r>
        <w:rPr>
          <w:rFonts w:hint="eastAsia" w:cs="仿宋_GB2312" w:asciiTheme="minorEastAsia" w:hAnsiTheme="minorEastAsia" w:eastAsiaTheme="minorEastAsia"/>
          <w:b/>
          <w:sz w:val="36"/>
          <w:szCs w:val="20"/>
        </w:rPr>
        <w:t xml:space="preserve">  </w:t>
      </w:r>
      <w:bookmarkEnd w:id="95"/>
      <w:r>
        <w:rPr>
          <w:rFonts w:hint="eastAsia" w:cs="仿宋_GB2312" w:asciiTheme="minorEastAsia" w:hAnsiTheme="minorEastAsia" w:eastAsiaTheme="minorEastAsia"/>
          <w:b/>
          <w:sz w:val="36"/>
          <w:szCs w:val="20"/>
        </w:rPr>
        <w:t>应提交的有关格式范例</w:t>
      </w:r>
      <w:bookmarkEnd w:id="201"/>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snapToGrid w:val="0"/>
        <w:spacing w:line="360" w:lineRule="auto"/>
        <w:ind w:left="479" w:leftChars="228"/>
        <w:rPr>
          <w:rFonts w:cs="宋体" w:asciiTheme="minorEastAsia" w:hAnsiTheme="minorEastAsia" w:eastAsiaTheme="minorEastAsia"/>
        </w:rPr>
      </w:pPr>
      <w:r>
        <w:rPr>
          <w:rFonts w:hint="eastAsia" w:cs="仿宋_GB2312" w:asciiTheme="minorEastAsia" w:hAnsiTheme="minorEastAsia" w:eastAsiaTheme="minorEastAsia"/>
          <w:color w:val="FF0000"/>
          <w:sz w:val="24"/>
        </w:rPr>
        <w:t>（3）授权委托书或法定代表人（单位负责人、自然人本人）身份证明……（页码）</w:t>
      </w: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pStyle w:val="631"/>
        <w:rPr>
          <w:rFonts w:cs="宋体"/>
        </w:rPr>
      </w:pPr>
      <w:r>
        <w:rPr>
          <w:rFonts w:hint="eastAsia" w:cs="宋体"/>
          <w:lang w:val="zh-CN"/>
        </w:rPr>
        <w:t>（</w:t>
      </w:r>
      <w:r>
        <w:rPr>
          <w:rFonts w:hint="eastAsia" w:cs="宋体"/>
        </w:rPr>
        <w:t>18</w:t>
      </w:r>
      <w:r>
        <w:rPr>
          <w:rFonts w:hint="eastAsia" w:cs="宋体"/>
          <w:lang w:val="zh-CN"/>
        </w:rPr>
        <w:t>）承诺函</w:t>
      </w:r>
      <w:r>
        <w:rPr>
          <w:rFonts w:hint="eastAsia" w:cs="宋体"/>
        </w:rPr>
        <w:t>………………………………………………………………………（页码）</w:t>
      </w:r>
    </w:p>
    <w:p>
      <w:pPr>
        <w:pStyle w:val="631"/>
        <w:rPr>
          <w:color w:val="FF0000"/>
        </w:rPr>
      </w:pPr>
      <w:r>
        <w:rPr>
          <w:rFonts w:hint="eastAsia"/>
          <w:color w:val="FF0000"/>
        </w:rPr>
        <w:t>（19）商务、服务（技术）响应、偏离情况说明表…………………………（页码）</w:t>
      </w:r>
    </w:p>
    <w:p>
      <w:pPr>
        <w:pStyle w:val="631"/>
        <w:rPr>
          <w:color w:val="FF0000"/>
        </w:rPr>
      </w:pPr>
      <w:r>
        <w:rPr>
          <w:rFonts w:hint="eastAsia"/>
          <w:color w:val="FF0000"/>
        </w:rPr>
        <w:t>（20）初始报价表…………………………………………………………………（页码）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4"/>
        <w:numPr>
          <w:ilvl w:val="0"/>
          <w:numId w:val="7"/>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pPr>
        <w:numPr>
          <w:ilvl w:val="0"/>
          <w:numId w:val="7"/>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7"/>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7"/>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7"/>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7"/>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7"/>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pPr>
        <w:numPr>
          <w:ilvl w:val="0"/>
          <w:numId w:val="7"/>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ascii="宋体" w:hAnsi="宋体" w:cs="宋体"/>
          <w:sz w:val="24"/>
        </w:rPr>
      </w:pPr>
      <w:r>
        <w:rPr>
          <w:rFonts w:hint="eastAsia" w:ascii="宋体" w:hAnsi="宋体" w:cs="宋体"/>
          <w:sz w:val="24"/>
        </w:rPr>
        <w:t>磋商供应商名称（公章）：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rPr>
        <w:br w:type="page"/>
      </w: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ind w:right="480"/>
        <w:jc w:val="center"/>
        <w:rPr>
          <w:rFonts w:ascii="宋体" w:hAnsi="宋体" w:cs="宋体"/>
          <w:sz w:val="24"/>
        </w:rPr>
      </w:pPr>
    </w:p>
    <w:p>
      <w:pPr>
        <w:snapToGrid w:val="0"/>
        <w:spacing w:line="360" w:lineRule="auto"/>
        <w:ind w:right="480"/>
        <w:jc w:val="center"/>
        <w:rPr>
          <w:rFonts w:ascii="宋体" w:hAnsi="宋体" w:cs="宋体"/>
          <w:sz w:val="24"/>
        </w:rPr>
      </w:pPr>
      <w:r>
        <w:rPr>
          <w:rFonts w:hint="eastAsia" w:ascii="宋体" w:hAnsi="宋体" w:cs="宋体"/>
          <w:sz w:val="24"/>
        </w:rPr>
        <w:t>北海市政府采购供应商信用承诺函（格式）</w:t>
      </w:r>
    </w:p>
    <w:p>
      <w:pPr>
        <w:snapToGrid w:val="0"/>
        <w:spacing w:line="360" w:lineRule="auto"/>
        <w:rPr>
          <w:rFonts w:ascii="宋体" w:hAnsi="宋体" w:cs="宋体"/>
          <w:color w:val="0000FF"/>
          <w:sz w:val="24"/>
        </w:rPr>
      </w:pPr>
    </w:p>
    <w:p>
      <w:pPr>
        <w:snapToGrid w:val="0"/>
        <w:spacing w:line="360" w:lineRule="auto"/>
        <w:ind w:right="480"/>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 ：</w:t>
      </w:r>
    </w:p>
    <w:p>
      <w:pPr>
        <w:snapToGrid w:val="0"/>
        <w:spacing w:line="360" w:lineRule="auto"/>
        <w:ind w:right="480"/>
        <w:rPr>
          <w:rFonts w:ascii="宋体" w:hAnsi="宋体" w:cs="宋体"/>
          <w:sz w:val="24"/>
        </w:rPr>
      </w:pPr>
      <w:r>
        <w:rPr>
          <w:rFonts w:hint="eastAsia" w:ascii="宋体" w:hAnsi="宋体" w:cs="宋体"/>
          <w:sz w:val="24"/>
        </w:rPr>
        <w:t>供应商名称：</w:t>
      </w:r>
    </w:p>
    <w:p>
      <w:pPr>
        <w:snapToGrid w:val="0"/>
        <w:spacing w:line="360" w:lineRule="auto"/>
        <w:ind w:right="480"/>
        <w:rPr>
          <w:rFonts w:ascii="宋体" w:hAnsi="宋体" w:cs="宋体"/>
          <w:sz w:val="24"/>
        </w:rPr>
      </w:pPr>
      <w:r>
        <w:rPr>
          <w:rFonts w:hint="eastAsia" w:ascii="宋体" w:hAnsi="宋体" w:cs="宋体"/>
          <w:sz w:val="24"/>
        </w:rPr>
        <w:t>统一社会信用代码：</w:t>
      </w:r>
    </w:p>
    <w:p>
      <w:pPr>
        <w:snapToGrid w:val="0"/>
        <w:spacing w:line="360" w:lineRule="auto"/>
        <w:ind w:right="480"/>
        <w:rPr>
          <w:rFonts w:ascii="宋体" w:hAnsi="宋体" w:cs="宋体"/>
          <w:sz w:val="24"/>
        </w:rPr>
      </w:pPr>
      <w:r>
        <w:rPr>
          <w:rFonts w:hint="eastAsia" w:ascii="宋体" w:hAnsi="宋体" w:cs="宋体"/>
          <w:sz w:val="24"/>
        </w:rPr>
        <w:t>供应商地址：</w:t>
      </w:r>
    </w:p>
    <w:p>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pPr>
        <w:snapToGrid w:val="0"/>
        <w:spacing w:line="360" w:lineRule="auto"/>
        <w:ind w:right="480"/>
        <w:rPr>
          <w:rFonts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磋商供应商名称（公章）：</w:t>
      </w:r>
    </w:p>
    <w:p>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right="480"/>
        <w:rPr>
          <w:rFonts w:ascii="宋体" w:hAnsi="宋体" w:cs="宋体"/>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20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20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20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203"/>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20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204"/>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pPr>
        <w:snapToGrid w:val="0"/>
        <w:spacing w:line="360" w:lineRule="auto"/>
        <w:ind w:firstLine="5040" w:firstLineChars="2100"/>
        <w:rPr>
          <w:rStyle w:val="630"/>
        </w:rPr>
      </w:pPr>
      <w:r>
        <w:rPr>
          <w:rStyle w:val="630"/>
          <w:rFonts w:hint="eastAsia"/>
        </w:rPr>
        <w:t>法定代表人（负责人） (签名)：</w:t>
      </w:r>
    </w:p>
    <w:p>
      <w:pPr>
        <w:snapToGrid w:val="0"/>
        <w:spacing w:line="360" w:lineRule="auto"/>
        <w:ind w:firstLine="5040" w:firstLineChars="2100"/>
        <w:rPr>
          <w:rFonts w:ascii="宋体" w:hAnsi="宋体" w:cs="宋体"/>
          <w:kern w:val="0"/>
          <w:sz w:val="24"/>
          <w:lang w:val="zh-CN"/>
        </w:rPr>
      </w:pPr>
      <w:r>
        <w:rPr>
          <w:rStyle w:val="630"/>
          <w:rFonts w:hint="eastAsia"/>
        </w:rPr>
        <w:t>联合体成</w:t>
      </w:r>
      <w:r>
        <w:rPr>
          <w:rFonts w:hint="eastAsia" w:ascii="宋体" w:hAnsi="宋体" w:cs="宋体"/>
          <w:kern w:val="0"/>
          <w:sz w:val="24"/>
          <w:lang w:val="zh-CN"/>
        </w:rPr>
        <w:t>员名称(公章)：</w:t>
      </w:r>
    </w:p>
    <w:p>
      <w:pPr>
        <w:snapToGrid w:val="0"/>
        <w:spacing w:line="360" w:lineRule="auto"/>
        <w:ind w:firstLine="5040" w:firstLineChars="2100"/>
        <w:rPr>
          <w:rFonts w:cs="宋体" w:asciiTheme="minorEastAsia" w:hAnsiTheme="minorEastAsia" w:eastAsiaTheme="minorEastAsia"/>
          <w:kern w:val="0"/>
          <w:sz w:val="24"/>
          <w:lang w:val="zh-CN"/>
        </w:rPr>
      </w:pPr>
      <w:r>
        <w:rPr>
          <w:rStyle w:val="630"/>
          <w:rFonts w:hint="eastAsia"/>
        </w:rPr>
        <w:t>法定代表人（负责人） (签名)：</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widowControl/>
        <w:adjustRightInd/>
        <w:spacing w:line="360" w:lineRule="auto"/>
        <w:ind w:right="420"/>
        <w:jc w:val="left"/>
        <w:rPr>
          <w:rFonts w:cs="仿宋_GB2312" w:asciiTheme="minorEastAsia" w:hAnsiTheme="minorEastAsia" w:eastAsiaTheme="minorEastAsia"/>
          <w:b/>
          <w:sz w:val="32"/>
          <w:szCs w:val="32"/>
        </w:rPr>
      </w:pPr>
      <w:r>
        <w:rPr>
          <w:rFonts w:hint="eastAsia" w:cs="宋体" w:asciiTheme="minorEastAsia" w:hAnsiTheme="minorEastAsia" w:eastAsiaTheme="minorEastAsia"/>
          <w:sz w:val="24"/>
        </w:rPr>
        <w:t>注：按本格式和要求提供。</w:t>
      </w:r>
    </w:p>
    <w:p>
      <w:pPr>
        <w:widowControl/>
        <w:adjustRightInd/>
        <w:spacing w:line="360" w:lineRule="auto"/>
        <w:ind w:right="420"/>
        <w:jc w:val="left"/>
        <w:rPr>
          <w:rFonts w:cs="仿宋_GB2312" w:asciiTheme="minorEastAsia" w:hAnsiTheme="minorEastAsia" w:eastAsiaTheme="minorEastAsia"/>
          <w:b/>
          <w:sz w:val="32"/>
          <w:szCs w:val="32"/>
        </w:rPr>
      </w:pPr>
    </w:p>
    <w:p>
      <w:pPr>
        <w:widowControl/>
        <w:adjustRightInd/>
        <w:spacing w:line="360" w:lineRule="auto"/>
        <w:ind w:right="42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jc w:val="center"/>
        <w:rPr>
          <w:rFonts w:ascii="宋体" w:hAnsi="宋体" w:cs="宋体"/>
          <w:b/>
          <w:color w:val="FF0000"/>
          <w:kern w:val="0"/>
          <w:sz w:val="32"/>
          <w:szCs w:val="32"/>
          <w:lang w:val="zh-CN"/>
        </w:rPr>
      </w:pPr>
      <w:r>
        <w:rPr>
          <w:rFonts w:hint="eastAsia" w:cs="仿宋_GB2312" w:asciiTheme="minorEastAsia" w:hAnsiTheme="minorEastAsia" w:eastAsiaTheme="minorEastAsia"/>
          <w:b/>
          <w:color w:val="FF0000"/>
          <w:kern w:val="0"/>
          <w:sz w:val="32"/>
          <w:szCs w:val="32"/>
          <w:lang w:val="zh-CN"/>
        </w:rPr>
        <w:t>三、</w:t>
      </w:r>
      <w:r>
        <w:rPr>
          <w:rFonts w:hint="eastAsia" w:ascii="宋体" w:hAnsi="宋体" w:cs="宋体"/>
          <w:b/>
          <w:color w:val="FF0000"/>
          <w:kern w:val="0"/>
          <w:sz w:val="32"/>
          <w:szCs w:val="32"/>
          <w:lang w:val="zh-CN"/>
        </w:rPr>
        <w:t>授权委托书或法定代表人（单位负责人、自然人本人）身份证明</w:t>
      </w:r>
    </w:p>
    <w:p>
      <w:pPr>
        <w:snapToGrid w:val="0"/>
        <w:spacing w:line="360" w:lineRule="auto"/>
        <w:rPr>
          <w:rFonts w:ascii="宋体" w:hAnsi="宋体" w:cs="宋体"/>
          <w:color w:val="FF0000"/>
          <w:sz w:val="24"/>
        </w:rPr>
      </w:pPr>
      <w:r>
        <w:rPr>
          <w:rFonts w:hint="eastAsia" w:ascii="宋体" w:hAnsi="宋体" w:cs="宋体"/>
          <w:color w:val="FF0000"/>
          <w:sz w:val="24"/>
        </w:rPr>
        <w:t xml:space="preserve">                                </w:t>
      </w:r>
    </w:p>
    <w:p>
      <w:pPr>
        <w:snapToGrid w:val="0"/>
        <w:spacing w:line="360" w:lineRule="auto"/>
        <w:ind w:firstLine="2872" w:firstLineChars="894"/>
        <w:rPr>
          <w:rFonts w:ascii="宋体" w:hAnsi="宋体" w:cs="宋体"/>
          <w:color w:val="FF0000"/>
        </w:rPr>
      </w:pPr>
      <w:r>
        <w:rPr>
          <w:rFonts w:hint="eastAsia" w:ascii="宋体" w:hAnsi="宋体" w:cs="宋体"/>
          <w:b/>
          <w:color w:val="FF0000"/>
          <w:kern w:val="0"/>
          <w:sz w:val="32"/>
          <w:szCs w:val="32"/>
          <w:lang w:val="zh-CN"/>
        </w:rPr>
        <w:t>授权委托书（适用于非联合体磋商）</w:t>
      </w:r>
      <w:r>
        <w:rPr>
          <w:rFonts w:hint="eastAsia" w:ascii="宋体" w:hAnsi="宋体" w:cs="宋体"/>
          <w:color w:val="FF0000"/>
        </w:rPr>
        <w:t xml:space="preserve">                               </w:t>
      </w:r>
    </w:p>
    <w:p>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政府采购磋商的一切事项，其法律后果由我方承担。</w:t>
      </w:r>
    </w:p>
    <w:p>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pPr>
        <w:spacing w:line="360" w:lineRule="auto"/>
        <w:ind w:left="4649" w:leftChars="2214" w:firstLine="3600" w:firstLineChars="1500"/>
        <w:rPr>
          <w:rFonts w:ascii="宋体" w:hAnsi="宋体" w:cs="宋体"/>
          <w:color w:val="FF0000"/>
          <w:sz w:val="24"/>
        </w:rPr>
      </w:pPr>
      <w:r>
        <w:rPr>
          <w:rFonts w:hint="eastAsia" w:ascii="宋体" w:hAnsi="宋体" w:cs="宋体"/>
          <w:color w:val="FF0000"/>
          <w:kern w:val="0"/>
          <w:sz w:val="24"/>
          <w:lang w:val="zh-CN"/>
        </w:rPr>
        <w:t xml:space="preserve">                                                 </w:t>
      </w:r>
      <w:r>
        <w:rPr>
          <w:rFonts w:hint="eastAsia" w:ascii="宋体" w:hAnsi="宋体" w:cs="宋体"/>
          <w:color w:val="FF0000"/>
          <w:sz w:val="24"/>
        </w:rPr>
        <w:t>磋商供应商名称（公章）：</w:t>
      </w:r>
    </w:p>
    <w:p>
      <w:pPr>
        <w:snapToGrid w:val="0"/>
        <w:spacing w:line="360" w:lineRule="auto"/>
        <w:ind w:left="4649" w:leftChars="2214"/>
        <w:rPr>
          <w:rFonts w:ascii="宋体" w:hAnsi="宋体" w:cs="宋体"/>
          <w:color w:val="FF0000"/>
          <w:kern w:val="0"/>
          <w:sz w:val="24"/>
        </w:rPr>
      </w:pPr>
      <w:r>
        <w:rPr>
          <w:rFonts w:hint="eastAsia" w:ascii="宋体" w:hAnsi="宋体" w:cs="宋体"/>
          <w:color w:val="FF0000"/>
          <w:sz w:val="24"/>
        </w:rPr>
        <w:t>法定代表人（负责人） (签名)：</w:t>
      </w:r>
    </w:p>
    <w:p>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签发日期：  年  月   日</w:t>
      </w:r>
    </w:p>
    <w:p>
      <w:pPr>
        <w:adjustRightInd/>
        <w:spacing w:line="360" w:lineRule="auto"/>
        <w:rPr>
          <w:rFonts w:ascii="宋体" w:hAnsi="宋体"/>
          <w:color w:val="FF0000"/>
          <w:sz w:val="24"/>
          <w:szCs w:val="21"/>
        </w:rPr>
      </w:pPr>
    </w:p>
    <w:p>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pPr>
              <w:spacing w:line="360" w:lineRule="auto"/>
              <w:rPr>
                <w:rFonts w:ascii="宋体" w:hAnsi="宋体" w:cs="宋体"/>
                <w:bCs/>
                <w:color w:val="FF0000"/>
                <w:sz w:val="24"/>
                <w:szCs w:val="21"/>
              </w:rPr>
            </w:pPr>
          </w:p>
          <w:p>
            <w:pPr>
              <w:spacing w:line="360" w:lineRule="auto"/>
              <w:rPr>
                <w:rFonts w:ascii="宋体" w:hAnsi="宋体" w:cs="宋体"/>
                <w:bCs/>
                <w:color w:val="FF0000"/>
                <w:sz w:val="24"/>
                <w:szCs w:val="21"/>
              </w:rPr>
            </w:pPr>
          </w:p>
          <w:p>
            <w:pPr>
              <w:spacing w:line="360" w:lineRule="auto"/>
              <w:rPr>
                <w:rFonts w:ascii="宋体" w:hAnsi="宋体" w:cs="宋体"/>
                <w:bCs/>
                <w:color w:val="FF0000"/>
                <w:sz w:val="24"/>
                <w:szCs w:val="21"/>
              </w:rPr>
            </w:pPr>
          </w:p>
          <w:p>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pPr>
              <w:spacing w:line="360" w:lineRule="auto"/>
              <w:rPr>
                <w:rFonts w:ascii="宋体" w:hAnsi="宋体" w:cs="宋体"/>
                <w:bCs/>
                <w:color w:val="FF0000"/>
                <w:sz w:val="24"/>
                <w:szCs w:val="21"/>
              </w:rPr>
            </w:pPr>
          </w:p>
        </w:tc>
      </w:tr>
    </w:tbl>
    <w:p>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pPr>
        <w:snapToGrid w:val="0"/>
        <w:spacing w:line="360" w:lineRule="auto"/>
        <w:ind w:right="480"/>
        <w:rPr>
          <w:rFonts w:ascii="宋体" w:hAnsi="宋体" w:cs="宋体"/>
          <w:b/>
          <w:color w:val="FF0000"/>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color w:val="FF0000"/>
          <w:sz w:val="24"/>
        </w:rPr>
      </w:pPr>
    </w:p>
    <w:p>
      <w:pPr>
        <w:jc w:val="center"/>
        <w:rPr>
          <w:rFonts w:ascii="宋体" w:hAnsi="宋体" w:cs="宋体"/>
          <w:b/>
          <w:color w:val="FF0000"/>
          <w:kern w:val="0"/>
          <w:sz w:val="32"/>
          <w:szCs w:val="32"/>
          <w:lang w:val="zh-CN"/>
        </w:rPr>
      </w:pPr>
      <w:r>
        <w:rPr>
          <w:rFonts w:hint="eastAsia" w:ascii="宋体" w:hAnsi="宋体" w:cs="宋体"/>
          <w:b/>
          <w:color w:val="FF0000"/>
          <w:kern w:val="0"/>
          <w:sz w:val="32"/>
          <w:szCs w:val="32"/>
        </w:rPr>
        <w:t xml:space="preserve">       </w:t>
      </w:r>
      <w:r>
        <w:rPr>
          <w:rFonts w:hint="eastAsia" w:ascii="宋体" w:hAnsi="宋体" w:cs="宋体"/>
          <w:b/>
          <w:color w:val="FF0000"/>
          <w:kern w:val="0"/>
          <w:sz w:val="32"/>
          <w:szCs w:val="32"/>
          <w:lang w:val="zh-CN"/>
        </w:rPr>
        <w:t>授权委托书（适用于联合体磋商）</w:t>
      </w:r>
    </w:p>
    <w:p>
      <w:pPr>
        <w:pStyle w:val="631"/>
      </w:pPr>
    </w:p>
    <w:p>
      <w:pPr>
        <w:snapToGrid w:val="0"/>
        <w:spacing w:line="360" w:lineRule="auto"/>
        <w:rPr>
          <w:rFonts w:ascii="宋体" w:hAnsi="宋体" w:cs="宋体"/>
          <w:color w:val="FF0000"/>
          <w:kern w:val="0"/>
          <w:sz w:val="24"/>
        </w:rPr>
      </w:pPr>
      <w:r>
        <w:rPr>
          <w:rFonts w:hint="eastAsia" w:ascii="宋体" w:hAnsi="宋体" w:cs="宋体"/>
          <w:color w:val="FF0000"/>
          <w:sz w:val="24"/>
        </w:rPr>
        <w:t>（采购人）、（采购代理机构）</w:t>
      </w:r>
      <w:r>
        <w:rPr>
          <w:rFonts w:hint="eastAsia" w:ascii="宋体" w:hAnsi="宋体" w:cs="宋体"/>
          <w:color w:val="FF0000"/>
          <w:kern w:val="0"/>
          <w:sz w:val="24"/>
          <w:lang w:val="zh-CN"/>
        </w:rPr>
        <w:t>：</w:t>
      </w:r>
    </w:p>
    <w:p>
      <w:pPr>
        <w:snapToGrid w:val="0"/>
        <w:spacing w:line="360" w:lineRule="auto"/>
        <w:ind w:firstLine="576"/>
        <w:rPr>
          <w:rFonts w:ascii="宋体" w:hAnsi="宋体" w:cs="宋体"/>
          <w:color w:val="FF0000"/>
          <w:kern w:val="0"/>
          <w:sz w:val="24"/>
        </w:rPr>
      </w:pPr>
      <w:r>
        <w:rPr>
          <w:rFonts w:hint="eastAsia" w:ascii="宋体" w:hAnsi="宋体" w:cs="宋体"/>
          <w:color w:val="FF0000"/>
          <w:kern w:val="0"/>
          <w:sz w:val="24"/>
        </w:rPr>
        <w:t>现</w:t>
      </w:r>
      <w:r>
        <w:rPr>
          <w:rFonts w:hint="eastAsia" w:ascii="宋体" w:hAnsi="宋体" w:cs="宋体"/>
          <w:color w:val="FF0000"/>
          <w:kern w:val="0"/>
          <w:sz w:val="24"/>
          <w:lang w:val="zh-CN"/>
        </w:rPr>
        <w:t>委托</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（姓名）为我方代理人（身份证号码：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），以我方名义处理</w:t>
      </w:r>
      <w:r>
        <w:rPr>
          <w:rFonts w:hint="eastAsia" w:ascii="宋体" w:hAnsi="宋体" w:cs="宋体"/>
          <w:color w:val="FF0000"/>
          <w:sz w:val="24"/>
        </w:rPr>
        <w:t>（项目名称）【项目编号：（采购编号）】</w:t>
      </w:r>
      <w:r>
        <w:rPr>
          <w:rFonts w:hint="eastAsia" w:ascii="宋体" w:hAnsi="宋体" w:cs="宋体"/>
          <w:color w:val="FF0000"/>
          <w:kern w:val="0"/>
          <w:sz w:val="24"/>
          <w:lang w:val="zh-CN"/>
        </w:rPr>
        <w:t>政府采购磋商的一切事项，其法律后果由我方承担。</w:t>
      </w:r>
    </w:p>
    <w:p>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委托期限</w:t>
      </w:r>
      <w:r>
        <w:rPr>
          <w:rFonts w:hint="eastAsia" w:ascii="宋体" w:hAnsi="宋体" w:cs="宋体"/>
          <w:color w:val="FF0000"/>
          <w:kern w:val="0"/>
          <w:sz w:val="24"/>
        </w:rPr>
        <w:t>：</w:t>
      </w:r>
      <w:r>
        <w:rPr>
          <w:rFonts w:hint="eastAsia" w:ascii="宋体" w:hAnsi="宋体" w:cs="宋体"/>
          <w:color w:val="FF0000"/>
          <w:kern w:val="0"/>
          <w:sz w:val="24"/>
          <w:lang w:val="zh-CN"/>
        </w:rPr>
        <w:t>自</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日起至</w:t>
      </w:r>
      <w:r>
        <w:rPr>
          <w:rFonts w:hint="eastAsia" w:ascii="宋体" w:hAnsi="宋体" w:cs="宋体"/>
          <w:color w:val="FF0000"/>
          <w:kern w:val="0"/>
          <w:sz w:val="24"/>
        </w:rPr>
        <w:t xml:space="preserve">  </w:t>
      </w:r>
      <w:r>
        <w:rPr>
          <w:rFonts w:hint="eastAsia" w:ascii="宋体" w:hAnsi="宋体" w:cs="宋体"/>
          <w:color w:val="FF0000"/>
          <w:kern w:val="0"/>
          <w:sz w:val="24"/>
          <w:lang w:val="zh-CN"/>
        </w:rPr>
        <w:t>年</w:t>
      </w:r>
      <w:r>
        <w:rPr>
          <w:rFonts w:hint="eastAsia" w:ascii="宋体" w:hAnsi="宋体" w:cs="宋体"/>
          <w:color w:val="FF0000"/>
          <w:kern w:val="0"/>
          <w:sz w:val="24"/>
        </w:rPr>
        <w:t xml:space="preserve">  </w:t>
      </w:r>
      <w:r>
        <w:rPr>
          <w:rFonts w:hint="eastAsia" w:ascii="宋体" w:hAnsi="宋体" w:cs="宋体"/>
          <w:color w:val="FF0000"/>
          <w:kern w:val="0"/>
          <w:sz w:val="24"/>
          <w:lang w:val="zh-CN"/>
        </w:rPr>
        <w:t>月</w:t>
      </w:r>
      <w:r>
        <w:rPr>
          <w:rFonts w:hint="eastAsia" w:ascii="宋体" w:hAnsi="宋体" w:cs="宋体"/>
          <w:color w:val="FF0000"/>
          <w:kern w:val="0"/>
          <w:sz w:val="24"/>
        </w:rPr>
        <w:t xml:space="preserve">  </w:t>
      </w:r>
      <w:r>
        <w:rPr>
          <w:rFonts w:hint="eastAsia" w:ascii="宋体" w:hAnsi="宋体" w:cs="宋体"/>
          <w:color w:val="FF0000"/>
          <w:kern w:val="0"/>
          <w:sz w:val="24"/>
          <w:lang w:val="zh-CN"/>
        </w:rPr>
        <w:t>日止。</w:t>
      </w:r>
    </w:p>
    <w:p>
      <w:pPr>
        <w:snapToGrid w:val="0"/>
        <w:spacing w:line="360" w:lineRule="auto"/>
        <w:rPr>
          <w:rFonts w:ascii="宋体" w:hAnsi="宋体" w:cs="宋体"/>
          <w:color w:val="FF0000"/>
          <w:kern w:val="0"/>
          <w:sz w:val="24"/>
        </w:rPr>
      </w:pPr>
      <w:r>
        <w:rPr>
          <w:rFonts w:hint="eastAsia" w:ascii="宋体" w:hAnsi="宋体" w:cs="宋体"/>
          <w:color w:val="FF0000"/>
          <w:kern w:val="0"/>
          <w:sz w:val="24"/>
        </w:rPr>
        <w:t xml:space="preserve">    </w:t>
      </w:r>
      <w:r>
        <w:rPr>
          <w:rFonts w:hint="eastAsia" w:ascii="宋体" w:hAnsi="宋体" w:cs="宋体"/>
          <w:color w:val="FF0000"/>
          <w:kern w:val="0"/>
          <w:sz w:val="24"/>
          <w:lang w:val="zh-CN"/>
        </w:rPr>
        <w:t>特此告知。</w:t>
      </w:r>
    </w:p>
    <w:p>
      <w:pPr>
        <w:jc w:val="center"/>
        <w:rPr>
          <w:rFonts w:ascii="宋体" w:hAnsi="宋体" w:cs="宋体"/>
          <w:b/>
          <w:color w:val="FF0000"/>
          <w:kern w:val="0"/>
          <w:sz w:val="32"/>
          <w:szCs w:val="32"/>
        </w:rPr>
      </w:pPr>
    </w:p>
    <w:p>
      <w:pPr>
        <w:jc w:val="center"/>
        <w:rPr>
          <w:rFonts w:ascii="宋体" w:hAnsi="宋体" w:cs="宋体"/>
          <w:b/>
          <w:color w:val="FF0000"/>
          <w:kern w:val="0"/>
          <w:sz w:val="32"/>
          <w:szCs w:val="32"/>
        </w:rPr>
      </w:pPr>
    </w:p>
    <w:p>
      <w:pPr>
        <w:jc w:val="center"/>
        <w:rPr>
          <w:rFonts w:ascii="宋体" w:hAnsi="宋体" w:cs="宋体"/>
          <w:b/>
          <w:color w:val="FF0000"/>
          <w:kern w:val="0"/>
          <w:sz w:val="32"/>
          <w:szCs w:val="32"/>
        </w:rPr>
      </w:pPr>
    </w:p>
    <w:p>
      <w:pPr>
        <w:rPr>
          <w:rFonts w:ascii="宋体" w:hAnsi="宋体" w:cs="宋体"/>
          <w:color w:val="FF0000"/>
        </w:rPr>
      </w:pPr>
    </w:p>
    <w:p>
      <w:pPr>
        <w:snapToGrid w:val="0"/>
        <w:spacing w:line="360" w:lineRule="auto"/>
        <w:ind w:firstLine="5040" w:firstLineChars="2100"/>
        <w:rPr>
          <w:rFonts w:ascii="宋体" w:hAnsi="宋体" w:cs="宋体"/>
          <w:color w:val="FF0000"/>
          <w:kern w:val="0"/>
          <w:sz w:val="24"/>
          <w:lang w:val="zh-CN"/>
        </w:rPr>
      </w:pPr>
      <w:r>
        <w:rPr>
          <w:rFonts w:hint="eastAsia" w:ascii="宋体" w:hAnsi="宋体" w:cs="宋体"/>
          <w:color w:val="FF0000"/>
          <w:kern w:val="0"/>
          <w:sz w:val="24"/>
          <w:lang w:val="zh-CN"/>
        </w:rPr>
        <w:t>联合体成员名称(公章)：</w:t>
      </w:r>
    </w:p>
    <w:p>
      <w:pPr>
        <w:snapToGrid w:val="0"/>
        <w:spacing w:line="360" w:lineRule="auto"/>
        <w:ind w:firstLine="5040" w:firstLineChars="2100"/>
        <w:rPr>
          <w:rFonts w:ascii="宋体" w:hAnsi="宋体"/>
          <w:color w:val="FF0000"/>
          <w:sz w:val="24"/>
        </w:rPr>
      </w:pPr>
      <w:r>
        <w:rPr>
          <w:rFonts w:hint="eastAsia" w:ascii="宋体" w:hAnsi="宋体"/>
          <w:color w:val="FF0000"/>
          <w:sz w:val="24"/>
        </w:rPr>
        <w:t>法定代表人（负责人） (签名)：</w:t>
      </w:r>
    </w:p>
    <w:p>
      <w:pPr>
        <w:snapToGrid w:val="0"/>
        <w:spacing w:line="360" w:lineRule="auto"/>
        <w:ind w:firstLine="5040" w:firstLineChars="2100"/>
        <w:rPr>
          <w:rFonts w:ascii="宋体" w:hAnsi="宋体" w:cs="宋体"/>
          <w:color w:val="FF0000"/>
          <w:kern w:val="0"/>
          <w:sz w:val="24"/>
          <w:lang w:val="zh-CN"/>
        </w:rPr>
      </w:pPr>
      <w:r>
        <w:rPr>
          <w:rFonts w:hint="eastAsia" w:ascii="宋体" w:hAnsi="宋体"/>
          <w:color w:val="FF0000"/>
          <w:sz w:val="24"/>
        </w:rPr>
        <w:t>联合体成</w:t>
      </w:r>
      <w:r>
        <w:rPr>
          <w:rFonts w:hint="eastAsia" w:ascii="宋体" w:hAnsi="宋体" w:cs="宋体"/>
          <w:color w:val="FF0000"/>
          <w:kern w:val="0"/>
          <w:sz w:val="24"/>
          <w:lang w:val="zh-CN"/>
        </w:rPr>
        <w:t>员名称(公章)：</w:t>
      </w:r>
    </w:p>
    <w:p>
      <w:pPr>
        <w:snapToGrid w:val="0"/>
        <w:spacing w:line="360" w:lineRule="auto"/>
        <w:ind w:firstLine="5040" w:firstLineChars="2100"/>
        <w:jc w:val="left"/>
        <w:rPr>
          <w:rFonts w:ascii="宋体" w:hAnsi="宋体"/>
          <w:color w:val="FF0000"/>
          <w:kern w:val="0"/>
          <w:sz w:val="24"/>
          <w:szCs w:val="20"/>
        </w:rPr>
      </w:pPr>
      <w:r>
        <w:rPr>
          <w:rFonts w:hint="eastAsia" w:ascii="宋体" w:hAnsi="宋体"/>
          <w:color w:val="FF0000"/>
          <w:kern w:val="0"/>
          <w:sz w:val="24"/>
          <w:szCs w:val="20"/>
        </w:rPr>
        <w:t>法定代表人（负责人） (签名)：</w:t>
      </w:r>
    </w:p>
    <w:p>
      <w:pPr>
        <w:snapToGrid w:val="0"/>
        <w:spacing w:line="360" w:lineRule="auto"/>
        <w:ind w:firstLine="5040" w:firstLineChars="2100"/>
        <w:rPr>
          <w:rFonts w:ascii="宋体" w:hAnsi="宋体" w:cs="宋体"/>
          <w:color w:val="FF0000"/>
          <w:kern w:val="0"/>
          <w:sz w:val="24"/>
          <w:lang w:val="zh-CN"/>
        </w:rPr>
      </w:pPr>
    </w:p>
    <w:p>
      <w:pPr>
        <w:snapToGrid w:val="0"/>
        <w:spacing w:line="360" w:lineRule="auto"/>
        <w:ind w:firstLine="5760" w:firstLineChars="2400"/>
        <w:rPr>
          <w:rFonts w:ascii="宋体" w:hAnsi="宋体" w:cs="宋体"/>
          <w:color w:val="FF0000"/>
        </w:rPr>
      </w:pPr>
      <w:r>
        <w:rPr>
          <w:rFonts w:hint="eastAsia" w:ascii="宋体" w:hAnsi="宋体" w:cs="宋体"/>
          <w:color w:val="FF0000"/>
          <w:kern w:val="0"/>
          <w:sz w:val="24"/>
          <w:lang w:val="zh-CN"/>
        </w:rPr>
        <w:t>……</w:t>
      </w:r>
    </w:p>
    <w:p>
      <w:pPr>
        <w:snapToGrid w:val="0"/>
        <w:spacing w:line="360" w:lineRule="auto"/>
        <w:rPr>
          <w:rFonts w:ascii="宋体" w:hAnsi="宋体" w:cs="宋体"/>
          <w:color w:val="FF0000"/>
          <w:kern w:val="0"/>
          <w:sz w:val="24"/>
          <w:lang w:val="zh-CN"/>
        </w:rPr>
      </w:pPr>
      <w:r>
        <w:rPr>
          <w:rFonts w:hint="eastAsia" w:ascii="宋体" w:hAnsi="宋体" w:cs="宋体"/>
          <w:color w:val="FF0000"/>
          <w:kern w:val="0"/>
          <w:sz w:val="24"/>
          <w:lang w:val="zh-CN"/>
        </w:rPr>
        <w:t xml:space="preserve">                                               日期：  年  月   日</w:t>
      </w:r>
    </w:p>
    <w:p>
      <w:pPr>
        <w:adjustRightInd/>
        <w:spacing w:line="360" w:lineRule="auto"/>
        <w:rPr>
          <w:rFonts w:ascii="宋体" w:hAnsi="宋体"/>
          <w:color w:val="FF0000"/>
          <w:sz w:val="24"/>
          <w:szCs w:val="21"/>
        </w:rPr>
      </w:pPr>
    </w:p>
    <w:p>
      <w:pPr>
        <w:adjustRightInd/>
        <w:spacing w:line="360" w:lineRule="auto"/>
        <w:rPr>
          <w:rFonts w:ascii="宋体" w:hAnsi="宋体" w:cs="宋体"/>
          <w:bCs/>
          <w:color w:val="FF0000"/>
          <w:sz w:val="24"/>
          <w:szCs w:val="21"/>
        </w:rPr>
      </w:pPr>
      <w:r>
        <w:rPr>
          <w:rFonts w:hint="eastAsia" w:ascii="宋体" w:hAnsi="宋体"/>
          <w:color w:val="FF0000"/>
          <w:sz w:val="24"/>
          <w:szCs w:val="21"/>
        </w:rPr>
        <w:t>委托代理人和联合体牵头单位法定代表人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pPr>
              <w:spacing w:line="360" w:lineRule="auto"/>
              <w:rPr>
                <w:rFonts w:ascii="宋体" w:hAnsi="宋体" w:cs="宋体"/>
                <w:bCs/>
                <w:color w:val="FF0000"/>
                <w:sz w:val="24"/>
                <w:szCs w:val="21"/>
              </w:rPr>
            </w:pPr>
          </w:p>
          <w:p>
            <w:pPr>
              <w:spacing w:line="360" w:lineRule="auto"/>
              <w:rPr>
                <w:rFonts w:ascii="宋体" w:hAnsi="宋体" w:cs="宋体"/>
                <w:bCs/>
                <w:color w:val="FF0000"/>
                <w:sz w:val="24"/>
                <w:szCs w:val="21"/>
              </w:rPr>
            </w:pPr>
          </w:p>
          <w:p>
            <w:pPr>
              <w:spacing w:line="360" w:lineRule="auto"/>
              <w:rPr>
                <w:rFonts w:ascii="宋体" w:hAnsi="宋体" w:cs="宋体"/>
                <w:bCs/>
                <w:color w:val="FF0000"/>
                <w:sz w:val="24"/>
                <w:szCs w:val="21"/>
              </w:rPr>
            </w:pPr>
          </w:p>
          <w:p>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pPr>
              <w:spacing w:line="360" w:lineRule="auto"/>
              <w:rPr>
                <w:rFonts w:ascii="宋体" w:hAnsi="宋体" w:cs="宋体"/>
                <w:bCs/>
                <w:color w:val="FF0000"/>
                <w:sz w:val="24"/>
                <w:szCs w:val="21"/>
              </w:rPr>
            </w:pPr>
          </w:p>
        </w:tc>
      </w:tr>
    </w:tbl>
    <w:p>
      <w:pPr>
        <w:snapToGrid w:val="0"/>
        <w:spacing w:line="360" w:lineRule="auto"/>
        <w:ind w:firstLine="576"/>
        <w:jc w:val="center"/>
        <w:rPr>
          <w:rFonts w:ascii="宋体" w:hAnsi="宋体" w:cs="宋体"/>
          <w:color w:val="FF0000"/>
          <w:kern w:val="0"/>
          <w:sz w:val="24"/>
        </w:rPr>
      </w:pPr>
      <w:r>
        <w:rPr>
          <w:rFonts w:hint="eastAsia" w:ascii="宋体" w:hAnsi="宋体" w:cs="宋体"/>
          <w:color w:val="FF0000"/>
          <w:kern w:val="0"/>
          <w:sz w:val="24"/>
        </w:rPr>
        <w:t xml:space="preserve">                 </w:t>
      </w:r>
    </w:p>
    <w:p>
      <w:pPr>
        <w:snapToGrid w:val="0"/>
        <w:spacing w:line="360" w:lineRule="auto"/>
        <w:ind w:right="480"/>
        <w:rPr>
          <w:rFonts w:ascii="宋体" w:hAnsi="宋体" w:cs="宋体"/>
          <w:b/>
          <w:color w:val="FF0000"/>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autoSpaceDE w:val="0"/>
        <w:autoSpaceDN w:val="0"/>
        <w:spacing w:line="360" w:lineRule="auto"/>
        <w:jc w:val="center"/>
        <w:rPr>
          <w:rFonts w:ascii="宋体" w:hAnsi="宋体" w:cs="宋体"/>
          <w:b/>
          <w:color w:val="FF0000"/>
          <w:sz w:val="24"/>
        </w:rPr>
      </w:pPr>
      <w:r>
        <w:rPr>
          <w:rFonts w:hint="eastAsia" w:ascii="宋体" w:hAnsi="宋体" w:cs="宋体"/>
          <w:b/>
          <w:color w:val="FF0000"/>
          <w:kern w:val="0"/>
          <w:sz w:val="32"/>
          <w:szCs w:val="32"/>
          <w:lang w:val="zh-CN"/>
        </w:rPr>
        <w:t>法定代表人、单位负责人或自然人本人</w:t>
      </w:r>
      <w:r>
        <w:rPr>
          <w:rFonts w:hint="eastAsia" w:ascii="宋体" w:hAnsi="宋体" w:cs="宋体"/>
          <w:b/>
          <w:color w:val="FF0000"/>
          <w:sz w:val="30"/>
          <w:szCs w:val="30"/>
        </w:rPr>
        <w:t>的身份证明（适用于法定代表人、单位负责人或者自然人本人代表磋商供应商参加谈判）</w:t>
      </w:r>
    </w:p>
    <w:p>
      <w:pPr>
        <w:adjustRightInd/>
        <w:spacing w:line="360" w:lineRule="auto"/>
        <w:rPr>
          <w:rFonts w:ascii="宋体" w:hAnsi="宋体" w:cs="宋体"/>
          <w:bCs/>
          <w:color w:val="FF0000"/>
          <w:sz w:val="24"/>
          <w:szCs w:val="21"/>
        </w:rPr>
      </w:pPr>
    </w:p>
    <w:p>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pPr>
        <w:snapToGrid w:val="0"/>
        <w:spacing w:line="276" w:lineRule="auto"/>
        <w:ind w:firstLine="960" w:firstLineChars="400"/>
        <w:rPr>
          <w:rFonts w:ascii="宋体" w:hAnsi="宋体"/>
          <w:color w:val="FF0000"/>
          <w:sz w:val="24"/>
          <w:u w:val="single"/>
        </w:rPr>
      </w:pPr>
    </w:p>
    <w:p>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pPr>
        <w:snapToGrid w:val="0"/>
        <w:spacing w:line="276" w:lineRule="auto"/>
        <w:rPr>
          <w:rFonts w:ascii="宋体" w:hAnsi="宋体"/>
          <w:color w:val="FF0000"/>
          <w:sz w:val="24"/>
        </w:rPr>
      </w:pPr>
    </w:p>
    <w:p>
      <w:pPr>
        <w:snapToGrid w:val="0"/>
        <w:spacing w:line="276" w:lineRule="auto"/>
        <w:rPr>
          <w:rFonts w:ascii="宋体" w:hAnsi="宋体"/>
          <w:color w:val="FF0000"/>
          <w:sz w:val="24"/>
        </w:rPr>
      </w:pPr>
      <w:r>
        <w:rPr>
          <w:rFonts w:hint="eastAsia" w:ascii="宋体" w:hAnsi="宋体"/>
          <w:color w:val="FF0000"/>
          <w:sz w:val="24"/>
        </w:rPr>
        <w:t xml:space="preserve">                        </w:t>
      </w:r>
    </w:p>
    <w:p>
      <w:pPr>
        <w:snapToGrid w:val="0"/>
        <w:spacing w:line="276" w:lineRule="auto"/>
        <w:rPr>
          <w:rFonts w:ascii="宋体" w:hAnsi="宋体"/>
          <w:color w:val="FF0000"/>
          <w:sz w:val="24"/>
        </w:rPr>
      </w:pPr>
    </w:p>
    <w:p>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sz w:val="24"/>
        </w:rPr>
        <w:t>磋商供应商名称</w:t>
      </w:r>
      <w:r>
        <w:rPr>
          <w:rFonts w:hint="eastAsia" w:ascii="宋体" w:hAnsi="宋体" w:cs="宋体"/>
          <w:color w:val="FF0000"/>
          <w:kern w:val="0"/>
          <w:sz w:val="24"/>
          <w:lang w:val="zh-CN"/>
        </w:rPr>
        <w:t xml:space="preserve">(公章)：                              </w:t>
      </w:r>
    </w:p>
    <w:p>
      <w:pPr>
        <w:adjustRightInd/>
        <w:spacing w:line="360" w:lineRule="auto"/>
        <w:rPr>
          <w:rFonts w:ascii="宋体" w:hAnsi="宋体" w:cs="宋体"/>
          <w:bCs/>
          <w:color w:val="FF0000"/>
          <w:sz w:val="24"/>
          <w:szCs w:val="21"/>
        </w:rPr>
      </w:pPr>
      <w:r>
        <w:rPr>
          <w:rFonts w:hint="eastAsia" w:ascii="宋体" w:hAnsi="宋体" w:cs="宋体"/>
          <w:color w:val="FF0000"/>
          <w:kern w:val="0"/>
          <w:sz w:val="24"/>
          <w:szCs w:val="21"/>
          <w:lang w:val="zh-CN"/>
        </w:rPr>
        <w:t xml:space="preserve">                               日期：  年  月  日</w:t>
      </w:r>
    </w:p>
    <w:p>
      <w:pPr>
        <w:adjustRightInd/>
        <w:spacing w:line="360" w:lineRule="auto"/>
        <w:rPr>
          <w:rFonts w:ascii="宋体" w:hAnsi="宋体" w:cs="宋体"/>
          <w:bCs/>
          <w:color w:val="FF0000"/>
          <w:sz w:val="24"/>
          <w:szCs w:val="21"/>
        </w:rPr>
      </w:pPr>
    </w:p>
    <w:p>
      <w:pPr>
        <w:adjustRightInd/>
        <w:spacing w:line="360" w:lineRule="auto"/>
        <w:rPr>
          <w:rFonts w:ascii="宋体" w:hAnsi="宋体" w:cs="宋体"/>
          <w:bCs/>
          <w:color w:val="FF0000"/>
          <w:sz w:val="24"/>
          <w:szCs w:val="21"/>
        </w:rPr>
      </w:pPr>
      <w:r>
        <w:rPr>
          <w:rFonts w:hint="eastAsia" w:ascii="宋体" w:hAnsi="宋体"/>
          <w:color w:val="FF0000"/>
          <w:sz w:val="24"/>
          <w:szCs w:val="21"/>
        </w:rPr>
        <w:t>法定代表人</w:t>
      </w:r>
      <w:r>
        <w:rPr>
          <w:rFonts w:hint="eastAsia" w:ascii="宋体" w:hAnsi="宋体" w:cs="宋体"/>
          <w:color w:val="FF0000"/>
          <w:kern w:val="0"/>
          <w:sz w:val="24"/>
          <w:szCs w:val="21"/>
        </w:rPr>
        <w:t>（负责人）</w:t>
      </w:r>
      <w:r>
        <w:rPr>
          <w:rFonts w:hint="eastAsia" w:ascii="宋体" w:hAnsi="宋体" w:cs="宋体"/>
          <w:bCs/>
          <w:color w:val="FF0000"/>
          <w:sz w:val="24"/>
          <w:szCs w:val="21"/>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pPr>
              <w:spacing w:line="360" w:lineRule="auto"/>
              <w:rPr>
                <w:rFonts w:ascii="宋体" w:hAnsi="宋体" w:cs="宋体"/>
                <w:bCs/>
                <w:color w:val="FF0000"/>
                <w:sz w:val="24"/>
                <w:szCs w:val="21"/>
              </w:rPr>
            </w:pPr>
            <w:r>
              <w:rPr>
                <w:rFonts w:hint="eastAsia" w:ascii="宋体" w:hAnsi="宋体" w:cs="宋体"/>
                <w:bCs/>
                <w:color w:val="FF0000"/>
                <w:sz w:val="24"/>
                <w:szCs w:val="21"/>
              </w:rPr>
              <w:t>正面：                                 反面：</w:t>
            </w:r>
          </w:p>
          <w:p>
            <w:pPr>
              <w:spacing w:line="360" w:lineRule="auto"/>
              <w:rPr>
                <w:rFonts w:ascii="宋体" w:hAnsi="宋体" w:cs="宋体"/>
                <w:bCs/>
                <w:color w:val="FF0000"/>
                <w:sz w:val="24"/>
                <w:szCs w:val="21"/>
              </w:rPr>
            </w:pPr>
          </w:p>
        </w:tc>
      </w:tr>
    </w:tbl>
    <w:p>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                 </w:t>
      </w:r>
    </w:p>
    <w:p>
      <w:pPr>
        <w:snapToGrid w:val="0"/>
        <w:spacing w:line="360" w:lineRule="auto"/>
        <w:ind w:firstLine="3534" w:firstLineChars="1100"/>
        <w:rPr>
          <w:rFonts w:cs="仿宋_GB2312" w:asciiTheme="minorEastAsia" w:hAnsiTheme="minorEastAsia" w:eastAsiaTheme="minorEastAsia"/>
          <w:b/>
          <w:kern w:val="0"/>
          <w:sz w:val="32"/>
          <w:szCs w:val="32"/>
          <w:lang w:val="zh-CN"/>
        </w:rPr>
      </w:pPr>
    </w:p>
    <w:p>
      <w:pPr>
        <w:snapToGrid w:val="0"/>
        <w:spacing w:line="360" w:lineRule="auto"/>
        <w:ind w:firstLine="3534" w:firstLineChars="1100"/>
        <w:rPr>
          <w:rFonts w:cs="仿宋_GB2312" w:asciiTheme="minorEastAsia" w:hAnsiTheme="minorEastAsia" w:eastAsiaTheme="minorEastAsia"/>
          <w:b/>
          <w:kern w:val="0"/>
          <w:sz w:val="32"/>
          <w:szCs w:val="32"/>
          <w:lang w:val="zh-CN"/>
        </w:rPr>
      </w:pPr>
    </w:p>
    <w:p>
      <w:pPr>
        <w:pStyle w:val="631"/>
      </w:pPr>
    </w:p>
    <w:p>
      <w:pPr>
        <w:pStyle w:val="631"/>
      </w:pPr>
    </w:p>
    <w:p>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631"/>
      </w:pPr>
      <w:r>
        <w:rPr>
          <w:rFonts w:hint="eastAsia"/>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520" w:hanging="5520" w:hangingChars="23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w:t>
      </w:r>
    </w:p>
    <w:p>
      <w:pPr>
        <w:snapToGrid w:val="0"/>
        <w:spacing w:line="360" w:lineRule="auto"/>
        <w:ind w:left="4830" w:leftChars="2300" w:firstLine="720" w:firstLineChars="300"/>
        <w:rPr>
          <w:rFonts w:cs="宋体" w:asciiTheme="minorEastAsia" w:hAnsiTheme="minorEastAsia" w:eastAsiaTheme="minorEastAsia"/>
          <w:kern w:val="0"/>
          <w:sz w:val="24"/>
          <w:lang w:val="zh-CN"/>
        </w:rPr>
      </w:pPr>
    </w:p>
    <w:p>
      <w:pPr>
        <w:snapToGrid w:val="0"/>
        <w:spacing w:line="360" w:lineRule="auto"/>
        <w:ind w:left="4830" w:leftChars="2300" w:firstLine="720" w:firstLineChars="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磋商供应商名称(公章)：</w:t>
      </w:r>
    </w:p>
    <w:p>
      <w:pPr>
        <w:snapToGrid w:val="0"/>
        <w:spacing w:line="360" w:lineRule="auto"/>
        <w:jc w:val="right"/>
        <w:rPr>
          <w:rStyle w:val="630"/>
        </w:rPr>
      </w:pPr>
      <w:r>
        <w:rPr>
          <w:rStyle w:val="630"/>
          <w:rFonts w:hint="eastAsia"/>
        </w:rPr>
        <w:t>法定代表人（负责人） (签名)：</w:t>
      </w:r>
    </w:p>
    <w:p>
      <w:pPr>
        <w:snapToGrid w:val="0"/>
        <w:spacing w:line="360" w:lineRule="auto"/>
        <w:ind w:right="480" w:firstLine="5520" w:firstLineChars="23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分包供应商名称(公章)：</w:t>
      </w:r>
    </w:p>
    <w:p>
      <w:pPr>
        <w:snapToGrid w:val="0"/>
        <w:spacing w:line="360" w:lineRule="auto"/>
        <w:jc w:val="right"/>
        <w:rPr>
          <w:rFonts w:cs="宋体" w:asciiTheme="minorEastAsia" w:hAnsiTheme="minorEastAsia" w:eastAsiaTheme="minorEastAsia"/>
          <w:kern w:val="0"/>
          <w:sz w:val="24"/>
          <w:lang w:val="zh-CN"/>
        </w:rPr>
      </w:pPr>
      <w:r>
        <w:rPr>
          <w:rStyle w:val="630"/>
          <w:rFonts w:hint="eastAsia"/>
        </w:rPr>
        <w:t>法定代表人（负责人） (签名)：</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磋商供应商名称(公章)：</w:t>
      </w:r>
    </w:p>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法定代表人（负责人）或委托代理人(签名)：                          </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磋商供应商名称(公章)：</w:t>
      </w:r>
    </w:p>
    <w:p>
      <w:pPr>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法定代表人（负责人）或委托代理人(签名)：                          </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w:t>
      </w:r>
    </w:p>
    <w:p>
      <w:pPr>
        <w:spacing w:line="360" w:lineRule="auto"/>
        <w:ind w:firstLine="1333" w:firstLineChars="400"/>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bCs/>
          <w:sz w:val="24"/>
        </w:rPr>
      </w:pPr>
    </w:p>
    <w:p>
      <w:pPr>
        <w:spacing w:line="360" w:lineRule="auto"/>
        <w:ind w:firstLine="1000" w:firstLineChars="300"/>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1"/>
              <w:spacing w:line="360" w:lineRule="auto"/>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8" w:type="dxa"/>
          </w:tcPr>
          <w:p>
            <w:pPr>
              <w:pStyle w:val="31"/>
              <w:spacing w:line="360" w:lineRule="auto"/>
              <w:jc w:val="center"/>
              <w:rPr>
                <w:rFonts w:cs="仿宋_GB2312" w:asciiTheme="minorEastAsia" w:hAnsiTheme="minorEastAsia" w:eastAsiaTheme="minorEastAsia"/>
                <w:sz w:val="24"/>
              </w:rPr>
            </w:pPr>
          </w:p>
        </w:tc>
        <w:tc>
          <w:tcPr>
            <w:tcW w:w="1900" w:type="dxa"/>
          </w:tcPr>
          <w:p>
            <w:pPr>
              <w:pStyle w:val="31"/>
              <w:spacing w:line="360" w:lineRule="auto"/>
              <w:jc w:val="center"/>
              <w:rPr>
                <w:rFonts w:cs="仿宋_GB2312" w:asciiTheme="minorEastAsia" w:hAnsiTheme="minorEastAsia" w:eastAsiaTheme="minorEastAsia"/>
                <w:sz w:val="24"/>
              </w:rPr>
            </w:pPr>
          </w:p>
        </w:tc>
        <w:tc>
          <w:tcPr>
            <w:tcW w:w="1800" w:type="dxa"/>
          </w:tcPr>
          <w:p>
            <w:pPr>
              <w:pStyle w:val="31"/>
              <w:spacing w:line="360" w:lineRule="auto"/>
              <w:jc w:val="center"/>
              <w:rPr>
                <w:rFonts w:cs="仿宋_GB2312" w:asciiTheme="minorEastAsia" w:hAnsiTheme="minorEastAsia" w:eastAsiaTheme="minorEastAsia"/>
                <w:sz w:val="24"/>
              </w:rPr>
            </w:pPr>
          </w:p>
        </w:tc>
        <w:tc>
          <w:tcPr>
            <w:tcW w:w="2880" w:type="dxa"/>
          </w:tcPr>
          <w:p>
            <w:pPr>
              <w:pStyle w:val="31"/>
              <w:spacing w:line="360" w:lineRule="auto"/>
              <w:jc w:val="center"/>
              <w:rPr>
                <w:rFonts w:cs="仿宋_GB2312" w:asciiTheme="minorEastAsia" w:hAnsiTheme="minorEastAsia" w:eastAsiaTheme="minorEastAsia"/>
                <w:sz w:val="24"/>
              </w:rPr>
            </w:pPr>
          </w:p>
        </w:tc>
        <w:tc>
          <w:tcPr>
            <w:tcW w:w="1332" w:type="dxa"/>
          </w:tcPr>
          <w:p>
            <w:pPr>
              <w:pStyle w:val="31"/>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ascii="宋体" w:hAnsi="宋体" w:cs="宋体"/>
          <w:color w:val="0000FF"/>
          <w:sz w:val="24"/>
        </w:rPr>
        <w:t>（采购人）</w:t>
      </w:r>
      <w:r>
        <w:rPr>
          <w:rFonts w:hint="eastAsia" w:ascii="宋体" w:hAnsi="宋体" w:cs="宋体"/>
          <w:sz w:val="24"/>
        </w:rPr>
        <w:t>、（采购代理机构）</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jc w:val="center"/>
        <w:rPr>
          <w:rFonts w:ascii="宋体" w:hAnsi="宋体" w:cs="宋体"/>
          <w:b/>
          <w:kern w:val="0"/>
          <w:sz w:val="32"/>
          <w:szCs w:val="21"/>
        </w:rPr>
      </w:pPr>
      <w:r>
        <w:rPr>
          <w:rFonts w:hint="eastAsia" w:cs="仿宋_GB2312" w:asciiTheme="minorEastAsia" w:hAnsiTheme="minorEastAsia" w:eastAsiaTheme="minorEastAsia"/>
          <w:b/>
          <w:bCs/>
          <w:sz w:val="30"/>
          <w:szCs w:val="30"/>
        </w:rPr>
        <w:t>十八</w:t>
      </w:r>
      <w:r>
        <w:rPr>
          <w:rFonts w:hint="eastAsia" w:ascii="宋体" w:hAnsi="宋体" w:cs="宋体"/>
          <w:b/>
          <w:kern w:val="0"/>
          <w:sz w:val="32"/>
          <w:szCs w:val="32"/>
        </w:rPr>
        <w:t>、</w:t>
      </w:r>
      <w:r>
        <w:rPr>
          <w:rFonts w:hint="eastAsia" w:ascii="宋体" w:hAnsi="宋体" w:cs="宋体"/>
          <w:b/>
          <w:kern w:val="0"/>
          <w:sz w:val="32"/>
          <w:szCs w:val="21"/>
        </w:rPr>
        <w:t>承诺函</w:t>
      </w:r>
    </w:p>
    <w:p>
      <w:pPr>
        <w:widowControl/>
        <w:adjustRightInd/>
        <w:ind w:firstLine="640" w:firstLineChars="200"/>
        <w:jc w:val="left"/>
        <w:rPr>
          <w:rFonts w:ascii="宋体" w:hAnsi="宋体" w:cs="宋体"/>
          <w:kern w:val="0"/>
          <w:sz w:val="32"/>
          <w:szCs w:val="21"/>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我方作为本次采购项目的磋商供应商，根据磋商文件要求，现郑重承诺如下：</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二、参加本次磋商采购活动，不存在与单位负责人为同一人或者存在直接控股、管理关系的其他供应商参与同一合同项下的政府采购活动的行为。</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四、参加本次磋商采购活动，不存在和其他供应商在同一合同项下的采购项目中，同时委托同一个自然人、同一家庭的人员、同一单位的人员作为代理人的行为。</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八、参加本次磋商采购活动，我方完全同意磋商文件第三部分关于“磋商费用”、“合同分包”、“合同转包”、“履约保证金”的实质性要求，并承诺严格按照磋商文件要求履行。</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我方对上述承诺的内容事项真实性负责。如经查实上述承诺的内容事项存在虚假，我方愿意接受以提供虚假材料谋取成交追究法律责任。</w:t>
      </w:r>
    </w:p>
    <w:p>
      <w:pPr>
        <w:widowControl/>
        <w:adjustRightInd/>
        <w:spacing w:line="360" w:lineRule="auto"/>
        <w:ind w:firstLine="480" w:firstLineChars="200"/>
        <w:jc w:val="left"/>
        <w:rPr>
          <w:rFonts w:ascii="宋体" w:hAnsi="宋体" w:cs="宋体"/>
          <w:kern w:val="0"/>
          <w:sz w:val="24"/>
        </w:rPr>
      </w:pPr>
    </w:p>
    <w:p>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十九</w:t>
      </w:r>
      <w:r>
        <w:rPr>
          <w:rFonts w:hint="eastAsia" w:ascii="宋体" w:hAnsi="宋体" w:cs="宋体"/>
          <w:b/>
          <w:kern w:val="0"/>
          <w:sz w:val="32"/>
          <w:szCs w:val="32"/>
        </w:rPr>
        <w:t>、</w:t>
      </w:r>
      <w:r>
        <w:rPr>
          <w:rFonts w:hint="eastAsia" w:ascii="宋体" w:hAnsi="宋体" w:cs="宋体"/>
          <w:b/>
          <w:bCs/>
          <w:sz w:val="32"/>
          <w:szCs w:val="32"/>
        </w:rPr>
        <w:t>商务、服务（技术）响应、偏离情况说明表</w:t>
      </w:r>
    </w:p>
    <w:p>
      <w:pPr>
        <w:snapToGrid w:val="0"/>
        <w:spacing w:line="400" w:lineRule="exact"/>
        <w:ind w:firstLine="420" w:firstLineChars="200"/>
        <w:rPr>
          <w:rFonts w:asciiTheme="minorEastAsia" w:hAnsiTheme="minorEastAsia" w:eastAsiaTheme="minorEastAsia"/>
          <w:szCs w:val="21"/>
        </w:rPr>
      </w:pPr>
    </w:p>
    <w:p>
      <w:pPr>
        <w:snapToGrid w:val="0"/>
        <w:spacing w:line="4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项目名称:</w:t>
      </w:r>
    </w:p>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项目编号:   </w:t>
      </w:r>
    </w:p>
    <w:p>
      <w:pPr>
        <w:pStyle w:val="98"/>
        <w:snapToGrid w:val="0"/>
        <w:spacing w:after="120" w:line="400" w:lineRule="exact"/>
        <w:ind w:firstLine="480" w:firstLineChars="200"/>
        <w:rPr>
          <w:rFonts w:asciiTheme="minorEastAsia" w:hAnsiTheme="minorEastAsia" w:eastAsiaTheme="minorEastAsia"/>
          <w:color w:val="auto"/>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序号</w:t>
            </w:r>
          </w:p>
        </w:tc>
        <w:tc>
          <w:tcPr>
            <w:tcW w:w="2809" w:type="dxa"/>
            <w:tcBorders>
              <w:top w:val="sing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磋商文件要求</w:t>
            </w:r>
          </w:p>
        </w:tc>
        <w:tc>
          <w:tcPr>
            <w:tcW w:w="2945" w:type="dxa"/>
            <w:tcBorders>
              <w:top w:val="sing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响应文件具体响应</w:t>
            </w:r>
          </w:p>
        </w:tc>
        <w:tc>
          <w:tcPr>
            <w:tcW w:w="1464" w:type="dxa"/>
            <w:tcBorders>
              <w:top w:val="single" w:color="auto" w:sz="4"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正偏离/无偏离/负偏离</w:t>
            </w:r>
          </w:p>
        </w:tc>
        <w:tc>
          <w:tcPr>
            <w:tcW w:w="1361" w:type="dxa"/>
            <w:tcBorders>
              <w:top w:val="single" w:color="auto" w:sz="4"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服务（技术）部分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09"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pPr>
              <w:snapToGrid w:val="0"/>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2809"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2945"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heme="minorEastAsia" w:hAnsiTheme="minorEastAsia" w:eastAsiaTheme="minorEastAsia"/>
                <w:sz w:val="24"/>
              </w:rPr>
            </w:pPr>
          </w:p>
        </w:tc>
        <w:tc>
          <w:tcPr>
            <w:tcW w:w="1464" w:type="dxa"/>
            <w:tcBorders>
              <w:top w:val="single" w:color="auto" w:sz="6" w:space="0"/>
              <w:left w:val="single" w:color="auto" w:sz="6"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c>
          <w:tcPr>
            <w:tcW w:w="1361" w:type="dxa"/>
            <w:tcBorders>
              <w:top w:val="single" w:color="auto" w:sz="6"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sz w:val="24"/>
              </w:rPr>
            </w:pPr>
          </w:p>
        </w:tc>
      </w:tr>
    </w:tbl>
    <w:p>
      <w:pPr>
        <w:snapToGrid w:val="0"/>
        <w:spacing w:line="400" w:lineRule="exact"/>
        <w:rPr>
          <w:rFonts w:asciiTheme="minorEastAsia" w:hAnsiTheme="minorEastAsia" w:eastAsiaTheme="minorEastAsia"/>
          <w:sz w:val="24"/>
        </w:rPr>
      </w:pPr>
      <w:r>
        <w:rPr>
          <w:rFonts w:hint="eastAsia" w:asciiTheme="minorEastAsia" w:hAnsiTheme="minorEastAsia" w:eastAsiaTheme="minorEastAsia"/>
          <w:sz w:val="24"/>
        </w:rPr>
        <w:t>说明：1.应写明磋商文件对商务与服务技术要求的响应和偏离情况</w:t>
      </w:r>
      <w:r>
        <w:rPr>
          <w:rFonts w:hint="eastAsia" w:asciiTheme="minorEastAsia" w:hAnsiTheme="minorEastAsia" w:eastAsiaTheme="minorEastAsia"/>
          <w:bCs/>
          <w:sz w:val="24"/>
        </w:rPr>
        <w:t>；</w:t>
      </w:r>
    </w:p>
    <w:p>
      <w:pPr>
        <w:snapToGrid w:val="0"/>
        <w:spacing w:line="40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2.应对照磋商文件“第四部分  采购需求”，逐条说明所提供服务已对磋商文件的商务、服务、技术要求做出了实质性的响应，并申明与采购项目要求的偏离情况。特别对有具体商务、服务、技术要求的，供应商必须提供对应的详细应答。如果仅注明“符合”、“满足”或简单复制磋商文件要求，将导致磋商被拒绝。</w:t>
      </w:r>
    </w:p>
    <w:p>
      <w:pPr>
        <w:snapToGrid w:val="0"/>
        <w:spacing w:line="400" w:lineRule="exact"/>
        <w:rPr>
          <w:rFonts w:cs="Courier New" w:asciiTheme="minorEastAsia" w:hAnsiTheme="minorEastAsia" w:eastAsiaTheme="minorEastAsia"/>
          <w:sz w:val="24"/>
        </w:rPr>
      </w:pPr>
    </w:p>
    <w:p>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lang w:val="zh-CN"/>
        </w:rPr>
        <w:t>谈判供应商名称(公章)</w:t>
      </w:r>
      <w:r>
        <w:rPr>
          <w:rFonts w:hint="eastAsia" w:cs="仿宋_GB2312" w:asciiTheme="minorEastAsia" w:hAnsiTheme="minorEastAsia" w:eastAsiaTheme="minorEastAsia"/>
          <w:kern w:val="0"/>
          <w:sz w:val="24"/>
        </w:rPr>
        <w:t>：</w:t>
      </w:r>
    </w:p>
    <w:p>
      <w:pPr>
        <w:autoSpaceDE w:val="0"/>
        <w:autoSpaceDN w:val="0"/>
        <w:spacing w:line="360" w:lineRule="auto"/>
        <w:ind w:left="2" w:leftChars="1"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jc w:val="center"/>
        <w:rPr>
          <w:rFonts w:ascii="宋体" w:hAnsi="宋体" w:cs="宋体"/>
          <w:b/>
          <w:bCs/>
          <w:color w:val="FF0000"/>
          <w:sz w:val="32"/>
          <w:szCs w:val="32"/>
        </w:rPr>
      </w:pPr>
      <w:r>
        <w:rPr>
          <w:rFonts w:hint="eastAsia" w:ascii="宋体" w:hAnsi="宋体" w:cs="宋体"/>
          <w:b/>
          <w:bCs/>
          <w:color w:val="FF0000"/>
          <w:sz w:val="32"/>
          <w:szCs w:val="32"/>
        </w:rPr>
        <w:t>二十</w:t>
      </w:r>
      <w:r>
        <w:rPr>
          <w:rFonts w:hint="eastAsia" w:ascii="宋体" w:hAnsi="宋体" w:cs="宋体"/>
          <w:b/>
          <w:color w:val="FF0000"/>
          <w:kern w:val="0"/>
          <w:sz w:val="32"/>
          <w:szCs w:val="32"/>
        </w:rPr>
        <w:t>、</w:t>
      </w:r>
      <w:r>
        <w:rPr>
          <w:rFonts w:hint="eastAsia" w:ascii="宋体" w:hAnsi="宋体" w:cs="宋体"/>
          <w:b/>
          <w:bCs/>
          <w:color w:val="FF0000"/>
          <w:sz w:val="32"/>
          <w:szCs w:val="32"/>
        </w:rPr>
        <w:t>初始报价表</w:t>
      </w:r>
    </w:p>
    <w:p>
      <w:pPr>
        <w:pStyle w:val="631"/>
        <w:jc w:val="center"/>
        <w:rPr>
          <w:rFonts w:asciiTheme="minorEastAsia" w:hAnsiTheme="minorEastAsia" w:eastAsiaTheme="minorEastAsia"/>
          <w:color w:val="FF0000"/>
          <w:kern w:val="2"/>
          <w:szCs w:val="24"/>
        </w:rPr>
      </w:pPr>
      <w:r>
        <w:rPr>
          <w:rFonts w:hint="eastAsia" w:asciiTheme="minorEastAsia" w:hAnsiTheme="minorEastAsia" w:eastAsiaTheme="minorEastAsia"/>
          <w:color w:val="FF0000"/>
          <w:kern w:val="2"/>
          <w:szCs w:val="24"/>
        </w:rPr>
        <w:t>（初始报价表格式参照第八部分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7" w:type="first"/>
          <w:footerReference r:id="rId20" w:type="first"/>
          <w:headerReference r:id="rId16" w:type="default"/>
          <w:footerReference r:id="rId18" w:type="default"/>
          <w:footerReference r:id="rId19" w:type="even"/>
          <w:pgSz w:w="11906" w:h="16838"/>
          <w:pgMar w:top="779" w:right="1418" w:bottom="468" w:left="1418" w:header="851" w:footer="992" w:gutter="0"/>
          <w:cols w:space="720" w:num="1"/>
          <w:titlePg/>
          <w:docGrid w:linePitch="312" w:charSpace="0"/>
        </w:sectPr>
      </w:pPr>
    </w:p>
    <w:p>
      <w:pPr>
        <w:pStyle w:val="392"/>
        <w:ind w:firstLine="0" w:firstLineChars="0"/>
        <w:jc w:val="center"/>
        <w:outlineLvl w:val="0"/>
        <w:rPr>
          <w:rFonts w:cs="仿宋_GB2312" w:asciiTheme="minorEastAsia" w:hAnsiTheme="minorEastAsia" w:eastAsiaTheme="minorEastAsia"/>
          <w:b/>
          <w:sz w:val="36"/>
          <w:szCs w:val="36"/>
        </w:rPr>
      </w:pPr>
      <w:bookmarkStart w:id="205" w:name="_Toc181203101"/>
      <w:r>
        <w:rPr>
          <w:rFonts w:hint="eastAsia" w:cs="仿宋_GB2312" w:asciiTheme="minorEastAsia" w:hAnsiTheme="minorEastAsia" w:eastAsiaTheme="minorEastAsia"/>
          <w:b/>
          <w:sz w:val="36"/>
          <w:szCs w:val="36"/>
        </w:rPr>
        <w:t>第八部分  最后报价格式</w:t>
      </w:r>
      <w:bookmarkEnd w:id="205"/>
    </w:p>
    <w:p>
      <w:pPr>
        <w:pStyle w:val="631"/>
        <w:jc w:val="center"/>
        <w:rPr>
          <w:b/>
          <w:sz w:val="32"/>
          <w:szCs w:val="32"/>
        </w:rPr>
      </w:pPr>
      <w:r>
        <w:rPr>
          <w:rFonts w:hint="eastAsia"/>
          <w:b/>
          <w:sz w:val="32"/>
          <w:szCs w:val="32"/>
        </w:rPr>
        <w:t>（一）报价一览表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2127"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服务人数</w:t>
            </w:r>
          </w:p>
        </w:tc>
        <w:tc>
          <w:tcPr>
            <w:tcW w:w="2126"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磋商报价（大写）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宋体" w:hAnsi="宋体" w:cs="宋体"/>
          <w:color w:val="FF0000"/>
          <w:kern w:val="0"/>
          <w:sz w:val="24"/>
          <w:lang w:val="zh-CN"/>
        </w:rPr>
      </w:pPr>
      <w:r>
        <w:rPr>
          <w:rFonts w:hint="eastAsia" w:ascii="宋体" w:hAnsi="宋体" w:cs="宋体"/>
          <w:color w:val="FF0000"/>
          <w:kern w:val="0"/>
          <w:sz w:val="24"/>
          <w:szCs w:val="22"/>
          <w:lang w:val="zh-CN"/>
        </w:rPr>
        <w:t>5、</w:t>
      </w:r>
      <w:r>
        <w:rPr>
          <w:rFonts w:hint="eastAsia" w:cs="仿宋_GB2312" w:asciiTheme="minorEastAsia" w:hAnsiTheme="minorEastAsia" w:eastAsiaTheme="minorEastAsia"/>
          <w:color w:val="FF0000"/>
          <w:kern w:val="0"/>
          <w:sz w:val="24"/>
          <w:lang w:val="zh-CN"/>
        </w:rPr>
        <w:t>如有多轮报价，则每轮报价</w:t>
      </w:r>
      <w:r>
        <w:rPr>
          <w:rFonts w:hint="eastAsia" w:cs="宋体" w:asciiTheme="minorEastAsia" w:hAnsiTheme="minorEastAsia" w:eastAsiaTheme="minorEastAsia"/>
          <w:color w:val="FF0000"/>
          <w:kern w:val="0"/>
          <w:sz w:val="24"/>
          <w:lang w:val="zh-CN"/>
        </w:rPr>
        <w:t>供应商均</w:t>
      </w:r>
      <w:r>
        <w:rPr>
          <w:rFonts w:hint="eastAsia" w:ascii="宋体" w:hAnsi="宋体" w:cs="宋体"/>
          <w:color w:val="FF0000"/>
          <w:kern w:val="0"/>
          <w:sz w:val="24"/>
          <w:lang w:val="zh-CN"/>
        </w:rPr>
        <w:t>需按本表格式填写</w:t>
      </w:r>
      <w:r>
        <w:rPr>
          <w:rFonts w:cs="仿宋_GB2312" w:asciiTheme="minorEastAsia" w:hAnsiTheme="minorEastAsia" w:eastAsiaTheme="minorEastAsia"/>
          <w:color w:val="FF0000"/>
          <w:kern w:val="0"/>
          <w:sz w:val="24"/>
          <w:lang w:val="zh-CN"/>
        </w:rPr>
        <w:t>。</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 xml:space="preserve">磋商供应商名称(公章)： </w:t>
      </w:r>
    </w:p>
    <w:p>
      <w:pPr>
        <w:autoSpaceDE w:val="0"/>
        <w:autoSpaceDN w:val="0"/>
        <w:spacing w:line="360" w:lineRule="auto"/>
        <w:ind w:left="2" w:leftChars="1" w:firstLine="9456" w:firstLineChars="394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pPr>
        <w:spacing w:line="360" w:lineRule="auto"/>
        <w:ind w:left="4620" w:leftChars="2200" w:firstLine="4920" w:firstLineChars="205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ind w:right="-874" w:rightChars="-416"/>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206"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631"/>
      </w:pPr>
      <w:r>
        <w:rPr>
          <w:rFonts w:hint="eastAsia"/>
        </w:rPr>
        <w:t>附件</w:t>
      </w:r>
      <w:bookmarkEnd w:id="206"/>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磋商供应商名称(公章)</w:t>
      </w:r>
      <w:r>
        <w:rPr>
          <w:rFonts w:hint="eastAsia" w:cs="宋体" w:asciiTheme="minorEastAsia" w:hAnsiTheme="minorEastAsia" w:eastAsiaTheme="minorEastAsia"/>
          <w:sz w:val="24"/>
        </w:rPr>
        <w:t>：</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95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bookmarkStart w:id="207" w:name="_Toc91899912"/>
    <w:bookmarkStart w:id="208" w:name="_Toc36110187"/>
    <w:bookmarkStart w:id="209" w:name="_Toc131845147"/>
    <w:bookmarkStart w:id="210" w:name="_Toc164085800"/>
    <w:r>
      <w:rPr>
        <w:rFonts w:hint="eastAsia" w:ascii="仿宋_GB2312" w:eastAsia="仿宋_GB2312"/>
        <w:kern w:val="0"/>
        <w:sz w:val="21"/>
        <w:szCs w:val="21"/>
      </w:rPr>
      <w:t xml:space="preserve"> 页</w:t>
    </w:r>
    <w:bookmarkEnd w:id="207"/>
    <w:bookmarkEnd w:id="208"/>
    <w:bookmarkEnd w:id="209"/>
    <w:bookmarkEnd w:id="2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120"/>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103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sz w:val="21"/>
        <w:szCs w:val="21"/>
        <w:u w:val="single"/>
      </w:rPr>
    </w:pPr>
    <w:r>
      <w:rPr>
        <w:rFonts w:hint="eastAsia" w:eastAsia="仿宋_GB2312"/>
        <w:b w:val="0"/>
        <w:i/>
        <w:sz w:val="18"/>
        <w:u w:val="single"/>
      </w:rPr>
      <w:t xml:space="preserve">                                                               </w:t>
    </w:r>
    <w:r>
      <w:rPr>
        <w:rFonts w:hint="eastAsia" w:eastAsia="仿宋_GB2312"/>
        <w:b w:val="0"/>
        <w:sz w:val="21"/>
        <w:szCs w:val="21"/>
        <w:u w:val="single"/>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sz w:val="21"/>
        <w:szCs w:val="21"/>
      </w:rPr>
    </w:pPr>
    <w:r>
      <w:rPr>
        <w:rFonts w:hint="eastAsia" w:eastAsia="仿宋_GB2312"/>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r>
      <w:rPr>
        <w:rFonts w:hint="eastAsia"/>
      </w:rPr>
      <w:t xml:space="preserve">         </w:t>
    </w:r>
  </w:p>
  <w:p>
    <w:pPr>
      <w:pStyle w:val="38"/>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after="12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after="120"/>
    </w:pPr>
    <w:r>
      <w:t></w:t>
    </w:r>
    <w:r>
      <w:rPr>
        <w:rFonts w:hint="eastAsia"/>
      </w:rPr>
      <w:t xml:space="preserve">         </w:t>
    </w:r>
  </w:p>
  <w:p>
    <w:pPr>
      <w:pStyle w:val="38"/>
      <w:spacing w:after="12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sz w:val="21"/>
        <w:szCs w:val="21"/>
      </w:rPr>
    </w:pPr>
    <w:r>
      <w:rPr>
        <w:rFonts w:hint="eastAsia" w:eastAsia="仿宋_GB2312"/>
        <w:iCs/>
        <w:sz w:val="21"/>
        <w:szCs w:val="21"/>
      </w:rPr>
      <w:t>北海市政府采购竞争性磋商文件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2E0MmYzMGVjMWY5NDBiYWY3N2Q0YTQ5OWFmMz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3723D"/>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6C2E"/>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6D2"/>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A6B0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042B"/>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0ABC"/>
    <w:rsid w:val="0010118C"/>
    <w:rsid w:val="0010125E"/>
    <w:rsid w:val="00101967"/>
    <w:rsid w:val="00104CAD"/>
    <w:rsid w:val="00104E5B"/>
    <w:rsid w:val="00104EEC"/>
    <w:rsid w:val="001050DC"/>
    <w:rsid w:val="001052A9"/>
    <w:rsid w:val="00105482"/>
    <w:rsid w:val="001055F5"/>
    <w:rsid w:val="00105BA9"/>
    <w:rsid w:val="00106C42"/>
    <w:rsid w:val="0010712A"/>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0877"/>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76FB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529"/>
    <w:rsid w:val="001B2703"/>
    <w:rsid w:val="001B2ABD"/>
    <w:rsid w:val="001B3D69"/>
    <w:rsid w:val="001B4272"/>
    <w:rsid w:val="001B46B2"/>
    <w:rsid w:val="001B4CA8"/>
    <w:rsid w:val="001B572D"/>
    <w:rsid w:val="001B738E"/>
    <w:rsid w:val="001B7B69"/>
    <w:rsid w:val="001C0616"/>
    <w:rsid w:val="001C086C"/>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38FD"/>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589C"/>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ACE"/>
    <w:rsid w:val="00273C5F"/>
    <w:rsid w:val="00274C6D"/>
    <w:rsid w:val="00274C70"/>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278A"/>
    <w:rsid w:val="002A30AD"/>
    <w:rsid w:val="002A40B2"/>
    <w:rsid w:val="002A4EB3"/>
    <w:rsid w:val="002A51D9"/>
    <w:rsid w:val="002A5275"/>
    <w:rsid w:val="002B2906"/>
    <w:rsid w:val="002B35C5"/>
    <w:rsid w:val="002B50B3"/>
    <w:rsid w:val="002B56BE"/>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86A"/>
    <w:rsid w:val="002F7DF0"/>
    <w:rsid w:val="002F7FAF"/>
    <w:rsid w:val="00300AFA"/>
    <w:rsid w:val="00301A22"/>
    <w:rsid w:val="0030213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910"/>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2FA"/>
    <w:rsid w:val="00346B6D"/>
    <w:rsid w:val="00346BA3"/>
    <w:rsid w:val="00347356"/>
    <w:rsid w:val="00350896"/>
    <w:rsid w:val="00350C31"/>
    <w:rsid w:val="003519CD"/>
    <w:rsid w:val="00351A3A"/>
    <w:rsid w:val="00352A88"/>
    <w:rsid w:val="0035455F"/>
    <w:rsid w:val="00355D8F"/>
    <w:rsid w:val="00357437"/>
    <w:rsid w:val="003577EF"/>
    <w:rsid w:val="00357F65"/>
    <w:rsid w:val="0036018D"/>
    <w:rsid w:val="00360304"/>
    <w:rsid w:val="00361DB9"/>
    <w:rsid w:val="00364A28"/>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6EE"/>
    <w:rsid w:val="003B0A3A"/>
    <w:rsid w:val="003B4810"/>
    <w:rsid w:val="003B514E"/>
    <w:rsid w:val="003B5E0A"/>
    <w:rsid w:val="003B613B"/>
    <w:rsid w:val="003B636A"/>
    <w:rsid w:val="003B6AF1"/>
    <w:rsid w:val="003B7D14"/>
    <w:rsid w:val="003C011C"/>
    <w:rsid w:val="003C1A93"/>
    <w:rsid w:val="003C435B"/>
    <w:rsid w:val="003C4EBE"/>
    <w:rsid w:val="003C685A"/>
    <w:rsid w:val="003C6B25"/>
    <w:rsid w:val="003C6D90"/>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D7789"/>
    <w:rsid w:val="003E071F"/>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AA"/>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3B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03D5"/>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4A"/>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0581"/>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37F46"/>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91F"/>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71"/>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561"/>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171E"/>
    <w:rsid w:val="006F2046"/>
    <w:rsid w:val="006F3E2E"/>
    <w:rsid w:val="006F41F4"/>
    <w:rsid w:val="006F5813"/>
    <w:rsid w:val="006F59A8"/>
    <w:rsid w:val="006F5A1D"/>
    <w:rsid w:val="006F71A6"/>
    <w:rsid w:val="006F7974"/>
    <w:rsid w:val="006F7C2C"/>
    <w:rsid w:val="00700D18"/>
    <w:rsid w:val="007010CB"/>
    <w:rsid w:val="007011A1"/>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5FBD"/>
    <w:rsid w:val="00756C5F"/>
    <w:rsid w:val="00756D69"/>
    <w:rsid w:val="00757029"/>
    <w:rsid w:val="0076065E"/>
    <w:rsid w:val="0076093D"/>
    <w:rsid w:val="00760C5C"/>
    <w:rsid w:val="00761002"/>
    <w:rsid w:val="0076161B"/>
    <w:rsid w:val="00761CB5"/>
    <w:rsid w:val="0076228C"/>
    <w:rsid w:val="00763137"/>
    <w:rsid w:val="00763278"/>
    <w:rsid w:val="0076417E"/>
    <w:rsid w:val="00767475"/>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3B21"/>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276E"/>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D04"/>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337"/>
    <w:rsid w:val="00882474"/>
    <w:rsid w:val="008824DF"/>
    <w:rsid w:val="00884371"/>
    <w:rsid w:val="00884D47"/>
    <w:rsid w:val="00884FD4"/>
    <w:rsid w:val="00887392"/>
    <w:rsid w:val="00890C40"/>
    <w:rsid w:val="008911F7"/>
    <w:rsid w:val="008924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B7CA3"/>
    <w:rsid w:val="008C0335"/>
    <w:rsid w:val="008C094A"/>
    <w:rsid w:val="008C1077"/>
    <w:rsid w:val="008C1570"/>
    <w:rsid w:val="008C2059"/>
    <w:rsid w:val="008C4C92"/>
    <w:rsid w:val="008C54DC"/>
    <w:rsid w:val="008C58E7"/>
    <w:rsid w:val="008C65F4"/>
    <w:rsid w:val="008C7368"/>
    <w:rsid w:val="008D0E65"/>
    <w:rsid w:val="008D18D0"/>
    <w:rsid w:val="008D1FAF"/>
    <w:rsid w:val="008D2259"/>
    <w:rsid w:val="008D33FE"/>
    <w:rsid w:val="008D3B9F"/>
    <w:rsid w:val="008D3D02"/>
    <w:rsid w:val="008D40EE"/>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1731"/>
    <w:rsid w:val="009128B8"/>
    <w:rsid w:val="0091328F"/>
    <w:rsid w:val="00914D1C"/>
    <w:rsid w:val="00915679"/>
    <w:rsid w:val="009159C2"/>
    <w:rsid w:val="009175AF"/>
    <w:rsid w:val="00920A06"/>
    <w:rsid w:val="00921A18"/>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C1A"/>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9F7F60"/>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776"/>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2F6B"/>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20D"/>
    <w:rsid w:val="00A63335"/>
    <w:rsid w:val="00A63685"/>
    <w:rsid w:val="00A63DDD"/>
    <w:rsid w:val="00A66473"/>
    <w:rsid w:val="00A66E28"/>
    <w:rsid w:val="00A70590"/>
    <w:rsid w:val="00A71542"/>
    <w:rsid w:val="00A71FA0"/>
    <w:rsid w:val="00A72C1A"/>
    <w:rsid w:val="00A73187"/>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62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269"/>
    <w:rsid w:val="00AA3548"/>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07F0A"/>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6BA2"/>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538"/>
    <w:rsid w:val="00C0378E"/>
    <w:rsid w:val="00C04258"/>
    <w:rsid w:val="00C05AFD"/>
    <w:rsid w:val="00C06098"/>
    <w:rsid w:val="00C06D85"/>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4B9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1ED0"/>
    <w:rsid w:val="00D72175"/>
    <w:rsid w:val="00D72454"/>
    <w:rsid w:val="00D72A5B"/>
    <w:rsid w:val="00D73F06"/>
    <w:rsid w:val="00D74160"/>
    <w:rsid w:val="00D74247"/>
    <w:rsid w:val="00D753A9"/>
    <w:rsid w:val="00D7682B"/>
    <w:rsid w:val="00D77A41"/>
    <w:rsid w:val="00D804C5"/>
    <w:rsid w:val="00D81146"/>
    <w:rsid w:val="00D81A28"/>
    <w:rsid w:val="00D82AB8"/>
    <w:rsid w:val="00D82B00"/>
    <w:rsid w:val="00D82BE4"/>
    <w:rsid w:val="00D82E05"/>
    <w:rsid w:val="00D82F67"/>
    <w:rsid w:val="00D83A05"/>
    <w:rsid w:val="00D83C0D"/>
    <w:rsid w:val="00D84949"/>
    <w:rsid w:val="00D869C1"/>
    <w:rsid w:val="00D86EC6"/>
    <w:rsid w:val="00D872A5"/>
    <w:rsid w:val="00D87418"/>
    <w:rsid w:val="00D87FE6"/>
    <w:rsid w:val="00D90BC3"/>
    <w:rsid w:val="00D90DB9"/>
    <w:rsid w:val="00D91337"/>
    <w:rsid w:val="00D915C9"/>
    <w:rsid w:val="00D91842"/>
    <w:rsid w:val="00D9198F"/>
    <w:rsid w:val="00D92A87"/>
    <w:rsid w:val="00D92D21"/>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25"/>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4E64"/>
    <w:rsid w:val="00E05A06"/>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1BBA"/>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14B"/>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422"/>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080"/>
    <w:rsid w:val="00F551DB"/>
    <w:rsid w:val="00F559BE"/>
    <w:rsid w:val="00F56417"/>
    <w:rsid w:val="00F56EE7"/>
    <w:rsid w:val="00F56FEF"/>
    <w:rsid w:val="00F57521"/>
    <w:rsid w:val="00F57AC4"/>
    <w:rsid w:val="00F60938"/>
    <w:rsid w:val="00F61606"/>
    <w:rsid w:val="00F62BD1"/>
    <w:rsid w:val="00F62CA8"/>
    <w:rsid w:val="00F63BF4"/>
    <w:rsid w:val="00F63C39"/>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5124"/>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6A4D7C"/>
    <w:rsid w:val="02DA0C0E"/>
    <w:rsid w:val="02EB05B4"/>
    <w:rsid w:val="03344582"/>
    <w:rsid w:val="03DD35E4"/>
    <w:rsid w:val="05416085"/>
    <w:rsid w:val="055F5B8D"/>
    <w:rsid w:val="06416793"/>
    <w:rsid w:val="065A6178"/>
    <w:rsid w:val="075562B7"/>
    <w:rsid w:val="07F6164B"/>
    <w:rsid w:val="087A1B7A"/>
    <w:rsid w:val="096B2097"/>
    <w:rsid w:val="0A5B7E63"/>
    <w:rsid w:val="0C87121B"/>
    <w:rsid w:val="0DF702FE"/>
    <w:rsid w:val="0E3F698B"/>
    <w:rsid w:val="0F21508F"/>
    <w:rsid w:val="0F375AFE"/>
    <w:rsid w:val="0F816ACD"/>
    <w:rsid w:val="0FB94501"/>
    <w:rsid w:val="10B047CF"/>
    <w:rsid w:val="10FC16EA"/>
    <w:rsid w:val="11071178"/>
    <w:rsid w:val="118963A1"/>
    <w:rsid w:val="11D70EB3"/>
    <w:rsid w:val="127723A9"/>
    <w:rsid w:val="12B95E77"/>
    <w:rsid w:val="13072A44"/>
    <w:rsid w:val="145044FA"/>
    <w:rsid w:val="186742B0"/>
    <w:rsid w:val="1B2A271F"/>
    <w:rsid w:val="1B65115D"/>
    <w:rsid w:val="1B890139"/>
    <w:rsid w:val="1CFB4FF5"/>
    <w:rsid w:val="1D19512E"/>
    <w:rsid w:val="1D266CE1"/>
    <w:rsid w:val="1D3963AF"/>
    <w:rsid w:val="1E714A66"/>
    <w:rsid w:val="1F184CFE"/>
    <w:rsid w:val="1FE868A9"/>
    <w:rsid w:val="1FFA56C2"/>
    <w:rsid w:val="211E26D6"/>
    <w:rsid w:val="21283D08"/>
    <w:rsid w:val="25AF7530"/>
    <w:rsid w:val="25B440B3"/>
    <w:rsid w:val="2AA1365A"/>
    <w:rsid w:val="2C87198B"/>
    <w:rsid w:val="2CF702A0"/>
    <w:rsid w:val="2DD15014"/>
    <w:rsid w:val="2FD25781"/>
    <w:rsid w:val="319C6071"/>
    <w:rsid w:val="32196ABA"/>
    <w:rsid w:val="32DB72BE"/>
    <w:rsid w:val="334F1398"/>
    <w:rsid w:val="342E63AB"/>
    <w:rsid w:val="345D260B"/>
    <w:rsid w:val="365302AE"/>
    <w:rsid w:val="371411FD"/>
    <w:rsid w:val="37F142D2"/>
    <w:rsid w:val="396B7955"/>
    <w:rsid w:val="39A13F14"/>
    <w:rsid w:val="3C5F759A"/>
    <w:rsid w:val="3D5C78D4"/>
    <w:rsid w:val="3F6E73BB"/>
    <w:rsid w:val="3FFF72A6"/>
    <w:rsid w:val="410D387F"/>
    <w:rsid w:val="41FB5D2A"/>
    <w:rsid w:val="42E1381E"/>
    <w:rsid w:val="43D5676F"/>
    <w:rsid w:val="43FB717C"/>
    <w:rsid w:val="451E447A"/>
    <w:rsid w:val="45345B76"/>
    <w:rsid w:val="47307808"/>
    <w:rsid w:val="486F747C"/>
    <w:rsid w:val="4D861CF6"/>
    <w:rsid w:val="51A0432A"/>
    <w:rsid w:val="51BC194B"/>
    <w:rsid w:val="51CF2AB9"/>
    <w:rsid w:val="527140E5"/>
    <w:rsid w:val="5292508F"/>
    <w:rsid w:val="52A96B6F"/>
    <w:rsid w:val="550764A4"/>
    <w:rsid w:val="551926E0"/>
    <w:rsid w:val="555C539F"/>
    <w:rsid w:val="561279B9"/>
    <w:rsid w:val="56515F3B"/>
    <w:rsid w:val="572B71CA"/>
    <w:rsid w:val="57E958DA"/>
    <w:rsid w:val="58AE4F0C"/>
    <w:rsid w:val="5A2A7C7B"/>
    <w:rsid w:val="5B251DB3"/>
    <w:rsid w:val="5C80234E"/>
    <w:rsid w:val="5E261785"/>
    <w:rsid w:val="5FCC5339"/>
    <w:rsid w:val="5FE70807"/>
    <w:rsid w:val="60E53485"/>
    <w:rsid w:val="61054A27"/>
    <w:rsid w:val="611D2366"/>
    <w:rsid w:val="62885958"/>
    <w:rsid w:val="64CE2EAA"/>
    <w:rsid w:val="662E75B1"/>
    <w:rsid w:val="66342C2E"/>
    <w:rsid w:val="663E784C"/>
    <w:rsid w:val="685867EC"/>
    <w:rsid w:val="6ABA097A"/>
    <w:rsid w:val="6E8E12EF"/>
    <w:rsid w:val="6F5B568A"/>
    <w:rsid w:val="717F6C8F"/>
    <w:rsid w:val="71D43752"/>
    <w:rsid w:val="73DD6243"/>
    <w:rsid w:val="749C4185"/>
    <w:rsid w:val="75626E09"/>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639"/>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0"/>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qFormat/>
    <w:uiPriority w:val="0"/>
    <w:rPr>
      <w:sz w:val="18"/>
      <w:szCs w:val="18"/>
    </w:rPr>
  </w:style>
  <w:style w:type="paragraph" w:styleId="37">
    <w:name w:val="footer"/>
    <w:basedOn w:val="1"/>
    <w:link w:val="636"/>
    <w:qFormat/>
    <w:uiPriority w:val="0"/>
    <w:pPr>
      <w:tabs>
        <w:tab w:val="center" w:pos="4153"/>
        <w:tab w:val="right" w:pos="8306"/>
      </w:tabs>
      <w:snapToGrid w:val="0"/>
      <w:jc w:val="left"/>
    </w:pPr>
    <w:rPr>
      <w:sz w:val="18"/>
      <w:szCs w:val="18"/>
    </w:rPr>
  </w:style>
  <w:style w:type="paragraph" w:styleId="38">
    <w:name w:val="header"/>
    <w:basedOn w:val="1"/>
    <w:link w:val="637"/>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link w:val="642"/>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99"/>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0"/>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0"/>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5">
    <w:name w:val="_Style 6"/>
    <w:basedOn w:val="1"/>
    <w:qFormat/>
    <w:uiPriority w:val="34"/>
    <w:pPr>
      <w:adjustRightInd/>
      <w:ind w:firstLine="420" w:firstLineChars="200"/>
    </w:pPr>
    <w:rPr>
      <w:rFonts w:eastAsia="仿宋_GB2312"/>
      <w:sz w:val="28"/>
    </w:rPr>
  </w:style>
  <w:style w:type="character" w:customStyle="1" w:styleId="636">
    <w:name w:val="页脚 Char2"/>
    <w:link w:val="37"/>
    <w:qFormat/>
    <w:locked/>
    <w:uiPriority w:val="99"/>
    <w:rPr>
      <w:kern w:val="2"/>
      <w:sz w:val="18"/>
      <w:szCs w:val="18"/>
    </w:rPr>
  </w:style>
  <w:style w:type="character" w:customStyle="1" w:styleId="637">
    <w:name w:val="页眉 Char2"/>
    <w:link w:val="38"/>
    <w:qFormat/>
    <w:uiPriority w:val="99"/>
    <w:rPr>
      <w:kern w:val="2"/>
      <w:sz w:val="18"/>
      <w:szCs w:val="18"/>
    </w:rPr>
  </w:style>
  <w:style w:type="table" w:customStyle="1" w:styleId="638">
    <w:name w:val="网格型3"/>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9">
    <w:name w:val="标题 3 Char"/>
    <w:basedOn w:val="62"/>
    <w:link w:val="4"/>
    <w:qFormat/>
    <w:uiPriority w:val="0"/>
    <w:rPr>
      <w:b/>
      <w:bCs/>
      <w:kern w:val="2"/>
      <w:sz w:val="32"/>
      <w:szCs w:val="32"/>
    </w:rPr>
  </w:style>
  <w:style w:type="character" w:customStyle="1" w:styleId="640">
    <w:name w:val="批注文字 字符"/>
    <w:qFormat/>
    <w:uiPriority w:val="0"/>
    <w:rPr>
      <w:rFonts w:ascii="Calibri" w:hAnsi="Calibri" w:cs="Calibri"/>
      <w:kern w:val="2"/>
      <w:sz w:val="21"/>
      <w:szCs w:val="21"/>
    </w:rPr>
  </w:style>
  <w:style w:type="character" w:customStyle="1" w:styleId="641">
    <w:name w:val="批注框文本 字符"/>
    <w:qFormat/>
    <w:uiPriority w:val="0"/>
    <w:rPr>
      <w:rFonts w:ascii="Calibri" w:hAnsi="Calibri" w:cs="Calibri"/>
      <w:kern w:val="2"/>
      <w:sz w:val="18"/>
      <w:szCs w:val="18"/>
    </w:rPr>
  </w:style>
  <w:style w:type="character" w:customStyle="1" w:styleId="642">
    <w:name w:val="批注主题 Char1"/>
    <w:link w:val="57"/>
    <w:qFormat/>
    <w:uiPriority w:val="0"/>
    <w:rPr>
      <w:b/>
      <w:bCs/>
      <w:kern w:val="2"/>
      <w:sz w:val="21"/>
      <w:szCs w:val="24"/>
    </w:rPr>
  </w:style>
  <w:style w:type="table" w:customStyle="1" w:styleId="64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A0CEA-ADC3-41F0-844B-47067512F07E}">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10917</Words>
  <Characters>62232</Characters>
  <Lines>518</Lines>
  <Paragraphs>146</Paragraphs>
  <TotalTime>86</TotalTime>
  <ScaleCrop>false</ScaleCrop>
  <LinksUpToDate>false</LinksUpToDate>
  <CharactersWithSpaces>73003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2025-09-08T07:36:00Z</dcterms:created>
  <dc:creator>北海市政府采购中心</dc:creator>
  <cp:lastModifiedBy>PC</cp:lastModifiedBy>
  <cp:lastPrinted>2025-09-08T03:10:00Z</cp:lastPrinted>
  <dcterms:modified xsi:type="dcterms:W3CDTF">2025-09-10T02:04:22Z</dcterms:modified>
  <dc:title>北海市政府采购中心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339F862081E542B992E1BE24E9A1AA83</vt:lpwstr>
  </property>
  <property fmtid="{D5CDD505-2E9C-101B-9397-08002B2CF9AE}" pid="4" name="KSOTemplateDocerSaveRecord">
    <vt:lpwstr>eyJoZGlkIjoiMjRhMDZmMzFmNDFmN2EzYzA2YjU0NjRhNzhkY2M2MGMifQ==</vt:lpwstr>
  </property>
</Properties>
</file>