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p>
    <w:p>
      <w:pPr>
        <w:spacing w:line="360" w:lineRule="auto"/>
        <w:jc w:val="center"/>
        <w:rPr>
          <w:rFonts w:ascii="宋体" w:hAnsi="宋体" w:cs="宋体"/>
          <w:b/>
          <w:sz w:val="24"/>
        </w:rPr>
      </w:pPr>
    </w:p>
    <w:p>
      <w:pPr>
        <w:adjustRightInd/>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adjustRightInd/>
        <w:spacing w:line="360" w:lineRule="auto"/>
        <w:jc w:val="center"/>
        <w:rPr>
          <w:rFonts w:ascii="宋体" w:hAnsi="宋体" w:cs="宋体"/>
          <w:b/>
          <w:sz w:val="48"/>
          <w:szCs w:val="48"/>
        </w:rPr>
      </w:pPr>
    </w:p>
    <w:p>
      <w:pPr>
        <w:adjustRightInd/>
        <w:spacing w:line="360" w:lineRule="auto"/>
        <w:jc w:val="center"/>
        <w:rPr>
          <w:rFonts w:ascii="宋体" w:hAnsi="宋体" w:cs="宋体"/>
          <w:sz w:val="48"/>
          <w:szCs w:val="48"/>
        </w:rPr>
      </w:pPr>
      <w:bookmarkStart w:id="0" w:name="OLE_LINK6"/>
      <w:bookmarkStart w:id="1" w:name="OLE_LINK7"/>
      <w:bookmarkStart w:id="2" w:name="OLE_LINK4"/>
      <w:bookmarkStart w:id="3" w:name="OLE_LINK2"/>
      <w:bookmarkStart w:id="4" w:name="OLE_LINK5"/>
      <w:r>
        <w:rPr>
          <w:rFonts w:hint="eastAsia" w:ascii="宋体" w:hAnsi="宋体" w:cs="宋体"/>
          <w:sz w:val="48"/>
          <w:szCs w:val="48"/>
        </w:rPr>
        <w:t>建设数字化校园</w:t>
      </w:r>
    </w:p>
    <w:bookmarkEnd w:id="0"/>
    <w:bookmarkEnd w:id="1"/>
    <w:bookmarkEnd w:id="2"/>
    <w:bookmarkEnd w:id="3"/>
    <w:bookmarkEnd w:id="4"/>
    <w:p>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pPr>
        <w:snapToGrid w:val="0"/>
        <w:spacing w:line="360" w:lineRule="auto"/>
        <w:jc w:val="center"/>
        <w:rPr>
          <w:rFonts w:ascii="宋体" w:hAnsi="宋体" w:cs="宋体"/>
          <w:sz w:val="30"/>
          <w:szCs w:val="30"/>
        </w:rPr>
      </w:pPr>
      <w:r>
        <w:rPr>
          <w:rFonts w:hint="eastAsia" w:ascii="宋体" w:hAnsi="宋体" w:cs="宋体"/>
          <w:sz w:val="30"/>
          <w:szCs w:val="30"/>
        </w:rPr>
        <w:t>编号:</w:t>
      </w:r>
      <w:r>
        <w:rPr>
          <w:rFonts w:hint="eastAsia" w:ascii="微软雅黑" w:hAnsi="微软雅黑" w:eastAsia="微软雅黑"/>
          <w:b/>
          <w:bCs/>
          <w:color w:val="606060"/>
          <w:shd w:val="clear" w:color="auto" w:fill="FFFFFF"/>
        </w:rPr>
        <w:t xml:space="preserve"> </w:t>
      </w:r>
      <w:r>
        <w:rPr>
          <w:rFonts w:hint="eastAsia" w:ascii="宋体" w:hAnsi="宋体" w:cs="宋体"/>
          <w:bCs/>
          <w:sz w:val="32"/>
          <w:szCs w:val="32"/>
        </w:rPr>
        <w:t>BHZC2025-G1-990246-CGZX</w:t>
      </w:r>
    </w:p>
    <w:p>
      <w:pPr>
        <w:adjustRightInd/>
        <w:spacing w:line="360" w:lineRule="auto"/>
        <w:rPr>
          <w:rFonts w:ascii="宋体" w:hAnsi="宋体" w:cs="宋体"/>
          <w:sz w:val="28"/>
          <w:szCs w:val="20"/>
        </w:rPr>
      </w:pPr>
    </w:p>
    <w:p>
      <w:pPr>
        <w:spacing w:line="360" w:lineRule="auto"/>
        <w:jc w:val="center"/>
        <w:rPr>
          <w:rFonts w:ascii="宋体" w:hAnsi="宋体" w:cs="宋体"/>
          <w:b/>
          <w:sz w:val="44"/>
          <w:szCs w:val="44"/>
        </w:rPr>
      </w:pPr>
      <w:r>
        <w:rPr>
          <w:rFonts w:hint="eastAsia" w:ascii="宋体" w:hAnsi="宋体" w:cs="宋体"/>
          <w:b/>
          <w:sz w:val="44"/>
          <w:szCs w:val="44"/>
        </w:rPr>
        <w:t xml:space="preserve"> </w:t>
      </w:r>
    </w:p>
    <w:p>
      <w:pPr>
        <w:spacing w:line="360" w:lineRule="auto"/>
        <w:jc w:val="center"/>
        <w:rPr>
          <w:rFonts w:ascii="宋体" w:hAnsi="宋体" w:cs="宋体"/>
          <w:b/>
          <w:sz w:val="44"/>
          <w:szCs w:val="4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32"/>
          <w:szCs w:val="32"/>
        </w:rPr>
      </w:pPr>
    </w:p>
    <w:p>
      <w:pPr>
        <w:snapToGrid w:val="0"/>
        <w:spacing w:line="360" w:lineRule="auto"/>
        <w:jc w:val="center"/>
        <w:rPr>
          <w:rFonts w:ascii="宋体" w:hAnsi="宋体" w:cs="宋体"/>
          <w:sz w:val="32"/>
          <w:szCs w:val="32"/>
        </w:rPr>
      </w:pPr>
      <w:r>
        <w:rPr>
          <w:rFonts w:hint="eastAsia" w:ascii="宋体" w:hAnsi="宋体" w:cs="宋体"/>
          <w:sz w:val="32"/>
          <w:szCs w:val="32"/>
        </w:rPr>
        <w:t>北海市卫生学校</w:t>
      </w:r>
    </w:p>
    <w:p>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pPr>
        <w:snapToGrid w:val="0"/>
        <w:spacing w:line="360" w:lineRule="auto"/>
        <w:jc w:val="center"/>
        <w:rPr>
          <w:rFonts w:ascii="宋体" w:hAnsi="宋体" w:cs="宋体"/>
          <w:bCs/>
          <w:sz w:val="32"/>
          <w:szCs w:val="32"/>
        </w:rPr>
      </w:pPr>
      <w:r>
        <w:rPr>
          <w:rFonts w:hint="eastAsia" w:ascii="宋体" w:hAnsi="宋体" w:cs="宋体"/>
          <w:bCs/>
          <w:sz w:val="32"/>
          <w:szCs w:val="32"/>
        </w:rPr>
        <w:t>二〇二五年十月</w:t>
      </w:r>
      <w:r>
        <w:rPr>
          <w:rFonts w:hint="eastAsia" w:ascii="宋体" w:hAnsi="宋体" w:cs="宋体"/>
          <w:bCs/>
          <w:sz w:val="32"/>
          <w:szCs w:val="32"/>
          <w:lang w:eastAsia="zh-CN"/>
        </w:rPr>
        <w:t>十四</w:t>
      </w:r>
      <w:bookmarkStart w:id="446" w:name="_GoBack"/>
      <w:bookmarkEnd w:id="446"/>
      <w:r>
        <w:rPr>
          <w:rFonts w:hint="eastAsia" w:ascii="宋体" w:hAnsi="宋体" w:cs="宋体"/>
          <w:bCs/>
          <w:sz w:val="32"/>
          <w:szCs w:val="32"/>
        </w:rPr>
        <w:t>日</w:t>
      </w:r>
    </w:p>
    <w:p>
      <w:pPr>
        <w:spacing w:line="360" w:lineRule="auto"/>
        <w:jc w:val="center"/>
        <w:rPr>
          <w:rFonts w:ascii="宋体" w:hAnsi="宋体" w:cs="宋体"/>
          <w:sz w:val="24"/>
        </w:rPr>
      </w:pPr>
      <w:r>
        <w:rPr>
          <w:rFonts w:hint="eastAsia" w:ascii="宋体" w:hAnsi="宋体" w:cs="宋体"/>
          <w:sz w:val="24"/>
        </w:rPr>
        <w:br w:type="page"/>
      </w:r>
      <w:bookmarkStart w:id="5" w:name="_Hlt67893495"/>
      <w:bookmarkEnd w:id="5"/>
    </w:p>
    <w:p>
      <w:pPr>
        <w:spacing w:line="360" w:lineRule="auto"/>
        <w:jc w:val="center"/>
        <w:rPr>
          <w:rFonts w:ascii="宋体" w:hAnsi="宋体" w:cs="宋体"/>
          <w:sz w:val="24"/>
        </w:rPr>
      </w:pPr>
    </w:p>
    <w:p>
      <w:pPr>
        <w:spacing w:line="360" w:lineRule="auto"/>
        <w:jc w:val="center"/>
        <w:rPr>
          <w:rFonts w:ascii="宋体" w:hAnsi="宋体" w:cs="宋体"/>
          <w:b/>
          <w:sz w:val="48"/>
          <w:szCs w:val="48"/>
        </w:rPr>
      </w:pPr>
      <w:r>
        <w:rPr>
          <w:rFonts w:hint="eastAsia" w:ascii="宋体" w:hAnsi="宋体" w:cs="宋体"/>
          <w:b/>
          <w:sz w:val="48"/>
          <w:szCs w:val="48"/>
        </w:rPr>
        <w:t>目  录</w:t>
      </w:r>
    </w:p>
    <w:p>
      <w:pPr>
        <w:spacing w:line="360" w:lineRule="auto"/>
        <w:rPr>
          <w:rFonts w:ascii="宋体" w:hAnsi="宋体" w:cs="宋体"/>
          <w:sz w:val="32"/>
          <w:szCs w:val="32"/>
        </w:rPr>
      </w:pPr>
    </w:p>
    <w:p>
      <w:pPr>
        <w:spacing w:line="360" w:lineRule="auto"/>
        <w:rPr>
          <w:rFonts w:ascii="宋体" w:hAnsi="宋体" w:cs="宋体"/>
          <w:sz w:val="32"/>
          <w:szCs w:val="32"/>
        </w:rPr>
      </w:pPr>
    </w:p>
    <w:p>
      <w:pPr>
        <w:pStyle w:val="42"/>
        <w:tabs>
          <w:tab w:val="right" w:leader="dot" w:pos="9060"/>
        </w:tabs>
        <w:spacing w:line="360" w:lineRule="auto"/>
        <w:rPr>
          <w:rFonts w:ascii="宋体" w:hAnsi="宋体" w:cstheme="minorBidi"/>
          <w:sz w:val="32"/>
          <w:szCs w:val="32"/>
        </w:rPr>
      </w:pPr>
      <w:bookmarkStart w:id="6" w:name="_Hlt91233176"/>
      <w:bookmarkEnd w:id="6"/>
      <w:bookmarkStart w:id="7" w:name="_Toc91899869"/>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r>
        <w:fldChar w:fldCharType="begin"/>
      </w:r>
      <w:r>
        <w:instrText xml:space="preserve"> HYPERLINK \l "_Toc176343848" </w:instrText>
      </w:r>
      <w:r>
        <w:fldChar w:fldCharType="separate"/>
      </w:r>
      <w:r>
        <w:rPr>
          <w:rStyle w:val="76"/>
          <w:rFonts w:hint="eastAsia" w:ascii="宋体" w:hAnsi="宋体" w:eastAsia="宋体" w:cs="宋体"/>
          <w:sz w:val="32"/>
          <w:szCs w:val="32"/>
        </w:rPr>
        <w:t>第一部分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42"/>
        <w:tabs>
          <w:tab w:val="right" w:leader="dot" w:pos="9060"/>
        </w:tabs>
        <w:spacing w:line="360" w:lineRule="auto"/>
        <w:rPr>
          <w:rFonts w:ascii="宋体" w:hAnsi="宋体" w:cstheme="minorBidi"/>
          <w:sz w:val="32"/>
          <w:szCs w:val="32"/>
        </w:rPr>
      </w:pPr>
      <w:r>
        <w:fldChar w:fldCharType="begin"/>
      </w:r>
      <w:r>
        <w:instrText xml:space="preserve"> HYPERLINK \l "_Toc176343849" </w:instrText>
      </w:r>
      <w:r>
        <w:fldChar w:fldCharType="separate"/>
      </w:r>
      <w:r>
        <w:rPr>
          <w:rStyle w:val="76"/>
          <w:rFonts w:hint="eastAsia" w:ascii="宋体" w:hAnsi="宋体" w:eastAsia="宋体" w:cs="宋体"/>
          <w:sz w:val="32"/>
          <w:szCs w:val="32"/>
        </w:rPr>
        <w:t>第二部分</w:t>
      </w:r>
      <w:r>
        <w:rPr>
          <w:rStyle w:val="76"/>
          <w:rFonts w:ascii="宋体" w:hAnsi="宋体" w:eastAsia="宋体" w:cs="宋体"/>
          <w:sz w:val="32"/>
          <w:szCs w:val="32"/>
        </w:rPr>
        <w:t xml:space="preserve">  </w:t>
      </w:r>
      <w:r>
        <w:rPr>
          <w:rStyle w:val="76"/>
          <w:rFonts w:hint="eastAsia" w:ascii="宋体" w:hAnsi="宋体" w:eastAsia="宋体" w:cs="宋体"/>
          <w:sz w:val="32"/>
          <w:szCs w:val="32"/>
        </w:rPr>
        <w:t>投标人须知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_Toc176343849 \h </w:instrText>
      </w:r>
      <w:r>
        <w:rPr>
          <w:rFonts w:ascii="宋体" w:hAnsi="宋体"/>
          <w:sz w:val="32"/>
          <w:szCs w:val="32"/>
        </w:rPr>
        <w:fldChar w:fldCharType="separate"/>
      </w:r>
      <w:r>
        <w:rPr>
          <w:rFonts w:ascii="宋体" w:hAnsi="宋体"/>
          <w:sz w:val="32"/>
          <w:szCs w:val="32"/>
        </w:rPr>
        <w:t>6</w:t>
      </w:r>
      <w:r>
        <w:rPr>
          <w:rFonts w:ascii="宋体" w:hAnsi="宋体"/>
          <w:sz w:val="32"/>
          <w:szCs w:val="32"/>
        </w:rPr>
        <w:fldChar w:fldCharType="end"/>
      </w:r>
      <w:r>
        <w:rPr>
          <w:rFonts w:ascii="宋体" w:hAnsi="宋体"/>
          <w:sz w:val="32"/>
          <w:szCs w:val="32"/>
        </w:rPr>
        <w:fldChar w:fldCharType="end"/>
      </w:r>
    </w:p>
    <w:p>
      <w:pPr>
        <w:pStyle w:val="42"/>
        <w:tabs>
          <w:tab w:val="right" w:leader="dot" w:pos="9060"/>
        </w:tabs>
        <w:spacing w:line="360" w:lineRule="auto"/>
        <w:rPr>
          <w:rFonts w:ascii="宋体" w:hAnsi="宋体" w:cstheme="minorBidi"/>
          <w:sz w:val="32"/>
          <w:szCs w:val="32"/>
        </w:rPr>
      </w:pPr>
      <w:r>
        <w:fldChar w:fldCharType="begin"/>
      </w:r>
      <w:r>
        <w:instrText xml:space="preserve"> HYPERLINK \l "_Toc176343850" </w:instrText>
      </w:r>
      <w:r>
        <w:fldChar w:fldCharType="separate"/>
      </w:r>
      <w:r>
        <w:rPr>
          <w:rStyle w:val="76"/>
          <w:rFonts w:hint="eastAsia" w:ascii="宋体" w:hAnsi="宋体" w:eastAsia="宋体" w:cs="宋体"/>
          <w:sz w:val="32"/>
          <w:szCs w:val="32"/>
        </w:rPr>
        <w:t>第三部分</w:t>
      </w:r>
      <w:r>
        <w:rPr>
          <w:rStyle w:val="76"/>
          <w:rFonts w:ascii="宋体" w:hAnsi="宋体" w:eastAsia="宋体" w:cs="宋体"/>
          <w:sz w:val="32"/>
          <w:szCs w:val="32"/>
        </w:rPr>
        <w:t xml:space="preserve">  </w:t>
      </w:r>
      <w:r>
        <w:rPr>
          <w:rStyle w:val="76"/>
          <w:rFonts w:hint="eastAsia" w:ascii="宋体" w:hAnsi="宋体" w:eastAsia="宋体" w:cs="宋体"/>
          <w:sz w:val="32"/>
          <w:szCs w:val="32"/>
        </w:rPr>
        <w:t>采购需求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_Toc176343850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pStyle w:val="42"/>
        <w:tabs>
          <w:tab w:val="right" w:leader="dot" w:pos="9060"/>
        </w:tabs>
        <w:spacing w:line="360" w:lineRule="auto"/>
        <w:rPr>
          <w:rFonts w:ascii="宋体" w:hAnsi="宋体" w:cstheme="minorBidi"/>
          <w:sz w:val="32"/>
          <w:szCs w:val="32"/>
        </w:rPr>
      </w:pPr>
      <w:r>
        <w:fldChar w:fldCharType="begin"/>
      </w:r>
      <w:r>
        <w:instrText xml:space="preserve"> HYPERLINK \l "_Toc176343851" </w:instrText>
      </w:r>
      <w:r>
        <w:fldChar w:fldCharType="separate"/>
      </w:r>
      <w:r>
        <w:rPr>
          <w:rStyle w:val="76"/>
          <w:rFonts w:hint="eastAsia" w:ascii="宋体" w:hAnsi="宋体" w:eastAsia="宋体" w:cs="宋体"/>
          <w:sz w:val="32"/>
          <w:szCs w:val="32"/>
        </w:rPr>
        <w:t>第四部分</w:t>
      </w:r>
      <w:r>
        <w:rPr>
          <w:rStyle w:val="76"/>
          <w:rFonts w:ascii="宋体" w:hAnsi="宋体" w:eastAsia="宋体" w:cs="宋体"/>
          <w:sz w:val="32"/>
          <w:szCs w:val="32"/>
        </w:rPr>
        <w:t xml:space="preserve">  </w:t>
      </w:r>
      <w:r>
        <w:rPr>
          <w:rStyle w:val="76"/>
          <w:rFonts w:hint="eastAsia" w:ascii="宋体" w:hAnsi="宋体" w:eastAsia="宋体" w:cs="宋体"/>
          <w:sz w:val="32"/>
          <w:szCs w:val="32"/>
        </w:rPr>
        <w:t>评标办法</w:t>
      </w:r>
      <w:r>
        <w:rPr>
          <w:rFonts w:ascii="宋体" w:hAnsi="宋体"/>
          <w:sz w:val="32"/>
          <w:szCs w:val="32"/>
        </w:rPr>
        <w:tab/>
      </w:r>
      <w:r>
        <w:rPr>
          <w:rFonts w:hint="eastAsia" w:ascii="宋体" w:hAnsi="宋体"/>
          <w:sz w:val="32"/>
          <w:szCs w:val="32"/>
        </w:rPr>
        <w:t>3</w:t>
      </w:r>
      <w:r>
        <w:rPr>
          <w:rFonts w:hint="eastAsia" w:ascii="宋体" w:hAnsi="宋体"/>
          <w:sz w:val="32"/>
          <w:szCs w:val="32"/>
        </w:rPr>
        <w:fldChar w:fldCharType="end"/>
      </w:r>
      <w:r>
        <w:rPr>
          <w:rFonts w:hint="eastAsia" w:ascii="宋体" w:hAnsi="宋体"/>
          <w:sz w:val="32"/>
          <w:szCs w:val="32"/>
        </w:rPr>
        <w:t>4</w:t>
      </w:r>
    </w:p>
    <w:p>
      <w:pPr>
        <w:pStyle w:val="42"/>
        <w:tabs>
          <w:tab w:val="right" w:leader="dot" w:pos="9060"/>
        </w:tabs>
        <w:spacing w:line="360" w:lineRule="auto"/>
        <w:rPr>
          <w:rFonts w:ascii="宋体" w:hAnsi="宋体" w:cstheme="minorBidi"/>
          <w:sz w:val="32"/>
          <w:szCs w:val="32"/>
        </w:rPr>
      </w:pPr>
      <w:r>
        <w:fldChar w:fldCharType="begin"/>
      </w:r>
      <w:r>
        <w:instrText xml:space="preserve"> HYPERLINK \l "_Toc176343852" </w:instrText>
      </w:r>
      <w:r>
        <w:fldChar w:fldCharType="separate"/>
      </w:r>
      <w:r>
        <w:rPr>
          <w:rStyle w:val="76"/>
          <w:rFonts w:hint="eastAsia" w:ascii="宋体" w:hAnsi="宋体" w:eastAsia="宋体" w:cs="宋体"/>
          <w:sz w:val="32"/>
          <w:szCs w:val="32"/>
        </w:rPr>
        <w:t>第五部分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拟签订的合同文本</w:t>
      </w:r>
      <w:r>
        <w:rPr>
          <w:rFonts w:ascii="宋体" w:hAnsi="宋体"/>
          <w:sz w:val="32"/>
          <w:szCs w:val="32"/>
        </w:rPr>
        <w:tab/>
      </w:r>
      <w:r>
        <w:rPr>
          <w:rFonts w:hint="eastAsia" w:ascii="宋体" w:hAnsi="宋体"/>
          <w:sz w:val="32"/>
          <w:szCs w:val="32"/>
        </w:rPr>
        <w:t>4</w:t>
      </w:r>
      <w:r>
        <w:rPr>
          <w:rFonts w:hint="eastAsia" w:ascii="宋体" w:hAnsi="宋体"/>
          <w:sz w:val="32"/>
          <w:szCs w:val="32"/>
        </w:rPr>
        <w:fldChar w:fldCharType="end"/>
      </w:r>
      <w:r>
        <w:rPr>
          <w:rFonts w:hint="eastAsia" w:ascii="宋体" w:hAnsi="宋体"/>
          <w:sz w:val="32"/>
          <w:szCs w:val="32"/>
        </w:rPr>
        <w:t>1</w:t>
      </w:r>
    </w:p>
    <w:p>
      <w:pPr>
        <w:pStyle w:val="42"/>
        <w:tabs>
          <w:tab w:val="right" w:leader="dot" w:pos="9060"/>
        </w:tabs>
        <w:spacing w:line="360" w:lineRule="auto"/>
        <w:rPr>
          <w:rFonts w:ascii="宋体" w:hAnsi="宋体" w:cstheme="minorBidi"/>
          <w:sz w:val="32"/>
          <w:szCs w:val="32"/>
        </w:rPr>
      </w:pPr>
      <w:r>
        <w:fldChar w:fldCharType="begin"/>
      </w:r>
      <w:r>
        <w:instrText xml:space="preserve"> HYPERLINK \l "_Toc176343853" </w:instrText>
      </w:r>
      <w:r>
        <w:fldChar w:fldCharType="separate"/>
      </w:r>
      <w:r>
        <w:rPr>
          <w:rStyle w:val="76"/>
          <w:rFonts w:hint="eastAsia" w:ascii="宋体" w:hAnsi="宋体" w:eastAsia="宋体" w:cs="宋体"/>
          <w:sz w:val="32"/>
          <w:szCs w:val="32"/>
        </w:rPr>
        <w:t>第六部分</w:t>
      </w:r>
      <w:r>
        <w:rPr>
          <w:rStyle w:val="76"/>
          <w:rFonts w:ascii="宋体" w:hAnsi="宋体" w:eastAsia="宋体" w:cs="宋体"/>
          <w:sz w:val="32"/>
          <w:szCs w:val="32"/>
        </w:rPr>
        <w:t xml:space="preserve">  </w:t>
      </w:r>
      <w:r>
        <w:rPr>
          <w:rStyle w:val="76"/>
          <w:rFonts w:hint="eastAsia" w:ascii="宋体" w:hAnsi="宋体" w:eastAsia="宋体" w:cs="宋体"/>
          <w:sz w:val="32"/>
          <w:szCs w:val="32"/>
        </w:rPr>
        <w:t>应提交的有关格式范例</w:t>
      </w:r>
      <w:r>
        <w:rPr>
          <w:rFonts w:ascii="宋体" w:hAnsi="宋体"/>
          <w:sz w:val="32"/>
          <w:szCs w:val="32"/>
        </w:rPr>
        <w:tab/>
      </w:r>
      <w:r>
        <w:rPr>
          <w:rFonts w:ascii="宋体" w:hAnsi="宋体"/>
          <w:sz w:val="32"/>
          <w:szCs w:val="32"/>
        </w:rPr>
        <w:fldChar w:fldCharType="end"/>
      </w:r>
      <w:r>
        <w:rPr>
          <w:rFonts w:hint="eastAsia" w:ascii="宋体" w:hAnsi="宋体"/>
          <w:sz w:val="32"/>
          <w:szCs w:val="32"/>
        </w:rPr>
        <w:t>59</w:t>
      </w:r>
    </w:p>
    <w:p>
      <w:pPr>
        <w:spacing w:line="360" w:lineRule="auto"/>
        <w:ind w:firstLine="732" w:firstLineChars="229"/>
        <w:rPr>
          <w:rFonts w:ascii="宋体" w:hAnsi="宋体" w:cs="宋体"/>
          <w:sz w:val="32"/>
          <w:szCs w:val="32"/>
        </w:rPr>
      </w:pPr>
      <w:r>
        <w:rPr>
          <w:rFonts w:ascii="宋体" w:hAnsi="宋体" w:cs="宋体"/>
          <w:sz w:val="32"/>
          <w:szCs w:val="32"/>
        </w:rPr>
        <w:fldChar w:fldCharType="end"/>
      </w: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rPr>
          <w:rFonts w:ascii="宋体" w:hAnsi="宋体" w:cs="宋体"/>
          <w:sz w:val="24"/>
        </w:rPr>
      </w:pPr>
    </w:p>
    <w:p>
      <w:pPr>
        <w:adjustRightInd/>
        <w:spacing w:line="360" w:lineRule="auto"/>
        <w:jc w:val="center"/>
        <w:outlineLvl w:val="0"/>
        <w:rPr>
          <w:rFonts w:ascii="宋体" w:hAnsi="宋体" w:cs="宋体"/>
          <w:b/>
          <w:sz w:val="36"/>
          <w:szCs w:val="20"/>
        </w:rPr>
      </w:pPr>
      <w:bookmarkStart w:id="8" w:name="第一部分"/>
      <w:r>
        <w:rPr>
          <w:rFonts w:hint="eastAsia" w:ascii="宋体" w:hAnsi="宋体" w:cs="宋体"/>
          <w:b/>
          <w:sz w:val="36"/>
          <w:szCs w:val="36"/>
        </w:rPr>
        <w:br w:type="page"/>
      </w:r>
      <w:bookmarkEnd w:id="7"/>
      <w:bookmarkEnd w:id="8"/>
      <w:bookmarkStart w:id="9" w:name="_Hlt74728647"/>
      <w:bookmarkEnd w:id="9"/>
      <w:bookmarkStart w:id="10" w:name="_Hlt74729822"/>
      <w:bookmarkEnd w:id="10"/>
      <w:bookmarkStart w:id="11" w:name="_Hlt74707423"/>
      <w:bookmarkEnd w:id="11"/>
      <w:bookmarkStart w:id="12" w:name="_Hlt74649545"/>
      <w:bookmarkEnd w:id="12"/>
      <w:bookmarkStart w:id="13" w:name="_Toc176343848"/>
      <w:bookmarkStart w:id="14" w:name="_Toc176185119"/>
      <w:bookmarkStart w:id="15" w:name="第二部分"/>
      <w:bookmarkStart w:id="16" w:name="_Toc91899870"/>
      <w:bookmarkStart w:id="17" w:name="_Toc91899871"/>
      <w:r>
        <w:rPr>
          <w:rFonts w:hint="eastAsia" w:ascii="宋体" w:hAnsi="宋体" w:cs="宋体"/>
          <w:b/>
          <w:sz w:val="36"/>
          <w:szCs w:val="20"/>
        </w:rPr>
        <w:t>第一部分  招标公告</w:t>
      </w:r>
      <w:bookmarkEnd w:id="13"/>
      <w:bookmarkEnd w:id="14"/>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u w:val="single"/>
        </w:rPr>
      </w:pPr>
      <w:r>
        <w:rPr>
          <w:rFonts w:hint="eastAsia" w:cs="仿宋_GB2312" w:asciiTheme="minorEastAsia" w:hAnsiTheme="minorEastAsia" w:eastAsiaTheme="minorEastAsia"/>
          <w:sz w:val="24"/>
          <w:u w:val="single"/>
        </w:rPr>
        <w:t>建设数字化校园</w:t>
      </w:r>
      <w:r>
        <w:rPr>
          <w:rFonts w:hint="eastAsia" w:asciiTheme="minorEastAsia" w:hAnsiTheme="minorEastAsia" w:eastAsiaTheme="minorEastAsia"/>
          <w:sz w:val="24"/>
        </w:rPr>
        <w:t>招标项目的潜在投标人应在</w:t>
      </w:r>
      <w:r>
        <w:rPr>
          <w:rFonts w:hint="eastAsia" w:ascii="宋体" w:hAnsi="宋体" w:cs="宋体"/>
          <w:sz w:val="24"/>
        </w:rPr>
        <w:t>广西政府采购云平台（</w:t>
      </w:r>
      <w:r>
        <w:fldChar w:fldCharType="begin"/>
      </w:r>
      <w:r>
        <w:instrText xml:space="preserve"> HYPERLINK "https://www.gcy.zfcg.gxzf.gov.cn/）获取（下载）招标文件，并于2025年10月" </w:instrText>
      </w:r>
      <w:r>
        <w:fldChar w:fldCharType="separate"/>
      </w:r>
      <w:r>
        <w:rPr>
          <w:rStyle w:val="76"/>
          <w:rFonts w:hint="eastAsia" w:ascii="宋体" w:hAnsi="宋体" w:eastAsia="宋体" w:cs="宋体"/>
          <w:snapToGrid/>
          <w:kern w:val="2"/>
          <w:sz w:val="24"/>
          <w:szCs w:val="24"/>
        </w:rPr>
        <w:t>https://www.gcy.zfcg.gxzf.gov.cn/）</w:t>
      </w:r>
      <w:r>
        <w:rPr>
          <w:rStyle w:val="76"/>
          <w:rFonts w:cs="Times New Roman" w:asciiTheme="minorEastAsia" w:hAnsiTheme="minorEastAsia" w:eastAsiaTheme="minorEastAsia"/>
          <w:snapToGrid/>
          <w:kern w:val="2"/>
          <w:sz w:val="24"/>
          <w:szCs w:val="24"/>
        </w:rPr>
        <w:t>获取（下载）招标文件，并于</w:t>
      </w:r>
      <w:r>
        <w:rPr>
          <w:rStyle w:val="76"/>
          <w:rFonts w:hint="eastAsia" w:cs="Times New Roman" w:asciiTheme="minorEastAsia" w:hAnsiTheme="minorEastAsia" w:eastAsiaTheme="minorEastAsia"/>
          <w:snapToGrid/>
          <w:kern w:val="2"/>
          <w:sz w:val="24"/>
          <w:szCs w:val="24"/>
        </w:rPr>
        <w:t>2025</w:t>
      </w:r>
      <w:r>
        <w:rPr>
          <w:rStyle w:val="76"/>
          <w:rFonts w:cs="Times New Roman" w:asciiTheme="minorEastAsia" w:hAnsiTheme="minorEastAsia" w:eastAsiaTheme="minorEastAsia"/>
          <w:snapToGrid/>
          <w:kern w:val="2"/>
          <w:sz w:val="24"/>
          <w:szCs w:val="24"/>
        </w:rPr>
        <w:t>年</w:t>
      </w:r>
      <w:r>
        <w:rPr>
          <w:rStyle w:val="76"/>
          <w:rFonts w:hint="eastAsia" w:cs="Times New Roman" w:asciiTheme="minorEastAsia" w:hAnsiTheme="minorEastAsia" w:eastAsiaTheme="minorEastAsia"/>
          <w:snapToGrid/>
          <w:kern w:val="2"/>
          <w:sz w:val="24"/>
          <w:szCs w:val="24"/>
        </w:rPr>
        <w:t>1</w:t>
      </w:r>
      <w:r>
        <w:rPr>
          <w:rStyle w:val="76"/>
          <w:rFonts w:hint="eastAsia" w:cs="Times New Roman" w:asciiTheme="minorEastAsia" w:hAnsiTheme="minorEastAsia" w:eastAsiaTheme="minorEastAsia"/>
          <w:snapToGrid/>
          <w:kern w:val="2"/>
          <w:sz w:val="24"/>
          <w:szCs w:val="24"/>
          <w:lang w:val="en-US" w:eastAsia="zh-CN"/>
        </w:rPr>
        <w:t>1</w:t>
      </w:r>
      <w:r>
        <w:rPr>
          <w:rStyle w:val="76"/>
          <w:rFonts w:cs="Times New Roman" w:asciiTheme="minorEastAsia" w:hAnsiTheme="minorEastAsia" w:eastAsiaTheme="minorEastAsia"/>
          <w:snapToGrid/>
          <w:kern w:val="2"/>
          <w:sz w:val="24"/>
          <w:szCs w:val="24"/>
        </w:rPr>
        <w:t>月</w:t>
      </w:r>
      <w:r>
        <w:rPr>
          <w:rStyle w:val="76"/>
          <w:rFonts w:cs="Times New Roman" w:asciiTheme="minorEastAsia" w:hAnsiTheme="minorEastAsia" w:eastAsiaTheme="minorEastAsia"/>
          <w:snapToGrid/>
          <w:kern w:val="2"/>
          <w:sz w:val="24"/>
          <w:szCs w:val="24"/>
        </w:rPr>
        <w:fldChar w:fldCharType="end"/>
      </w:r>
      <w:r>
        <w:rPr>
          <w:rStyle w:val="76"/>
          <w:rFonts w:hint="eastAsia" w:cs="Times New Roman" w:asciiTheme="minorEastAsia" w:hAnsiTheme="minorEastAsia" w:eastAsiaTheme="minorEastAsia"/>
          <w:snapToGrid/>
          <w:kern w:val="2"/>
          <w:sz w:val="24"/>
          <w:szCs w:val="24"/>
          <w:lang w:val="en-US" w:eastAsia="zh-CN"/>
        </w:rPr>
        <w:t>5</w:t>
      </w:r>
      <w:r>
        <w:rPr>
          <w:rFonts w:hint="eastAsia" w:asciiTheme="minorEastAsia" w:hAnsiTheme="minorEastAsia" w:eastAsiaTheme="minorEastAsia"/>
          <w:sz w:val="24"/>
        </w:rPr>
        <w:t>日9点00分</w:t>
      </w:r>
      <w:r>
        <w:rPr>
          <w:rFonts w:hint="eastAsia" w:asciiTheme="minorEastAsia" w:hAnsiTheme="minorEastAsia" w:eastAsiaTheme="minorEastAsia"/>
          <w:bCs/>
          <w:sz w:val="24"/>
        </w:rPr>
        <w:t>00秒（北京时间）前</w:t>
      </w:r>
      <w:r>
        <w:rPr>
          <w:rFonts w:hint="eastAsia" w:asciiTheme="minorEastAsia" w:hAnsiTheme="minorEastAsia" w:eastAsiaTheme="minorEastAsia"/>
          <w:sz w:val="24"/>
        </w:rPr>
        <w:t>递交（上传）投标文件。</w:t>
      </w:r>
    </w:p>
    <w:p>
      <w:pPr>
        <w:spacing w:line="360" w:lineRule="auto"/>
        <w:rPr>
          <w:rFonts w:ascii="宋体" w:hAnsi="宋体" w:cs="宋体"/>
          <w:b/>
          <w:sz w:val="24"/>
        </w:rPr>
      </w:pPr>
      <w:r>
        <w:rPr>
          <w:rFonts w:hint="eastAsia" w:ascii="宋体" w:hAnsi="宋体" w:cs="宋体"/>
          <w:b/>
          <w:sz w:val="24"/>
        </w:rPr>
        <w:t xml:space="preserve">一、项目基本情况                                            </w:t>
      </w:r>
    </w:p>
    <w:p>
      <w:pPr>
        <w:spacing w:line="360" w:lineRule="auto"/>
        <w:ind w:firstLine="480"/>
        <w:rPr>
          <w:rFonts w:hint="eastAsia" w:ascii="宋体" w:hAnsi="宋体" w:cs="宋体"/>
          <w:sz w:val="24"/>
        </w:rPr>
      </w:pPr>
      <w:r>
        <w:rPr>
          <w:rFonts w:hint="eastAsia" w:ascii="宋体" w:hAnsi="宋体" w:cs="宋体"/>
          <w:sz w:val="24"/>
        </w:rPr>
        <w:t>项目编号：</w:t>
      </w:r>
    </w:p>
    <w:p>
      <w:pPr>
        <w:spacing w:line="360" w:lineRule="auto"/>
        <w:rPr>
          <w:rFonts w:ascii="宋体" w:hAnsi="宋体" w:cs="宋体"/>
          <w:sz w:val="24"/>
        </w:rPr>
      </w:pPr>
      <w:r>
        <w:rPr>
          <w:rFonts w:hint="eastAsia" w:ascii="宋体" w:hAnsi="宋体" w:cs="宋体"/>
          <w:sz w:val="24"/>
        </w:rPr>
        <w:t xml:space="preserve">    项目名称：建设数字化校园</w:t>
      </w:r>
    </w:p>
    <w:p>
      <w:pPr>
        <w:spacing w:line="360" w:lineRule="auto"/>
        <w:rPr>
          <w:rFonts w:ascii="宋体" w:hAnsi="宋体" w:cs="宋体"/>
          <w:sz w:val="24"/>
        </w:rPr>
      </w:pPr>
      <w:r>
        <w:rPr>
          <w:rFonts w:hint="eastAsia" w:ascii="宋体" w:hAnsi="宋体" w:cs="宋体"/>
          <w:sz w:val="24"/>
        </w:rPr>
        <w:t xml:space="preserve">    预算总金额（元）：507,000.00</w:t>
      </w:r>
    </w:p>
    <w:p>
      <w:pPr>
        <w:spacing w:line="360" w:lineRule="auto"/>
        <w:ind w:firstLine="480"/>
        <w:rPr>
          <w:rFonts w:ascii="宋体" w:hAnsi="宋体" w:cs="宋体"/>
          <w:sz w:val="24"/>
        </w:rPr>
      </w:pPr>
      <w:r>
        <w:rPr>
          <w:rFonts w:hint="eastAsia" w:ascii="宋体" w:hAnsi="宋体" w:cs="宋体"/>
          <w:sz w:val="24"/>
        </w:rPr>
        <w:t>采购需求：</w:t>
      </w:r>
    </w:p>
    <w:p>
      <w:pPr>
        <w:spacing w:line="360" w:lineRule="auto"/>
        <w:ind w:firstLine="480"/>
        <w:rPr>
          <w:rFonts w:ascii="宋体" w:hAnsi="宋体" w:cs="宋体"/>
          <w:sz w:val="24"/>
        </w:rPr>
      </w:pPr>
      <w:r>
        <w:rPr>
          <w:rFonts w:hint="eastAsia" w:ascii="宋体" w:hAnsi="宋体" w:cs="宋体"/>
          <w:sz w:val="24"/>
        </w:rPr>
        <w:t>标项名称: 建设数字化校园</w:t>
      </w:r>
    </w:p>
    <w:p>
      <w:pPr>
        <w:spacing w:line="360" w:lineRule="auto"/>
        <w:ind w:firstLine="480"/>
        <w:rPr>
          <w:rFonts w:ascii="宋体" w:hAnsi="宋体" w:cs="宋体"/>
          <w:sz w:val="24"/>
        </w:rPr>
      </w:pPr>
      <w:r>
        <w:rPr>
          <w:rFonts w:hint="eastAsia" w:ascii="宋体" w:hAnsi="宋体" w:cs="宋体"/>
          <w:sz w:val="24"/>
        </w:rPr>
        <w:t>数量:1</w:t>
      </w:r>
    </w:p>
    <w:p>
      <w:pPr>
        <w:spacing w:line="360" w:lineRule="auto"/>
        <w:ind w:firstLine="480"/>
        <w:rPr>
          <w:rFonts w:ascii="宋体" w:hAnsi="宋体" w:cs="宋体"/>
          <w:sz w:val="24"/>
        </w:rPr>
      </w:pPr>
      <w:r>
        <w:rPr>
          <w:rFonts w:hint="eastAsia" w:ascii="宋体" w:hAnsi="宋体" w:cs="宋体"/>
          <w:sz w:val="24"/>
        </w:rPr>
        <w:t>预算金额（元）:507,000.00</w:t>
      </w:r>
    </w:p>
    <w:p>
      <w:pPr>
        <w:spacing w:line="360" w:lineRule="auto"/>
        <w:ind w:firstLine="480"/>
        <w:rPr>
          <w:rFonts w:ascii="宋体" w:hAnsi="宋体" w:cs="宋体"/>
          <w:sz w:val="24"/>
          <w:highlight w:val="none"/>
        </w:rPr>
      </w:pPr>
      <w:r>
        <w:rPr>
          <w:rFonts w:hint="eastAsia" w:ascii="宋体" w:hAnsi="宋体" w:cs="宋体"/>
          <w:sz w:val="24"/>
          <w:highlight w:val="none"/>
        </w:rPr>
        <w:t>简要规格描述或项目基本概况介绍、用途：网络教室教师机2台，网络教室学生机98台</w:t>
      </w:r>
      <w:r>
        <w:rPr>
          <w:rFonts w:hint="eastAsia" w:ascii="宋体" w:hAnsi="宋体" w:cs="宋体"/>
          <w:sz w:val="24"/>
          <w:highlight w:val="none"/>
          <w:lang w:eastAsia="zh-CN"/>
        </w:rPr>
        <w:t>及配套教学管理软件和管理系统</w:t>
      </w:r>
      <w:r>
        <w:rPr>
          <w:rFonts w:hint="eastAsia" w:ascii="宋体" w:hAnsi="宋体" w:cs="宋体"/>
          <w:sz w:val="24"/>
          <w:highlight w:val="none"/>
        </w:rPr>
        <w:t>。详见招标文件。</w:t>
      </w:r>
    </w:p>
    <w:p>
      <w:pPr>
        <w:spacing w:line="360" w:lineRule="auto"/>
        <w:ind w:firstLine="480"/>
        <w:rPr>
          <w:rFonts w:ascii="宋体" w:hAnsi="宋体" w:cs="宋体"/>
          <w:sz w:val="24"/>
        </w:rPr>
      </w:pPr>
      <w:r>
        <w:rPr>
          <w:rFonts w:hint="eastAsia" w:ascii="宋体" w:hAnsi="宋体" w:cs="宋体"/>
          <w:sz w:val="24"/>
        </w:rPr>
        <w:t>最高限价（如有）：/</w:t>
      </w:r>
    </w:p>
    <w:p>
      <w:pPr>
        <w:spacing w:line="360" w:lineRule="auto"/>
        <w:ind w:firstLine="480"/>
        <w:rPr>
          <w:rFonts w:ascii="宋体" w:hAnsi="宋体" w:cs="宋体"/>
          <w:sz w:val="24"/>
        </w:rPr>
      </w:pPr>
      <w:r>
        <w:rPr>
          <w:rFonts w:hint="eastAsia" w:ascii="宋体" w:hAnsi="宋体" w:cs="宋体"/>
          <w:sz w:val="24"/>
        </w:rPr>
        <w:t>合同履约期限：详见招标文件。</w:t>
      </w:r>
    </w:p>
    <w:p>
      <w:pPr>
        <w:spacing w:line="360" w:lineRule="auto"/>
        <w:ind w:firstLine="480"/>
        <w:rPr>
          <w:rFonts w:ascii="宋体" w:hAnsi="宋体" w:cs="宋体"/>
          <w:sz w:val="24"/>
        </w:rPr>
      </w:pPr>
      <w:r>
        <w:rPr>
          <w:rFonts w:hint="eastAsia" w:ascii="宋体" w:hAnsi="宋体" w:cs="宋体"/>
          <w:sz w:val="24"/>
        </w:rPr>
        <w:t>本标项不接受联合体投标</w:t>
      </w:r>
    </w:p>
    <w:p>
      <w:pPr>
        <w:spacing w:line="360" w:lineRule="auto"/>
        <w:ind w:firstLine="480"/>
        <w:rPr>
          <w:rFonts w:ascii="宋体" w:hAnsi="宋体" w:cs="宋体"/>
          <w:sz w:val="24"/>
        </w:rPr>
      </w:pPr>
      <w:r>
        <w:rPr>
          <w:rFonts w:hint="eastAsia" w:ascii="宋体" w:hAnsi="宋体" w:cs="宋体"/>
          <w:sz w:val="24"/>
        </w:rPr>
        <w:t>备注：/。</w:t>
      </w:r>
    </w:p>
    <w:p>
      <w:pPr>
        <w:spacing w:line="360" w:lineRule="auto"/>
        <w:rPr>
          <w:rFonts w:ascii="宋体" w:hAnsi="宋体" w:cs="宋体"/>
          <w:b/>
          <w:sz w:val="24"/>
        </w:rPr>
      </w:pPr>
      <w:r>
        <w:rPr>
          <w:rFonts w:hint="eastAsia" w:ascii="宋体" w:hAnsi="宋体" w:cs="宋体"/>
          <w:b/>
          <w:sz w:val="24"/>
        </w:rPr>
        <w:t>二、</w:t>
      </w:r>
      <w:bookmarkStart w:id="18" w:name="_Hlk101132948"/>
      <w:r>
        <w:rPr>
          <w:rFonts w:hint="eastAsia" w:ascii="宋体" w:hAnsi="宋体" w:cs="宋体"/>
          <w:b/>
          <w:sz w:val="24"/>
        </w:rPr>
        <w:t>申请人的资格要求</w:t>
      </w:r>
      <w:bookmarkEnd w:id="18"/>
      <w:r>
        <w:rPr>
          <w:rFonts w:hint="eastAsia" w:ascii="宋体" w:hAnsi="宋体" w:cs="宋体"/>
          <w:b/>
          <w:sz w:val="24"/>
        </w:rPr>
        <w:t>：</w:t>
      </w:r>
    </w:p>
    <w:p>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w:t>
      </w:r>
      <w:r>
        <w:rPr>
          <w:rFonts w:ascii="宋体" w:hAnsi="宋体" w:cs="宋体"/>
          <w:snapToGrid w:val="0"/>
          <w:kern w:val="28"/>
          <w:sz w:val="24"/>
          <w:szCs w:val="20"/>
        </w:rPr>
        <w:t xml:space="preserve"> </w:t>
      </w:r>
    </w:p>
    <w:p>
      <w:pPr>
        <w:spacing w:line="360" w:lineRule="auto"/>
        <w:ind w:firstLine="480" w:firstLineChars="200"/>
        <w:rPr>
          <w:rFonts w:ascii="宋体" w:hAnsi="宋体" w:cs="宋体"/>
          <w:snapToGrid w:val="0"/>
          <w:kern w:val="28"/>
          <w:sz w:val="24"/>
          <w:szCs w:val="20"/>
        </w:rPr>
      </w:pPr>
      <w:r>
        <w:rPr>
          <w:rFonts w:hint="eastAsia" w:ascii="宋体" w:hAnsi="宋体" w:cs="宋体"/>
          <w:snapToGrid w:val="0"/>
          <w:kern w:val="28"/>
          <w:sz w:val="24"/>
          <w:szCs w:val="20"/>
        </w:rPr>
        <w:t>2.落实政府采购政策需满足的资格要求：无；</w:t>
      </w:r>
    </w:p>
    <w:p>
      <w:pPr>
        <w:spacing w:line="360" w:lineRule="auto"/>
        <w:ind w:firstLine="480" w:firstLineChars="200"/>
        <w:rPr>
          <w:rFonts w:ascii="宋体" w:hAnsi="宋体" w:cs="宋体"/>
          <w:sz w:val="24"/>
        </w:rPr>
      </w:pPr>
      <w:r>
        <w:rPr>
          <w:rFonts w:hint="eastAsia" w:ascii="宋体" w:hAnsi="宋体" w:cs="宋体"/>
          <w:sz w:val="24"/>
        </w:rPr>
        <w:t>3.本项目的特定资格要求：无。</w:t>
      </w:r>
    </w:p>
    <w:p>
      <w:pPr>
        <w:spacing w:line="360" w:lineRule="auto"/>
        <w:rPr>
          <w:rFonts w:ascii="宋体" w:hAnsi="宋体" w:cs="宋体"/>
          <w:b/>
          <w:sz w:val="24"/>
        </w:rPr>
      </w:pPr>
      <w:r>
        <w:rPr>
          <w:rFonts w:hint="eastAsia" w:ascii="宋体" w:hAnsi="宋体" w:cs="宋体"/>
          <w:b/>
          <w:sz w:val="24"/>
        </w:rPr>
        <w:t xml:space="preserve">三、获取招标文件 </w:t>
      </w:r>
    </w:p>
    <w:p>
      <w:pPr>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2025年10月</w:t>
      </w:r>
      <w:r>
        <w:rPr>
          <w:rFonts w:hint="eastAsia" w:ascii="宋体" w:hAnsi="宋体" w:cs="宋体"/>
          <w:sz w:val="24"/>
          <w:u w:val="single"/>
          <w:lang w:val="en-US" w:eastAsia="zh-CN"/>
        </w:rPr>
        <w:t>14</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2025年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21</w:t>
      </w:r>
      <w:r>
        <w:rPr>
          <w:rFonts w:hint="eastAsia" w:ascii="宋体" w:hAnsi="宋体" w:cs="宋体"/>
          <w:sz w:val="24"/>
          <w:u w:val="single"/>
        </w:rPr>
        <w:t>日</w:t>
      </w:r>
      <w:r>
        <w:rPr>
          <w:rFonts w:hint="eastAsia" w:ascii="宋体" w:hAnsi="宋体" w:cs="宋体"/>
          <w:sz w:val="24"/>
        </w:rPr>
        <w:t>，每天上午00:00至12:00 ，下午12:00至23:59（北京时间，法定节假日除外）</w:t>
      </w:r>
    </w:p>
    <w:p>
      <w:pPr>
        <w:spacing w:line="360" w:lineRule="auto"/>
        <w:ind w:firstLine="480" w:firstLineChars="200"/>
        <w:rPr>
          <w:rFonts w:ascii="宋体" w:hAnsi="宋体" w:cs="宋体"/>
          <w:sz w:val="24"/>
        </w:rPr>
      </w:pPr>
      <w:r>
        <w:rPr>
          <w:rFonts w:hint="eastAsia" w:ascii="宋体" w:hAnsi="宋体" w:cs="宋体"/>
          <w:sz w:val="24"/>
        </w:rPr>
        <w:t xml:space="preserve">地点（网址）：广西政府采购云平台（https://www.gcy.zfcg.gxzf.gov.cn/） </w:t>
      </w:r>
    </w:p>
    <w:p>
      <w:pPr>
        <w:spacing w:line="360" w:lineRule="auto"/>
        <w:ind w:firstLine="480" w:firstLineChars="200"/>
        <w:rPr>
          <w:rFonts w:ascii="宋体" w:hAnsi="宋体" w:cs="宋体"/>
          <w:sz w:val="24"/>
        </w:rPr>
      </w:pPr>
      <w:r>
        <w:rPr>
          <w:rFonts w:hint="eastAsia" w:ascii="宋体" w:hAnsi="宋体" w:cs="宋体"/>
          <w:sz w:val="24"/>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sz w:val="24"/>
        </w:rPr>
      </w:pPr>
      <w:r>
        <w:rPr>
          <w:rFonts w:hint="eastAsia" w:ascii="宋体" w:hAnsi="宋体" w:cs="宋体"/>
          <w:sz w:val="24"/>
        </w:rPr>
        <w:t xml:space="preserve">售价（元）：0 </w:t>
      </w:r>
      <w:r>
        <w:rPr>
          <w:rFonts w:hint="eastAsia" w:ascii="宋体" w:hAnsi="宋体" w:cs="宋体"/>
          <w:sz w:val="24"/>
        </w:rPr>
        <w:tab/>
      </w:r>
    </w:p>
    <w:p>
      <w:pPr>
        <w:spacing w:line="360" w:lineRule="auto"/>
        <w:rPr>
          <w:rFonts w:ascii="宋体" w:hAnsi="宋体" w:cs="宋体"/>
          <w:b/>
          <w:sz w:val="24"/>
        </w:rPr>
      </w:pPr>
      <w:r>
        <w:rPr>
          <w:rFonts w:hint="eastAsia" w:ascii="宋体" w:hAnsi="宋体" w:cs="宋体"/>
          <w:b/>
          <w:sz w:val="24"/>
        </w:rPr>
        <w:t>四、提交投标文件截止时间、开标时间和地点</w:t>
      </w:r>
    </w:p>
    <w:p>
      <w:pPr>
        <w:pStyle w:val="57"/>
        <w:wordWrap w:val="0"/>
        <w:spacing w:before="75" w:beforeAutospacing="0" w:after="75" w:afterAutospacing="0"/>
        <w:ind w:firstLine="480" w:firstLineChars="200"/>
        <w:rPr>
          <w:rFonts w:cs="宋体"/>
          <w:kern w:val="2"/>
        </w:rPr>
      </w:pPr>
      <w:r>
        <w:rPr>
          <w:rFonts w:hint="eastAsia" w:cs="宋体"/>
          <w:kern w:val="2"/>
        </w:rPr>
        <w:t>提交投标文件截止时间：2025年</w:t>
      </w:r>
      <w:r>
        <w:rPr>
          <w:rFonts w:hint="eastAsia" w:cs="宋体"/>
          <w:kern w:val="2"/>
          <w:lang w:val="en-US" w:eastAsia="zh-CN"/>
        </w:rPr>
        <w:t>11</w:t>
      </w:r>
      <w:r>
        <w:rPr>
          <w:rFonts w:hint="eastAsia" w:cs="宋体"/>
          <w:kern w:val="2"/>
        </w:rPr>
        <w:t>月</w:t>
      </w:r>
      <w:r>
        <w:rPr>
          <w:rFonts w:hint="eastAsia" w:cs="宋体"/>
          <w:kern w:val="2"/>
          <w:lang w:val="en-US" w:eastAsia="zh-CN"/>
        </w:rPr>
        <w:t>5</w:t>
      </w:r>
      <w:r>
        <w:rPr>
          <w:rFonts w:hint="eastAsia" w:cs="宋体"/>
          <w:kern w:val="2"/>
        </w:rPr>
        <w:t>日 09:00（北京时间）</w:t>
      </w:r>
    </w:p>
    <w:p>
      <w:pPr>
        <w:pStyle w:val="57"/>
        <w:wordWrap w:val="0"/>
        <w:spacing w:before="75" w:beforeAutospacing="0" w:after="75" w:afterAutospacing="0"/>
        <w:ind w:firstLine="480" w:firstLineChars="200"/>
        <w:rPr>
          <w:rFonts w:cs="宋体"/>
          <w:kern w:val="2"/>
        </w:rPr>
      </w:pPr>
      <w:r>
        <w:rPr>
          <w:rFonts w:hint="eastAsia" w:cs="宋体"/>
          <w:kern w:val="2"/>
        </w:rPr>
        <w:t>投标地点（网址）：请登录广西政府采购云平台投标客户端投标 </w:t>
      </w:r>
    </w:p>
    <w:p>
      <w:pPr>
        <w:pStyle w:val="57"/>
        <w:wordWrap w:val="0"/>
        <w:spacing w:before="75" w:beforeAutospacing="0" w:after="75" w:afterAutospacing="0"/>
        <w:ind w:firstLine="480" w:firstLineChars="200"/>
        <w:rPr>
          <w:rFonts w:cs="宋体"/>
          <w:kern w:val="2"/>
        </w:rPr>
      </w:pPr>
      <w:r>
        <w:rPr>
          <w:rFonts w:hint="eastAsia" w:cs="宋体"/>
          <w:kern w:val="2"/>
        </w:rPr>
        <w:t>开标时间：2025年</w:t>
      </w:r>
      <w:r>
        <w:rPr>
          <w:rFonts w:hint="eastAsia" w:cs="宋体"/>
          <w:kern w:val="2"/>
          <w:lang w:val="en-US" w:eastAsia="zh-CN"/>
        </w:rPr>
        <w:t>11</w:t>
      </w:r>
      <w:r>
        <w:rPr>
          <w:rFonts w:hint="eastAsia" w:cs="宋体"/>
          <w:kern w:val="2"/>
        </w:rPr>
        <w:t>月</w:t>
      </w:r>
      <w:r>
        <w:rPr>
          <w:rFonts w:hint="eastAsia" w:cs="宋体"/>
          <w:kern w:val="2"/>
          <w:lang w:val="en-US" w:eastAsia="zh-CN"/>
        </w:rPr>
        <w:t>5</w:t>
      </w:r>
      <w:r>
        <w:rPr>
          <w:rFonts w:hint="eastAsia" w:cs="宋体"/>
          <w:kern w:val="2"/>
        </w:rPr>
        <w:t>日 09:00 </w:t>
      </w:r>
    </w:p>
    <w:p>
      <w:pPr>
        <w:pStyle w:val="57"/>
        <w:wordWrap w:val="0"/>
        <w:spacing w:before="75" w:beforeAutospacing="0" w:after="75" w:afterAutospacing="0"/>
        <w:ind w:firstLine="480" w:firstLineChars="200"/>
        <w:rPr>
          <w:rFonts w:cs="宋体"/>
          <w:kern w:val="2"/>
        </w:rPr>
      </w:pPr>
      <w:r>
        <w:rPr>
          <w:rFonts w:hint="eastAsia" w:cs="宋体"/>
          <w:kern w:val="2"/>
        </w:rPr>
        <w:t>开标地点：广西政府采购云平台（https://www.gcy.zfcg.gxzf.gov.cn/） </w:t>
      </w:r>
    </w:p>
    <w:p>
      <w:pPr>
        <w:spacing w:line="360" w:lineRule="auto"/>
        <w:rPr>
          <w:rFonts w:ascii="宋体" w:hAnsi="宋体" w:cs="宋体"/>
          <w:sz w:val="24"/>
        </w:rPr>
      </w:pPr>
      <w:r>
        <w:rPr>
          <w:rFonts w:hint="eastAsia" w:ascii="宋体" w:hAnsi="宋体" w:cs="宋体"/>
          <w:b/>
          <w:sz w:val="24"/>
        </w:rPr>
        <w:t xml:space="preserve">五、公告期限 </w:t>
      </w:r>
    </w:p>
    <w:p>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pPr>
        <w:spacing w:line="360" w:lineRule="auto"/>
        <w:rPr>
          <w:rFonts w:ascii="宋体" w:hAnsi="宋体" w:cs="宋体"/>
          <w:b/>
          <w:sz w:val="24"/>
        </w:rPr>
      </w:pPr>
      <w:r>
        <w:rPr>
          <w:rFonts w:hint="eastAsia" w:ascii="宋体" w:hAnsi="宋体" w:cs="宋体"/>
          <w:b/>
          <w:sz w:val="24"/>
        </w:rPr>
        <w:t>六、其他补充事宜</w:t>
      </w:r>
    </w:p>
    <w:p>
      <w:pPr>
        <w:spacing w:line="360" w:lineRule="auto"/>
        <w:ind w:firstLine="480" w:firstLineChars="200"/>
        <w:rPr>
          <w:rFonts w:ascii="宋体" w:hAnsi="宋体" w:cs="宋体"/>
          <w:sz w:val="24"/>
        </w:rPr>
      </w:pPr>
      <w:r>
        <w:rPr>
          <w:rFonts w:hint="eastAsia" w:ascii="宋体" w:hAnsi="宋体" w:cs="宋体"/>
          <w:sz w:val="24"/>
        </w:rPr>
        <w:t>1.投标保证金：本项目不收取。</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w:t>
      </w:r>
      <w:r>
        <w:rPr>
          <w:rFonts w:hint="eastAsia" w:ascii="宋体" w:hAnsi="宋体" w:cs="宋体"/>
          <w:sz w:val="24"/>
          <w:lang w:val="en-US" w:eastAsia="zh-CN"/>
        </w:rPr>
        <w:t>：</w:t>
      </w:r>
      <w:r>
        <w:rPr>
          <w:rFonts w:hint="eastAsia" w:ascii="宋体" w:hAnsi="宋体" w:cs="宋体"/>
          <w:sz w:val="24"/>
        </w:rPr>
        <w:t>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4.网上公告媒体查询：中国政府采购网、广西政府采购网、北海市政府采购监管网、北海市人民政府网-北海市政府采购中心网站、全国公共资源交易平台（广西•北海）。</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hint="eastAsia"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sz w:val="24"/>
        </w:rPr>
      </w:pPr>
      <w:r>
        <w:rPr>
          <w:rFonts w:hint="eastAsia" w:ascii="宋体" w:hAnsi="宋体" w:cs="宋体"/>
          <w:sz w:val="24"/>
        </w:rPr>
        <w:t>7.本项目采用远程异地评标。</w:t>
      </w:r>
    </w:p>
    <w:p>
      <w:pPr>
        <w:spacing w:line="360" w:lineRule="auto"/>
        <w:rPr>
          <w:rFonts w:ascii="宋体" w:hAnsi="宋体" w:cs="宋体"/>
          <w:b/>
          <w:sz w:val="24"/>
        </w:rPr>
      </w:pPr>
      <w:r>
        <w:rPr>
          <w:rFonts w:hint="eastAsia" w:ascii="宋体" w:hAnsi="宋体" w:cs="宋体"/>
          <w:b/>
          <w:sz w:val="24"/>
        </w:rPr>
        <w:t>七、对本次采购提出询问，请按以下方式联系</w:t>
      </w:r>
    </w:p>
    <w:p>
      <w:pPr>
        <w:spacing w:line="360" w:lineRule="auto"/>
        <w:ind w:firstLine="480"/>
        <w:rPr>
          <w:rFonts w:ascii="宋体" w:hAnsi="宋体" w:cs="宋体"/>
          <w:sz w:val="24"/>
        </w:rPr>
      </w:pPr>
      <w:r>
        <w:rPr>
          <w:rFonts w:hint="eastAsia" w:ascii="宋体" w:hAnsi="宋体" w:cs="宋体"/>
          <w:sz w:val="24"/>
        </w:rPr>
        <w:t>1.采购人信息</w:t>
      </w:r>
    </w:p>
    <w:p>
      <w:pPr>
        <w:spacing w:line="360" w:lineRule="auto"/>
        <w:ind w:firstLine="480"/>
        <w:rPr>
          <w:rFonts w:ascii="宋体" w:hAnsi="宋体" w:cs="宋体"/>
          <w:sz w:val="24"/>
        </w:rPr>
      </w:pPr>
      <w:r>
        <w:rPr>
          <w:rFonts w:hint="eastAsia" w:ascii="宋体" w:hAnsi="宋体" w:cs="宋体"/>
          <w:sz w:val="24"/>
        </w:rPr>
        <w:t xml:space="preserve">名    称：北海市卫生学校 </w:t>
      </w:r>
    </w:p>
    <w:p>
      <w:pPr>
        <w:spacing w:line="360" w:lineRule="auto"/>
        <w:rPr>
          <w:rFonts w:ascii="宋体" w:hAnsi="宋体" w:cs="宋体"/>
          <w:sz w:val="24"/>
        </w:rPr>
      </w:pPr>
      <w:r>
        <w:rPr>
          <w:rFonts w:hint="eastAsia" w:ascii="宋体" w:hAnsi="宋体" w:cs="宋体"/>
          <w:sz w:val="24"/>
        </w:rPr>
        <w:t xml:space="preserve">    地    址：北海市银海区银滩大道99号      </w:t>
      </w:r>
    </w:p>
    <w:p>
      <w:pPr>
        <w:spacing w:line="360" w:lineRule="auto"/>
        <w:ind w:firstLine="480"/>
        <w:rPr>
          <w:rFonts w:ascii="宋体" w:hAnsi="宋体" w:cs="宋体"/>
          <w:sz w:val="24"/>
        </w:rPr>
      </w:pPr>
      <w:r>
        <w:rPr>
          <w:rFonts w:hint="eastAsia" w:ascii="宋体" w:hAnsi="宋体" w:cs="宋体"/>
          <w:sz w:val="24"/>
        </w:rPr>
        <w:t>项目联系人：何显著</w:t>
      </w:r>
    </w:p>
    <w:p>
      <w:pPr>
        <w:spacing w:line="360" w:lineRule="auto"/>
        <w:rPr>
          <w:rFonts w:ascii="宋体" w:hAnsi="宋体" w:cs="宋体"/>
          <w:sz w:val="24"/>
        </w:rPr>
      </w:pPr>
      <w:r>
        <w:rPr>
          <w:rFonts w:hint="eastAsia" w:ascii="宋体" w:hAnsi="宋体" w:cs="宋体"/>
          <w:sz w:val="24"/>
        </w:rPr>
        <w:t xml:space="preserve">    项目联系方式：18177940883 </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rPr>
      </w:pPr>
      <w:r>
        <w:rPr>
          <w:rFonts w:hint="eastAsia" w:ascii="宋体" w:hAnsi="宋体" w:cs="宋体"/>
          <w:sz w:val="24"/>
        </w:rPr>
        <w:t>名    称：北海市政府采购中心</w:t>
      </w:r>
    </w:p>
    <w:p>
      <w:pPr>
        <w:spacing w:line="360" w:lineRule="auto"/>
        <w:ind w:firstLine="480"/>
        <w:rPr>
          <w:rFonts w:ascii="宋体" w:hAnsi="宋体" w:cs="宋体"/>
          <w:sz w:val="24"/>
        </w:rPr>
      </w:pPr>
      <w:r>
        <w:rPr>
          <w:rFonts w:hint="eastAsia" w:ascii="宋体" w:hAnsi="宋体" w:cs="宋体"/>
          <w:sz w:val="24"/>
        </w:rPr>
        <w:t>地    址：北海市海城区陈文村北路7号市直机关第三办公区2号楼一层</w:t>
      </w:r>
    </w:p>
    <w:p>
      <w:pPr>
        <w:spacing w:line="360" w:lineRule="auto"/>
        <w:rPr>
          <w:rFonts w:ascii="宋体" w:hAnsi="宋体" w:cs="宋体"/>
          <w:sz w:val="24"/>
        </w:rPr>
      </w:pPr>
      <w:r>
        <w:rPr>
          <w:rFonts w:hint="eastAsia" w:ascii="宋体" w:hAnsi="宋体" w:cs="宋体"/>
          <w:sz w:val="24"/>
        </w:rPr>
        <w:t xml:space="preserve">    项目联系人（询问）：陈工 </w:t>
      </w:r>
    </w:p>
    <w:p>
      <w:pPr>
        <w:spacing w:line="360" w:lineRule="auto"/>
        <w:rPr>
          <w:rFonts w:ascii="宋体" w:hAnsi="宋体" w:cs="宋体"/>
          <w:sz w:val="24"/>
        </w:rPr>
      </w:pPr>
      <w:r>
        <w:rPr>
          <w:rFonts w:hint="eastAsia" w:ascii="宋体" w:hAnsi="宋体" w:cs="宋体"/>
          <w:sz w:val="24"/>
        </w:rPr>
        <w:t xml:space="preserve">    项目联系方式（询问）：</w:t>
      </w:r>
      <w:r>
        <w:rPr>
          <w:rFonts w:ascii="宋体" w:hAnsi="宋体" w:cs="宋体"/>
          <w:sz w:val="24"/>
        </w:rPr>
        <w:t>0779-3056122</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ind w:firstLine="480" w:firstLineChars="200"/>
        <w:rPr>
          <w:rFonts w:hAnsi="宋体" w:cs="宋体"/>
          <w:b/>
          <w:sz w:val="36"/>
          <w:szCs w:val="20"/>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pPr>
        <w:adjustRightInd/>
        <w:spacing w:line="360" w:lineRule="auto"/>
        <w:jc w:val="center"/>
        <w:outlineLvl w:val="0"/>
        <w:rPr>
          <w:rFonts w:ascii="宋体" w:hAnsi="宋体" w:cs="宋体"/>
          <w:b/>
          <w:sz w:val="36"/>
          <w:szCs w:val="20"/>
        </w:rPr>
      </w:pPr>
      <w:bookmarkStart w:id="19" w:name="_Toc176343849"/>
      <w:bookmarkStart w:id="20" w:name="_Toc176185120"/>
    </w:p>
    <w:p>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15"/>
      <w:r>
        <w:rPr>
          <w:rFonts w:hint="eastAsia" w:ascii="宋体" w:hAnsi="宋体" w:cs="宋体"/>
          <w:b/>
          <w:sz w:val="36"/>
          <w:szCs w:val="20"/>
        </w:rPr>
        <w:t xml:space="preserve">  投标人须知</w:t>
      </w:r>
      <w:bookmarkEnd w:id="16"/>
      <w:bookmarkEnd w:id="19"/>
      <w:bookmarkEnd w:id="20"/>
    </w:p>
    <w:p>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480" w:lineRule="exact"/>
              <w:rPr>
                <w:rFonts w:ascii="宋体" w:hAnsi="宋体" w:cs="宋体"/>
                <w:kern w:val="0"/>
                <w:sz w:val="24"/>
                <w:u w:val="single"/>
              </w:rPr>
            </w:pPr>
            <w:r>
              <w:rPr>
                <w:rFonts w:hint="eastAsia" w:ascii="宋体" w:hAnsi="宋体" w:cs="宋体"/>
                <w:kern w:val="0"/>
                <w:sz w:val="24"/>
              </w:rPr>
              <w:t>货物类，单一产品或核心产品为：</w:t>
            </w:r>
            <w:r>
              <w:rPr>
                <w:rFonts w:ascii="宋体" w:hAnsi="宋体" w:cs="宋体"/>
                <w:kern w:val="0"/>
                <w:sz w:val="24"/>
                <w:u w:val="single"/>
              </w:rPr>
              <w:t xml:space="preserve"> </w:t>
            </w:r>
            <w:r>
              <w:rPr>
                <w:rFonts w:hint="eastAsia" w:ascii="宋体" w:hAnsi="宋体" w:cs="宋体"/>
                <w:kern w:val="0"/>
                <w:sz w:val="24"/>
                <w:u w:val="single"/>
                <w:lang w:eastAsia="zh-CN"/>
              </w:rPr>
              <w:t>网络教室学生机</w:t>
            </w:r>
            <w:r>
              <w:rPr>
                <w:rFonts w:hint="eastAsia" w:ascii="宋体" w:hAnsi="宋体" w:cs="宋体"/>
                <w:kern w:val="0"/>
                <w:sz w:val="24"/>
                <w:u w:val="single"/>
              </w:rPr>
              <w:t xml:space="preserve">  </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rPr>
                <w:rFonts w:ascii="宋体" w:hAnsi="宋体" w:cs="宋体"/>
                <w:kern w:val="0"/>
                <w:sz w:val="24"/>
              </w:rPr>
            </w:pPr>
            <w:r>
              <w:rPr>
                <w:rFonts w:hint="eastAsia" w:ascii="宋体" w:hAnsi="宋体" w:cs="宋体"/>
                <w:kern w:val="0"/>
                <w:sz w:val="24"/>
              </w:rPr>
              <w:t>标的：</w:t>
            </w:r>
            <w:r>
              <w:rPr>
                <w:rFonts w:ascii="宋体" w:hAnsi="宋体" w:cs="宋体"/>
                <w:kern w:val="0"/>
                <w:sz w:val="24"/>
                <w:u w:val="single"/>
              </w:rPr>
              <w:t xml:space="preserve"> </w:t>
            </w:r>
            <w:r>
              <w:rPr>
                <w:rFonts w:hint="eastAsia" w:ascii="宋体" w:hAnsi="宋体" w:cs="宋体"/>
                <w:kern w:val="0"/>
                <w:sz w:val="24"/>
                <w:u w:val="single"/>
                <w:lang w:eastAsia="zh-CN"/>
              </w:rPr>
              <w:t>网络教室教师机、网络教室学生机、网络教室电子教室管理软件及云桌面机房运维管理系统</w:t>
            </w:r>
            <w:r>
              <w:rPr>
                <w:rFonts w:hint="eastAsia" w:ascii="宋体" w:hAnsi="宋体" w:cs="宋体"/>
                <w:kern w:val="0"/>
                <w:sz w:val="24"/>
                <w:u w:val="single"/>
              </w:rPr>
              <w:t xml:space="preserve">  </w:t>
            </w:r>
            <w:r>
              <w:rPr>
                <w:rFonts w:hint="eastAsia" w:ascii="宋体" w:hAnsi="宋体" w:cs="宋体"/>
                <w:kern w:val="0"/>
                <w:sz w:val="24"/>
              </w:rPr>
              <w:t>，属于</w:t>
            </w:r>
            <w:r>
              <w:rPr>
                <w:rFonts w:ascii="宋体" w:hAnsi="宋体" w:cs="宋体"/>
                <w:kern w:val="0"/>
                <w:sz w:val="24"/>
              </w:rPr>
              <w:t xml:space="preserve"> </w:t>
            </w:r>
            <w:r>
              <w:rPr>
                <w:rFonts w:hint="eastAsia" w:ascii="宋体" w:hAnsi="宋体" w:cs="宋体"/>
                <w:kern w:val="0"/>
                <w:sz w:val="24"/>
                <w:u w:val="single"/>
              </w:rPr>
              <w:t>工业</w:t>
            </w:r>
            <w:r>
              <w:rPr>
                <w:rFonts w:ascii="宋体" w:hAnsi="宋体" w:cs="宋体"/>
                <w:kern w:val="0"/>
                <w:sz w:val="24"/>
              </w:rPr>
              <w:t xml:space="preserve"> </w:t>
            </w:r>
            <w:r>
              <w:rPr>
                <w:rFonts w:hint="eastAsia" w:ascii="宋体" w:hAnsi="宋体" w:cs="宋体"/>
                <w:kern w:val="0"/>
                <w:sz w:val="24"/>
              </w:rPr>
              <w:t>行业；</w:t>
            </w:r>
          </w:p>
          <w:p>
            <w:pPr>
              <w:spacing w:line="48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kern w:val="0"/>
                <w:sz w:val="24"/>
              </w:rPr>
            </w:pPr>
            <w:sdt>
              <w:sdtPr>
                <w:rPr>
                  <w:rFonts w:hint="eastAsia" w:ascii="宋体" w:hAnsi="宋体" w:cs="宋体"/>
                  <w:vanish/>
                  <w:kern w:val="0"/>
                  <w:sz w:val="24"/>
                  <w:highlight w:val="yellow"/>
                </w:rPr>
                <w:id w:val="-1828425707"/>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pPr>
              <w:spacing w:line="360" w:lineRule="auto"/>
              <w:rPr>
                <w:rFonts w:ascii="宋体" w:hAnsi="宋体" w:cs="宋体"/>
              </w:rPr>
            </w:pPr>
            <w:sdt>
              <w:sdtPr>
                <w:rPr>
                  <w:rFonts w:hint="eastAsia" w:ascii="宋体" w:hAnsi="宋体" w:cs="宋体"/>
                  <w:vanish/>
                  <w:kern w:val="0"/>
                  <w:sz w:val="24"/>
                  <w:highlight w:val="yellow"/>
                </w:rPr>
                <w:id w:val="-52852824"/>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vanish/>
                  <w:kern w:val="0"/>
                  <w:sz w:val="24"/>
                  <w:highlight w:val="yellow"/>
                </w:rPr>
                <w:id w:val="-1477286927"/>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vanish/>
                  <w:kern w:val="0"/>
                  <w:sz w:val="24"/>
                  <w:highlight w:val="yellow"/>
                </w:rPr>
                <w:id w:val="-1276331357"/>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pPr>
              <w:spacing w:line="360" w:lineRule="auto"/>
              <w:rPr>
                <w:rFonts w:ascii="宋体" w:hAnsi="宋体" w:cs="宋体"/>
                <w:sz w:val="24"/>
              </w:rPr>
            </w:pPr>
            <w:r>
              <w:rPr>
                <w:rFonts w:hint="eastAsia" w:ascii="宋体" w:hAnsi="宋体" w:cs="宋体"/>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vanish/>
                  <w:kern w:val="0"/>
                  <w:sz w:val="24"/>
                  <w:highlight w:val="yellow"/>
                </w:rPr>
                <w:id w:val="-212966419"/>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sz w:val="24"/>
                <w:szCs w:val="20"/>
              </w:rPr>
            </w:pPr>
            <w:sdt>
              <w:sdtPr>
                <w:rPr>
                  <w:rFonts w:hint="eastAsia" w:ascii="宋体" w:hAnsi="宋体" w:cs="宋体"/>
                  <w:vanish/>
                  <w:kern w:val="0"/>
                  <w:sz w:val="24"/>
                  <w:highlight w:val="yellow"/>
                </w:rPr>
                <w:id w:val="-999802974"/>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vanish/>
                  <w:kern w:val="0"/>
                  <w:sz w:val="24"/>
                  <w:highlight w:val="yellow"/>
                </w:rPr>
                <w:id w:val="-1639946486"/>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pPr>
              <w:spacing w:line="360" w:lineRule="auto"/>
              <w:rPr>
                <w:rFonts w:ascii="宋体" w:hAnsi="宋体" w:cs="宋体"/>
                <w:kern w:val="0"/>
                <w:sz w:val="24"/>
              </w:rPr>
            </w:pPr>
            <w:sdt>
              <w:sdtPr>
                <w:rPr>
                  <w:rFonts w:hint="eastAsia" w:ascii="宋体" w:hAnsi="宋体" w:cs="宋体"/>
                  <w:vanish/>
                  <w:kern w:val="0"/>
                  <w:sz w:val="24"/>
                  <w:highlight w:val="yellow"/>
                </w:rPr>
                <w:id w:val="1026831988"/>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vanish/>
                  <w:kern w:val="0"/>
                  <w:sz w:val="24"/>
                  <w:highlight w:val="yellow"/>
                </w:rPr>
                <w:id w:val="1303421454"/>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vanish/>
                  <w:kern w:val="0"/>
                  <w:sz w:val="24"/>
                  <w:highlight w:val="yellow"/>
                </w:rPr>
                <w:id w:val="1621728433"/>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vanish/>
                  <w:kern w:val="0"/>
                  <w:sz w:val="24"/>
                  <w:highlight w:val="yellow"/>
                </w:rPr>
                <w:id w:val="-1859348549"/>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kern w:val="0"/>
                <w:sz w:val="24"/>
              </w:rPr>
            </w:pPr>
            <w:sdt>
              <w:sdtPr>
                <w:rPr>
                  <w:rFonts w:hint="eastAsia" w:ascii="宋体" w:hAnsi="宋体" w:cs="宋体"/>
                  <w:vanish/>
                  <w:kern w:val="0"/>
                  <w:sz w:val="24"/>
                  <w:highlight w:val="yellow"/>
                </w:rPr>
                <w:id w:val="1174071719"/>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t>☐</w:t>
                </w:r>
              </w:sdtContent>
            </w:sdt>
            <w:r>
              <w:rPr>
                <w:rFonts w:hint="eastAsia" w:ascii="宋体" w:hAnsi="宋体" w:cs="宋体"/>
                <w:kern w:val="0"/>
                <w:sz w:val="24"/>
              </w:rPr>
              <w:t>B组织。</w:t>
            </w:r>
          </w:p>
          <w:p>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8</w:t>
            </w:r>
          </w:p>
        </w:tc>
        <w:tc>
          <w:tcPr>
            <w:tcW w:w="1843" w:type="dxa"/>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z w:val="24"/>
                <w:highlight w:val="none"/>
              </w:rPr>
            </w:pPr>
            <w:r>
              <w:rPr>
                <w:rFonts w:hint="eastAsia" w:ascii="宋体" w:hAnsi="宋体" w:cs="宋体"/>
                <w:sz w:val="24"/>
                <w:highlight w:val="none"/>
              </w:rPr>
              <w:t>资格证明文件：见招标文件第二部分11.1。</w:t>
            </w:r>
          </w:p>
          <w:p>
            <w:pPr>
              <w:spacing w:line="360" w:lineRule="auto"/>
              <w:rPr>
                <w:rFonts w:ascii="宋体" w:hAnsi="宋体" w:cs="宋体"/>
                <w:snapToGrid w:val="0"/>
                <w:kern w:val="0"/>
                <w:szCs w:val="21"/>
                <w:highlight w:val="yellow"/>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ind w:firstLine="480" w:firstLineChars="200"/>
              <w:rPr>
                <w:rFonts w:ascii="宋体" w:hAnsi="宋体" w:cs="宋体"/>
                <w:bCs/>
                <w:sz w:val="24"/>
              </w:rPr>
            </w:pPr>
            <w:r>
              <w:rPr>
                <w:rFonts w:hint="eastAsia" w:ascii="宋体" w:hAnsi="宋体" w:cs="宋体"/>
                <w:bCs/>
                <w:sz w:val="24"/>
              </w:rPr>
              <w:t>中标价为全包价，报价中必须包括产品运输至指定位置、保险、销售、安装（含室内线路安装、安装前清理、安装过程中产生的费用及安装设备过程所需配件材料的费用）、调试（含调试后的室内整洁等）、质保期和质保期内的售后服务等各种税款等项费用。</w:t>
            </w:r>
            <w:r>
              <w:rPr>
                <w:rFonts w:hint="eastAsia" w:ascii="宋体" w:hAnsi="宋体" w:cs="宋体"/>
                <w:bCs/>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bCs/>
                <w:sz w:val="24"/>
                <w:lang w:val="zh-CN"/>
              </w:rPr>
              <w:t>投标文件中价格全部采用人民币报价。招标文件未列明，而投标人认为必需的费用也需列入报价。</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pPr>
              <w:spacing w:line="360" w:lineRule="auto"/>
              <w:ind w:firstLine="480" w:firstLineChars="200"/>
              <w:rPr>
                <w:rFonts w:ascii="宋体" w:hAnsi="宋体" w:cs="宋体"/>
                <w:sz w:val="24"/>
              </w:rPr>
            </w:pPr>
            <w:r>
              <w:rPr>
                <w:rFonts w:hint="eastAsia" w:ascii="宋体" w:hAnsi="宋体" w:cs="宋体"/>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sz w:val="24"/>
                <w:szCs w:val="21"/>
              </w:rPr>
              <w:t>;</w:t>
            </w:r>
          </w:p>
          <w:p>
            <w:pPr>
              <w:spacing w:line="360" w:lineRule="auto"/>
              <w:ind w:firstLine="480" w:firstLineChars="2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z w:val="24"/>
              </w:rPr>
            </w:pPr>
            <w:sdt>
              <w:sdtPr>
                <w:rPr>
                  <w:rFonts w:hint="eastAsia" w:ascii="宋体" w:hAnsi="宋体" w:cs="宋体"/>
                  <w:vanish/>
                  <w:kern w:val="0"/>
                  <w:sz w:val="24"/>
                  <w:highlight w:val="yellow"/>
                </w:rPr>
                <w:id w:val="1297724926"/>
                <w14:checkbox>
                  <w14:checked w14:val="1"/>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spacing w:line="360" w:lineRule="auto"/>
              <w:rPr>
                <w:rFonts w:hAnsi="宋体" w:cs="宋体"/>
                <w:kern w:val="28"/>
                <w:sz w:val="24"/>
              </w:rPr>
            </w:pPr>
            <w:sdt>
              <w:sdtPr>
                <w:rPr>
                  <w:rFonts w:hint="eastAsia" w:ascii="宋体" w:hAnsi="宋体" w:cs="宋体"/>
                  <w:vanish/>
                  <w:kern w:val="0"/>
                  <w:sz w:val="24"/>
                  <w:highlight w:val="yellow"/>
                </w:rPr>
                <w:id w:val="1206604863"/>
                <w14:checkbox>
                  <w14:checked w14:val="0"/>
                  <w14:checkedState w14:val="00FE" w14:font="Wingdings"/>
                  <w14:uncheckedState w14:val="2610" w14:font="MS Gothic"/>
                </w14:checkbox>
              </w:sdtPr>
              <w:sdtEndPr>
                <w:rPr>
                  <w:rFonts w:hint="eastAsia" w:ascii="宋体" w:hAnsi="宋体" w:cs="宋体"/>
                  <w:vanish/>
                  <w:kern w:val="0"/>
                  <w:sz w:val="24"/>
                  <w:highlight w:val="yellow"/>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接受</w:t>
            </w:r>
            <w:r>
              <w:rPr>
                <w:rFonts w:hint="eastAsia" w:ascii="宋体" w:hAnsi="宋体" w:cs="宋体"/>
                <w:kern w:val="0"/>
                <w:sz w:val="24"/>
              </w:rPr>
              <w:t>：</w:t>
            </w:r>
            <w:r>
              <w:rPr>
                <w:rFonts w:hint="eastAsia" w:hAnsi="宋体" w:cs="宋体"/>
                <w:kern w:val="28"/>
                <w:sz w:val="24"/>
              </w:rPr>
              <w:t>备份投标文件送达地点：</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sz w:val="24"/>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vanish/>
                  <w:kern w:val="0"/>
                  <w:sz w:val="24"/>
                  <w:highlight w:val="yellow"/>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vanish/>
                  <w:kern w:val="0"/>
                  <w:sz w:val="24"/>
                  <w:highlight w:val="yellow"/>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vanish/>
                  <w:kern w:val="0"/>
                  <w:sz w:val="24"/>
                  <w:highlight w:val="yellow"/>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vanish/>
                  <w:kern w:val="0"/>
                  <w:sz w:val="24"/>
                  <w:highlight w:val="yellow"/>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pPr>
        <w:snapToGrid w:val="0"/>
        <w:spacing w:line="360" w:lineRule="auto"/>
        <w:jc w:val="center"/>
        <w:rPr>
          <w:rFonts w:ascii="宋体" w:hAnsi="宋体" w:cs="宋体"/>
          <w:b/>
          <w:sz w:val="32"/>
          <w:szCs w:val="20"/>
        </w:rPr>
      </w:pPr>
    </w:p>
    <w:bookmarkEnd w:id="17"/>
    <w:p>
      <w:pPr>
        <w:adjustRightInd/>
        <w:spacing w:line="360" w:lineRule="auto"/>
        <w:ind w:firstLine="3845" w:firstLineChars="1197"/>
        <w:outlineLvl w:val="1"/>
        <w:rPr>
          <w:rFonts w:ascii="宋体" w:hAnsi="宋体" w:cs="宋体"/>
          <w:b/>
          <w:sz w:val="32"/>
          <w:szCs w:val="20"/>
        </w:rPr>
      </w:pPr>
      <w:bookmarkStart w:id="21" w:name="第三部分"/>
      <w:bookmarkStart w:id="22" w:name="_Toc164416483"/>
      <w:r>
        <w:rPr>
          <w:rFonts w:hint="eastAsia" w:ascii="宋体" w:hAnsi="宋体" w:cs="宋体"/>
          <w:b/>
          <w:sz w:val="32"/>
          <w:szCs w:val="20"/>
        </w:rPr>
        <w:t>一、总则</w:t>
      </w:r>
    </w:p>
    <w:p>
      <w:pPr>
        <w:snapToGrid w:val="0"/>
        <w:spacing w:line="360" w:lineRule="auto"/>
        <w:jc w:val="left"/>
        <w:rPr>
          <w:rFonts w:ascii="宋体" w:hAnsi="宋体" w:cs="宋体"/>
          <w:b/>
          <w:sz w:val="24"/>
        </w:rPr>
      </w:pPr>
      <w:r>
        <w:rPr>
          <w:rFonts w:hint="eastAsia" w:ascii="宋体" w:hAnsi="宋体" w:cs="宋体"/>
          <w:b/>
          <w:sz w:val="24"/>
        </w:rPr>
        <w:t>1. 适用范围</w:t>
      </w:r>
    </w:p>
    <w:p>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sz w:val="24"/>
        </w:rPr>
      </w:pPr>
      <w:r>
        <w:rPr>
          <w:rFonts w:hint="eastAsia" w:ascii="宋体" w:hAnsi="宋体" w:cs="宋体"/>
          <w:b/>
          <w:sz w:val="24"/>
        </w:rPr>
        <w:t>2.定义</w:t>
      </w:r>
    </w:p>
    <w:p>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pPr>
        <w:spacing w:line="360" w:lineRule="auto"/>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pPr>
        <w:spacing w:line="360" w:lineRule="auto"/>
        <w:ind w:firstLine="480" w:firstLineChars="200"/>
        <w:rPr>
          <w:rFonts w:ascii="宋体" w:hAnsi="宋体" w:cs="宋体"/>
          <w:sz w:val="24"/>
        </w:rPr>
      </w:pPr>
      <w:r>
        <w:rPr>
          <w:rFonts w:hint="eastAsia" w:ascii="宋体" w:hAnsi="宋体" w:cs="宋体"/>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3.2 支持绿色发展</w:t>
      </w:r>
    </w:p>
    <w:p>
      <w:pPr>
        <w:spacing w:line="360" w:lineRule="auto"/>
        <w:ind w:firstLine="480" w:firstLineChars="200"/>
        <w:rPr>
          <w:rFonts w:ascii="宋体" w:hAnsi="宋体" w:cs="宋体"/>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sz w:val="24"/>
        </w:rPr>
      </w:pPr>
      <w:r>
        <w:rPr>
          <w:rFonts w:hint="eastAsia" w:ascii="宋体" w:hAnsi="宋体" w:cs="宋体"/>
          <w:sz w:val="24"/>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23" w:name="_Hlk107568539"/>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hint="eastAsia" w:ascii="宋体" w:hAnsi="宋体" w:cs="宋体"/>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23"/>
    </w:p>
    <w:p>
      <w:pPr>
        <w:spacing w:line="360" w:lineRule="auto"/>
        <w:ind w:firstLine="480" w:firstLineChars="200"/>
        <w:rPr>
          <w:rFonts w:ascii="宋体" w:hAnsi="宋体" w:cs="宋体"/>
          <w:sz w:val="24"/>
        </w:rPr>
      </w:pPr>
      <w:r>
        <w:rPr>
          <w:rFonts w:hint="eastAsia" w:ascii="宋体" w:hAnsi="宋体" w:cs="宋体"/>
          <w:sz w:val="24"/>
        </w:rPr>
        <w:t>3.3支持中小企业发展</w:t>
      </w:r>
    </w:p>
    <w:p>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24" w:name="_Hlk101132181"/>
      <w:r>
        <w:rPr>
          <w:rFonts w:hint="eastAsia" w:ascii="宋体" w:hAnsi="宋体" w:cs="宋体"/>
          <w:sz w:val="24"/>
        </w:rPr>
        <w:t>联合协议或者分包意向协议约定小微企业的合同份额占到合同总金额30%以上的</w:t>
      </w:r>
      <w:bookmarkEnd w:id="24"/>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sz w:val="24"/>
        </w:rPr>
        <w:t>面向中小企业采购的政府采购项目或者采购包不再执行价格扣除政策。</w:t>
      </w:r>
    </w:p>
    <w:p>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pPr>
        <w:spacing w:line="360" w:lineRule="auto"/>
        <w:ind w:firstLine="480" w:firstLineChars="2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sz w:val="24"/>
        </w:rPr>
      </w:pPr>
      <w:r>
        <w:rPr>
          <w:rFonts w:hint="eastAsia" w:ascii="宋体" w:hAnsi="宋体" w:cs="宋体"/>
          <w:sz w:val="24"/>
        </w:rPr>
        <w:t>3.5平等对待内外资企业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2"/>
        <w:rPr>
          <w:bCs/>
        </w:rPr>
      </w:pPr>
      <w:r>
        <w:rPr>
          <w:rFonts w:hint="eastAsia"/>
        </w:rPr>
        <w:t>3.6平等对待符合条件的破产重整企业</w:t>
      </w:r>
    </w:p>
    <w:p>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pPr>
        <w:spacing w:line="360" w:lineRule="auto"/>
        <w:ind w:firstLine="482" w:firstLineChars="200"/>
        <w:rPr>
          <w:rFonts w:asciiTheme="minorEastAsia" w:hAnsiTheme="minorEastAsia" w:eastAsiaTheme="minorEastAsia"/>
          <w:b/>
        </w:rPr>
      </w:pPr>
      <w:r>
        <w:rPr>
          <w:rFonts w:hint="eastAsia" w:ascii="宋体" w:hAnsi="宋体"/>
          <w:b/>
          <w:sz w:val="24"/>
        </w:rPr>
        <w:t>4. 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4.1在线询问、质疑、投诉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w:t>
      </w:r>
      <w:r>
        <w:rPr>
          <w:rFonts w:hint="eastAsia" w:asciiTheme="minorEastAsia" w:hAnsiTheme="minorEastAsia" w:eastAsiaTheme="minorEastAsia"/>
          <w:color w:val="000000" w:themeColor="text1"/>
          <w:sz w:val="24"/>
          <w14:textFill>
            <w14:solidFill>
              <w14:schemeClr w14:val="tx1"/>
            </w14:solidFill>
          </w14:textFill>
        </w:rPr>
        <w:t>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p>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4.2供应商询问</w:t>
      </w:r>
    </w:p>
    <w:p>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pPr>
        <w:pStyle w:val="32"/>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pPr>
        <w:pStyle w:val="32"/>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pPr>
        <w:pStyle w:val="886"/>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pPr>
        <w:pStyle w:val="886"/>
        <w:shd w:val="clear" w:color="auto" w:fill="FFFFFF"/>
        <w:snapToGrid w:val="0"/>
        <w:spacing w:after="240" w:afterAutospacing="0" w:line="360" w:lineRule="auto"/>
        <w:ind w:firstLine="480" w:firstLineChars="200"/>
        <w:contextualSpacing/>
      </w:pPr>
      <w:r>
        <w:rPr>
          <w:rFonts w:hint="eastAsia"/>
        </w:rPr>
        <w:t>质疑函范本及制作说明详见附件2。</w:t>
      </w:r>
    </w:p>
    <w:p>
      <w:pPr>
        <w:pStyle w:val="886"/>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采购人或代理机构应当协助质疑答复责任主体及时答复</w:t>
      </w:r>
      <w:r>
        <w:rPr>
          <w:rFonts w:hint="eastAsia"/>
        </w:rPr>
        <w:t>供应商的书面质疑。</w:t>
      </w:r>
    </w:p>
    <w:p>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pPr>
        <w:pStyle w:val="886"/>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pPr>
        <w:pStyle w:val="886"/>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pPr>
        <w:pStyle w:val="886"/>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pPr>
        <w:pStyle w:val="886"/>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pPr>
        <w:pStyle w:val="886"/>
        <w:shd w:val="clear" w:color="auto" w:fill="FFFFFF"/>
        <w:snapToGrid w:val="0"/>
        <w:spacing w:after="240" w:afterAutospacing="0" w:line="360" w:lineRule="auto"/>
        <w:ind w:firstLine="480" w:firstLineChars="200"/>
        <w:contextualSpacing/>
      </w:pPr>
      <w:r>
        <w:rPr>
          <w:rFonts w:hint="eastAsia"/>
        </w:rPr>
        <w:t>4.4.4 以联合体形式参加政府采购活动的，其投诉应当由组成联合体的所有供应商共同提出。</w:t>
      </w:r>
    </w:p>
    <w:p>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pPr>
        <w:pStyle w:val="32"/>
        <w:spacing w:line="360" w:lineRule="auto"/>
        <w:rPr>
          <w:rFonts w:hAnsi="宋体" w:cs="宋体"/>
          <w:b/>
          <w:sz w:val="24"/>
          <w:szCs w:val="24"/>
        </w:rPr>
      </w:pPr>
      <w:r>
        <w:rPr>
          <w:rFonts w:hint="eastAsia" w:hAnsi="宋体" w:cs="宋体"/>
          <w:b/>
          <w:sz w:val="24"/>
          <w:szCs w:val="24"/>
        </w:rPr>
        <w:t>5．招标文件的构成</w:t>
      </w:r>
    </w:p>
    <w:p>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pPr>
        <w:pStyle w:val="32"/>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pPr>
        <w:pStyle w:val="32"/>
        <w:spacing w:line="360" w:lineRule="auto"/>
        <w:rPr>
          <w:rFonts w:hAnsi="宋体" w:cs="宋体"/>
          <w:b/>
          <w:sz w:val="24"/>
          <w:szCs w:val="24"/>
        </w:rPr>
      </w:pPr>
      <w:r>
        <w:rPr>
          <w:rFonts w:hint="eastAsia" w:hAnsi="宋体" w:cs="宋体"/>
          <w:b/>
          <w:sz w:val="24"/>
          <w:szCs w:val="24"/>
        </w:rPr>
        <w:t>6. 招标文件的澄清、修改</w:t>
      </w:r>
    </w:p>
    <w:p>
      <w:pPr>
        <w:pStyle w:val="128"/>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pPr>
        <w:pStyle w:val="128"/>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sz w:val="18"/>
          <w:szCs w:val="18"/>
          <w:lang w:val="en-US"/>
        </w:rPr>
      </w:pPr>
      <w:r>
        <w:rPr>
          <w:rFonts w:hint="eastAsia" w:hAnsi="宋体" w:cs="宋体"/>
          <w:szCs w:val="24"/>
          <w:lang w:val="en-US"/>
        </w:rPr>
        <w:t xml:space="preserve">    </w:t>
      </w:r>
    </w:p>
    <w:p>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pPr>
        <w:pStyle w:val="32"/>
        <w:spacing w:line="360" w:lineRule="auto"/>
        <w:rPr>
          <w:rFonts w:hAnsi="宋体" w:cs="宋体"/>
          <w:b/>
          <w:sz w:val="24"/>
          <w:szCs w:val="24"/>
        </w:rPr>
      </w:pPr>
      <w:r>
        <w:rPr>
          <w:rFonts w:hint="eastAsia" w:hAnsi="宋体" w:cs="宋体"/>
          <w:b/>
          <w:sz w:val="24"/>
          <w:szCs w:val="24"/>
        </w:rPr>
        <w:t>7. 招标文件的获取</w:t>
      </w:r>
    </w:p>
    <w:p>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pPr>
        <w:pStyle w:val="32"/>
        <w:spacing w:line="360" w:lineRule="auto"/>
        <w:rPr>
          <w:rFonts w:hAnsi="宋体" w:cs="宋体"/>
          <w:b/>
          <w:sz w:val="24"/>
          <w:szCs w:val="24"/>
        </w:rPr>
      </w:pPr>
      <w:r>
        <w:rPr>
          <w:rFonts w:hint="eastAsia" w:hAnsi="宋体" w:cs="宋体"/>
          <w:b/>
          <w:sz w:val="24"/>
          <w:szCs w:val="24"/>
        </w:rPr>
        <w:t>8.开标前答疑会或现场考察</w:t>
      </w:r>
    </w:p>
    <w:p>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pPr>
        <w:pStyle w:val="32"/>
        <w:spacing w:line="360" w:lineRule="auto"/>
        <w:rPr>
          <w:rFonts w:hAnsi="宋体" w:cs="宋体"/>
          <w:b/>
          <w:szCs w:val="24"/>
        </w:rPr>
      </w:pPr>
      <w:r>
        <w:rPr>
          <w:rFonts w:hint="eastAsia" w:hAnsi="宋体" w:cs="宋体"/>
          <w:b/>
          <w:kern w:val="28"/>
          <w:sz w:val="24"/>
          <w:szCs w:val="24"/>
        </w:rPr>
        <w:t>9.投标保证金</w:t>
      </w:r>
    </w:p>
    <w:p>
      <w:pPr>
        <w:pStyle w:val="32"/>
        <w:spacing w:line="360" w:lineRule="auto"/>
        <w:ind w:firstLine="480" w:firstLineChars="200"/>
        <w:rPr>
          <w:rFonts w:hint="eastAsia" w:hAnsi="宋体" w:cs="宋体"/>
          <w:color w:val="auto"/>
          <w:sz w:val="24"/>
          <w:lang w:eastAsia="zh-CN"/>
        </w:rPr>
      </w:pPr>
      <w:r>
        <w:rPr>
          <w:rFonts w:hint="eastAsia" w:hAnsi="宋体" w:cs="宋体"/>
          <w:color w:val="auto"/>
          <w:sz w:val="24"/>
          <w:lang w:eastAsia="zh-CN"/>
        </w:rPr>
        <w:t>本项目不收取。</w:t>
      </w:r>
    </w:p>
    <w:p>
      <w:pPr>
        <w:pStyle w:val="32"/>
        <w:spacing w:line="360" w:lineRule="auto"/>
        <w:rPr>
          <w:rFonts w:hAnsi="宋体" w:cs="宋体"/>
          <w:b/>
          <w:sz w:val="24"/>
          <w:szCs w:val="24"/>
        </w:rPr>
      </w:pPr>
      <w:r>
        <w:rPr>
          <w:rFonts w:hint="eastAsia" w:hAnsi="宋体" w:cs="宋体"/>
          <w:b/>
          <w:sz w:val="24"/>
          <w:szCs w:val="24"/>
        </w:rPr>
        <w:t>10. 投标文件的语言</w:t>
      </w:r>
    </w:p>
    <w:p>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pPr>
        <w:pStyle w:val="32"/>
        <w:spacing w:line="360" w:lineRule="auto"/>
        <w:rPr>
          <w:rFonts w:hAnsi="宋体" w:cs="宋体"/>
          <w:b/>
          <w:sz w:val="24"/>
          <w:szCs w:val="24"/>
        </w:rPr>
      </w:pPr>
      <w:r>
        <w:rPr>
          <w:rFonts w:hint="eastAsia" w:hAnsi="宋体" w:cs="宋体"/>
          <w:b/>
          <w:sz w:val="24"/>
          <w:szCs w:val="24"/>
        </w:rPr>
        <w:t>11. 投标文件的组成</w:t>
      </w:r>
      <w:r>
        <w:rPr>
          <w:rFonts w:hint="eastAsia" w:hAnsi="宋体" w:cs="宋体"/>
          <w:b/>
          <w:color w:val="FF0000"/>
          <w:sz w:val="24"/>
          <w:szCs w:val="24"/>
        </w:rPr>
        <w:t>（标注“▲”为实质性要求，供应商必须提供，否则投标无效。相关格式见招标文件第六部分）</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11.1.1符合参加政府采购活动应当具备的一般条件的承诺函；</w:t>
      </w:r>
    </w:p>
    <w:p>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bookmarkStart w:id="25" w:name="_Hlk101259339"/>
      <w:r>
        <w:rPr>
          <w:rFonts w:hint="eastAsia" w:ascii="宋体" w:hAnsi="宋体" w:cs="宋体"/>
          <w:snapToGrid w:val="0"/>
          <w:kern w:val="28"/>
          <w:sz w:val="24"/>
          <w:szCs w:val="20"/>
        </w:rPr>
        <w:t>联合协议</w:t>
      </w:r>
      <w:bookmarkEnd w:id="25"/>
      <w:r>
        <w:rPr>
          <w:rFonts w:hint="eastAsia" w:ascii="宋体" w:hAnsi="宋体" w:cs="宋体"/>
          <w:snapToGrid w:val="0"/>
          <w:kern w:val="28"/>
          <w:sz w:val="24"/>
          <w:szCs w:val="20"/>
        </w:rPr>
        <w:t>（如果有)；</w:t>
      </w:r>
    </w:p>
    <w:p>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11.2.1投标函；</w:t>
      </w:r>
      <w:r>
        <w:rPr>
          <w:rFonts w:hint="eastAsia" w:ascii="宋体" w:hAnsi="宋体" w:cs="宋体"/>
          <w:sz w:val="24"/>
          <w:lang w:val="zh-CN"/>
        </w:rPr>
        <w:t xml:space="preserve"> </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11.2.2授权委托书或法定代表人（单位负责人、自然人本人）身份证明；</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pPr>
        <w:snapToGrid w:val="0"/>
        <w:spacing w:line="360" w:lineRule="auto"/>
        <w:ind w:firstLine="482" w:firstLineChars="200"/>
        <w:rPr>
          <w:rFonts w:ascii="宋体" w:hAnsi="宋体" w:cs="宋体"/>
          <w:sz w:val="24"/>
          <w:lang w:val="zh-CN"/>
        </w:rPr>
      </w:pPr>
      <w:r>
        <w:rPr>
          <w:rFonts w:hint="eastAsia" w:hAnsi="宋体" w:cs="宋体"/>
          <w:b/>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pPr>
        <w:pStyle w:val="82"/>
      </w:pPr>
      <w:r>
        <w:rPr>
          <w:rFonts w:hint="eastAsia" w:cs="宋体"/>
          <w:b/>
          <w:szCs w:val="24"/>
        </w:rPr>
        <w:t>▲</w:t>
      </w:r>
      <w:r>
        <w:rPr>
          <w:rFonts w:hint="eastAsia"/>
        </w:rPr>
        <w:t>11.2.9承诺函；</w:t>
      </w:r>
    </w:p>
    <w:p>
      <w:pPr>
        <w:pStyle w:val="82"/>
      </w:pPr>
      <w:r>
        <w:rPr>
          <w:rFonts w:hint="eastAsia"/>
        </w:rPr>
        <w:t>11.2.10技术解决方案</w:t>
      </w:r>
      <w:r>
        <w:rPr>
          <w:rFonts w:hint="eastAsia" w:cs="宋体"/>
          <w:snapToGrid w:val="0"/>
          <w:kern w:val="28"/>
        </w:rPr>
        <w:t>（如果有)</w:t>
      </w:r>
      <w:r>
        <w:rPr>
          <w:rFonts w:hint="eastAsia"/>
        </w:rPr>
        <w:t>。可以是针对本项目的完整技术解决方案和实施方案；详细阐述项目方案的实现思路及关键技术；符合本项目对当前和未来发展的要求；以及对功能设计和实施计划的建议；</w:t>
      </w:r>
    </w:p>
    <w:p>
      <w:pPr>
        <w:pStyle w:val="82"/>
      </w:pPr>
      <w:r>
        <w:rPr>
          <w:rFonts w:hint="eastAsia"/>
        </w:rPr>
        <w:t>11.2.11组织实施方案</w:t>
      </w:r>
      <w:r>
        <w:rPr>
          <w:rFonts w:hint="eastAsia" w:cs="宋体"/>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pPr>
        <w:pStyle w:val="82"/>
      </w:pPr>
      <w:r>
        <w:rPr>
          <w:rFonts w:hint="eastAsia" w:cs="宋体"/>
          <w:b/>
          <w:szCs w:val="24"/>
        </w:rPr>
        <w:t>▲</w:t>
      </w:r>
      <w:r>
        <w:rPr>
          <w:rFonts w:hint="eastAsia"/>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报价文件：</w:t>
      </w:r>
      <w:r>
        <w:rPr>
          <w:rFonts w:hint="eastAsia" w:ascii="宋体" w:hAnsi="宋体" w:cs="宋体"/>
          <w:sz w:val="24"/>
        </w:rPr>
        <w:t xml:space="preserve"> </w:t>
      </w:r>
    </w:p>
    <w:p>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11.3.1开标一览表（报价表）；</w:t>
      </w:r>
    </w:p>
    <w:p>
      <w:pPr>
        <w:snapToGrid w:val="0"/>
        <w:spacing w:line="360" w:lineRule="auto"/>
        <w:ind w:firstLine="480" w:firstLineChars="200"/>
        <w:rPr>
          <w:rFonts w:ascii="宋体" w:hAnsi="宋体" w:cs="宋体"/>
          <w:sz w:val="24"/>
        </w:rPr>
      </w:pPr>
      <w:r>
        <w:rPr>
          <w:rFonts w:hint="eastAsia" w:ascii="宋体" w:hAnsi="宋体" w:cs="宋体"/>
          <w:sz w:val="24"/>
        </w:rPr>
        <w:t>11.3.2中小企业声明函</w:t>
      </w:r>
      <w:r>
        <w:rPr>
          <w:rFonts w:hint="eastAsia" w:ascii="宋体" w:hAnsi="宋体" w:cs="宋体"/>
          <w:snapToGrid w:val="0"/>
          <w:kern w:val="28"/>
          <w:sz w:val="24"/>
          <w:szCs w:val="20"/>
        </w:rPr>
        <w:t>（如果有)</w:t>
      </w:r>
      <w:r>
        <w:rPr>
          <w:rFonts w:hint="eastAsia" w:ascii="宋体" w:hAnsi="宋体" w:cs="宋体"/>
          <w:sz w:val="24"/>
        </w:rPr>
        <w:t>。</w:t>
      </w:r>
    </w:p>
    <w:p>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pPr>
        <w:pStyle w:val="128"/>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snapToGrid w:val="0"/>
        <w:spacing w:line="360" w:lineRule="auto"/>
        <w:rPr>
          <w:rFonts w:ascii="宋体" w:hAnsi="宋体" w:cs="宋体"/>
          <w:b/>
          <w:sz w:val="24"/>
        </w:rPr>
      </w:pPr>
      <w:r>
        <w:rPr>
          <w:rFonts w:hint="eastAsia" w:ascii="宋体" w:hAnsi="宋体" w:cs="宋体"/>
          <w:b/>
          <w:sz w:val="24"/>
        </w:rPr>
        <w:t>13.投标文件的签署、盖章</w:t>
      </w:r>
    </w:p>
    <w:p>
      <w:pPr>
        <w:pStyle w:val="128"/>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pPr>
        <w:pStyle w:val="128"/>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pPr>
        <w:pStyle w:val="128"/>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pPr>
        <w:pStyle w:val="128"/>
        <w:spacing w:before="0"/>
        <w:ind w:firstLine="0" w:firstLineChars="0"/>
        <w:rPr>
          <w:rFonts w:ascii="宋体" w:hAnsi="宋体" w:cs="宋体"/>
          <w:b/>
          <w:szCs w:val="24"/>
        </w:rPr>
      </w:pPr>
      <w:r>
        <w:rPr>
          <w:rFonts w:hint="eastAsia" w:ascii="宋体" w:hAnsi="宋体" w:cs="宋体"/>
          <w:b/>
          <w:szCs w:val="24"/>
        </w:rPr>
        <w:t>14. 投标文件的提交、补充、修改、撤回</w:t>
      </w:r>
    </w:p>
    <w:p>
      <w:pPr>
        <w:pStyle w:val="128"/>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8"/>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pPr>
        <w:pStyle w:val="128"/>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pPr>
        <w:pStyle w:val="32"/>
        <w:spacing w:line="360" w:lineRule="auto"/>
        <w:rPr>
          <w:rFonts w:hAnsi="宋体" w:cs="宋体"/>
          <w:b/>
          <w:sz w:val="24"/>
          <w:szCs w:val="24"/>
        </w:rPr>
      </w:pPr>
      <w:r>
        <w:rPr>
          <w:rFonts w:hint="eastAsia" w:hAnsi="宋体" w:cs="宋体"/>
          <w:b/>
          <w:sz w:val="24"/>
          <w:szCs w:val="24"/>
        </w:rPr>
        <w:t>15.备份投标文件</w:t>
      </w:r>
    </w:p>
    <w:p>
      <w:pPr>
        <w:ind w:firstLine="480" w:firstLineChars="200"/>
        <w:rPr>
          <w:rFonts w:ascii="宋体" w:hAnsi="宋体" w:cs="宋体"/>
          <w:sz w:val="24"/>
        </w:rPr>
      </w:pPr>
      <w:r>
        <w:rPr>
          <w:rFonts w:hint="eastAsia" w:ascii="宋体" w:hAnsi="宋体" w:cs="宋体"/>
          <w:sz w:val="24"/>
        </w:rPr>
        <w:t>本项目不提交。</w:t>
      </w:r>
    </w:p>
    <w:p>
      <w:pPr>
        <w:pStyle w:val="128"/>
        <w:spacing w:before="0"/>
        <w:ind w:firstLine="0" w:firstLineChars="0"/>
        <w:rPr>
          <w:rFonts w:ascii="宋体" w:hAnsi="宋体" w:cs="宋体"/>
          <w:b/>
          <w:szCs w:val="24"/>
        </w:rPr>
      </w:pPr>
      <w:r>
        <w:rPr>
          <w:rFonts w:hint="eastAsia" w:ascii="宋体" w:hAnsi="宋体" w:cs="宋体"/>
          <w:b/>
          <w:szCs w:val="24"/>
        </w:rPr>
        <w:t>16.投标文件的无效处理</w:t>
      </w:r>
    </w:p>
    <w:p>
      <w:pPr>
        <w:pStyle w:val="24"/>
        <w:spacing w:line="360" w:lineRule="auto"/>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pPr>
        <w:pStyle w:val="128"/>
        <w:spacing w:before="0"/>
        <w:ind w:firstLine="0" w:firstLineChars="0"/>
        <w:rPr>
          <w:rFonts w:ascii="宋体" w:hAnsi="宋体" w:cs="宋体"/>
          <w:b/>
          <w:szCs w:val="24"/>
        </w:rPr>
      </w:pPr>
      <w:r>
        <w:rPr>
          <w:rFonts w:hint="eastAsia" w:ascii="宋体" w:hAnsi="宋体" w:cs="宋体"/>
          <w:b/>
          <w:szCs w:val="24"/>
        </w:rPr>
        <w:t>17.投标有效期</w:t>
      </w:r>
    </w:p>
    <w:p>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pPr>
        <w:pStyle w:val="128"/>
        <w:spacing w:before="0"/>
        <w:ind w:firstLine="480"/>
        <w:rPr>
          <w:rFonts w:ascii="宋体" w:hAnsi="宋体" w:cs="宋体"/>
        </w:rPr>
      </w:pPr>
      <w:r>
        <w:rPr>
          <w:rFonts w:hint="eastAsia" w:ascii="宋体" w:hAnsi="宋体" w:cs="宋体"/>
        </w:rPr>
        <w:t>17.2投标文件合格投递后，自投标截止日期起，在投标有效期内有效。</w:t>
      </w:r>
    </w:p>
    <w:p>
      <w:pPr>
        <w:pStyle w:val="128"/>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color w:val="FF0000"/>
        </w:rPr>
        <w:t>采购人或</w:t>
      </w:r>
      <w:r>
        <w:rPr>
          <w:rFonts w:hint="eastAsia" w:ascii="宋体" w:hAnsi="宋体" w:cs="宋体"/>
        </w:rPr>
        <w:t>采购代理机构可以以书面形式通知</w:t>
      </w:r>
      <w:r>
        <w:rPr>
          <w:rFonts w:hint="eastAsia" w:ascii="宋体" w:hAnsi="宋体" w:cs="宋体"/>
          <w:color w:val="FF0000"/>
        </w:rPr>
        <w:t>所有</w:t>
      </w:r>
      <w:r>
        <w:rPr>
          <w:rFonts w:hint="eastAsia" w:ascii="宋体" w:hAnsi="宋体" w:cs="宋体"/>
        </w:rPr>
        <w:t>投标人延长投标有效期。投标人同意延长的，不得要求或被允许修改其投标文件，投标人拒绝延长的，其投标无效。</w:t>
      </w:r>
    </w:p>
    <w:p>
      <w:pPr>
        <w:pStyle w:val="128"/>
        <w:spacing w:before="0"/>
        <w:ind w:firstLine="643"/>
        <w:rPr>
          <w:rFonts w:ascii="宋体" w:hAnsi="宋体" w:cs="宋体"/>
          <w:b/>
          <w:sz w:val="32"/>
        </w:rPr>
      </w:pPr>
    </w:p>
    <w:p>
      <w:pPr>
        <w:pStyle w:val="128"/>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pPr>
        <w:pStyle w:val="554"/>
        <w:spacing w:before="0" w:line="360" w:lineRule="auto"/>
        <w:ind w:left="0" w:firstLine="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pPr>
        <w:pStyle w:val="554"/>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pPr>
        <w:pStyle w:val="554"/>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pPr>
        <w:pStyle w:val="554"/>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sz w:val="24"/>
          <w:szCs w:val="20"/>
        </w:rPr>
      </w:pPr>
      <w:r>
        <w:rPr>
          <w:rFonts w:hint="eastAsia" w:ascii="宋体" w:hAnsi="宋体" w:cs="宋体"/>
          <w:b/>
          <w:sz w:val="24"/>
          <w:szCs w:val="20"/>
        </w:rPr>
        <w:t>19.资格审查</w:t>
      </w:r>
    </w:p>
    <w:p>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采购人依据法律法规和招标文件的规定，对投标人的资格进行审查。</w:t>
      </w:r>
    </w:p>
    <w:p>
      <w:pPr>
        <w:pStyle w:val="128"/>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pPr>
        <w:pStyle w:val="128"/>
        <w:spacing w:before="0"/>
        <w:ind w:firstLine="0" w:firstLineChars="0"/>
        <w:rPr>
          <w:rFonts w:ascii="宋体" w:hAnsi="宋体" w:cs="宋体"/>
          <w:b/>
          <w:szCs w:val="24"/>
        </w:rPr>
      </w:pPr>
      <w:r>
        <w:rPr>
          <w:rFonts w:hint="eastAsia" w:ascii="宋体" w:hAnsi="宋体" w:cs="宋体"/>
          <w:b/>
          <w:szCs w:val="24"/>
        </w:rPr>
        <w:t>20.信用信息查询</w:t>
      </w:r>
    </w:p>
    <w:p>
      <w:pPr>
        <w:pStyle w:val="128"/>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rPr>
        <w:t>采购人或采购代理机构</w:t>
      </w:r>
      <w:r>
        <w:rPr>
          <w:rFonts w:hint="eastAsia" w:ascii="宋体" w:hAnsi="宋体" w:cs="宋体"/>
          <w:kern w:val="0"/>
          <w:szCs w:val="24"/>
        </w:rPr>
        <w:t>将在资格审查时通过“信用中国”网站(www.creditchina.gov.cn)、中国政府采购网(www.ccgp.gov.cn)渠道查询投标人接受资格审查时的信用记录。</w:t>
      </w:r>
    </w:p>
    <w:p>
      <w:pPr>
        <w:pStyle w:val="128"/>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pPr>
        <w:pStyle w:val="128"/>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pPr>
        <w:pStyle w:val="128"/>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pPr>
        <w:pStyle w:val="128"/>
        <w:spacing w:before="0"/>
        <w:ind w:firstLine="0" w:firstLineChars="0"/>
        <w:rPr>
          <w:rFonts w:ascii="宋体" w:hAnsi="宋体" w:cs="宋体"/>
          <w:kern w:val="0"/>
          <w:szCs w:val="24"/>
        </w:rPr>
      </w:pPr>
    </w:p>
    <w:p>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pPr>
        <w:spacing w:line="360" w:lineRule="auto"/>
        <w:rPr>
          <w:rFonts w:ascii="宋体" w:hAnsi="宋体" w:cs="宋体"/>
          <w:b/>
          <w:sz w:val="24"/>
        </w:rPr>
      </w:pPr>
      <w:bookmarkStart w:id="26" w:name="_Toc91899903"/>
      <w:r>
        <w:rPr>
          <w:rFonts w:hint="eastAsia" w:ascii="宋体" w:hAnsi="宋体" w:cs="宋体"/>
          <w:b/>
          <w:sz w:val="24"/>
        </w:rPr>
        <w:t>21.评标</w:t>
      </w:r>
    </w:p>
    <w:p>
      <w:pPr>
        <w:pStyle w:val="82"/>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pStyle w:val="82"/>
        <w:rPr>
          <w:rFonts w:cs="宋体"/>
          <w:b/>
        </w:rPr>
      </w:pPr>
      <w:r>
        <w:rPr>
          <w:rFonts w:hint="eastAsia" w:cs="宋体"/>
          <w:b/>
        </w:rPr>
        <w:t>21.2</w:t>
      </w:r>
      <w:r>
        <w:rPr>
          <w:rFonts w:hint="eastAsia" w:cs="宋体"/>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rPr>
        <w:t>详见招标文件第四部分评标办法。</w:t>
      </w:r>
    </w:p>
    <w:p>
      <w:pPr>
        <w:pStyle w:val="82"/>
      </w:pPr>
    </w:p>
    <w:p>
      <w:pPr>
        <w:spacing w:line="360" w:lineRule="auto"/>
        <w:rPr>
          <w:rFonts w:ascii="宋体" w:hAnsi="宋体" w:cs="宋体"/>
          <w:b/>
          <w:sz w:val="24"/>
        </w:rPr>
      </w:pPr>
    </w:p>
    <w:p>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pPr>
        <w:pStyle w:val="24"/>
        <w:spacing w:line="360" w:lineRule="auto"/>
        <w:ind w:left="479" w:hanging="479" w:hangingChars="199"/>
        <w:rPr>
          <w:rFonts w:cs="宋体"/>
          <w:b/>
        </w:rPr>
      </w:pPr>
      <w:r>
        <w:rPr>
          <w:rFonts w:hint="eastAsia" w:cs="宋体"/>
          <w:b/>
        </w:rPr>
        <w:t>22. 确定中标供应商</w:t>
      </w:r>
    </w:p>
    <w:p>
      <w:pPr>
        <w:pStyle w:val="128"/>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FF0000"/>
          <w:szCs w:val="24"/>
        </w:rPr>
        <w:t>5</w:t>
      </w:r>
      <w:r>
        <w:rPr>
          <w:rFonts w:hint="eastAsia" w:ascii="宋体" w:hAnsi="宋体" w:cs="宋体"/>
          <w:szCs w:val="24"/>
        </w:rPr>
        <w:t>个工作日内在线确定中标供应商。中标通知书和中标结果公告应当在规定时间内同时发出。</w:t>
      </w:r>
    </w:p>
    <w:p>
      <w:pPr>
        <w:pStyle w:val="128"/>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pPr>
        <w:snapToGrid w:val="0"/>
        <w:spacing w:line="360" w:lineRule="auto"/>
        <w:ind w:left="120" w:leftChars="57" w:firstLine="482" w:firstLineChars="150"/>
        <w:jc w:val="center"/>
        <w:rPr>
          <w:rFonts w:ascii="宋体" w:hAnsi="宋体" w:cs="宋体"/>
          <w:b/>
          <w:sz w:val="32"/>
        </w:rPr>
      </w:pPr>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pPr>
        <w:pStyle w:val="24"/>
        <w:spacing w:line="360" w:lineRule="auto"/>
        <w:ind w:left="479" w:hanging="479" w:hangingChars="199"/>
        <w:rPr>
          <w:rFonts w:cs="宋体"/>
          <w:b/>
        </w:rPr>
      </w:pPr>
      <w:r>
        <w:rPr>
          <w:rFonts w:hint="eastAsia" w:cs="宋体"/>
          <w:b/>
        </w:rPr>
        <w:t>25. 合同的签订</w:t>
      </w:r>
    </w:p>
    <w:p>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8"/>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pPr>
        <w:pStyle w:val="128"/>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pPr>
        <w:pStyle w:val="128"/>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pPr>
        <w:pStyle w:val="128"/>
        <w:snapToGrid w:val="0"/>
        <w:spacing w:before="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pPr>
        <w:pStyle w:val="128"/>
        <w:snapToGrid w:val="0"/>
        <w:spacing w:before="0"/>
        <w:ind w:firstLine="480"/>
        <w:rPr>
          <w:rFonts w:ascii="宋体" w:hAnsi="宋体" w:cs="宋体"/>
        </w:rPr>
      </w:pPr>
      <w:r>
        <w:rPr>
          <w:rFonts w:hint="eastAsia" w:ascii="宋体" w:hAnsi="宋体" w:cs="宋体"/>
        </w:rPr>
        <w:t>25.6政采贷</w:t>
      </w:r>
    </w:p>
    <w:p>
      <w:pPr>
        <w:pStyle w:val="128"/>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8"/>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8"/>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8"/>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8"/>
        <w:snapToGrid w:val="0"/>
        <w:spacing w:before="0"/>
        <w:ind w:firstLine="480"/>
        <w:rPr>
          <w:rFonts w:ascii="宋体" w:hAnsi="宋体" w:cs="宋体"/>
        </w:rPr>
      </w:pPr>
      <w:r>
        <w:rPr>
          <w:rFonts w:hint="eastAsia" w:ascii="宋体" w:hAnsi="宋体" w:cs="宋体"/>
        </w:rPr>
        <w:t>（四）贷款发放。贷款金融机构根据贷款协议向供应商发放贷款。</w:t>
      </w:r>
    </w:p>
    <w:p>
      <w:pPr>
        <w:pStyle w:val="128"/>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pPr>
        <w:pStyle w:val="128"/>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pPr>
        <w:pStyle w:val="128"/>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pPr>
        <w:pStyle w:val="128"/>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pPr>
        <w:pStyle w:val="82"/>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cs="Times New Roman"/>
          <w:snapToGrid/>
          <w:sz w:val="24"/>
          <w:szCs w:val="20"/>
        </w:rPr>
        <w:t>https://jinrong.gcy.zfcg.gxzf.gov.cn/finance/loan/gx</w:t>
      </w:r>
      <w:r>
        <w:rPr>
          <w:rStyle w:val="76"/>
          <w:rFonts w:ascii="宋体" w:hAnsi="宋体" w:eastAsia="宋体" w:cs="Times New Roman"/>
          <w:snapToGrid/>
          <w:sz w:val="24"/>
          <w:szCs w:val="20"/>
        </w:rPr>
        <w:fldChar w:fldCharType="end"/>
      </w:r>
      <w:r>
        <w:rPr>
          <w:rFonts w:hint="eastAsia"/>
        </w:rPr>
        <w:t>）</w:t>
      </w:r>
    </w:p>
    <w:p>
      <w:pPr>
        <w:pStyle w:val="82"/>
      </w:pPr>
      <w:r>
        <w:rPr>
          <w:rFonts w:hint="eastAsia"/>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银行名称</w:t>
            </w:r>
          </w:p>
        </w:tc>
        <w:tc>
          <w:tcPr>
            <w:tcW w:w="1134" w:type="dxa"/>
            <w:vAlign w:val="center"/>
          </w:tcPr>
          <w:p>
            <w:pPr>
              <w:pStyle w:val="82"/>
              <w:ind w:firstLine="0"/>
              <w:jc w:val="center"/>
            </w:pPr>
            <w:r>
              <w:rPr>
                <w:rFonts w:hint="eastAsia"/>
              </w:rPr>
              <w:t>联系电话</w:t>
            </w:r>
          </w:p>
        </w:tc>
        <w:tc>
          <w:tcPr>
            <w:tcW w:w="1701" w:type="dxa"/>
            <w:vAlign w:val="center"/>
          </w:tcPr>
          <w:p>
            <w:pPr>
              <w:pStyle w:val="82"/>
              <w:ind w:firstLine="0"/>
              <w:jc w:val="center"/>
            </w:pPr>
            <w:r>
              <w:rPr>
                <w:rFonts w:hint="eastAsia"/>
              </w:rPr>
              <w:t>最高授信金额</w:t>
            </w:r>
          </w:p>
        </w:tc>
        <w:tc>
          <w:tcPr>
            <w:tcW w:w="993" w:type="dxa"/>
            <w:vAlign w:val="center"/>
          </w:tcPr>
          <w:p>
            <w:pPr>
              <w:pStyle w:val="82"/>
              <w:ind w:firstLine="0"/>
              <w:jc w:val="center"/>
            </w:pPr>
            <w:r>
              <w:rPr>
                <w:rFonts w:hint="eastAsia"/>
              </w:rPr>
              <w:t>最长授信期限</w:t>
            </w:r>
          </w:p>
        </w:tc>
        <w:tc>
          <w:tcPr>
            <w:tcW w:w="850" w:type="dxa"/>
            <w:vAlign w:val="center"/>
          </w:tcPr>
          <w:p>
            <w:pPr>
              <w:pStyle w:val="82"/>
              <w:ind w:firstLine="0"/>
              <w:jc w:val="center"/>
            </w:pPr>
            <w:r>
              <w:rPr>
                <w:rFonts w:hint="eastAsia"/>
              </w:rPr>
              <w:t>最低利率</w:t>
            </w:r>
          </w:p>
        </w:tc>
        <w:tc>
          <w:tcPr>
            <w:tcW w:w="3366" w:type="dxa"/>
            <w:vAlign w:val="center"/>
          </w:tcPr>
          <w:p>
            <w:pPr>
              <w:pStyle w:val="82"/>
              <w:ind w:firstLine="0"/>
              <w:jc w:val="center"/>
            </w:pPr>
            <w:r>
              <w:rPr>
                <w:rFonts w:hint="eastAsia"/>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建设银行</w:t>
            </w:r>
          </w:p>
        </w:tc>
        <w:tc>
          <w:tcPr>
            <w:tcW w:w="1134" w:type="dxa"/>
            <w:vAlign w:val="center"/>
          </w:tcPr>
          <w:p>
            <w:pPr>
              <w:pStyle w:val="82"/>
              <w:ind w:firstLine="0"/>
              <w:jc w:val="center"/>
            </w:pPr>
            <w:r>
              <w:rPr>
                <w:rFonts w:hint="eastAsia"/>
              </w:rPr>
              <w:t>13077729988</w:t>
            </w:r>
          </w:p>
        </w:tc>
        <w:tc>
          <w:tcPr>
            <w:tcW w:w="1701" w:type="dxa"/>
            <w:vAlign w:val="center"/>
          </w:tcPr>
          <w:p>
            <w:pPr>
              <w:pStyle w:val="82"/>
              <w:ind w:firstLine="0"/>
            </w:pPr>
            <w:r>
              <w:rPr>
                <w:rFonts w:hint="eastAsia"/>
              </w:rPr>
              <w:t>最高3千万</w:t>
            </w:r>
          </w:p>
        </w:tc>
        <w:tc>
          <w:tcPr>
            <w:tcW w:w="993" w:type="dxa"/>
            <w:vAlign w:val="center"/>
          </w:tcPr>
          <w:p>
            <w:pPr>
              <w:pStyle w:val="82"/>
              <w:ind w:firstLine="0"/>
              <w:jc w:val="center"/>
            </w:pPr>
            <w:r>
              <w:rPr>
                <w:rFonts w:hint="eastAsia"/>
              </w:rPr>
              <w:t>1年</w:t>
            </w:r>
          </w:p>
        </w:tc>
        <w:tc>
          <w:tcPr>
            <w:tcW w:w="850" w:type="dxa"/>
            <w:vAlign w:val="center"/>
          </w:tcPr>
          <w:p>
            <w:pPr>
              <w:pStyle w:val="82"/>
              <w:ind w:firstLine="0"/>
              <w:jc w:val="center"/>
            </w:pPr>
            <w:r>
              <w:rPr>
                <w:rFonts w:hint="eastAsia"/>
              </w:rPr>
              <w:t>4%</w:t>
            </w:r>
          </w:p>
        </w:tc>
        <w:tc>
          <w:tcPr>
            <w:tcW w:w="3366" w:type="dxa"/>
            <w:vAlign w:val="center"/>
          </w:tcPr>
          <w:p>
            <w:pPr>
              <w:pStyle w:val="82"/>
              <w:ind w:firstLine="0"/>
            </w:pPr>
            <w:r>
              <w:rPr>
                <w:rFonts w:hint="eastAsia"/>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中国银行</w:t>
            </w:r>
          </w:p>
        </w:tc>
        <w:tc>
          <w:tcPr>
            <w:tcW w:w="1134" w:type="dxa"/>
            <w:vAlign w:val="center"/>
          </w:tcPr>
          <w:p>
            <w:pPr>
              <w:pStyle w:val="82"/>
              <w:ind w:firstLine="0"/>
              <w:jc w:val="center"/>
            </w:pPr>
            <w:r>
              <w:rPr>
                <w:rFonts w:hint="eastAsia"/>
              </w:rPr>
              <w:t>0779-3997084</w:t>
            </w:r>
          </w:p>
        </w:tc>
        <w:tc>
          <w:tcPr>
            <w:tcW w:w="1701" w:type="dxa"/>
            <w:vAlign w:val="center"/>
          </w:tcPr>
          <w:p>
            <w:pPr>
              <w:pStyle w:val="82"/>
              <w:ind w:firstLine="0"/>
            </w:pPr>
            <w:r>
              <w:rPr>
                <w:rFonts w:hint="eastAsia"/>
              </w:rPr>
              <w:t>最高1千万</w:t>
            </w:r>
          </w:p>
        </w:tc>
        <w:tc>
          <w:tcPr>
            <w:tcW w:w="993" w:type="dxa"/>
            <w:vAlign w:val="center"/>
          </w:tcPr>
          <w:p>
            <w:pPr>
              <w:pStyle w:val="82"/>
              <w:ind w:firstLine="0"/>
              <w:jc w:val="center"/>
            </w:pPr>
            <w:r>
              <w:rPr>
                <w:rFonts w:hint="eastAsia"/>
              </w:rPr>
              <w:t>3年</w:t>
            </w:r>
          </w:p>
        </w:tc>
        <w:tc>
          <w:tcPr>
            <w:tcW w:w="850" w:type="dxa"/>
            <w:vAlign w:val="center"/>
          </w:tcPr>
          <w:p>
            <w:pPr>
              <w:pStyle w:val="82"/>
              <w:ind w:firstLine="0"/>
              <w:jc w:val="center"/>
            </w:pPr>
            <w:r>
              <w:rPr>
                <w:rFonts w:hint="eastAsia"/>
              </w:rPr>
              <w:t>1.93%</w:t>
            </w:r>
          </w:p>
        </w:tc>
        <w:tc>
          <w:tcPr>
            <w:tcW w:w="3366" w:type="dxa"/>
            <w:vAlign w:val="center"/>
          </w:tcPr>
          <w:p>
            <w:pPr>
              <w:pStyle w:val="82"/>
              <w:ind w:firstLine="0"/>
            </w:pPr>
            <w:r>
              <w:rPr>
                <w:rFonts w:hint="eastAsia"/>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兴业银行</w:t>
            </w:r>
          </w:p>
        </w:tc>
        <w:tc>
          <w:tcPr>
            <w:tcW w:w="1134" w:type="dxa"/>
            <w:vAlign w:val="center"/>
          </w:tcPr>
          <w:p>
            <w:pPr>
              <w:pStyle w:val="82"/>
              <w:ind w:firstLine="0"/>
              <w:jc w:val="center"/>
            </w:pPr>
            <w:r>
              <w:rPr>
                <w:rFonts w:hint="eastAsia"/>
              </w:rPr>
              <w:t>0779-3158330</w:t>
            </w:r>
          </w:p>
        </w:tc>
        <w:tc>
          <w:tcPr>
            <w:tcW w:w="1701" w:type="dxa"/>
            <w:vAlign w:val="center"/>
          </w:tcPr>
          <w:p>
            <w:pPr>
              <w:pStyle w:val="82"/>
              <w:ind w:firstLine="0"/>
            </w:pPr>
            <w:r>
              <w:rPr>
                <w:rFonts w:hint="eastAsia"/>
              </w:rPr>
              <w:t>最高1千万（单笔提款金额达合同金额70%）</w:t>
            </w:r>
          </w:p>
        </w:tc>
        <w:tc>
          <w:tcPr>
            <w:tcW w:w="993" w:type="dxa"/>
            <w:vAlign w:val="center"/>
          </w:tcPr>
          <w:p>
            <w:pPr>
              <w:pStyle w:val="82"/>
              <w:ind w:firstLine="0"/>
              <w:jc w:val="center"/>
            </w:pPr>
            <w:r>
              <w:rPr>
                <w:rFonts w:hint="eastAsia"/>
              </w:rPr>
              <w:t>1年</w:t>
            </w:r>
          </w:p>
        </w:tc>
        <w:tc>
          <w:tcPr>
            <w:tcW w:w="850" w:type="dxa"/>
            <w:vAlign w:val="center"/>
          </w:tcPr>
          <w:p>
            <w:pPr>
              <w:pStyle w:val="82"/>
              <w:ind w:firstLine="0"/>
              <w:jc w:val="center"/>
            </w:pPr>
            <w:r>
              <w:rPr>
                <w:rFonts w:hint="eastAsia"/>
              </w:rPr>
              <w:t>3.70%</w:t>
            </w:r>
          </w:p>
        </w:tc>
        <w:tc>
          <w:tcPr>
            <w:tcW w:w="3366" w:type="dxa"/>
            <w:vAlign w:val="center"/>
          </w:tcPr>
          <w:p>
            <w:pPr>
              <w:pStyle w:val="82"/>
              <w:ind w:firstLine="0"/>
            </w:pPr>
            <w:r>
              <w:rPr>
                <w:rFonts w:hint="eastAsia"/>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工商银行</w:t>
            </w:r>
          </w:p>
        </w:tc>
        <w:tc>
          <w:tcPr>
            <w:tcW w:w="1134" w:type="dxa"/>
            <w:vAlign w:val="center"/>
          </w:tcPr>
          <w:p>
            <w:pPr>
              <w:pStyle w:val="82"/>
              <w:ind w:firstLine="0"/>
              <w:jc w:val="center"/>
            </w:pPr>
            <w:r>
              <w:rPr>
                <w:rFonts w:hint="eastAsia"/>
              </w:rPr>
              <w:t>0779-3050645</w:t>
            </w:r>
          </w:p>
        </w:tc>
        <w:tc>
          <w:tcPr>
            <w:tcW w:w="1701" w:type="dxa"/>
            <w:vAlign w:val="center"/>
          </w:tcPr>
          <w:p>
            <w:pPr>
              <w:pStyle w:val="82"/>
              <w:ind w:firstLine="0"/>
            </w:pPr>
            <w:r>
              <w:rPr>
                <w:rFonts w:hint="eastAsia"/>
              </w:rPr>
              <w:t>最高1千万且不超过合同金额70%</w:t>
            </w:r>
          </w:p>
        </w:tc>
        <w:tc>
          <w:tcPr>
            <w:tcW w:w="993" w:type="dxa"/>
            <w:vAlign w:val="center"/>
          </w:tcPr>
          <w:p>
            <w:pPr>
              <w:pStyle w:val="82"/>
              <w:ind w:firstLine="0"/>
              <w:jc w:val="center"/>
            </w:pPr>
            <w:r>
              <w:rPr>
                <w:rFonts w:hint="eastAsia"/>
              </w:rPr>
              <w:t>货物类1年</w:t>
            </w:r>
          </w:p>
          <w:p>
            <w:pPr>
              <w:pStyle w:val="82"/>
              <w:ind w:firstLine="0"/>
              <w:jc w:val="center"/>
            </w:pPr>
            <w:r>
              <w:rPr>
                <w:rFonts w:hint="eastAsia"/>
              </w:rPr>
              <w:t>服务类3年</w:t>
            </w:r>
          </w:p>
          <w:p>
            <w:pPr>
              <w:pStyle w:val="82"/>
              <w:ind w:firstLine="0"/>
              <w:jc w:val="center"/>
            </w:pPr>
            <w:r>
              <w:rPr>
                <w:rFonts w:hint="eastAsia"/>
              </w:rPr>
              <w:t>工程类5年</w:t>
            </w:r>
          </w:p>
        </w:tc>
        <w:tc>
          <w:tcPr>
            <w:tcW w:w="850" w:type="dxa"/>
            <w:vAlign w:val="center"/>
          </w:tcPr>
          <w:p>
            <w:pPr>
              <w:pStyle w:val="82"/>
              <w:ind w:firstLine="0"/>
              <w:jc w:val="center"/>
            </w:pPr>
            <w:r>
              <w:rPr>
                <w:rFonts w:hint="eastAsia"/>
              </w:rPr>
              <w:t>3.45%</w:t>
            </w:r>
          </w:p>
        </w:tc>
        <w:tc>
          <w:tcPr>
            <w:tcW w:w="3366" w:type="dxa"/>
            <w:vAlign w:val="center"/>
          </w:tcPr>
          <w:p>
            <w:pPr>
              <w:pStyle w:val="82"/>
              <w:ind w:firstLine="0"/>
            </w:pPr>
            <w:r>
              <w:rPr>
                <w:rFonts w:hint="eastAsia"/>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国民村镇银行</w:t>
            </w:r>
          </w:p>
        </w:tc>
        <w:tc>
          <w:tcPr>
            <w:tcW w:w="1134" w:type="dxa"/>
            <w:vAlign w:val="center"/>
          </w:tcPr>
          <w:p>
            <w:pPr>
              <w:pStyle w:val="82"/>
              <w:ind w:firstLine="0"/>
              <w:jc w:val="center"/>
            </w:pPr>
            <w:r>
              <w:rPr>
                <w:rFonts w:hint="eastAsia"/>
              </w:rPr>
              <w:t>0779-2668801</w:t>
            </w:r>
          </w:p>
        </w:tc>
        <w:tc>
          <w:tcPr>
            <w:tcW w:w="1701" w:type="dxa"/>
            <w:vAlign w:val="center"/>
          </w:tcPr>
          <w:p>
            <w:pPr>
              <w:pStyle w:val="82"/>
              <w:ind w:firstLine="0"/>
            </w:pPr>
            <w:r>
              <w:rPr>
                <w:rFonts w:hint="eastAsia"/>
              </w:rPr>
              <w:t>最高500万</w:t>
            </w:r>
          </w:p>
        </w:tc>
        <w:tc>
          <w:tcPr>
            <w:tcW w:w="993" w:type="dxa"/>
            <w:vAlign w:val="center"/>
          </w:tcPr>
          <w:p>
            <w:pPr>
              <w:pStyle w:val="82"/>
              <w:ind w:firstLine="0"/>
              <w:jc w:val="center"/>
            </w:pPr>
            <w:r>
              <w:rPr>
                <w:rFonts w:hint="eastAsia"/>
              </w:rPr>
              <w:t>5年</w:t>
            </w:r>
          </w:p>
        </w:tc>
        <w:tc>
          <w:tcPr>
            <w:tcW w:w="850" w:type="dxa"/>
            <w:vAlign w:val="center"/>
          </w:tcPr>
          <w:p>
            <w:pPr>
              <w:pStyle w:val="82"/>
              <w:ind w:firstLine="0"/>
              <w:jc w:val="center"/>
            </w:pPr>
            <w:r>
              <w:rPr>
                <w:rFonts w:hint="eastAsia"/>
              </w:rPr>
              <w:t>2.80%</w:t>
            </w:r>
          </w:p>
        </w:tc>
        <w:tc>
          <w:tcPr>
            <w:tcW w:w="3366" w:type="dxa"/>
            <w:vAlign w:val="center"/>
          </w:tcPr>
          <w:p>
            <w:pPr>
              <w:pStyle w:val="82"/>
              <w:ind w:firstLine="0"/>
            </w:pPr>
            <w:r>
              <w:rPr>
                <w:rFonts w:hint="eastAsia"/>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桂林银行</w:t>
            </w:r>
          </w:p>
        </w:tc>
        <w:tc>
          <w:tcPr>
            <w:tcW w:w="1134" w:type="dxa"/>
            <w:vAlign w:val="center"/>
          </w:tcPr>
          <w:p>
            <w:pPr>
              <w:pStyle w:val="82"/>
              <w:ind w:firstLine="0"/>
              <w:jc w:val="center"/>
            </w:pPr>
            <w:r>
              <w:rPr>
                <w:rFonts w:hint="eastAsia"/>
              </w:rPr>
              <w:t>18577993959</w:t>
            </w:r>
          </w:p>
        </w:tc>
        <w:tc>
          <w:tcPr>
            <w:tcW w:w="1701" w:type="dxa"/>
            <w:vAlign w:val="center"/>
          </w:tcPr>
          <w:p>
            <w:pPr>
              <w:pStyle w:val="82"/>
              <w:ind w:firstLine="0"/>
            </w:pPr>
            <w:r>
              <w:rPr>
                <w:rFonts w:hint="eastAsia"/>
              </w:rPr>
              <w:t>最高1千万</w:t>
            </w:r>
          </w:p>
        </w:tc>
        <w:tc>
          <w:tcPr>
            <w:tcW w:w="993" w:type="dxa"/>
            <w:vAlign w:val="center"/>
          </w:tcPr>
          <w:p>
            <w:pPr>
              <w:pStyle w:val="82"/>
              <w:ind w:firstLine="0"/>
              <w:jc w:val="center"/>
            </w:pPr>
            <w:r>
              <w:rPr>
                <w:rFonts w:hint="eastAsia"/>
              </w:rPr>
              <w:t>1年</w:t>
            </w:r>
          </w:p>
        </w:tc>
        <w:tc>
          <w:tcPr>
            <w:tcW w:w="850" w:type="dxa"/>
            <w:vAlign w:val="center"/>
          </w:tcPr>
          <w:p>
            <w:pPr>
              <w:pStyle w:val="82"/>
              <w:ind w:firstLine="0"/>
              <w:jc w:val="center"/>
            </w:pPr>
            <w:r>
              <w:rPr>
                <w:rFonts w:hint="eastAsia"/>
              </w:rPr>
              <w:t>3.45%</w:t>
            </w:r>
          </w:p>
        </w:tc>
        <w:tc>
          <w:tcPr>
            <w:tcW w:w="3366" w:type="dxa"/>
            <w:vAlign w:val="center"/>
          </w:tcPr>
          <w:p>
            <w:pPr>
              <w:pStyle w:val="82"/>
              <w:ind w:firstLine="0"/>
            </w:pPr>
            <w:r>
              <w:rPr>
                <w:rFonts w:hint="eastAsia"/>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pPr>
            <w:r>
              <w:rPr>
                <w:rFonts w:hint="eastAsia"/>
              </w:rPr>
              <w:t>中小微商务服务公司</w:t>
            </w:r>
          </w:p>
        </w:tc>
        <w:tc>
          <w:tcPr>
            <w:tcW w:w="1134" w:type="dxa"/>
            <w:vAlign w:val="center"/>
          </w:tcPr>
          <w:p>
            <w:pPr>
              <w:pStyle w:val="82"/>
              <w:ind w:firstLine="0"/>
              <w:jc w:val="center"/>
            </w:pPr>
            <w:r>
              <w:rPr>
                <w:rFonts w:hint="eastAsia"/>
              </w:rPr>
              <w:t>19907799988</w:t>
            </w:r>
          </w:p>
        </w:tc>
        <w:tc>
          <w:tcPr>
            <w:tcW w:w="1701" w:type="dxa"/>
            <w:vAlign w:val="center"/>
          </w:tcPr>
          <w:p>
            <w:pPr>
              <w:pStyle w:val="82"/>
              <w:ind w:firstLine="0"/>
            </w:pPr>
          </w:p>
        </w:tc>
        <w:tc>
          <w:tcPr>
            <w:tcW w:w="993" w:type="dxa"/>
            <w:vAlign w:val="center"/>
          </w:tcPr>
          <w:p>
            <w:pPr>
              <w:pStyle w:val="82"/>
              <w:ind w:firstLine="0"/>
              <w:jc w:val="center"/>
            </w:pPr>
          </w:p>
        </w:tc>
        <w:tc>
          <w:tcPr>
            <w:tcW w:w="850" w:type="dxa"/>
            <w:vAlign w:val="center"/>
          </w:tcPr>
          <w:p>
            <w:pPr>
              <w:pStyle w:val="82"/>
              <w:ind w:firstLine="0"/>
              <w:jc w:val="center"/>
            </w:pPr>
          </w:p>
        </w:tc>
        <w:tc>
          <w:tcPr>
            <w:tcW w:w="3366" w:type="dxa"/>
            <w:vAlign w:val="center"/>
          </w:tcPr>
          <w:p>
            <w:pPr>
              <w:pStyle w:val="82"/>
              <w:ind w:firstLine="0"/>
            </w:pPr>
            <w:r>
              <w:rPr>
                <w:rFonts w:hint="eastAsia"/>
              </w:rPr>
              <w:t>具体业务可电话咨询。</w:t>
            </w:r>
          </w:p>
        </w:tc>
      </w:tr>
    </w:tbl>
    <w:p>
      <w:pPr>
        <w:pStyle w:val="82"/>
      </w:pPr>
      <w:r>
        <w:rPr>
          <w:rFonts w:hint="eastAsia"/>
        </w:rPr>
        <w:t>注：表中联系电话、授信金额、授信期限、最低利率等信息可能动态更新，仅供参考，具体以办理时相关银行公布的为准。</w:t>
      </w:r>
    </w:p>
    <w:p>
      <w:pPr>
        <w:pStyle w:val="24"/>
        <w:spacing w:line="360" w:lineRule="auto"/>
        <w:ind w:left="479" w:hanging="479" w:hangingChars="199"/>
        <w:rPr>
          <w:rFonts w:cs="宋体"/>
          <w:b/>
        </w:rPr>
      </w:pPr>
      <w:r>
        <w:rPr>
          <w:rFonts w:hint="eastAsia" w:cs="宋体"/>
          <w:b/>
        </w:rPr>
        <w:t>26. 履约保证金</w:t>
      </w:r>
    </w:p>
    <w:p>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26.1本项目不收取履约保证金。</w:t>
      </w:r>
    </w:p>
    <w:p>
      <w:pPr>
        <w:pStyle w:val="24"/>
        <w:spacing w:line="360" w:lineRule="auto"/>
        <w:ind w:left="479" w:hanging="479" w:hangingChars="199"/>
        <w:rPr>
          <w:rFonts w:cs="宋体"/>
          <w:b/>
        </w:rPr>
      </w:pPr>
      <w:r>
        <w:rPr>
          <w:rFonts w:cs="宋体"/>
          <w:b/>
        </w:rPr>
        <w:t>27.预付款</w:t>
      </w:r>
    </w:p>
    <w:p>
      <w:pPr>
        <w:pStyle w:val="24"/>
        <w:spacing w:line="360" w:lineRule="auto"/>
        <w:ind w:left="479" w:hanging="479" w:hangingChars="199"/>
        <w:rPr>
          <w:rFonts w:cs="宋体"/>
          <w:b/>
        </w:rPr>
      </w:pPr>
      <w:r>
        <w:rPr>
          <w:rFonts w:hint="eastAsia" w:cs="宋体"/>
          <w:b/>
        </w:rPr>
        <w:t xml:space="preserve">    详见“第三部分  采购需求” 。</w:t>
      </w:r>
    </w:p>
    <w:p>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pPr>
        <w:adjustRightInd/>
        <w:spacing w:line="360" w:lineRule="auto"/>
        <w:ind w:firstLine="480" w:firstLineChars="200"/>
        <w:rPr>
          <w:rFonts w:ascii="宋体" w:hAnsi="宋体"/>
          <w:sz w:val="24"/>
        </w:rPr>
      </w:pPr>
      <w:r>
        <w:rPr>
          <w:rFonts w:hint="eastAsia" w:ascii="宋体" w:hAnsi="宋体"/>
          <w:sz w:val="24"/>
        </w:rPr>
        <w:t>供应商可登录广西政府采购云平台前台大厅选择金融服务</w:t>
      </w:r>
      <w:r>
        <w:rPr>
          <w:rFonts w:ascii="宋体" w:hAnsi="宋体"/>
          <w:sz w:val="24"/>
        </w:rPr>
        <w:t xml:space="preserve">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pPr>
        <w:snapToGrid w:val="0"/>
        <w:spacing w:line="360" w:lineRule="auto"/>
        <w:ind w:firstLine="3357" w:firstLineChars="1045"/>
        <w:rPr>
          <w:rFonts w:ascii="宋体" w:hAnsi="宋体" w:cs="宋体"/>
          <w:b/>
          <w:sz w:val="32"/>
        </w:rPr>
      </w:pPr>
    </w:p>
    <w:p>
      <w:pPr>
        <w:snapToGrid w:val="0"/>
        <w:spacing w:line="360" w:lineRule="auto"/>
        <w:ind w:firstLine="3357" w:firstLineChars="1045"/>
        <w:outlineLvl w:val="1"/>
        <w:rPr>
          <w:rFonts w:ascii="宋体" w:hAnsi="宋体" w:cs="宋体"/>
          <w:b/>
          <w:sz w:val="24"/>
        </w:rPr>
      </w:pPr>
      <w:r>
        <w:rPr>
          <w:rFonts w:hint="eastAsia" w:ascii="宋体" w:hAnsi="宋体" w:cs="宋体"/>
          <w:b/>
          <w:sz w:val="32"/>
        </w:rPr>
        <w:t>八、电子交易活动的中止</w:t>
      </w:r>
    </w:p>
    <w:p>
      <w:pPr>
        <w:pStyle w:val="128"/>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pPr>
        <w:pStyle w:val="128"/>
        <w:snapToGrid w:val="0"/>
        <w:spacing w:before="0"/>
        <w:ind w:firstLine="480"/>
        <w:rPr>
          <w:rFonts w:ascii="宋体" w:hAnsi="宋体" w:cs="宋体"/>
        </w:rPr>
      </w:pPr>
      <w:r>
        <w:rPr>
          <w:rFonts w:hint="eastAsia" w:ascii="宋体" w:hAnsi="宋体" w:cs="宋体"/>
        </w:rPr>
        <w:t xml:space="preserve">28.1电子交易平台发生故障而无法登录访问的； </w:t>
      </w:r>
    </w:p>
    <w:p>
      <w:pPr>
        <w:pStyle w:val="128"/>
        <w:snapToGrid w:val="0"/>
        <w:spacing w:before="0"/>
        <w:ind w:firstLine="480"/>
        <w:rPr>
          <w:rFonts w:ascii="宋体" w:hAnsi="宋体" w:cs="宋体"/>
        </w:rPr>
      </w:pPr>
      <w:r>
        <w:rPr>
          <w:rFonts w:hint="eastAsia" w:ascii="宋体" w:hAnsi="宋体" w:cs="宋体"/>
        </w:rPr>
        <w:t>28.2电子交易平台应用或数据库出现错误，不能进行正常操作的；</w:t>
      </w:r>
    </w:p>
    <w:p>
      <w:pPr>
        <w:pStyle w:val="128"/>
        <w:snapToGrid w:val="0"/>
        <w:spacing w:before="0"/>
        <w:ind w:firstLine="480"/>
        <w:rPr>
          <w:rFonts w:ascii="宋体" w:hAnsi="宋体" w:cs="宋体"/>
        </w:rPr>
      </w:pPr>
      <w:r>
        <w:rPr>
          <w:rFonts w:hint="eastAsia" w:ascii="宋体" w:hAnsi="宋体" w:cs="宋体"/>
        </w:rPr>
        <w:t>28.3电子交易平台发现严重安全漏洞，有潜在泄密危险的；</w:t>
      </w:r>
    </w:p>
    <w:p>
      <w:pPr>
        <w:pStyle w:val="128"/>
        <w:snapToGrid w:val="0"/>
        <w:spacing w:before="0"/>
        <w:ind w:firstLine="480"/>
        <w:rPr>
          <w:rFonts w:ascii="宋体" w:hAnsi="宋体" w:cs="宋体"/>
        </w:rPr>
      </w:pPr>
      <w:r>
        <w:rPr>
          <w:rFonts w:hint="eastAsia" w:ascii="宋体" w:hAnsi="宋体" w:cs="宋体"/>
        </w:rPr>
        <w:t xml:space="preserve">28.4病毒发作导致不能进行正常操作的； </w:t>
      </w:r>
    </w:p>
    <w:p>
      <w:pPr>
        <w:pStyle w:val="128"/>
        <w:snapToGrid w:val="0"/>
        <w:spacing w:before="0"/>
        <w:ind w:firstLine="480"/>
        <w:rPr>
          <w:rFonts w:ascii="宋体" w:hAnsi="宋体" w:cs="宋体"/>
        </w:rPr>
      </w:pPr>
      <w:r>
        <w:rPr>
          <w:rFonts w:hint="eastAsia" w:ascii="宋体" w:hAnsi="宋体" w:cs="宋体"/>
        </w:rPr>
        <w:t>28.5其他无法保证电子交易的公平、公正和安全的情况。</w:t>
      </w:r>
    </w:p>
    <w:p>
      <w:pPr>
        <w:pStyle w:val="128"/>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rPr>
      </w:pPr>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pPr>
        <w:pStyle w:val="24"/>
        <w:spacing w:line="360" w:lineRule="auto"/>
        <w:ind w:firstLine="0" w:firstLineChars="0"/>
        <w:rPr>
          <w:rFonts w:cs="宋体"/>
          <w:b/>
        </w:rPr>
      </w:pPr>
      <w:r>
        <w:rPr>
          <w:rFonts w:hint="eastAsia" w:cs="宋体"/>
          <w:b/>
        </w:rPr>
        <w:t>30.验收</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sz w:val="18"/>
          <w:szCs w:val="18"/>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26"/>
    <w:p>
      <w:pPr>
        <w:tabs>
          <w:tab w:val="left" w:pos="0"/>
        </w:tabs>
        <w:spacing w:line="360" w:lineRule="auto"/>
        <w:ind w:firstLine="480"/>
        <w:rPr>
          <w:rFonts w:ascii="宋体" w:hAnsi="宋体" w:cs="宋体"/>
          <w:kern w:val="0"/>
          <w:sz w:val="24"/>
        </w:rPr>
      </w:pPr>
      <w:bookmarkStart w:id="27" w:name="_Hlt68403820"/>
      <w:bookmarkEnd w:id="27"/>
      <w:bookmarkStart w:id="28" w:name="_Hlt75236101"/>
      <w:bookmarkEnd w:id="28"/>
      <w:bookmarkStart w:id="29" w:name="_Hlt68072990"/>
      <w:bookmarkEnd w:id="29"/>
      <w:bookmarkStart w:id="30" w:name="_Hlt74707468"/>
      <w:bookmarkEnd w:id="30"/>
      <w:bookmarkStart w:id="31" w:name="_Hlt68057669"/>
      <w:bookmarkEnd w:id="31"/>
      <w:bookmarkStart w:id="32" w:name="_Hlt74729768"/>
      <w:bookmarkEnd w:id="32"/>
      <w:bookmarkStart w:id="33" w:name="_Hlt68073093"/>
      <w:bookmarkEnd w:id="33"/>
      <w:bookmarkStart w:id="34" w:name="_Hlt75236290"/>
      <w:bookmarkEnd w:id="34"/>
      <w:bookmarkStart w:id="35" w:name="_Hlt74714665"/>
      <w:bookmarkEnd w:id="35"/>
      <w:bookmarkStart w:id="36" w:name="_Hlt74730295"/>
      <w:bookmarkEnd w:id="36"/>
      <w:bookmarkStart w:id="37" w:name="_Hlt68072998"/>
      <w:bookmarkEnd w:id="37"/>
      <w:bookmarkStart w:id="38" w:name="_Hlt75236011"/>
      <w:bookmarkEnd w:id="38"/>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pPr>
        <w:pStyle w:val="24"/>
        <w:spacing w:line="360" w:lineRule="auto"/>
        <w:ind w:firstLine="0" w:firstLineChars="0"/>
        <w:rPr>
          <w:rFonts w:cs="宋体"/>
          <w:b/>
        </w:rPr>
      </w:pPr>
      <w:r>
        <w:rPr>
          <w:rFonts w:hint="eastAsia" w:cs="宋体"/>
          <w:b/>
        </w:rPr>
        <w:t>31.</w:t>
      </w:r>
      <w:bookmarkStart w:id="39" w:name="OLE_LINK19"/>
      <w:bookmarkStart w:id="40" w:name="OLE_LINK20"/>
      <w:r>
        <w:rPr>
          <w:rFonts w:hint="eastAsia" w:cs="宋体"/>
          <w:b/>
        </w:rPr>
        <w:t>代理费用</w:t>
      </w:r>
      <w:bookmarkEnd w:id="39"/>
      <w:bookmarkEnd w:id="40"/>
      <w:r>
        <w:rPr>
          <w:rFonts w:hint="eastAsia" w:cs="宋体"/>
          <w:b/>
        </w:rPr>
        <w:t>的收取标准和方式（适用于有权收取代理费用的采购代理机构）</w:t>
      </w:r>
    </w:p>
    <w:p>
      <w:pPr>
        <w:snapToGrid w:val="0"/>
        <w:spacing w:line="360" w:lineRule="auto"/>
        <w:ind w:firstLine="480" w:firstLineChars="20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r>
        <w:rPr>
          <w:rFonts w:hint="eastAsia" w:ascii="宋体" w:hAnsi="宋体" w:cs="宋体"/>
          <w:kern w:val="0"/>
          <w:sz w:val="24"/>
        </w:rPr>
        <w:t>不收取代理费用。</w:t>
      </w:r>
    </w:p>
    <w:bookmarkEnd w:id="21"/>
    <w:bookmarkEnd w:id="22"/>
    <w:p>
      <w:pPr>
        <w:spacing w:line="360" w:lineRule="auto"/>
        <w:jc w:val="center"/>
        <w:outlineLvl w:val="0"/>
        <w:rPr>
          <w:rFonts w:ascii="宋体" w:hAnsi="宋体" w:cs="宋体"/>
          <w:b/>
          <w:sz w:val="36"/>
          <w:szCs w:val="36"/>
        </w:rPr>
      </w:pPr>
      <w:bookmarkStart w:id="41" w:name="_Toc176185121"/>
      <w:bookmarkStart w:id="42" w:name="_Toc176343850"/>
      <w:bookmarkStart w:id="43" w:name="第四部分"/>
      <w:r>
        <w:rPr>
          <w:rFonts w:hint="eastAsia" w:ascii="宋体" w:hAnsi="宋体" w:cs="宋体"/>
          <w:b/>
          <w:sz w:val="36"/>
          <w:szCs w:val="36"/>
        </w:rPr>
        <w:t>第三部分  采购需求</w:t>
      </w:r>
      <w:bookmarkEnd w:id="41"/>
      <w:bookmarkEnd w:id="42"/>
    </w:p>
    <w:p>
      <w:pPr>
        <w:pStyle w:val="82"/>
      </w:pPr>
    </w:p>
    <w:p>
      <w:pPr>
        <w:tabs>
          <w:tab w:val="left" w:pos="0"/>
        </w:tabs>
        <w:spacing w:line="360" w:lineRule="auto"/>
        <w:ind w:firstLine="480"/>
        <w:rPr>
          <w:rFonts w:ascii="宋体" w:hAnsi="宋体" w:cs="宋体"/>
          <w:kern w:val="0"/>
          <w:sz w:val="24"/>
        </w:rPr>
      </w:pPr>
      <w:r>
        <w:rPr>
          <w:rFonts w:hint="eastAsia" w:ascii="宋体" w:hAnsi="宋体" w:cs="宋体"/>
          <w:kern w:val="0"/>
          <w:sz w:val="24"/>
        </w:rPr>
        <w:t>说明:</w:t>
      </w:r>
    </w:p>
    <w:p>
      <w:pPr>
        <w:tabs>
          <w:tab w:val="left" w:pos="0"/>
        </w:tabs>
        <w:spacing w:line="360" w:lineRule="auto"/>
        <w:ind w:firstLine="480"/>
        <w:rPr>
          <w:rFonts w:ascii="宋体" w:hAnsi="宋体" w:cs="宋体"/>
          <w:kern w:val="0"/>
          <w:sz w:val="24"/>
        </w:rPr>
      </w:pPr>
      <w:r>
        <w:rPr>
          <w:rFonts w:hint="eastAsia" w:ascii="宋体" w:hAnsi="宋体" w:cs="宋体"/>
          <w:kern w:val="0"/>
          <w:sz w:val="24"/>
        </w:rPr>
        <w:t>1.本项目一览表中参考品牌型号及技术参数性能(配置)不明确或有误的，或投标人选用其他品牌型号替代的，请以详细、正确的品牌型号、技术参数性能配置填写投标报价表。投标人须根据技术参数及性能配置要求提供对应的技术偏离表。</w:t>
      </w:r>
    </w:p>
    <w:p>
      <w:pPr>
        <w:tabs>
          <w:tab w:val="left" w:pos="0"/>
        </w:tabs>
        <w:spacing w:line="360" w:lineRule="auto"/>
        <w:ind w:firstLine="480"/>
        <w:rPr>
          <w:rFonts w:ascii="宋体" w:hAnsi="宋体" w:cs="宋体"/>
          <w:kern w:val="0"/>
          <w:sz w:val="24"/>
        </w:rPr>
      </w:pPr>
      <w:r>
        <w:rPr>
          <w:rFonts w:hint="eastAsia" w:ascii="宋体" w:hAnsi="宋体" w:cs="宋体"/>
          <w:kern w:val="0"/>
          <w:sz w:val="24"/>
        </w:rPr>
        <w:t>2.按财政部发展改革委生态环境部市场监管总局《关于调整优化节能产品、环境标志产品政府采购执行机制的通知》财库(2019)9号文件要求，如发布有政府采购节能产品品目清单中规定为政府强制采购的节能产品，投标产品必须满足文件的相关规定。投标时须提供国家确定的认证机构出具的、处于有效期之内的有效的节能产品认证证书复印件并加盖投标人公章，不提供视为无效投标处理。</w:t>
      </w:r>
    </w:p>
    <w:tbl>
      <w:tblPr>
        <w:tblStyle w:val="62"/>
        <w:tblpPr w:leftFromText="180" w:rightFromText="180" w:vertAnchor="text" w:horzAnchor="page" w:tblpX="1403" w:tblpY="545"/>
        <w:tblOverlap w:val="never"/>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0020"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ind w:firstLine="480"/>
              <w:rPr>
                <w:rFonts w:hint="eastAsia" w:ascii="宋体" w:hAnsi="宋体" w:cs="宋体"/>
                <w:kern w:val="0"/>
                <w:sz w:val="24"/>
              </w:rPr>
            </w:pPr>
            <w:bookmarkStart w:id="44" w:name="OLE_LINK16"/>
            <w:bookmarkStart w:id="45" w:name="OLE_LINK15"/>
            <w:bookmarkStart w:id="46" w:name="OLE_LINK24"/>
            <w:bookmarkStart w:id="47" w:name="OLE_LINK25"/>
            <w:r>
              <w:rPr>
                <w:rFonts w:hint="eastAsia" w:ascii="宋体" w:hAnsi="宋体" w:cs="宋体"/>
                <w:kern w:val="0"/>
                <w:sz w:val="24"/>
              </w:rPr>
              <w:t>3.采购需求一览表中标注</w:t>
            </w:r>
            <w:bookmarkStart w:id="48" w:name="OLE_LINK10"/>
            <w:r>
              <w:rPr>
                <w:rFonts w:hint="eastAsia" w:ascii="宋体" w:hAnsi="宋体" w:cs="宋体"/>
                <w:kern w:val="0"/>
                <w:sz w:val="24"/>
              </w:rPr>
              <w:t>“</w:t>
            </w:r>
            <w:bookmarkStart w:id="49" w:name="OLE_LINK12"/>
            <w:bookmarkStart w:id="50" w:name="OLE_LINK21"/>
            <w:bookmarkStart w:id="51" w:name="OLE_LINK18"/>
            <w:bookmarkStart w:id="52" w:name="OLE_LINK11"/>
            <w:r>
              <w:rPr>
                <w:rFonts w:hint="eastAsia" w:ascii="宋体" w:hAnsi="宋体" w:cs="宋体"/>
                <w:kern w:val="0"/>
                <w:sz w:val="24"/>
              </w:rPr>
              <w:t>▲</w:t>
            </w:r>
            <w:bookmarkEnd w:id="49"/>
            <w:bookmarkEnd w:id="50"/>
            <w:bookmarkEnd w:id="51"/>
            <w:bookmarkEnd w:id="52"/>
            <w:r>
              <w:rPr>
                <w:rFonts w:hint="eastAsia" w:ascii="宋体" w:hAnsi="宋体" w:cs="宋体"/>
                <w:kern w:val="0"/>
                <w:sz w:val="24"/>
              </w:rPr>
              <w:t>”</w:t>
            </w:r>
            <w:bookmarkEnd w:id="48"/>
            <w:r>
              <w:rPr>
                <w:rFonts w:hint="eastAsia" w:ascii="宋体" w:hAnsi="宋体" w:cs="宋体"/>
                <w:kern w:val="0"/>
                <w:sz w:val="24"/>
              </w:rPr>
              <w:t>的详细技术参数及配备要求、商务要求必须响应满足或优于</w:t>
            </w:r>
            <w:r>
              <w:rPr>
                <w:rFonts w:hint="eastAsia" w:ascii="宋体" w:hAnsi="宋体" w:cs="宋体"/>
                <w:kern w:val="0"/>
                <w:sz w:val="24"/>
                <w:highlight w:val="none"/>
              </w:rPr>
              <w:t>，</w:t>
            </w:r>
            <w:r>
              <w:rPr>
                <w:rFonts w:hint="eastAsia" w:ascii="宋体" w:hAnsi="宋体" w:cs="宋体"/>
                <w:kern w:val="0"/>
                <w:sz w:val="24"/>
                <w:highlight w:val="none"/>
                <w:lang w:eastAsia="zh-CN"/>
              </w:rPr>
              <w:t>且要求需提供的材料必须提供相应证明材料（具体证明材料见“</w:t>
            </w:r>
            <w:r>
              <w:rPr>
                <w:rFonts w:hint="eastAsia" w:ascii="宋体" w:hAnsi="宋体" w:cs="宋体"/>
                <w:kern w:val="0"/>
                <w:sz w:val="24"/>
                <w:highlight w:val="none"/>
              </w:rPr>
              <w:t xml:space="preserve">详细技术参数及配备要求 </w:t>
            </w:r>
            <w:r>
              <w:rPr>
                <w:rFonts w:hint="eastAsia" w:ascii="宋体" w:hAnsi="宋体" w:cs="宋体"/>
                <w:kern w:val="0"/>
                <w:sz w:val="24"/>
                <w:highlight w:val="none"/>
                <w:lang w:eastAsia="zh-CN"/>
              </w:rPr>
              <w:t>”中的描述），</w:t>
            </w:r>
            <w:r>
              <w:rPr>
                <w:rFonts w:hint="eastAsia" w:ascii="宋体" w:hAnsi="宋体" w:cs="宋体"/>
                <w:kern w:val="0"/>
                <w:sz w:val="24"/>
              </w:rPr>
              <w:t>否则投标无效。</w:t>
            </w:r>
            <w:bookmarkEnd w:id="44"/>
            <w:bookmarkEnd w:id="45"/>
          </w:p>
          <w:p>
            <w:pPr>
              <w:tabs>
                <w:tab w:val="left" w:pos="0"/>
              </w:tabs>
              <w:spacing w:line="360" w:lineRule="auto"/>
              <w:ind w:firstLine="480"/>
              <w:rPr>
                <w:rFonts w:hint="eastAsia" w:ascii="宋体" w:hAnsi="宋体" w:cs="宋体"/>
                <w:kern w:val="0"/>
                <w:sz w:val="24"/>
              </w:rPr>
            </w:pPr>
          </w:p>
          <w:tbl>
            <w:tblPr>
              <w:tblStyle w:val="62"/>
              <w:tblW w:w="4945" w:type="pct"/>
              <w:tblInd w:w="0" w:type="dxa"/>
              <w:tblLayout w:type="fixed"/>
              <w:tblCellMar>
                <w:top w:w="0" w:type="dxa"/>
                <w:left w:w="108" w:type="dxa"/>
                <w:bottom w:w="0" w:type="dxa"/>
                <w:right w:w="108" w:type="dxa"/>
              </w:tblCellMar>
            </w:tblPr>
            <w:tblGrid>
              <w:gridCol w:w="663"/>
              <w:gridCol w:w="994"/>
              <w:gridCol w:w="564"/>
              <w:gridCol w:w="564"/>
              <w:gridCol w:w="6911"/>
            </w:tblGrid>
            <w:tr>
              <w:tblPrEx>
                <w:tblCellMar>
                  <w:top w:w="0" w:type="dxa"/>
                  <w:left w:w="108" w:type="dxa"/>
                  <w:bottom w:w="0" w:type="dxa"/>
                  <w:right w:w="108" w:type="dxa"/>
                </w:tblCellMar>
              </w:tblPrEx>
              <w:trPr>
                <w:trHeight w:val="405" w:hRule="atLeast"/>
              </w:trPr>
              <w:tc>
                <w:tcPr>
                  <w:tcW w:w="9696"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jc w:val="center"/>
                    <w:rPr>
                      <w:rFonts w:hint="eastAsia" w:ascii="宋体" w:hAnsi="宋体" w:cs="宋体"/>
                      <w:b/>
                      <w:kern w:val="0"/>
                      <w:sz w:val="24"/>
                    </w:rPr>
                  </w:pPr>
                  <w:r>
                    <w:rPr>
                      <w:rFonts w:hint="eastAsia" w:cs="宋体" w:asciiTheme="minorEastAsia" w:hAnsiTheme="minorEastAsia" w:eastAsiaTheme="minorEastAsia"/>
                      <w:b/>
                      <w:bCs/>
                      <w:color w:val="000000"/>
                      <w:sz w:val="28"/>
                      <w:szCs w:val="28"/>
                    </w:rPr>
                    <w:t>技术参数要求表</w:t>
                  </w:r>
                </w:p>
              </w:tc>
            </w:tr>
            <w:tr>
              <w:tblPrEx>
                <w:tblCellMar>
                  <w:top w:w="0" w:type="dxa"/>
                  <w:left w:w="108" w:type="dxa"/>
                  <w:bottom w:w="0" w:type="dxa"/>
                  <w:right w:w="108" w:type="dxa"/>
                </w:tblCellMar>
              </w:tblPrEx>
              <w:trPr>
                <w:trHeight w:val="405" w:hRule="atLeast"/>
              </w:trPr>
              <w:tc>
                <w:tcPr>
                  <w:tcW w:w="663"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jc w:val="center"/>
                    <w:rPr>
                      <w:rFonts w:hint="eastAsia" w:ascii="宋体" w:hAnsi="宋体" w:cs="宋体"/>
                      <w:kern w:val="0"/>
                      <w:sz w:val="24"/>
                    </w:rPr>
                  </w:pPr>
                  <w:r>
                    <w:rPr>
                      <w:rFonts w:hint="eastAsia" w:ascii="宋体" w:hAnsi="宋体" w:cs="宋体"/>
                      <w:kern w:val="0"/>
                      <w:sz w:val="24"/>
                    </w:rPr>
                    <w:t>序号</w:t>
                  </w:r>
                </w:p>
              </w:tc>
              <w:tc>
                <w:tcPr>
                  <w:tcW w:w="994"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jc w:val="center"/>
                    <w:rPr>
                      <w:rFonts w:hint="eastAsia" w:ascii="宋体" w:hAnsi="宋体" w:cs="宋体"/>
                      <w:kern w:val="0"/>
                      <w:sz w:val="24"/>
                    </w:rPr>
                  </w:pPr>
                  <w:r>
                    <w:rPr>
                      <w:rFonts w:hint="eastAsia" w:ascii="宋体" w:hAnsi="宋体" w:cs="宋体"/>
                      <w:kern w:val="0"/>
                      <w:sz w:val="24"/>
                    </w:rPr>
                    <w:t>品目</w:t>
                  </w:r>
                </w:p>
              </w:tc>
              <w:tc>
                <w:tcPr>
                  <w:tcW w:w="564"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jc w:val="center"/>
                    <w:rPr>
                      <w:rFonts w:hint="eastAsia" w:ascii="宋体" w:hAnsi="宋体" w:cs="宋体"/>
                      <w:kern w:val="0"/>
                      <w:sz w:val="24"/>
                    </w:rPr>
                  </w:pPr>
                  <w:r>
                    <w:rPr>
                      <w:rFonts w:hint="eastAsia" w:ascii="宋体" w:hAnsi="宋体" w:cs="宋体"/>
                      <w:kern w:val="0"/>
                      <w:sz w:val="24"/>
                    </w:rPr>
                    <w:t>单位</w:t>
                  </w:r>
                </w:p>
              </w:tc>
              <w:tc>
                <w:tcPr>
                  <w:tcW w:w="564"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jc w:val="center"/>
                    <w:rPr>
                      <w:rFonts w:hint="eastAsia" w:ascii="宋体" w:hAnsi="宋体" w:cs="宋体"/>
                      <w:kern w:val="0"/>
                      <w:sz w:val="24"/>
                    </w:rPr>
                  </w:pPr>
                  <w:r>
                    <w:rPr>
                      <w:rFonts w:hint="eastAsia" w:ascii="宋体" w:hAnsi="宋体" w:cs="宋体"/>
                      <w:kern w:val="0"/>
                      <w:sz w:val="24"/>
                    </w:rPr>
                    <w:t>数量</w:t>
                  </w:r>
                </w:p>
              </w:tc>
              <w:tc>
                <w:tcPr>
                  <w:tcW w:w="691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 xml:space="preserve">详细技术参数及配备要求  </w:t>
                  </w:r>
                </w:p>
              </w:tc>
            </w:tr>
            <w:tr>
              <w:tblPrEx>
                <w:tblCellMar>
                  <w:top w:w="0" w:type="dxa"/>
                  <w:left w:w="108" w:type="dxa"/>
                  <w:bottom w:w="0" w:type="dxa"/>
                  <w:right w:w="108" w:type="dxa"/>
                </w:tblCellMar>
              </w:tblPrEx>
              <w:trPr>
                <w:trHeight w:val="51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hint="eastAsia"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hint="eastAsia"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hint="eastAsia"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hint="eastAsia" w:ascii="宋体" w:hAns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hint="eastAsia" w:ascii="宋体" w:hAnsi="宋体" w:cs="宋体"/>
                      <w:kern w:val="0"/>
                      <w:sz w:val="24"/>
                    </w:rPr>
                  </w:pPr>
                </w:p>
              </w:tc>
            </w:tr>
            <w:tr>
              <w:tblPrEx>
                <w:tblCellMar>
                  <w:top w:w="0" w:type="dxa"/>
                  <w:left w:w="108" w:type="dxa"/>
                  <w:bottom w:w="0" w:type="dxa"/>
                  <w:right w:w="108" w:type="dxa"/>
                </w:tblCellMar>
              </w:tblPrEx>
              <w:trPr>
                <w:trHeight w:val="734" w:hRule="atLeast"/>
              </w:trPr>
              <w:tc>
                <w:tcPr>
                  <w:tcW w:w="663" w:type="dxa"/>
                  <w:tcBorders>
                    <w:top w:val="nil"/>
                    <w:left w:val="single" w:color="auto" w:sz="4" w:space="0"/>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1</w:t>
                  </w:r>
                </w:p>
              </w:tc>
              <w:tc>
                <w:tcPr>
                  <w:tcW w:w="994" w:type="dxa"/>
                  <w:tcBorders>
                    <w:top w:val="nil"/>
                    <w:left w:val="nil"/>
                    <w:bottom w:val="single" w:color="auto" w:sz="4" w:space="0"/>
                    <w:right w:val="single" w:color="auto" w:sz="4" w:space="0"/>
                  </w:tcBorders>
                  <w:vAlign w:val="center"/>
                </w:tcPr>
                <w:p>
                  <w:pPr>
                    <w:widowControl/>
                    <w:snapToGrid w:val="0"/>
                    <w:jc w:val="center"/>
                    <w:rPr>
                      <w:rFonts w:hint="eastAsia" w:ascii="宋体" w:hAnsi="宋体" w:cs="宋体"/>
                      <w:kern w:val="0"/>
                      <w:sz w:val="24"/>
                    </w:rPr>
                  </w:pPr>
                  <w:r>
                    <w:rPr>
                      <w:rFonts w:hint="eastAsia" w:ascii="宋体" w:hAnsi="宋体" w:cs="宋体"/>
                      <w:kern w:val="0"/>
                      <w:sz w:val="24"/>
                    </w:rPr>
                    <w:t>网络教室教师机</w:t>
                  </w:r>
                </w:p>
              </w:tc>
              <w:tc>
                <w:tcPr>
                  <w:tcW w:w="564" w:type="dxa"/>
                  <w:tcBorders>
                    <w:top w:val="nil"/>
                    <w:left w:val="nil"/>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2</w:t>
                  </w:r>
                </w:p>
              </w:tc>
              <w:tc>
                <w:tcPr>
                  <w:tcW w:w="564" w:type="dxa"/>
                  <w:tcBorders>
                    <w:top w:val="nil"/>
                    <w:left w:val="nil"/>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台</w:t>
                  </w:r>
                </w:p>
              </w:tc>
              <w:tc>
                <w:tcPr>
                  <w:tcW w:w="6911" w:type="dxa"/>
                  <w:tcBorders>
                    <w:top w:val="single" w:color="auto" w:sz="4" w:space="0"/>
                    <w:left w:val="single" w:color="auto" w:sz="4" w:space="0"/>
                    <w:bottom w:val="single" w:color="auto" w:sz="4" w:space="0"/>
                    <w:right w:val="single" w:color="auto" w:sz="4" w:space="0"/>
                  </w:tcBorders>
                  <w:vAlign w:val="center"/>
                </w:tcPr>
                <w:p>
                  <w:pPr>
                    <w:adjustRightInd/>
                    <w:rPr>
                      <w:rFonts w:hint="eastAsia" w:ascii="宋体" w:hAnsi="宋体" w:cs="宋体"/>
                      <w:sz w:val="24"/>
                    </w:rPr>
                  </w:pPr>
                  <w:r>
                    <w:rPr>
                      <w:rFonts w:hint="eastAsia" w:ascii="宋体" w:hAnsi="宋体" w:cs="宋体"/>
                      <w:sz w:val="24"/>
                    </w:rPr>
                    <w:t>▲一、CPU规格</w:t>
                  </w:r>
                </w:p>
                <w:p>
                  <w:pPr>
                    <w:adjustRightInd/>
                    <w:rPr>
                      <w:rFonts w:hint="eastAsia" w:ascii="宋体" w:hAnsi="宋体" w:cs="宋体"/>
                      <w:sz w:val="24"/>
                    </w:rPr>
                  </w:pPr>
                  <w:r>
                    <w:rPr>
                      <w:rFonts w:hint="eastAsia" w:ascii="宋体" w:hAnsi="宋体" w:cs="宋体"/>
                      <w:sz w:val="24"/>
                    </w:rPr>
                    <w:t>1.CPU：≥10核16线程，主频≥2.4GHz，L3缓存≥24M；</w:t>
                  </w:r>
                </w:p>
                <w:p>
                  <w:pPr>
                    <w:adjustRightInd/>
                    <w:rPr>
                      <w:rFonts w:hint="eastAsia" w:ascii="宋体" w:hAnsi="宋体" w:cs="宋体"/>
                      <w:sz w:val="24"/>
                    </w:rPr>
                  </w:pPr>
                  <w:r>
                    <w:rPr>
                      <w:rFonts w:hint="eastAsia" w:ascii="宋体" w:hAnsi="宋体" w:cs="宋体"/>
                      <w:sz w:val="24"/>
                    </w:rPr>
                    <w:t>▲二、内存规格</w:t>
                  </w:r>
                </w:p>
                <w:p>
                  <w:pPr>
                    <w:adjustRightInd/>
                    <w:rPr>
                      <w:rFonts w:hint="eastAsia" w:ascii="宋体" w:hAnsi="宋体" w:cs="宋体"/>
                      <w:sz w:val="24"/>
                    </w:rPr>
                  </w:pPr>
                  <w:r>
                    <w:rPr>
                      <w:rFonts w:hint="eastAsia" w:ascii="宋体" w:hAnsi="宋体" w:cs="宋体"/>
                      <w:sz w:val="24"/>
                    </w:rPr>
                    <w:t>1.内存配置容量：≥32GB；</w:t>
                  </w:r>
                </w:p>
                <w:p>
                  <w:pPr>
                    <w:adjustRightInd/>
                    <w:rPr>
                      <w:rFonts w:hint="eastAsia" w:ascii="宋体" w:hAnsi="宋体" w:cs="宋体"/>
                      <w:sz w:val="24"/>
                    </w:rPr>
                  </w:pPr>
                  <w:r>
                    <w:rPr>
                      <w:rFonts w:hint="eastAsia" w:ascii="宋体" w:hAnsi="宋体" w:cs="宋体"/>
                      <w:sz w:val="24"/>
                    </w:rPr>
                    <w:t>2.内存类型：支持DDR4/LPDDR4/LPDDR4X及以上内存类型；</w:t>
                  </w:r>
                </w:p>
                <w:p>
                  <w:pPr>
                    <w:adjustRightInd/>
                    <w:rPr>
                      <w:rFonts w:hint="eastAsia" w:ascii="宋体" w:hAnsi="宋体" w:cs="宋体"/>
                      <w:sz w:val="24"/>
                    </w:rPr>
                  </w:pPr>
                  <w:r>
                    <w:rPr>
                      <w:rFonts w:hint="eastAsia" w:ascii="宋体" w:hAnsi="宋体" w:cs="宋体"/>
                      <w:sz w:val="24"/>
                    </w:rPr>
                    <w:t>3.内存条配置数量（板载内存不涉及）：≥2；</w:t>
                  </w:r>
                </w:p>
                <w:p>
                  <w:pPr>
                    <w:adjustRightInd/>
                    <w:rPr>
                      <w:rFonts w:hint="eastAsia" w:ascii="宋体" w:hAnsi="宋体" w:cs="宋体"/>
                      <w:sz w:val="24"/>
                    </w:rPr>
                  </w:pPr>
                  <w:r>
                    <w:rPr>
                      <w:rFonts w:hint="eastAsia" w:ascii="宋体" w:hAnsi="宋体" w:cs="宋体"/>
                      <w:sz w:val="24"/>
                    </w:rPr>
                    <w:t>▲三、主板规格</w:t>
                  </w:r>
                </w:p>
                <w:p>
                  <w:pPr>
                    <w:adjustRightInd/>
                    <w:rPr>
                      <w:rFonts w:hint="eastAsia" w:ascii="宋体" w:hAnsi="宋体" w:cs="宋体"/>
                      <w:sz w:val="24"/>
                    </w:rPr>
                  </w:pPr>
                  <w:r>
                    <w:rPr>
                      <w:rFonts w:hint="eastAsia" w:ascii="宋体" w:hAnsi="宋体" w:cs="宋体"/>
                      <w:sz w:val="24"/>
                    </w:rPr>
                    <w:t>1.主板集成模块：集成资源扩展模块、计算处理模块、音频扩展模块等，主板的互联拓扑可通过处理器或交换电路实现；</w:t>
                  </w:r>
                </w:p>
                <w:p>
                  <w:pPr>
                    <w:adjustRightInd/>
                    <w:rPr>
                      <w:rFonts w:hint="eastAsia" w:ascii="宋体" w:hAnsi="宋体" w:cs="宋体"/>
                      <w:sz w:val="24"/>
                    </w:rPr>
                  </w:pPr>
                  <w:r>
                    <w:rPr>
                      <w:rFonts w:hint="eastAsia" w:ascii="宋体" w:hAnsi="宋体" w:cs="宋体"/>
                      <w:sz w:val="24"/>
                    </w:rPr>
                    <w:t>2.主板支持的CPU和内存情况：≥10核16线程，主频≥2.4GHz，L3缓存≥24M；内存条数量≥2；</w:t>
                  </w:r>
                </w:p>
                <w:p>
                  <w:pPr>
                    <w:adjustRightInd/>
                    <w:rPr>
                      <w:rFonts w:hint="eastAsia" w:ascii="宋体" w:hAnsi="宋体" w:cs="宋体"/>
                      <w:sz w:val="24"/>
                    </w:rPr>
                  </w:pPr>
                  <w:r>
                    <w:rPr>
                      <w:rFonts w:hint="eastAsia" w:ascii="宋体" w:hAnsi="宋体" w:cs="宋体"/>
                      <w:sz w:val="24"/>
                    </w:rPr>
                    <w:t>3.主板其他内置接口：SATA×2 （支持SATA 3.0。其中一路用于拓展机械硬盘、一路用于拓展DVD光驱）</w:t>
                  </w:r>
                </w:p>
                <w:p>
                  <w:pPr>
                    <w:adjustRightInd/>
                    <w:rPr>
                      <w:rFonts w:hint="eastAsia" w:ascii="宋体" w:hAnsi="宋体" w:cs="宋体"/>
                      <w:sz w:val="24"/>
                    </w:rPr>
                  </w:pPr>
                  <w:r>
                    <w:rPr>
                      <w:rFonts w:hint="eastAsia" w:ascii="宋体" w:hAnsi="宋体" w:cs="宋体"/>
                      <w:sz w:val="24"/>
                    </w:rPr>
                    <w:t>M.2×2 （其中一路用于拓展固态硬盘、一路用于拓展wifi/蓝牙模块）</w:t>
                  </w:r>
                </w:p>
                <w:p>
                  <w:pPr>
                    <w:adjustRightInd/>
                    <w:rPr>
                      <w:rFonts w:hint="eastAsia" w:ascii="宋体" w:hAnsi="宋体" w:cs="宋体"/>
                      <w:sz w:val="24"/>
                    </w:rPr>
                  </w:pPr>
                  <w:r>
                    <w:rPr>
                      <w:rFonts w:hint="eastAsia" w:ascii="宋体" w:hAnsi="宋体" w:cs="宋体"/>
                      <w:sz w:val="24"/>
                    </w:rPr>
                    <w:t>4.单内存插槽最大可支持容量（板载内存不涉及）：≥32GB；</w:t>
                  </w:r>
                </w:p>
                <w:p>
                  <w:pPr>
                    <w:adjustRightInd/>
                    <w:rPr>
                      <w:rFonts w:hint="eastAsia" w:ascii="宋体" w:hAnsi="宋体" w:cs="宋体"/>
                      <w:sz w:val="24"/>
                    </w:rPr>
                  </w:pPr>
                  <w:r>
                    <w:rPr>
                      <w:rFonts w:hint="eastAsia" w:ascii="宋体" w:hAnsi="宋体" w:cs="宋体"/>
                      <w:sz w:val="24"/>
                    </w:rPr>
                    <w:t>5.内存插槽满配时提供的最高内存总容量：≥64GB；</w:t>
                  </w:r>
                </w:p>
                <w:p>
                  <w:pPr>
                    <w:adjustRightInd/>
                    <w:rPr>
                      <w:rFonts w:hint="eastAsia" w:ascii="宋体" w:hAnsi="宋体" w:cs="宋体"/>
                      <w:sz w:val="24"/>
                    </w:rPr>
                  </w:pPr>
                  <w:r>
                    <w:rPr>
                      <w:rFonts w:hint="eastAsia" w:ascii="宋体" w:hAnsi="宋体" w:cs="宋体"/>
                      <w:sz w:val="24"/>
                    </w:rPr>
                    <w:t>▲四、存储设备规格</w:t>
                  </w:r>
                </w:p>
                <w:p>
                  <w:pPr>
                    <w:adjustRightInd/>
                    <w:rPr>
                      <w:rFonts w:hint="eastAsia" w:ascii="宋体" w:hAnsi="宋体" w:cs="宋体"/>
                      <w:sz w:val="24"/>
                    </w:rPr>
                  </w:pPr>
                  <w:r>
                    <w:rPr>
                      <w:rFonts w:hint="eastAsia" w:ascii="宋体" w:hAnsi="宋体" w:cs="宋体"/>
                      <w:sz w:val="24"/>
                    </w:rPr>
                    <w:t>1.固态盘数量：≥1个；</w:t>
                  </w:r>
                </w:p>
                <w:p>
                  <w:pPr>
                    <w:adjustRightInd/>
                    <w:rPr>
                      <w:rFonts w:hint="eastAsia" w:ascii="宋体" w:hAnsi="宋体" w:cs="宋体"/>
                      <w:sz w:val="24"/>
                    </w:rPr>
                  </w:pPr>
                  <w:r>
                    <w:rPr>
                      <w:rFonts w:hint="eastAsia" w:ascii="宋体" w:hAnsi="宋体" w:cs="宋体"/>
                      <w:sz w:val="24"/>
                    </w:rPr>
                    <w:t>2.固态存储容量：≥256 GB；</w:t>
                  </w:r>
                </w:p>
                <w:p>
                  <w:pPr>
                    <w:adjustRightInd/>
                    <w:rPr>
                      <w:rFonts w:hint="eastAsia" w:ascii="宋体" w:hAnsi="宋体" w:cs="宋体"/>
                      <w:sz w:val="24"/>
                    </w:rPr>
                  </w:pPr>
                  <w:r>
                    <w:rPr>
                      <w:rFonts w:hint="eastAsia" w:ascii="宋体" w:hAnsi="宋体" w:cs="宋体"/>
                      <w:sz w:val="24"/>
                    </w:rPr>
                    <w:t>3.固态存储形态：采用插卡或板载等形态，可选用符合M.2 或2.5寸SATA或mSATA等标准的插卡形态；</w:t>
                  </w:r>
                </w:p>
                <w:p>
                  <w:pPr>
                    <w:adjustRightInd/>
                    <w:rPr>
                      <w:rFonts w:hint="eastAsia" w:ascii="宋体" w:hAnsi="宋体" w:cs="宋体"/>
                      <w:sz w:val="24"/>
                    </w:rPr>
                  </w:pPr>
                  <w:r>
                    <w:rPr>
                      <w:rFonts w:hint="eastAsia" w:ascii="宋体" w:hAnsi="宋体" w:cs="宋体"/>
                      <w:sz w:val="24"/>
                    </w:rPr>
                    <w:t>4.机械硬盘数量：≥1 个；</w:t>
                  </w:r>
                </w:p>
                <w:p>
                  <w:pPr>
                    <w:adjustRightInd/>
                    <w:rPr>
                      <w:rFonts w:hint="eastAsia" w:ascii="宋体" w:hAnsi="宋体" w:cs="宋体"/>
                      <w:sz w:val="24"/>
                    </w:rPr>
                  </w:pPr>
                  <w:r>
                    <w:rPr>
                      <w:rFonts w:hint="eastAsia" w:ascii="宋体" w:hAnsi="宋体" w:cs="宋体"/>
                      <w:sz w:val="24"/>
                    </w:rPr>
                    <w:t>5.机械硬盘总容量：≥1 TB；</w:t>
                  </w:r>
                </w:p>
                <w:p>
                  <w:pPr>
                    <w:adjustRightInd/>
                    <w:rPr>
                      <w:rFonts w:hint="eastAsia" w:ascii="宋体" w:hAnsi="宋体" w:cs="宋体"/>
                      <w:sz w:val="24"/>
                    </w:rPr>
                  </w:pPr>
                  <w:r>
                    <w:rPr>
                      <w:rFonts w:hint="eastAsia" w:ascii="宋体" w:hAnsi="宋体" w:cs="宋体"/>
                      <w:sz w:val="24"/>
                    </w:rPr>
                    <w:t>6.机械硬盘转速：≥5400rpm；</w:t>
                  </w:r>
                </w:p>
                <w:p>
                  <w:pPr>
                    <w:adjustRightInd/>
                    <w:rPr>
                      <w:rFonts w:hint="eastAsia" w:ascii="宋体" w:hAnsi="宋体" w:cs="宋体"/>
                      <w:sz w:val="24"/>
                    </w:rPr>
                  </w:pPr>
                  <w:r>
                    <w:rPr>
                      <w:rFonts w:hint="eastAsia" w:ascii="宋体" w:hAnsi="宋体" w:cs="宋体"/>
                      <w:sz w:val="24"/>
                    </w:rPr>
                    <w:t>7.存储设备其他参数要求：a)固态盘应符合SJ/T11654相关规定；b)机械硬盘准备时间应不大于30s；侧面固定螺丝孔数量可为4孔或6孔；工作状态环境温度应满足5℃-55℃；其它参数应符合GB/T12628相关规定；</w:t>
                  </w:r>
                </w:p>
                <w:p>
                  <w:pPr>
                    <w:adjustRightInd/>
                    <w:rPr>
                      <w:rFonts w:hint="eastAsia" w:ascii="宋体" w:hAnsi="宋体" w:cs="宋体"/>
                      <w:sz w:val="24"/>
                    </w:rPr>
                  </w:pPr>
                  <w:r>
                    <w:rPr>
                      <w:rFonts w:hint="eastAsia" w:ascii="宋体" w:hAnsi="宋体" w:cs="宋体"/>
                      <w:sz w:val="24"/>
                    </w:rPr>
                    <w:t>▲五、显卡规格</w:t>
                  </w:r>
                </w:p>
                <w:p>
                  <w:pPr>
                    <w:adjustRightInd/>
                    <w:rPr>
                      <w:rFonts w:hint="eastAsia" w:ascii="宋体" w:hAnsi="宋体" w:cs="宋体"/>
                      <w:sz w:val="24"/>
                    </w:rPr>
                  </w:pPr>
                  <w:r>
                    <w:rPr>
                      <w:rFonts w:hint="eastAsia" w:ascii="宋体" w:hAnsi="宋体" w:cs="宋体"/>
                      <w:sz w:val="24"/>
                    </w:rPr>
                    <w:t>1.显卡类型：集成显卡；</w:t>
                  </w:r>
                </w:p>
                <w:p>
                  <w:pPr>
                    <w:adjustRightInd/>
                    <w:rPr>
                      <w:rFonts w:hint="eastAsia" w:ascii="宋体" w:hAnsi="宋体" w:cs="宋体"/>
                      <w:sz w:val="24"/>
                    </w:rPr>
                  </w:pPr>
                  <w:r>
                    <w:rPr>
                      <w:rFonts w:hint="eastAsia" w:ascii="宋体" w:hAnsi="宋体" w:cs="宋体"/>
                      <w:sz w:val="24"/>
                    </w:rPr>
                    <w:t>▲六、显示设备规格</w:t>
                  </w:r>
                </w:p>
                <w:p>
                  <w:pPr>
                    <w:adjustRightInd/>
                    <w:rPr>
                      <w:rFonts w:hint="eastAsia" w:ascii="宋体" w:hAnsi="宋体" w:cs="宋体"/>
                      <w:sz w:val="24"/>
                    </w:rPr>
                  </w:pPr>
                  <w:r>
                    <w:rPr>
                      <w:rFonts w:hint="eastAsia" w:ascii="宋体" w:hAnsi="宋体" w:cs="宋体"/>
                      <w:sz w:val="24"/>
                    </w:rPr>
                    <w:t>1.显示屏屏占比：≥90%；</w:t>
                  </w:r>
                </w:p>
                <w:p>
                  <w:pPr>
                    <w:adjustRightInd/>
                    <w:rPr>
                      <w:rFonts w:hint="eastAsia" w:ascii="宋体" w:hAnsi="宋体" w:cs="宋体"/>
                      <w:sz w:val="24"/>
                    </w:rPr>
                  </w:pPr>
                  <w:r>
                    <w:rPr>
                      <w:rFonts w:hint="eastAsia" w:ascii="宋体" w:hAnsi="宋体" w:cs="宋体"/>
                      <w:sz w:val="24"/>
                    </w:rPr>
                    <w:t>2.显示屏分辨率：≥1920*1080；</w:t>
                  </w:r>
                </w:p>
                <w:p>
                  <w:pPr>
                    <w:adjustRightInd/>
                    <w:rPr>
                      <w:rFonts w:hint="eastAsia" w:ascii="宋体" w:hAnsi="宋体" w:cs="宋体"/>
                      <w:sz w:val="24"/>
                    </w:rPr>
                  </w:pPr>
                  <w:r>
                    <w:rPr>
                      <w:rFonts w:hint="eastAsia" w:ascii="宋体" w:hAnsi="宋体" w:cs="宋体"/>
                      <w:sz w:val="24"/>
                    </w:rPr>
                    <w:t>3.显示屏尺寸：≥23英寸；</w:t>
                  </w:r>
                </w:p>
                <w:p>
                  <w:pPr>
                    <w:adjustRightInd/>
                    <w:rPr>
                      <w:rFonts w:hint="eastAsia" w:ascii="宋体" w:hAnsi="宋体" w:cs="宋体"/>
                      <w:sz w:val="24"/>
                    </w:rPr>
                  </w:pPr>
                  <w:r>
                    <w:rPr>
                      <w:rFonts w:hint="eastAsia" w:ascii="宋体" w:hAnsi="宋体" w:cs="宋体"/>
                      <w:sz w:val="24"/>
                    </w:rPr>
                    <w:t>4.显示屏屏幕比例：16:9；</w:t>
                  </w:r>
                </w:p>
                <w:p>
                  <w:pPr>
                    <w:adjustRightInd/>
                    <w:rPr>
                      <w:rFonts w:hint="eastAsia" w:ascii="宋体" w:hAnsi="宋体" w:cs="宋体"/>
                      <w:sz w:val="24"/>
                    </w:rPr>
                  </w:pPr>
                  <w:r>
                    <w:rPr>
                      <w:rFonts w:hint="eastAsia" w:ascii="宋体" w:hAnsi="宋体" w:cs="宋体"/>
                      <w:sz w:val="24"/>
                    </w:rPr>
                    <w:t>5.显示器外观颜色：黑色商务色系；</w:t>
                  </w:r>
                </w:p>
                <w:p>
                  <w:pPr>
                    <w:adjustRightInd/>
                    <w:rPr>
                      <w:rFonts w:hint="eastAsia" w:ascii="宋体" w:hAnsi="宋体" w:cs="宋体"/>
                      <w:sz w:val="24"/>
                    </w:rPr>
                  </w:pPr>
                  <w:r>
                    <w:rPr>
                      <w:rFonts w:hint="eastAsia" w:ascii="宋体" w:hAnsi="宋体" w:cs="宋体"/>
                      <w:sz w:val="24"/>
                    </w:rPr>
                    <w:t>6.显示屏防蓝光：支持防蓝光模式，蓝光加权辐射亮度比应≤0.0012W/(·cd·sr)（瓦每坎特拉每球面度）；</w:t>
                  </w:r>
                </w:p>
                <w:p>
                  <w:pPr>
                    <w:adjustRightInd/>
                    <w:rPr>
                      <w:rFonts w:hint="eastAsia" w:ascii="宋体" w:hAnsi="宋体" w:cs="宋体"/>
                      <w:sz w:val="24"/>
                    </w:rPr>
                  </w:pPr>
                  <w:r>
                    <w:rPr>
                      <w:rFonts w:hint="eastAsia" w:ascii="宋体" w:hAnsi="宋体" w:cs="宋体"/>
                      <w:sz w:val="24"/>
                    </w:rPr>
                    <w:t>7.显示屏低频闪：显示屏应支持低频闪≤-35dB；</w:t>
                  </w:r>
                </w:p>
                <w:p>
                  <w:pPr>
                    <w:adjustRightInd/>
                    <w:rPr>
                      <w:rFonts w:hint="eastAsia" w:ascii="宋体" w:hAnsi="宋体" w:cs="宋体"/>
                      <w:sz w:val="24"/>
                    </w:rPr>
                  </w:pPr>
                  <w:r>
                    <w:rPr>
                      <w:rFonts w:hint="eastAsia" w:ascii="宋体" w:hAnsi="宋体" w:cs="宋体"/>
                      <w:sz w:val="24"/>
                    </w:rPr>
                    <w:t>8.显示屏防炫目：显示屏镜面反射率≤10%；</w:t>
                  </w:r>
                </w:p>
                <w:p>
                  <w:pPr>
                    <w:adjustRightInd/>
                    <w:rPr>
                      <w:rFonts w:hint="eastAsia" w:ascii="宋体" w:hAnsi="宋体" w:cs="宋体"/>
                      <w:sz w:val="24"/>
                    </w:rPr>
                  </w:pPr>
                  <w:r>
                    <w:rPr>
                      <w:rFonts w:hint="eastAsia" w:ascii="宋体" w:hAnsi="宋体" w:cs="宋体"/>
                      <w:sz w:val="24"/>
                    </w:rPr>
                    <w:t>▲七、外设规格</w:t>
                  </w:r>
                </w:p>
                <w:p>
                  <w:pPr>
                    <w:adjustRightInd/>
                    <w:rPr>
                      <w:rFonts w:hint="eastAsia" w:ascii="宋体" w:hAnsi="宋体" w:cs="宋体"/>
                      <w:sz w:val="24"/>
                    </w:rPr>
                  </w:pPr>
                  <w:r>
                    <w:rPr>
                      <w:rFonts w:hint="eastAsia" w:ascii="宋体" w:hAnsi="宋体" w:cs="宋体"/>
                      <w:sz w:val="24"/>
                    </w:rPr>
                    <w:t>1.鼠标数量：≥1个；</w:t>
                  </w:r>
                </w:p>
                <w:p>
                  <w:pPr>
                    <w:adjustRightInd/>
                    <w:rPr>
                      <w:rFonts w:hint="eastAsia" w:ascii="宋体" w:hAnsi="宋体" w:cs="宋体"/>
                      <w:sz w:val="24"/>
                    </w:rPr>
                  </w:pPr>
                  <w:r>
                    <w:rPr>
                      <w:rFonts w:hint="eastAsia" w:ascii="宋体" w:hAnsi="宋体" w:cs="宋体"/>
                      <w:sz w:val="24"/>
                    </w:rPr>
                    <w:t>2.键盘数量：≥1个；</w:t>
                  </w:r>
                </w:p>
                <w:p>
                  <w:pPr>
                    <w:adjustRightInd/>
                    <w:rPr>
                      <w:rFonts w:hint="eastAsia" w:ascii="宋体" w:hAnsi="宋体" w:cs="宋体"/>
                      <w:sz w:val="24"/>
                    </w:rPr>
                  </w:pPr>
                  <w:r>
                    <w:rPr>
                      <w:rFonts w:hint="eastAsia" w:ascii="宋体" w:hAnsi="宋体" w:cs="宋体"/>
                      <w:sz w:val="24"/>
                    </w:rPr>
                    <w:t>3.键盘按键数目：≥101键；</w:t>
                  </w:r>
                </w:p>
                <w:p>
                  <w:pPr>
                    <w:adjustRightInd/>
                    <w:rPr>
                      <w:rFonts w:hint="eastAsia" w:ascii="宋体" w:hAnsi="宋体" w:cs="宋体"/>
                      <w:sz w:val="24"/>
                    </w:rPr>
                  </w:pPr>
                  <w:r>
                    <w:rPr>
                      <w:rFonts w:hint="eastAsia" w:ascii="宋体" w:hAnsi="宋体" w:cs="宋体"/>
                      <w:sz w:val="24"/>
                    </w:rPr>
                    <w:t>4.键盘连接方式：有线；</w:t>
                  </w:r>
                </w:p>
                <w:p>
                  <w:pPr>
                    <w:adjustRightInd/>
                    <w:rPr>
                      <w:rFonts w:hint="eastAsia" w:ascii="宋体" w:hAnsi="宋体" w:cs="宋体"/>
                      <w:sz w:val="24"/>
                    </w:rPr>
                  </w:pPr>
                  <w:r>
                    <w:rPr>
                      <w:rFonts w:hint="eastAsia" w:ascii="宋体" w:hAnsi="宋体" w:cs="宋体"/>
                      <w:sz w:val="24"/>
                    </w:rPr>
                    <w:t>5.键盘键程：2.3mm-4.0mm；</w:t>
                  </w:r>
                </w:p>
                <w:p>
                  <w:pPr>
                    <w:adjustRightInd/>
                    <w:rPr>
                      <w:rFonts w:hint="eastAsia" w:ascii="宋体" w:hAnsi="宋体" w:cs="宋体"/>
                      <w:sz w:val="24"/>
                    </w:rPr>
                  </w:pPr>
                  <w:r>
                    <w:rPr>
                      <w:rFonts w:hint="eastAsia" w:ascii="宋体" w:hAnsi="宋体" w:cs="宋体"/>
                      <w:sz w:val="24"/>
                    </w:rPr>
                    <w:t>6.键盘按键压力：按键压力应在0.54N±0.14N；</w:t>
                  </w:r>
                </w:p>
                <w:p>
                  <w:pPr>
                    <w:adjustRightInd/>
                    <w:rPr>
                      <w:rFonts w:hint="eastAsia" w:ascii="宋体" w:hAnsi="宋体" w:cs="宋体"/>
                      <w:sz w:val="24"/>
                    </w:rPr>
                  </w:pPr>
                  <w:r>
                    <w:rPr>
                      <w:rFonts w:hint="eastAsia" w:ascii="宋体" w:hAnsi="宋体" w:cs="宋体"/>
                      <w:sz w:val="24"/>
                    </w:rPr>
                    <w:t>7.有线键盘连接线：≥1.5米；</w:t>
                  </w:r>
                </w:p>
                <w:p>
                  <w:pPr>
                    <w:adjustRightInd/>
                    <w:rPr>
                      <w:rFonts w:hint="eastAsia" w:ascii="宋体" w:hAnsi="宋体" w:cs="宋体"/>
                      <w:sz w:val="24"/>
                    </w:rPr>
                  </w:pPr>
                  <w:r>
                    <w:rPr>
                      <w:rFonts w:hint="eastAsia" w:ascii="宋体" w:hAnsi="宋体" w:cs="宋体"/>
                      <w:sz w:val="24"/>
                    </w:rPr>
                    <w:t>8.键盘颜色：黑色商务色系；</w:t>
                  </w:r>
                </w:p>
                <w:p>
                  <w:pPr>
                    <w:adjustRightInd/>
                    <w:rPr>
                      <w:rFonts w:hint="eastAsia" w:ascii="宋体" w:hAnsi="宋体" w:cs="宋体"/>
                      <w:sz w:val="24"/>
                    </w:rPr>
                  </w:pPr>
                  <w:r>
                    <w:rPr>
                      <w:rFonts w:hint="eastAsia" w:ascii="宋体" w:hAnsi="宋体" w:cs="宋体"/>
                      <w:sz w:val="24"/>
                    </w:rPr>
                    <w:t>9.鼠标连接方式：有线；</w:t>
                  </w:r>
                </w:p>
                <w:p>
                  <w:pPr>
                    <w:adjustRightInd/>
                    <w:rPr>
                      <w:rFonts w:hint="eastAsia" w:ascii="宋体" w:hAnsi="宋体" w:cs="宋体"/>
                      <w:sz w:val="24"/>
                    </w:rPr>
                  </w:pPr>
                  <w:r>
                    <w:rPr>
                      <w:rFonts w:hint="eastAsia" w:ascii="宋体" w:hAnsi="宋体" w:cs="宋体"/>
                      <w:sz w:val="24"/>
                    </w:rPr>
                    <w:t>10.有线鼠标连接线：≥1.5米；</w:t>
                  </w:r>
                </w:p>
                <w:p>
                  <w:pPr>
                    <w:adjustRightInd/>
                    <w:rPr>
                      <w:rFonts w:hint="eastAsia" w:ascii="宋体" w:hAnsi="宋体" w:cs="宋体"/>
                      <w:sz w:val="24"/>
                    </w:rPr>
                  </w:pPr>
                  <w:r>
                    <w:rPr>
                      <w:rFonts w:hint="eastAsia" w:ascii="宋体" w:hAnsi="宋体" w:cs="宋体"/>
                      <w:sz w:val="24"/>
                    </w:rPr>
                    <w:t>11.鼠标DPI分辨率：800-1600；</w:t>
                  </w:r>
                </w:p>
                <w:p>
                  <w:pPr>
                    <w:adjustRightInd/>
                    <w:rPr>
                      <w:rFonts w:hint="eastAsia" w:ascii="宋体" w:hAnsi="宋体" w:cs="宋体"/>
                      <w:sz w:val="24"/>
                    </w:rPr>
                  </w:pPr>
                  <w:r>
                    <w:rPr>
                      <w:rFonts w:hint="eastAsia" w:ascii="宋体" w:hAnsi="宋体" w:cs="宋体"/>
                      <w:sz w:val="24"/>
                    </w:rPr>
                    <w:t>12.鼠标颜色：黑色商务色系；</w:t>
                  </w:r>
                </w:p>
                <w:p>
                  <w:pPr>
                    <w:adjustRightInd/>
                    <w:rPr>
                      <w:rFonts w:hint="eastAsia" w:ascii="宋体" w:hAnsi="宋体" w:cs="宋体"/>
                      <w:sz w:val="24"/>
                    </w:rPr>
                  </w:pPr>
                  <w:r>
                    <w:rPr>
                      <w:rFonts w:hint="eastAsia" w:ascii="宋体" w:hAnsi="宋体" w:cs="宋体"/>
                      <w:sz w:val="24"/>
                    </w:rPr>
                    <w:t>13.鼠标其他要求：其它参数应符合GB/T26245的相关规定；</w:t>
                  </w:r>
                </w:p>
                <w:p>
                  <w:pPr>
                    <w:adjustRightInd/>
                    <w:rPr>
                      <w:rFonts w:hint="eastAsia" w:ascii="宋体" w:hAnsi="宋体" w:cs="宋体"/>
                      <w:sz w:val="24"/>
                    </w:rPr>
                  </w:pPr>
                  <w:r>
                    <w:rPr>
                      <w:rFonts w:hint="eastAsia" w:ascii="宋体" w:hAnsi="宋体" w:cs="宋体"/>
                      <w:sz w:val="24"/>
                    </w:rPr>
                    <w:t>▲八、网络设备规格</w:t>
                  </w:r>
                </w:p>
                <w:p>
                  <w:pPr>
                    <w:adjustRightInd/>
                    <w:rPr>
                      <w:rFonts w:hint="eastAsia" w:ascii="宋体" w:hAnsi="宋体" w:cs="宋体"/>
                      <w:sz w:val="24"/>
                    </w:rPr>
                  </w:pPr>
                  <w:r>
                    <w:rPr>
                      <w:rFonts w:hint="eastAsia" w:ascii="宋体" w:hAnsi="宋体" w:cs="宋体"/>
                      <w:sz w:val="24"/>
                    </w:rPr>
                    <w:t>1.有线网卡数量：≥1；</w:t>
                  </w:r>
                </w:p>
                <w:p>
                  <w:pPr>
                    <w:adjustRightInd/>
                    <w:rPr>
                      <w:rFonts w:hint="eastAsia" w:ascii="宋体" w:hAnsi="宋体" w:cs="宋体"/>
                      <w:sz w:val="24"/>
                    </w:rPr>
                  </w:pPr>
                  <w:r>
                    <w:rPr>
                      <w:rFonts w:hint="eastAsia" w:ascii="宋体" w:hAnsi="宋体" w:cs="宋体"/>
                      <w:sz w:val="24"/>
                    </w:rPr>
                    <w:t>▲九、外部接口规格</w:t>
                  </w:r>
                </w:p>
                <w:p>
                  <w:pPr>
                    <w:adjustRightInd/>
                    <w:rPr>
                      <w:rFonts w:hint="eastAsia" w:ascii="宋体" w:hAnsi="宋体" w:cs="宋体"/>
                      <w:sz w:val="24"/>
                    </w:rPr>
                  </w:pPr>
                  <w:r>
                    <w:rPr>
                      <w:rFonts w:hint="eastAsia" w:ascii="宋体" w:hAnsi="宋体" w:cs="宋体"/>
                      <w:sz w:val="24"/>
                    </w:rPr>
                    <w:t>1.USB 接口数量：前面板共5个USB接口，其中：USB3.0 3个（其中一个为TypeC）；</w:t>
                  </w:r>
                </w:p>
                <w:p>
                  <w:pPr>
                    <w:adjustRightInd/>
                    <w:rPr>
                      <w:rFonts w:hint="eastAsia" w:ascii="宋体" w:hAnsi="宋体" w:cs="宋体"/>
                      <w:sz w:val="24"/>
                    </w:rPr>
                  </w:pPr>
                  <w:r>
                    <w:rPr>
                      <w:rFonts w:hint="eastAsia" w:ascii="宋体" w:hAnsi="宋体" w:cs="宋体"/>
                      <w:sz w:val="24"/>
                    </w:rPr>
                    <w:t>USB2.0 2个</w:t>
                  </w:r>
                </w:p>
                <w:p>
                  <w:pPr>
                    <w:adjustRightInd/>
                    <w:rPr>
                      <w:rFonts w:hint="eastAsia" w:ascii="宋体" w:hAnsi="宋体" w:cs="宋体"/>
                      <w:sz w:val="24"/>
                    </w:rPr>
                  </w:pPr>
                  <w:r>
                    <w:rPr>
                      <w:rFonts w:hint="eastAsia" w:ascii="宋体" w:hAnsi="宋体" w:cs="宋体"/>
                      <w:sz w:val="24"/>
                    </w:rPr>
                    <w:t>2.视频接口数量：≥2个，其中：HDMI≥1；VGA≥1；</w:t>
                  </w:r>
                </w:p>
                <w:p>
                  <w:pPr>
                    <w:adjustRightInd/>
                    <w:rPr>
                      <w:rFonts w:hint="eastAsia" w:ascii="宋体" w:hAnsi="宋体" w:cs="宋体"/>
                      <w:sz w:val="24"/>
                    </w:rPr>
                  </w:pPr>
                  <w:r>
                    <w:rPr>
                      <w:rFonts w:hint="eastAsia" w:ascii="宋体" w:hAnsi="宋体" w:cs="宋体"/>
                      <w:sz w:val="24"/>
                    </w:rPr>
                    <w:t>3.音频接口数量：≥4；</w:t>
                  </w:r>
                </w:p>
                <w:p>
                  <w:pPr>
                    <w:adjustRightInd/>
                    <w:rPr>
                      <w:rFonts w:hint="eastAsia" w:ascii="宋体" w:hAnsi="宋体" w:cs="宋体"/>
                      <w:sz w:val="24"/>
                    </w:rPr>
                  </w:pPr>
                  <w:r>
                    <w:rPr>
                      <w:rFonts w:hint="eastAsia" w:ascii="宋体" w:hAnsi="宋体" w:cs="宋体"/>
                      <w:sz w:val="24"/>
                    </w:rPr>
                    <w:t>▲十、整机基础规格</w:t>
                  </w:r>
                </w:p>
                <w:p>
                  <w:pPr>
                    <w:adjustRightInd/>
                    <w:rPr>
                      <w:rFonts w:hint="eastAsia" w:ascii="宋体" w:hAnsi="宋体" w:cs="宋体"/>
                      <w:sz w:val="24"/>
                    </w:rPr>
                  </w:pPr>
                  <w:r>
                    <w:rPr>
                      <w:rFonts w:hint="eastAsia" w:ascii="宋体" w:hAnsi="宋体" w:cs="宋体"/>
                      <w:sz w:val="24"/>
                    </w:rPr>
                    <w:t>1.整机外观：a) 产品表面不应有凹痕、划伤、裂缝、变形和污染等。表面涂层均匀，不应起泡、龟裂、脱落和磨损，金属零部件无锈蚀及其它机械损伤；b) 产品表面说明功能的文字、符号、标志，应清晰、端正、牢固；</w:t>
                  </w:r>
                </w:p>
                <w:p>
                  <w:pPr>
                    <w:adjustRightInd/>
                    <w:rPr>
                      <w:rFonts w:hint="eastAsia" w:ascii="宋体" w:hAnsi="宋体" w:cs="宋体"/>
                      <w:sz w:val="24"/>
                    </w:rPr>
                  </w:pPr>
                  <w:r>
                    <w:rPr>
                      <w:rFonts w:hint="eastAsia" w:ascii="宋体" w:hAnsi="宋体" w:cs="宋体"/>
                      <w:sz w:val="24"/>
                    </w:rPr>
                    <w:t>2.状态指示灯：在产品显著位置提供状态指示功能；</w:t>
                  </w:r>
                </w:p>
                <w:p>
                  <w:pPr>
                    <w:adjustRightInd/>
                    <w:rPr>
                      <w:rFonts w:hint="eastAsia" w:ascii="宋体" w:hAnsi="宋体" w:cs="宋体"/>
                      <w:sz w:val="24"/>
                    </w:rPr>
                  </w:pPr>
                  <w:r>
                    <w:rPr>
                      <w:rFonts w:hint="eastAsia" w:ascii="宋体" w:hAnsi="宋体" w:cs="宋体"/>
                      <w:sz w:val="24"/>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 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p>
                <w:p>
                  <w:pPr>
                    <w:adjustRightInd/>
                    <w:rPr>
                      <w:rFonts w:hint="eastAsia" w:ascii="宋体" w:hAnsi="宋体" w:cs="宋体"/>
                      <w:sz w:val="24"/>
                    </w:rPr>
                  </w:pPr>
                  <w:r>
                    <w:rPr>
                      <w:rFonts w:hint="eastAsia" w:ascii="宋体" w:hAnsi="宋体" w:cs="宋体"/>
                      <w:sz w:val="24"/>
                    </w:rPr>
                    <w:t>4.机箱防护要求：机箱应符合GB/T4208中IP20防护要求；</w:t>
                  </w:r>
                </w:p>
                <w:p>
                  <w:pPr>
                    <w:adjustRightInd/>
                    <w:rPr>
                      <w:rFonts w:hint="eastAsia" w:ascii="宋体" w:hAnsi="宋体" w:cs="宋体"/>
                      <w:sz w:val="24"/>
                    </w:rPr>
                  </w:pPr>
                  <w:r>
                    <w:rPr>
                      <w:rFonts w:hint="eastAsia" w:ascii="宋体" w:hAnsi="宋体" w:cs="宋体"/>
                      <w:sz w:val="24"/>
                    </w:rPr>
                    <w:t>5.整机噪音：产品工作在空闲状态下，产品的声功率级应不超过4.5Bel；</w:t>
                  </w:r>
                </w:p>
                <w:p>
                  <w:pPr>
                    <w:adjustRightInd/>
                    <w:rPr>
                      <w:rFonts w:hint="eastAsia" w:ascii="宋体" w:hAnsi="宋体" w:cs="宋体"/>
                      <w:sz w:val="24"/>
                    </w:rPr>
                  </w:pPr>
                  <w:r>
                    <w:rPr>
                      <w:rFonts w:hint="eastAsia" w:ascii="宋体" w:hAnsi="宋体" w:cs="宋体"/>
                      <w:sz w:val="24"/>
                    </w:rPr>
                    <w:t>6.整机散热：在环境温度25℃及处理器满载情况下，产品表面温度应符合如下要求：a)出风口在机箱后面板情况下，出风口温度不高于 55℃；b)可触及面温度不高于45℃；c) 显示器表面温度：显示屏不高于38℃，显示屏上下灯带位置温度（如涉及）不高于40℃，出风口温度不高于45℃；</w:t>
                  </w:r>
                </w:p>
                <w:p>
                  <w:pPr>
                    <w:adjustRightInd/>
                    <w:rPr>
                      <w:rFonts w:hint="eastAsia" w:ascii="宋体" w:hAnsi="宋体" w:cs="宋体"/>
                      <w:sz w:val="24"/>
                    </w:rPr>
                  </w:pPr>
                  <w:r>
                    <w:rPr>
                      <w:rFonts w:hint="eastAsia" w:ascii="宋体" w:hAnsi="宋体" w:cs="宋体"/>
                      <w:sz w:val="24"/>
                    </w:rPr>
                    <w:t>7.整机能效限定值：产品能效限定值应达到GB28380-2012标准中能效等级2级及以上；</w:t>
                  </w:r>
                </w:p>
                <w:p>
                  <w:pPr>
                    <w:adjustRightInd/>
                    <w:rPr>
                      <w:rFonts w:hint="eastAsia" w:ascii="宋体" w:hAnsi="宋体" w:cs="宋体"/>
                      <w:sz w:val="24"/>
                    </w:rPr>
                  </w:pPr>
                  <w:r>
                    <w:rPr>
                      <w:rFonts w:hint="eastAsia" w:ascii="宋体" w:hAnsi="宋体" w:cs="宋体"/>
                      <w:sz w:val="24"/>
                    </w:rPr>
                    <w:t>8.机身材质：金属；</w:t>
                  </w:r>
                </w:p>
                <w:p>
                  <w:pPr>
                    <w:adjustRightInd/>
                    <w:rPr>
                      <w:rFonts w:hint="eastAsia" w:ascii="宋体" w:hAnsi="宋体" w:cs="宋体"/>
                      <w:sz w:val="24"/>
                    </w:rPr>
                  </w:pPr>
                  <w:r>
                    <w:rPr>
                      <w:rFonts w:hint="eastAsia" w:ascii="宋体" w:hAnsi="宋体" w:cs="宋体"/>
                      <w:sz w:val="24"/>
                    </w:rPr>
                    <w:t>9.机身颜色：黑色商务色系；</w:t>
                  </w:r>
                </w:p>
                <w:p>
                  <w:pPr>
                    <w:adjustRightInd/>
                    <w:rPr>
                      <w:rFonts w:hint="eastAsia" w:ascii="宋体" w:hAnsi="宋体" w:cs="宋体"/>
                      <w:sz w:val="24"/>
                    </w:rPr>
                  </w:pPr>
                  <w:r>
                    <w:rPr>
                      <w:rFonts w:hint="eastAsia" w:ascii="宋体" w:hAnsi="宋体" w:cs="宋体"/>
                      <w:sz w:val="24"/>
                    </w:rPr>
                    <w:t>10.机箱尺寸容量：机箱体积应不大于15L；</w:t>
                  </w:r>
                </w:p>
                <w:p>
                  <w:pPr>
                    <w:adjustRightInd/>
                    <w:rPr>
                      <w:rFonts w:hint="eastAsia" w:ascii="宋体" w:hAnsi="宋体" w:cs="宋体"/>
                      <w:sz w:val="24"/>
                    </w:rPr>
                  </w:pPr>
                  <w:r>
                    <w:rPr>
                      <w:rFonts w:hint="eastAsia" w:ascii="宋体" w:hAnsi="宋体" w:cs="宋体"/>
                      <w:sz w:val="24"/>
                    </w:rPr>
                    <w:t>▲十一、CPU性能</w:t>
                  </w:r>
                </w:p>
                <w:p>
                  <w:pPr>
                    <w:adjustRightInd/>
                    <w:rPr>
                      <w:rFonts w:hint="eastAsia" w:ascii="宋体" w:hAnsi="宋体" w:cs="宋体"/>
                      <w:sz w:val="24"/>
                    </w:rPr>
                  </w:pPr>
                  <w:r>
                    <w:rPr>
                      <w:rFonts w:hint="eastAsia" w:ascii="宋体" w:hAnsi="宋体" w:cs="宋体"/>
                      <w:sz w:val="24"/>
                    </w:rPr>
                    <w:t>1.CPU物理核数：≥10；</w:t>
                  </w:r>
                </w:p>
                <w:p>
                  <w:pPr>
                    <w:adjustRightInd/>
                    <w:rPr>
                      <w:rFonts w:hint="eastAsia" w:ascii="宋体" w:hAnsi="宋体" w:cs="宋体"/>
                      <w:sz w:val="24"/>
                    </w:rPr>
                  </w:pPr>
                  <w:r>
                    <w:rPr>
                      <w:rFonts w:hint="eastAsia" w:ascii="宋体" w:hAnsi="宋体" w:cs="宋体"/>
                      <w:sz w:val="24"/>
                    </w:rPr>
                    <w:t>2.CPU主频：≥2.4GHz；</w:t>
                  </w:r>
                </w:p>
                <w:p>
                  <w:pPr>
                    <w:adjustRightInd/>
                    <w:rPr>
                      <w:rFonts w:hint="eastAsia" w:ascii="宋体" w:hAnsi="宋体" w:cs="宋体"/>
                      <w:sz w:val="24"/>
                    </w:rPr>
                  </w:pPr>
                  <w:r>
                    <w:rPr>
                      <w:rFonts w:hint="eastAsia" w:ascii="宋体" w:hAnsi="宋体" w:cs="宋体"/>
                      <w:sz w:val="24"/>
                    </w:rPr>
                    <w:t>3.CPU L3缓存容量：≥24MB；</w:t>
                  </w:r>
                </w:p>
                <w:p>
                  <w:pPr>
                    <w:adjustRightInd/>
                    <w:rPr>
                      <w:rFonts w:hint="eastAsia" w:ascii="宋体" w:hAnsi="宋体" w:cs="宋体"/>
                      <w:sz w:val="24"/>
                    </w:rPr>
                  </w:pPr>
                  <w:r>
                    <w:rPr>
                      <w:rFonts w:hint="eastAsia" w:ascii="宋体" w:hAnsi="宋体" w:cs="宋体"/>
                      <w:sz w:val="24"/>
                    </w:rPr>
                    <w:t>4.CPU支持的内存最高速率：≥3200MT/s；</w:t>
                  </w:r>
                </w:p>
                <w:p>
                  <w:pPr>
                    <w:adjustRightInd/>
                    <w:rPr>
                      <w:rFonts w:hint="eastAsia" w:ascii="宋体" w:hAnsi="宋体" w:cs="宋体"/>
                      <w:sz w:val="24"/>
                    </w:rPr>
                  </w:pPr>
                  <w:r>
                    <w:rPr>
                      <w:rFonts w:hint="eastAsia" w:ascii="宋体" w:hAnsi="宋体" w:cs="宋体"/>
                      <w:sz w:val="24"/>
                    </w:rPr>
                    <w:t>▲十二、内存性能</w:t>
                  </w:r>
                </w:p>
                <w:p>
                  <w:pPr>
                    <w:adjustRightInd/>
                    <w:rPr>
                      <w:rFonts w:hint="eastAsia" w:ascii="宋体" w:hAnsi="宋体" w:cs="宋体"/>
                      <w:sz w:val="24"/>
                    </w:rPr>
                  </w:pPr>
                  <w:r>
                    <w:rPr>
                      <w:rFonts w:hint="eastAsia" w:ascii="宋体" w:hAnsi="宋体" w:cs="宋体"/>
                      <w:sz w:val="24"/>
                    </w:rPr>
                    <w:t>1.内存读写速率：≥3200MT/s；</w:t>
                  </w:r>
                </w:p>
                <w:p>
                  <w:pPr>
                    <w:adjustRightInd/>
                    <w:rPr>
                      <w:rFonts w:hint="eastAsia" w:ascii="宋体" w:hAnsi="宋体" w:cs="宋体"/>
                      <w:sz w:val="24"/>
                    </w:rPr>
                  </w:pPr>
                  <w:r>
                    <w:rPr>
                      <w:rFonts w:hint="eastAsia" w:ascii="宋体" w:hAnsi="宋体" w:cs="宋体"/>
                      <w:sz w:val="24"/>
                    </w:rPr>
                    <w:t>▲十三、显卡性能</w:t>
                  </w:r>
                </w:p>
                <w:p>
                  <w:pPr>
                    <w:adjustRightInd/>
                    <w:rPr>
                      <w:rFonts w:hint="eastAsia" w:ascii="宋体" w:hAnsi="宋体" w:cs="宋体"/>
                      <w:sz w:val="24"/>
                    </w:rPr>
                  </w:pPr>
                  <w:r>
                    <w:rPr>
                      <w:rFonts w:hint="eastAsia" w:ascii="宋体" w:hAnsi="宋体" w:cs="宋体"/>
                      <w:sz w:val="24"/>
                    </w:rPr>
                    <w:t>1.显示分辨率：≥1920*1080；</w:t>
                  </w:r>
                </w:p>
                <w:p>
                  <w:pPr>
                    <w:adjustRightInd/>
                    <w:rPr>
                      <w:rFonts w:hint="eastAsia" w:ascii="宋体" w:hAnsi="宋体" w:cs="宋体"/>
                      <w:sz w:val="24"/>
                    </w:rPr>
                  </w:pPr>
                  <w:r>
                    <w:rPr>
                      <w:rFonts w:hint="eastAsia" w:ascii="宋体" w:hAnsi="宋体" w:cs="宋体"/>
                      <w:sz w:val="24"/>
                    </w:rPr>
                    <w:t>2.显卡显示芯片核心频率：≥300MHz；</w:t>
                  </w:r>
                </w:p>
                <w:p>
                  <w:pPr>
                    <w:adjustRightInd/>
                    <w:rPr>
                      <w:rFonts w:hint="eastAsia" w:ascii="宋体" w:hAnsi="宋体" w:cs="宋体"/>
                      <w:sz w:val="24"/>
                    </w:rPr>
                  </w:pPr>
                  <w:r>
                    <w:rPr>
                      <w:rFonts w:hint="eastAsia" w:ascii="宋体" w:hAnsi="宋体" w:cs="宋体"/>
                      <w:sz w:val="24"/>
                    </w:rPr>
                    <w:t>3.显存等效频率：≥1000MT/s；</w:t>
                  </w:r>
                </w:p>
                <w:p>
                  <w:pPr>
                    <w:adjustRightInd/>
                    <w:rPr>
                      <w:rFonts w:hint="eastAsia" w:ascii="宋体" w:hAnsi="宋体" w:cs="宋体"/>
                      <w:sz w:val="24"/>
                    </w:rPr>
                  </w:pPr>
                  <w:r>
                    <w:rPr>
                      <w:rFonts w:hint="eastAsia" w:ascii="宋体" w:hAnsi="宋体" w:cs="宋体"/>
                      <w:sz w:val="24"/>
                    </w:rPr>
                    <w:t>4.显卡可支持多屏同时显示数量：显卡应支持2块屏幕同时显示，分辨率应不低于1920*1080；</w:t>
                  </w:r>
                </w:p>
                <w:p>
                  <w:pPr>
                    <w:adjustRightInd/>
                    <w:rPr>
                      <w:rFonts w:hint="eastAsia" w:ascii="宋体" w:hAnsi="宋体" w:cs="宋体"/>
                      <w:sz w:val="24"/>
                    </w:rPr>
                  </w:pPr>
                  <w:r>
                    <w:rPr>
                      <w:rFonts w:hint="eastAsia" w:ascii="宋体" w:hAnsi="宋体" w:cs="宋体"/>
                      <w:sz w:val="24"/>
                    </w:rPr>
                    <w:t>▲十四、显示设备性能</w:t>
                  </w:r>
                </w:p>
                <w:p>
                  <w:pPr>
                    <w:adjustRightInd/>
                    <w:rPr>
                      <w:rFonts w:hint="eastAsia" w:ascii="宋体" w:hAnsi="宋体" w:cs="宋体"/>
                      <w:sz w:val="24"/>
                    </w:rPr>
                  </w:pPr>
                  <w:r>
                    <w:rPr>
                      <w:rFonts w:hint="eastAsia" w:ascii="宋体" w:hAnsi="宋体" w:cs="宋体"/>
                      <w:sz w:val="24"/>
                    </w:rPr>
                    <w:t>1.显示屏刷新率：≥90Hz；</w:t>
                  </w:r>
                </w:p>
                <w:p>
                  <w:pPr>
                    <w:adjustRightInd/>
                    <w:rPr>
                      <w:rFonts w:hint="eastAsia" w:ascii="宋体" w:hAnsi="宋体" w:cs="宋体"/>
                      <w:sz w:val="24"/>
                    </w:rPr>
                  </w:pPr>
                  <w:r>
                    <w:rPr>
                      <w:rFonts w:hint="eastAsia" w:ascii="宋体" w:hAnsi="宋体" w:cs="宋体"/>
                      <w:sz w:val="24"/>
                    </w:rPr>
                    <w:t>2.显示屏位深：≥8位；</w:t>
                  </w:r>
                </w:p>
                <w:p>
                  <w:pPr>
                    <w:adjustRightInd/>
                    <w:rPr>
                      <w:rFonts w:hint="eastAsia" w:ascii="宋体" w:hAnsi="宋体" w:cs="宋体"/>
                      <w:sz w:val="24"/>
                    </w:rPr>
                  </w:pPr>
                  <w:r>
                    <w:rPr>
                      <w:rFonts w:hint="eastAsia" w:ascii="宋体" w:hAnsi="宋体" w:cs="宋体"/>
                      <w:sz w:val="24"/>
                    </w:rPr>
                    <w:t>3.显示屏色域：≥99% sRGB；DCI-P3色域覆盖率≥90%；</w:t>
                  </w:r>
                </w:p>
                <w:p>
                  <w:pPr>
                    <w:adjustRightInd/>
                    <w:rPr>
                      <w:rFonts w:hint="eastAsia" w:ascii="宋体" w:hAnsi="宋体" w:cs="宋体"/>
                      <w:sz w:val="24"/>
                    </w:rPr>
                  </w:pPr>
                  <w:r>
                    <w:rPr>
                      <w:rFonts w:hint="eastAsia" w:ascii="宋体" w:hAnsi="宋体" w:cs="宋体"/>
                      <w:sz w:val="24"/>
                    </w:rPr>
                    <w:t>4.显示屏色准：△E≤4；</w:t>
                  </w:r>
                </w:p>
                <w:p>
                  <w:pPr>
                    <w:adjustRightInd/>
                    <w:rPr>
                      <w:rFonts w:hint="eastAsia" w:ascii="宋体" w:hAnsi="宋体" w:cs="宋体"/>
                      <w:sz w:val="24"/>
                    </w:rPr>
                  </w:pPr>
                  <w:r>
                    <w:rPr>
                      <w:rFonts w:hint="eastAsia" w:ascii="宋体" w:hAnsi="宋体" w:cs="宋体"/>
                      <w:sz w:val="24"/>
                    </w:rPr>
                    <w:t>5.显示屏响应时间：≤8ms；</w:t>
                  </w:r>
                </w:p>
                <w:p>
                  <w:pPr>
                    <w:adjustRightInd/>
                    <w:rPr>
                      <w:rFonts w:hint="eastAsia" w:ascii="宋体" w:hAnsi="宋体" w:cs="宋体"/>
                      <w:sz w:val="24"/>
                    </w:rPr>
                  </w:pPr>
                  <w:r>
                    <w:rPr>
                      <w:rFonts w:hint="eastAsia" w:ascii="宋体" w:hAnsi="宋体" w:cs="宋体"/>
                      <w:sz w:val="24"/>
                    </w:rPr>
                    <w:t>6.显示屏亮度：≥300尼特；</w:t>
                  </w:r>
                </w:p>
                <w:p>
                  <w:pPr>
                    <w:adjustRightInd/>
                    <w:rPr>
                      <w:rFonts w:hint="eastAsia" w:ascii="宋体" w:hAnsi="宋体" w:cs="宋体"/>
                      <w:sz w:val="24"/>
                    </w:rPr>
                  </w:pPr>
                  <w:r>
                    <w:rPr>
                      <w:rFonts w:hint="eastAsia" w:ascii="宋体" w:hAnsi="宋体" w:cs="宋体"/>
                      <w:sz w:val="24"/>
                    </w:rPr>
                    <w:t>7.显示屏亮度一致性：≥70%；</w:t>
                  </w:r>
                </w:p>
                <w:p>
                  <w:pPr>
                    <w:adjustRightInd/>
                    <w:rPr>
                      <w:rFonts w:hint="eastAsia" w:ascii="宋体" w:hAnsi="宋体" w:cs="宋体"/>
                      <w:sz w:val="24"/>
                    </w:rPr>
                  </w:pPr>
                  <w:r>
                    <w:rPr>
                      <w:rFonts w:hint="eastAsia" w:ascii="宋体" w:hAnsi="宋体" w:cs="宋体"/>
                      <w:sz w:val="24"/>
                    </w:rPr>
                    <w:t>8.显示屏对比度：≥500：1；</w:t>
                  </w:r>
                </w:p>
                <w:p>
                  <w:pPr>
                    <w:adjustRightInd/>
                    <w:rPr>
                      <w:rFonts w:hint="eastAsia" w:ascii="宋体" w:hAnsi="宋体" w:cs="宋体"/>
                      <w:sz w:val="24"/>
                    </w:rPr>
                  </w:pPr>
                  <w:r>
                    <w:rPr>
                      <w:rFonts w:hint="eastAsia" w:ascii="宋体" w:hAnsi="宋体" w:cs="宋体"/>
                      <w:sz w:val="24"/>
                    </w:rPr>
                    <w:t>9.显示屏其他参数：其它参数应符合SJ/T11292的相关规定；</w:t>
                  </w:r>
                </w:p>
                <w:p>
                  <w:pPr>
                    <w:adjustRightInd/>
                    <w:rPr>
                      <w:rFonts w:hint="eastAsia" w:ascii="宋体" w:hAnsi="宋体" w:cs="宋体"/>
                      <w:sz w:val="24"/>
                    </w:rPr>
                  </w:pPr>
                  <w:r>
                    <w:rPr>
                      <w:rFonts w:hint="eastAsia" w:ascii="宋体" w:hAnsi="宋体" w:cs="宋体"/>
                      <w:sz w:val="24"/>
                    </w:rPr>
                    <w:t>▲十五、网络设备性能</w:t>
                  </w:r>
                </w:p>
                <w:p>
                  <w:pPr>
                    <w:adjustRightInd/>
                    <w:rPr>
                      <w:rFonts w:hint="eastAsia" w:ascii="宋体" w:hAnsi="宋体" w:cs="宋体"/>
                      <w:sz w:val="24"/>
                    </w:rPr>
                  </w:pPr>
                  <w:r>
                    <w:rPr>
                      <w:rFonts w:hint="eastAsia" w:ascii="宋体" w:hAnsi="宋体" w:cs="宋体"/>
                      <w:sz w:val="24"/>
                    </w:rPr>
                    <w:t>1.有线网卡速率：最高速率应不低于1000Mbps，应支持10Mbps、100Mbps、1000Mbps速率自适应；</w:t>
                  </w:r>
                </w:p>
                <w:p>
                  <w:pPr>
                    <w:adjustRightInd/>
                    <w:rPr>
                      <w:rFonts w:hint="eastAsia" w:ascii="宋体" w:hAnsi="宋体" w:cs="宋体"/>
                      <w:sz w:val="24"/>
                    </w:rPr>
                  </w:pPr>
                  <w:r>
                    <w:rPr>
                      <w:rFonts w:hint="eastAsia" w:ascii="宋体" w:hAnsi="宋体" w:cs="宋体"/>
                      <w:sz w:val="24"/>
                    </w:rPr>
                    <w:t>▲十六、主板功能</w:t>
                  </w:r>
                </w:p>
                <w:p>
                  <w:pPr>
                    <w:adjustRightInd/>
                    <w:rPr>
                      <w:rFonts w:hint="eastAsia" w:ascii="宋体" w:hAnsi="宋体" w:cs="宋体"/>
                      <w:sz w:val="24"/>
                    </w:rPr>
                  </w:pPr>
                  <w:r>
                    <w:rPr>
                      <w:rFonts w:hint="eastAsia" w:ascii="宋体" w:hAnsi="宋体" w:cs="宋体"/>
                      <w:sz w:val="24"/>
                    </w:rPr>
                    <w:t>1.内存扩展接口(板载内存不涉及)：≥2个；</w:t>
                  </w:r>
                </w:p>
                <w:p>
                  <w:pPr>
                    <w:adjustRightInd/>
                    <w:rPr>
                      <w:rFonts w:hint="eastAsia" w:ascii="宋体" w:hAnsi="宋体" w:cs="宋体"/>
                      <w:sz w:val="24"/>
                    </w:rPr>
                  </w:pPr>
                  <w:r>
                    <w:rPr>
                      <w:rFonts w:hint="eastAsia" w:ascii="宋体" w:hAnsi="宋体" w:cs="宋体"/>
                      <w:sz w:val="24"/>
                    </w:rPr>
                    <w:t>2.主板 USB瞬间过流保护：支持有瞬间过流保护功能；</w:t>
                  </w:r>
                </w:p>
                <w:p>
                  <w:pPr>
                    <w:adjustRightInd/>
                    <w:rPr>
                      <w:rFonts w:hint="eastAsia" w:ascii="宋体" w:hAnsi="宋体" w:cs="宋体"/>
                      <w:sz w:val="24"/>
                    </w:rPr>
                  </w:pPr>
                  <w:r>
                    <w:rPr>
                      <w:rFonts w:hint="eastAsia" w:ascii="宋体" w:hAnsi="宋体" w:cs="宋体"/>
                      <w:sz w:val="24"/>
                    </w:rPr>
                    <w:t>3.主板防静电保护：支持防静电保护功能；</w:t>
                  </w:r>
                </w:p>
                <w:p>
                  <w:pPr>
                    <w:adjustRightInd/>
                    <w:rPr>
                      <w:rFonts w:hint="eastAsia" w:ascii="宋体" w:hAnsi="宋体" w:cs="宋体"/>
                      <w:sz w:val="24"/>
                    </w:rPr>
                  </w:pPr>
                  <w:r>
                    <w:rPr>
                      <w:rFonts w:hint="eastAsia" w:ascii="宋体" w:hAnsi="宋体" w:cs="宋体"/>
                      <w:sz w:val="24"/>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adjustRightInd/>
                    <w:rPr>
                      <w:rFonts w:hint="eastAsia" w:ascii="宋体" w:hAnsi="宋体" w:cs="宋体"/>
                      <w:sz w:val="24"/>
                    </w:rPr>
                  </w:pPr>
                  <w:r>
                    <w:rPr>
                      <w:rFonts w:hint="eastAsia" w:ascii="宋体" w:hAnsi="宋体" w:cs="宋体"/>
                      <w:sz w:val="24"/>
                    </w:rPr>
                    <w:t>▲十七、显卡功能</w:t>
                  </w:r>
                </w:p>
                <w:p>
                  <w:pPr>
                    <w:adjustRightInd/>
                    <w:rPr>
                      <w:rFonts w:hint="eastAsia" w:ascii="宋体" w:hAnsi="宋体" w:cs="宋体"/>
                      <w:sz w:val="24"/>
                    </w:rPr>
                  </w:pPr>
                  <w:r>
                    <w:rPr>
                      <w:rFonts w:hint="eastAsia" w:ascii="宋体" w:hAnsi="宋体" w:cs="宋体"/>
                      <w:sz w:val="24"/>
                    </w:rPr>
                    <w:t>1.显卡外接显示接口：显卡至少支持VGA、HDMI、DVI、DP、Type-C中1种显示接口，并与显示器接口相匹配；</w:t>
                  </w:r>
                </w:p>
                <w:p>
                  <w:pPr>
                    <w:adjustRightInd/>
                    <w:rPr>
                      <w:rFonts w:hint="eastAsia" w:ascii="宋体" w:hAnsi="宋体" w:cs="宋体"/>
                      <w:sz w:val="24"/>
                    </w:rPr>
                  </w:pPr>
                  <w:r>
                    <w:rPr>
                      <w:rFonts w:hint="eastAsia" w:ascii="宋体" w:hAnsi="宋体" w:cs="宋体"/>
                      <w:sz w:val="24"/>
                    </w:rPr>
                    <w:t>▲十八、显示设备功能</w:t>
                  </w:r>
                </w:p>
                <w:p>
                  <w:pPr>
                    <w:adjustRightInd/>
                    <w:rPr>
                      <w:rFonts w:hint="eastAsia" w:ascii="宋体" w:hAnsi="宋体" w:cs="宋体"/>
                      <w:sz w:val="24"/>
                    </w:rPr>
                  </w:pPr>
                  <w:r>
                    <w:rPr>
                      <w:rFonts w:hint="eastAsia" w:ascii="宋体" w:hAnsi="宋体" w:cs="宋体"/>
                      <w:sz w:val="24"/>
                    </w:rPr>
                    <w:t>1.显示器接口：显示器应与显卡外接显示接口匹配；</w:t>
                  </w:r>
                </w:p>
                <w:p>
                  <w:pPr>
                    <w:adjustRightInd/>
                    <w:rPr>
                      <w:rFonts w:hint="eastAsia" w:ascii="宋体" w:hAnsi="宋体" w:cs="宋体"/>
                      <w:sz w:val="24"/>
                    </w:rPr>
                  </w:pPr>
                  <w:r>
                    <w:rPr>
                      <w:rFonts w:hint="eastAsia" w:ascii="宋体" w:hAnsi="宋体" w:cs="宋体"/>
                      <w:sz w:val="24"/>
                    </w:rPr>
                    <w:t>2.显示器支架：显示器应提供显示器支架；</w:t>
                  </w:r>
                </w:p>
                <w:p>
                  <w:pPr>
                    <w:adjustRightInd/>
                    <w:rPr>
                      <w:rFonts w:hint="eastAsia" w:ascii="宋体" w:hAnsi="宋体" w:cs="宋体"/>
                      <w:sz w:val="24"/>
                    </w:rPr>
                  </w:pPr>
                  <w:r>
                    <w:rPr>
                      <w:rFonts w:hint="eastAsia" w:ascii="宋体" w:hAnsi="宋体" w:cs="宋体"/>
                      <w:sz w:val="24"/>
                    </w:rPr>
                    <w:t>3.显示器参数调节：a)提供OSD选单按钮用于调节色彩、模式等；b)支持色温、亮度、对比度调节；</w:t>
                  </w:r>
                </w:p>
                <w:p>
                  <w:pPr>
                    <w:adjustRightInd/>
                    <w:rPr>
                      <w:rFonts w:hint="eastAsia" w:ascii="宋体" w:hAnsi="宋体" w:cs="宋体"/>
                      <w:sz w:val="24"/>
                    </w:rPr>
                  </w:pPr>
                  <w:r>
                    <w:rPr>
                      <w:rFonts w:hint="eastAsia" w:ascii="宋体" w:hAnsi="宋体" w:cs="宋体"/>
                      <w:sz w:val="24"/>
                    </w:rPr>
                    <w:t>▲十九、存储功能</w:t>
                  </w:r>
                </w:p>
                <w:p>
                  <w:pPr>
                    <w:adjustRightInd/>
                    <w:rPr>
                      <w:rFonts w:hint="eastAsia" w:ascii="宋体" w:hAnsi="宋体" w:cs="宋体"/>
                      <w:sz w:val="24"/>
                    </w:rPr>
                  </w:pPr>
                  <w:r>
                    <w:rPr>
                      <w:rFonts w:hint="eastAsia" w:ascii="宋体" w:hAnsi="宋体" w:cs="宋体"/>
                      <w:sz w:val="24"/>
                    </w:rPr>
                    <w:t>1.存储功能：通过SATA固态存储/PCIe 固态存储/UFS 固态存储/SATA硬磁盘等存储部件提供存储功能；</w:t>
                  </w:r>
                </w:p>
                <w:p>
                  <w:pPr>
                    <w:adjustRightInd/>
                    <w:rPr>
                      <w:rFonts w:hint="eastAsia" w:ascii="宋体" w:hAnsi="宋体" w:cs="宋体"/>
                      <w:sz w:val="24"/>
                    </w:rPr>
                  </w:pPr>
                  <w:r>
                    <w:rPr>
                      <w:rFonts w:hint="eastAsia" w:ascii="宋体" w:hAnsi="宋体" w:cs="宋体"/>
                      <w:sz w:val="24"/>
                    </w:rPr>
                    <w:t>▲二十、网络设备功能</w:t>
                  </w:r>
                </w:p>
                <w:p>
                  <w:pPr>
                    <w:adjustRightInd/>
                    <w:rPr>
                      <w:rFonts w:hint="eastAsia" w:ascii="宋体" w:hAnsi="宋体" w:cs="宋体"/>
                      <w:sz w:val="24"/>
                    </w:rPr>
                  </w:pPr>
                  <w:r>
                    <w:rPr>
                      <w:rFonts w:hint="eastAsia" w:ascii="宋体" w:hAnsi="宋体" w:cs="宋体"/>
                      <w:sz w:val="24"/>
                    </w:rPr>
                    <w:t>1.网络功能：a)支持网络连接、网络开启/关闭功能；b)支持访问网络和数据交换功能；</w:t>
                  </w:r>
                </w:p>
                <w:p>
                  <w:pPr>
                    <w:adjustRightInd/>
                    <w:rPr>
                      <w:rFonts w:hint="eastAsia" w:ascii="宋体" w:hAnsi="宋体" w:cs="宋体"/>
                      <w:sz w:val="24"/>
                    </w:rPr>
                  </w:pPr>
                  <w:r>
                    <w:rPr>
                      <w:rFonts w:hint="eastAsia" w:ascii="宋体" w:hAnsi="宋体" w:cs="宋体"/>
                      <w:sz w:val="24"/>
                    </w:rPr>
                    <w:t>2.数据传输：支持数据传输能力；</w:t>
                  </w:r>
                </w:p>
                <w:p>
                  <w:pPr>
                    <w:adjustRightInd/>
                    <w:rPr>
                      <w:rFonts w:hint="eastAsia" w:ascii="宋体" w:hAnsi="宋体" w:cs="宋体"/>
                      <w:sz w:val="24"/>
                    </w:rPr>
                  </w:pPr>
                  <w:r>
                    <w:rPr>
                      <w:rFonts w:hint="eastAsia" w:ascii="宋体" w:hAnsi="宋体" w:cs="宋体"/>
                      <w:sz w:val="24"/>
                    </w:rPr>
                    <w:t>3.有线网卡接口类型：支持RJ45接口；</w:t>
                  </w:r>
                </w:p>
                <w:p>
                  <w:pPr>
                    <w:adjustRightInd/>
                    <w:rPr>
                      <w:rFonts w:hint="eastAsia" w:ascii="宋体" w:hAnsi="宋体" w:cs="宋体"/>
                      <w:sz w:val="24"/>
                    </w:rPr>
                  </w:pPr>
                  <w:r>
                    <w:rPr>
                      <w:rFonts w:hint="eastAsia" w:ascii="宋体" w:hAnsi="宋体" w:cs="宋体"/>
                      <w:sz w:val="24"/>
                    </w:rPr>
                    <w:t>4.网络设备拆装：网络设备支持物理拆装，包括无线网卡和蓝牙模块等；</w:t>
                  </w:r>
                </w:p>
                <w:p>
                  <w:pPr>
                    <w:adjustRightInd/>
                    <w:rPr>
                      <w:rFonts w:hint="eastAsia" w:ascii="宋体" w:hAnsi="宋体" w:cs="宋体"/>
                      <w:sz w:val="24"/>
                    </w:rPr>
                  </w:pPr>
                  <w:r>
                    <w:rPr>
                      <w:rFonts w:hint="eastAsia" w:ascii="宋体" w:hAnsi="宋体" w:cs="宋体"/>
                      <w:sz w:val="24"/>
                    </w:rPr>
                    <w:t>▲二十一、外部接口功能</w:t>
                  </w:r>
                </w:p>
                <w:p>
                  <w:pPr>
                    <w:adjustRightInd/>
                    <w:rPr>
                      <w:rFonts w:hint="eastAsia" w:ascii="宋体" w:hAnsi="宋体" w:cs="宋体"/>
                      <w:sz w:val="24"/>
                    </w:rPr>
                  </w:pPr>
                  <w:r>
                    <w:rPr>
                      <w:rFonts w:hint="eastAsia" w:ascii="宋体" w:hAnsi="宋体" w:cs="宋体"/>
                      <w:sz w:val="24"/>
                    </w:rPr>
                    <w:t>1.音频接口类型：支持3.5mm 孔径3段式或4段式接口；</w:t>
                  </w:r>
                </w:p>
                <w:p>
                  <w:pPr>
                    <w:adjustRightInd/>
                    <w:rPr>
                      <w:rFonts w:hint="eastAsia" w:ascii="宋体" w:hAnsi="宋体" w:cs="宋体"/>
                      <w:sz w:val="24"/>
                    </w:rPr>
                  </w:pPr>
                  <w:r>
                    <w:rPr>
                      <w:rFonts w:hint="eastAsia" w:ascii="宋体" w:hAnsi="宋体" w:cs="宋体"/>
                      <w:sz w:val="24"/>
                    </w:rPr>
                    <w:t>2.视频接口类型：至少支持VGA、HDMI、DVI、DP、Type-C中1种显示接口；</w:t>
                  </w:r>
                </w:p>
                <w:p>
                  <w:pPr>
                    <w:adjustRightInd/>
                    <w:rPr>
                      <w:rFonts w:hint="eastAsia" w:ascii="宋体" w:hAnsi="宋体" w:cs="宋体"/>
                      <w:sz w:val="24"/>
                    </w:rPr>
                  </w:pPr>
                  <w:r>
                    <w:rPr>
                      <w:rFonts w:hint="eastAsia" w:ascii="宋体" w:hAnsi="宋体" w:cs="宋体"/>
                      <w:sz w:val="24"/>
                    </w:rPr>
                    <w:t>3.HDMI、DP、Type-C显示接口要求：若提供HDMI或DP或Type-C作为显示接口，应支持音频和视频同步输出；</w:t>
                  </w:r>
                </w:p>
                <w:p>
                  <w:pPr>
                    <w:adjustRightInd/>
                    <w:rPr>
                      <w:rFonts w:hint="eastAsia" w:ascii="宋体" w:hAnsi="宋体" w:cs="宋体"/>
                      <w:sz w:val="24"/>
                    </w:rPr>
                  </w:pPr>
                  <w:r>
                    <w:rPr>
                      <w:rFonts w:hint="eastAsia" w:ascii="宋体" w:hAnsi="宋体" w:cs="宋体"/>
                      <w:sz w:val="24"/>
                    </w:rPr>
                    <w:t>▲二十二、电源功能</w:t>
                  </w:r>
                </w:p>
                <w:p>
                  <w:pPr>
                    <w:adjustRightInd/>
                    <w:rPr>
                      <w:rFonts w:hint="eastAsia" w:ascii="宋体" w:hAnsi="宋体" w:cs="宋体"/>
                      <w:sz w:val="24"/>
                    </w:rPr>
                  </w:pPr>
                  <w:r>
                    <w:rPr>
                      <w:rFonts w:hint="eastAsia" w:ascii="宋体" w:hAnsi="宋体" w:cs="宋体"/>
                      <w:sz w:val="24"/>
                    </w:rPr>
                    <w:t>1.电源线适配能力：电源适配器电线组件应符合GB/T15934 的要求；</w:t>
                  </w:r>
                </w:p>
                <w:p>
                  <w:pPr>
                    <w:adjustRightInd/>
                    <w:rPr>
                      <w:rFonts w:hint="eastAsia" w:ascii="宋体" w:hAnsi="宋体" w:cs="宋体"/>
                      <w:sz w:val="24"/>
                    </w:rPr>
                  </w:pPr>
                  <w:r>
                    <w:rPr>
                      <w:rFonts w:hint="eastAsia" w:ascii="宋体" w:hAnsi="宋体" w:cs="宋体"/>
                      <w:sz w:val="24"/>
                    </w:rPr>
                    <w:t>▲二十三、操作系统及软件功能</w:t>
                  </w:r>
                </w:p>
                <w:p>
                  <w:pPr>
                    <w:adjustRightInd/>
                    <w:rPr>
                      <w:rFonts w:hint="eastAsia" w:ascii="宋体" w:hAnsi="宋体" w:cs="宋体"/>
                      <w:sz w:val="24"/>
                    </w:rPr>
                  </w:pPr>
                  <w:r>
                    <w:rPr>
                      <w:rFonts w:hint="eastAsia" w:ascii="宋体" w:hAnsi="宋体" w:cs="宋体"/>
                      <w:sz w:val="24"/>
                    </w:rPr>
                    <w:t>1.中文信息处理要求：符合GB18030的相关规定；</w:t>
                  </w:r>
                </w:p>
                <w:p>
                  <w:pPr>
                    <w:adjustRightInd/>
                    <w:rPr>
                      <w:rFonts w:hint="eastAsia" w:ascii="宋体" w:hAnsi="宋体" w:cs="宋体"/>
                      <w:sz w:val="24"/>
                    </w:rPr>
                  </w:pPr>
                  <w:r>
                    <w:rPr>
                      <w:rFonts w:hint="eastAsia" w:ascii="宋体" w:hAnsi="宋体" w:cs="宋体"/>
                      <w:sz w:val="24"/>
                    </w:rPr>
                    <w:t>2.操作系统备份及还原功能：支持操作系统备份及还原功能；</w:t>
                  </w:r>
                </w:p>
                <w:p>
                  <w:pPr>
                    <w:adjustRightInd/>
                    <w:rPr>
                      <w:rFonts w:hint="eastAsia" w:ascii="宋体" w:hAnsi="宋体" w:cs="宋体"/>
                      <w:sz w:val="24"/>
                    </w:rPr>
                  </w:pPr>
                  <w:r>
                    <w:rPr>
                      <w:rFonts w:hint="eastAsia" w:ascii="宋体" w:hAnsi="宋体" w:cs="宋体"/>
                      <w:sz w:val="24"/>
                    </w:rPr>
                    <w:t>3.固件设置网络引导：支持网络引导启动和关闭功能；；</w:t>
                  </w:r>
                </w:p>
                <w:p>
                  <w:pPr>
                    <w:adjustRightInd/>
                    <w:rPr>
                      <w:rFonts w:hint="eastAsia" w:ascii="宋体" w:hAnsi="宋体" w:cs="宋体"/>
                      <w:sz w:val="24"/>
                    </w:rPr>
                  </w:pPr>
                  <w:r>
                    <w:rPr>
                      <w:rFonts w:hint="eastAsia" w:ascii="宋体" w:hAnsi="宋体" w:cs="宋体"/>
                      <w:sz w:val="24"/>
                    </w:rPr>
                    <w:t>4.操作系统及驱动升级：支持通过网络、闪存盘等方式对操作系统、驱动进行升级；</w:t>
                  </w:r>
                </w:p>
                <w:p>
                  <w:pPr>
                    <w:adjustRightInd/>
                    <w:rPr>
                      <w:rFonts w:hint="eastAsia" w:ascii="宋体" w:hAnsi="宋体" w:cs="宋体"/>
                      <w:sz w:val="24"/>
                    </w:rPr>
                  </w:pPr>
                  <w:r>
                    <w:rPr>
                      <w:rFonts w:hint="eastAsia" w:ascii="宋体" w:hAnsi="宋体" w:cs="宋体"/>
                      <w:sz w:val="24"/>
                    </w:rPr>
                    <w:t>5.固件升级：支持通过网络、闪存盘等方式对固件进行升级；</w:t>
                  </w:r>
                </w:p>
                <w:p>
                  <w:pPr>
                    <w:adjustRightInd/>
                    <w:rPr>
                      <w:rFonts w:hint="eastAsia" w:ascii="宋体" w:hAnsi="宋体" w:cs="宋体"/>
                      <w:sz w:val="24"/>
                    </w:rPr>
                  </w:pPr>
                  <w:r>
                    <w:rPr>
                      <w:rFonts w:hint="eastAsia" w:ascii="宋体" w:hAnsi="宋体" w:cs="宋体"/>
                      <w:sz w:val="24"/>
                    </w:rPr>
                    <w:t>6.BIOS支持关闭通讯接口：支持BIOS关闭以太网及USB接口；</w:t>
                  </w:r>
                </w:p>
                <w:p>
                  <w:pPr>
                    <w:adjustRightInd/>
                    <w:rPr>
                      <w:rFonts w:hint="eastAsia" w:ascii="宋体" w:hAnsi="宋体" w:cs="宋体"/>
                      <w:sz w:val="24"/>
                    </w:rPr>
                  </w:pPr>
                  <w:r>
                    <w:rPr>
                      <w:rFonts w:hint="eastAsia" w:ascii="宋体" w:hAnsi="宋体" w:cs="宋体"/>
                      <w:sz w:val="24"/>
                    </w:rPr>
                    <w:t>7.固件查看信息：支持查看固件版本、内存信息、主板信息、处理器信息和系统时间信息等功能；</w:t>
                  </w:r>
                </w:p>
                <w:p>
                  <w:pPr>
                    <w:adjustRightInd/>
                    <w:rPr>
                      <w:rFonts w:hint="eastAsia" w:ascii="宋体" w:hAnsi="宋体" w:cs="宋体"/>
                      <w:sz w:val="24"/>
                    </w:rPr>
                  </w:pPr>
                  <w:r>
                    <w:rPr>
                      <w:rFonts w:hint="eastAsia" w:ascii="宋体" w:hAnsi="宋体" w:cs="宋体"/>
                      <w:sz w:val="24"/>
                    </w:rPr>
                    <w:t>8.固件设置启动顺序：支持设置启动顺序功能，并按照设置的启动顺序启动；</w:t>
                  </w:r>
                </w:p>
                <w:p>
                  <w:pPr>
                    <w:adjustRightInd/>
                    <w:rPr>
                      <w:rFonts w:hint="eastAsia" w:ascii="宋体" w:hAnsi="宋体" w:cs="宋体"/>
                      <w:sz w:val="24"/>
                    </w:rPr>
                  </w:pPr>
                  <w:r>
                    <w:rPr>
                      <w:rFonts w:hint="eastAsia" w:ascii="宋体" w:hAnsi="宋体" w:cs="宋体"/>
                      <w:sz w:val="24"/>
                    </w:rPr>
                    <w:t>9.固件设置口令：支持设置口令、修改口令、验证口令功能；</w:t>
                  </w:r>
                </w:p>
                <w:p>
                  <w:pPr>
                    <w:adjustRightInd/>
                    <w:rPr>
                      <w:rFonts w:hint="eastAsia" w:ascii="宋体" w:hAnsi="宋体" w:cs="宋体"/>
                      <w:sz w:val="24"/>
                    </w:rPr>
                  </w:pPr>
                  <w:r>
                    <w:rPr>
                      <w:rFonts w:hint="eastAsia" w:ascii="宋体" w:hAnsi="宋体" w:cs="宋体"/>
                      <w:sz w:val="24"/>
                    </w:rPr>
                    <w:t>▲二十四、存储设备可靠性</w:t>
                  </w:r>
                </w:p>
                <w:p>
                  <w:pPr>
                    <w:adjustRightInd/>
                    <w:rPr>
                      <w:rFonts w:hint="eastAsia" w:ascii="宋体" w:hAnsi="宋体" w:cs="宋体"/>
                      <w:sz w:val="24"/>
                    </w:rPr>
                  </w:pPr>
                  <w:r>
                    <w:rPr>
                      <w:rFonts w:hint="eastAsia" w:ascii="宋体" w:hAnsi="宋体" w:cs="宋体"/>
                      <w:sz w:val="24"/>
                    </w:rPr>
                    <w:t>1.固态存储寿命：TBW≥80TB（条件：512GB硬盘容量）；</w:t>
                  </w:r>
                </w:p>
                <w:p>
                  <w:pPr>
                    <w:adjustRightInd/>
                    <w:rPr>
                      <w:rFonts w:hint="eastAsia" w:ascii="宋体" w:hAnsi="宋体" w:cs="宋体"/>
                      <w:sz w:val="24"/>
                    </w:rPr>
                  </w:pPr>
                  <w:r>
                    <w:rPr>
                      <w:rFonts w:hint="eastAsia" w:ascii="宋体" w:hAnsi="宋体" w:cs="宋体"/>
                      <w:sz w:val="24"/>
                    </w:rPr>
                    <w:t>2.机械硬盘寿命：通电时间≥5万小时；</w:t>
                  </w:r>
                </w:p>
                <w:p>
                  <w:pPr>
                    <w:adjustRightInd/>
                    <w:rPr>
                      <w:rFonts w:hint="eastAsia" w:ascii="宋体" w:hAnsi="宋体" w:cs="宋体"/>
                      <w:sz w:val="24"/>
                    </w:rPr>
                  </w:pPr>
                  <w:r>
                    <w:rPr>
                      <w:rFonts w:hint="eastAsia" w:ascii="宋体" w:hAnsi="宋体" w:cs="宋体"/>
                      <w:sz w:val="24"/>
                    </w:rPr>
                    <w:t>▲二十五、显示设备可靠性</w:t>
                  </w:r>
                </w:p>
                <w:p>
                  <w:pPr>
                    <w:adjustRightInd/>
                    <w:rPr>
                      <w:rFonts w:hint="eastAsia" w:ascii="宋体" w:hAnsi="宋体" w:cs="宋体"/>
                      <w:sz w:val="24"/>
                    </w:rPr>
                  </w:pPr>
                  <w:r>
                    <w:rPr>
                      <w:rFonts w:hint="eastAsia" w:ascii="宋体" w:hAnsi="宋体" w:cs="宋体"/>
                      <w:sz w:val="24"/>
                    </w:rPr>
                    <w:t>1.显示屏屏幕失效点：符合GB/T9813.2的要求；</w:t>
                  </w:r>
                </w:p>
                <w:p>
                  <w:pPr>
                    <w:adjustRightInd/>
                    <w:rPr>
                      <w:rFonts w:hint="eastAsia" w:ascii="宋体" w:hAnsi="宋体" w:cs="宋体"/>
                      <w:sz w:val="24"/>
                    </w:rPr>
                  </w:pPr>
                  <w:r>
                    <w:rPr>
                      <w:rFonts w:hint="eastAsia" w:ascii="宋体" w:hAnsi="宋体" w:cs="宋体"/>
                      <w:sz w:val="24"/>
                    </w:rPr>
                    <w:t>▲二十六、外设可靠性</w:t>
                  </w:r>
                </w:p>
                <w:p>
                  <w:pPr>
                    <w:adjustRightInd/>
                    <w:rPr>
                      <w:rFonts w:hint="eastAsia" w:ascii="宋体" w:hAnsi="宋体" w:cs="宋体"/>
                      <w:sz w:val="24"/>
                    </w:rPr>
                  </w:pPr>
                  <w:r>
                    <w:rPr>
                      <w:rFonts w:hint="eastAsia" w:ascii="宋体" w:hAnsi="宋体" w:cs="宋体"/>
                      <w:sz w:val="24"/>
                    </w:rPr>
                    <w:t>1.键盘按键寿命：≥1000万次；</w:t>
                  </w:r>
                </w:p>
                <w:p>
                  <w:pPr>
                    <w:adjustRightInd/>
                    <w:rPr>
                      <w:rFonts w:hint="eastAsia" w:ascii="宋体" w:hAnsi="宋体" w:cs="宋体"/>
                      <w:sz w:val="24"/>
                    </w:rPr>
                  </w:pPr>
                  <w:r>
                    <w:rPr>
                      <w:rFonts w:hint="eastAsia" w:ascii="宋体" w:hAnsi="宋体" w:cs="宋体"/>
                      <w:sz w:val="24"/>
                    </w:rPr>
                    <w:t>2.鼠标按键寿命：≥500万次；</w:t>
                  </w:r>
                </w:p>
                <w:p>
                  <w:pPr>
                    <w:adjustRightInd/>
                    <w:rPr>
                      <w:rFonts w:hint="eastAsia" w:ascii="宋体" w:hAnsi="宋体" w:cs="宋体"/>
                      <w:sz w:val="24"/>
                    </w:rPr>
                  </w:pPr>
                  <w:r>
                    <w:rPr>
                      <w:rFonts w:hint="eastAsia" w:ascii="宋体" w:hAnsi="宋体" w:cs="宋体"/>
                      <w:sz w:val="24"/>
                    </w:rPr>
                    <w:t>3.键盘鼠标线材寿命：键盘鼠标所用线材经±60°弯折不低于3000次，功能、外观完好；</w:t>
                  </w:r>
                </w:p>
                <w:p>
                  <w:pPr>
                    <w:adjustRightInd/>
                    <w:rPr>
                      <w:rFonts w:hint="eastAsia" w:ascii="宋体" w:hAnsi="宋体" w:cs="宋体"/>
                      <w:sz w:val="24"/>
                    </w:rPr>
                  </w:pPr>
                  <w:r>
                    <w:rPr>
                      <w:rFonts w:hint="eastAsia" w:ascii="宋体" w:hAnsi="宋体" w:cs="宋体"/>
                      <w:sz w:val="24"/>
                    </w:rPr>
                    <w:t>4.风扇寿命：≥4万小时；</w:t>
                  </w:r>
                </w:p>
                <w:p>
                  <w:pPr>
                    <w:adjustRightInd/>
                    <w:rPr>
                      <w:rFonts w:hint="eastAsia" w:ascii="宋体" w:hAnsi="宋体" w:cs="宋体"/>
                      <w:sz w:val="24"/>
                    </w:rPr>
                  </w:pPr>
                  <w:r>
                    <w:rPr>
                      <w:rFonts w:hint="eastAsia" w:ascii="宋体" w:hAnsi="宋体" w:cs="宋体"/>
                      <w:sz w:val="24"/>
                    </w:rPr>
                    <w:t>▲二十七、整机可靠性要求</w:t>
                  </w:r>
                </w:p>
                <w:p>
                  <w:pPr>
                    <w:adjustRightInd/>
                    <w:rPr>
                      <w:rFonts w:hint="eastAsia" w:ascii="宋体" w:hAnsi="宋体" w:cs="宋体"/>
                      <w:sz w:val="24"/>
                    </w:rPr>
                  </w:pPr>
                  <w:r>
                    <w:rPr>
                      <w:rFonts w:hint="eastAsia" w:ascii="宋体" w:hAnsi="宋体" w:cs="宋体"/>
                      <w:sz w:val="24"/>
                    </w:rPr>
                    <w:t>1.电磁兼容性要求的抗扰度：符合GB/T9254.2的规定；</w:t>
                  </w:r>
                </w:p>
                <w:p>
                  <w:pPr>
                    <w:adjustRightInd/>
                    <w:rPr>
                      <w:rFonts w:hint="eastAsia" w:ascii="宋体" w:hAnsi="宋体" w:cs="宋体"/>
                      <w:sz w:val="24"/>
                    </w:rPr>
                  </w:pPr>
                  <w:r>
                    <w:rPr>
                      <w:rFonts w:hint="eastAsia" w:ascii="宋体" w:hAnsi="宋体" w:cs="宋体"/>
                      <w:sz w:val="24"/>
                    </w:rPr>
                    <w:t>2.环境条件要求的气候环境适应性：符合GB/T 9813.1中规定；</w:t>
                  </w:r>
                </w:p>
                <w:p>
                  <w:pPr>
                    <w:adjustRightInd/>
                    <w:rPr>
                      <w:rFonts w:hint="eastAsia" w:ascii="宋体" w:hAnsi="宋体" w:cs="宋体"/>
                      <w:sz w:val="24"/>
                    </w:rPr>
                  </w:pPr>
                  <w:r>
                    <w:rPr>
                      <w:rFonts w:hint="eastAsia" w:ascii="宋体" w:hAnsi="宋体" w:cs="宋体"/>
                      <w:sz w:val="24"/>
                    </w:rPr>
                    <w:t>3.环境条件要求的振动适应性：符合GB/T9813.1中规定；</w:t>
                  </w:r>
                </w:p>
                <w:p>
                  <w:pPr>
                    <w:adjustRightInd/>
                    <w:rPr>
                      <w:rFonts w:hint="eastAsia" w:ascii="宋体" w:hAnsi="宋体" w:cs="宋体"/>
                      <w:sz w:val="24"/>
                    </w:rPr>
                  </w:pPr>
                  <w:r>
                    <w:rPr>
                      <w:rFonts w:hint="eastAsia" w:ascii="宋体" w:hAnsi="宋体" w:cs="宋体"/>
                      <w:sz w:val="24"/>
                    </w:rPr>
                    <w:t>4.环境条件要求的冲击适应性：符合GB/T9813.1中规定；</w:t>
                  </w:r>
                </w:p>
                <w:p>
                  <w:pPr>
                    <w:adjustRightInd/>
                    <w:rPr>
                      <w:rFonts w:hint="eastAsia" w:ascii="宋体" w:hAnsi="宋体" w:cs="宋体"/>
                      <w:sz w:val="24"/>
                    </w:rPr>
                  </w:pPr>
                  <w:r>
                    <w:rPr>
                      <w:rFonts w:hint="eastAsia" w:ascii="宋体" w:hAnsi="宋体" w:cs="宋体"/>
                      <w:sz w:val="24"/>
                    </w:rPr>
                    <w:t>5.环境条件要求的碰撞适应性：符合GB/T9813.1中规定；</w:t>
                  </w:r>
                </w:p>
                <w:p>
                  <w:pPr>
                    <w:adjustRightInd/>
                    <w:rPr>
                      <w:rFonts w:hint="eastAsia" w:ascii="宋体" w:hAnsi="宋体" w:cs="宋体"/>
                      <w:sz w:val="24"/>
                    </w:rPr>
                  </w:pPr>
                  <w:r>
                    <w:rPr>
                      <w:rFonts w:hint="eastAsia" w:ascii="宋体" w:hAnsi="宋体" w:cs="宋体"/>
                      <w:sz w:val="24"/>
                    </w:rPr>
                    <w:t>6.环境条件要求的运输包装件跌落适应性：符合GB/T9813.1中规定；</w:t>
                  </w:r>
                </w:p>
                <w:p>
                  <w:pPr>
                    <w:adjustRightInd/>
                    <w:rPr>
                      <w:rFonts w:hint="eastAsia" w:ascii="宋体" w:hAnsi="宋体" w:cs="宋体"/>
                      <w:sz w:val="24"/>
                    </w:rPr>
                  </w:pPr>
                  <w:r>
                    <w:rPr>
                      <w:rFonts w:hint="eastAsia" w:ascii="宋体" w:hAnsi="宋体" w:cs="宋体"/>
                      <w:sz w:val="24"/>
                    </w:rPr>
                    <w:t>7.MTBF 测试：MTBF(m1)≥3万小时；</w:t>
                  </w:r>
                </w:p>
                <w:p>
                  <w:pPr>
                    <w:adjustRightInd/>
                    <w:rPr>
                      <w:rFonts w:hint="eastAsia" w:ascii="宋体" w:hAnsi="宋体" w:cs="宋体"/>
                      <w:sz w:val="24"/>
                    </w:rPr>
                  </w:pPr>
                  <w:r>
                    <w:rPr>
                      <w:rFonts w:hint="eastAsia" w:ascii="宋体" w:hAnsi="宋体" w:cs="宋体"/>
                      <w:sz w:val="24"/>
                    </w:rPr>
                    <w:t>▲二十八、兼容要求</w:t>
                  </w:r>
                </w:p>
                <w:p>
                  <w:pPr>
                    <w:adjustRightInd/>
                    <w:rPr>
                      <w:rFonts w:hint="eastAsia" w:ascii="宋体" w:hAnsi="宋体" w:cs="宋体"/>
                      <w:sz w:val="24"/>
                    </w:rPr>
                  </w:pPr>
                  <w:r>
                    <w:rPr>
                      <w:rFonts w:hint="eastAsia" w:ascii="宋体" w:hAnsi="宋体" w:cs="宋体"/>
                      <w:sz w:val="24"/>
                    </w:rPr>
                    <w:t>1.常用软件兼容：支持流式软件、版式软件、浏览器、邮件采购人端、解压软件、多媒体、图形图像处理等常用软件；</w:t>
                  </w:r>
                </w:p>
                <w:p>
                  <w:pPr>
                    <w:adjustRightInd/>
                    <w:rPr>
                      <w:rFonts w:hint="eastAsia" w:ascii="宋体" w:hAnsi="宋体" w:cs="宋体"/>
                      <w:sz w:val="24"/>
                    </w:rPr>
                  </w:pPr>
                  <w:r>
                    <w:rPr>
                      <w:rFonts w:hint="eastAsia" w:ascii="宋体" w:hAnsi="宋体" w:cs="宋体"/>
                      <w:sz w:val="24"/>
                    </w:rPr>
                    <w:t>2.数据库兼容：兼容3个及以上厂商的数据库产品；</w:t>
                  </w:r>
                </w:p>
                <w:p>
                  <w:pPr>
                    <w:adjustRightInd/>
                    <w:rPr>
                      <w:rFonts w:hint="eastAsia" w:ascii="宋体" w:hAnsi="宋体" w:cs="宋体"/>
                      <w:sz w:val="24"/>
                    </w:rPr>
                  </w:pPr>
                  <w:r>
                    <w:rPr>
                      <w:rFonts w:hint="eastAsia" w:ascii="宋体" w:hAnsi="宋体" w:cs="宋体"/>
                      <w:sz w:val="24"/>
                    </w:rPr>
                    <w:t>3.中间件兼容：兼容3个及以上厂商中间件产品；</w:t>
                  </w:r>
                </w:p>
                <w:p>
                  <w:pPr>
                    <w:adjustRightInd/>
                    <w:rPr>
                      <w:rFonts w:hint="eastAsia" w:ascii="宋体" w:hAnsi="宋体" w:cs="宋体"/>
                      <w:sz w:val="24"/>
                    </w:rPr>
                  </w:pPr>
                  <w:r>
                    <w:rPr>
                      <w:rFonts w:hint="eastAsia" w:ascii="宋体" w:hAnsi="宋体" w:cs="宋体"/>
                      <w:sz w:val="24"/>
                    </w:rPr>
                    <w:t>4.平台软件兼容：兼容3个及以上厂商云计算及大数据平台；</w:t>
                  </w:r>
                </w:p>
                <w:p>
                  <w:pPr>
                    <w:adjustRightInd/>
                    <w:rPr>
                      <w:rFonts w:hint="eastAsia" w:ascii="宋体" w:hAnsi="宋体" w:cs="宋体"/>
                      <w:sz w:val="24"/>
                    </w:rPr>
                  </w:pPr>
                  <w:r>
                    <w:rPr>
                      <w:rFonts w:hint="eastAsia" w:ascii="宋体" w:hAnsi="宋体" w:cs="宋体"/>
                      <w:sz w:val="24"/>
                    </w:rPr>
                    <w:t>▲二十九、包装及运输要求</w:t>
                  </w:r>
                </w:p>
                <w:p>
                  <w:pPr>
                    <w:adjustRightInd/>
                    <w:rPr>
                      <w:rFonts w:hint="eastAsia" w:ascii="宋体" w:hAnsi="宋体" w:cs="宋体"/>
                      <w:sz w:val="24"/>
                    </w:rPr>
                  </w:pPr>
                  <w:r>
                    <w:rPr>
                      <w:rFonts w:hint="eastAsia" w:ascii="宋体" w:hAnsi="宋体" w:cs="宋体"/>
                      <w:sz w:val="24"/>
                    </w:rPr>
                    <w:t>1.标志、包装、运输和贮存：符合GB/T9813.1和商品包装政府采购需求标准的相关规定；</w:t>
                  </w:r>
                </w:p>
                <w:p>
                  <w:pPr>
                    <w:adjustRightInd/>
                    <w:rPr>
                      <w:rFonts w:hint="eastAsia" w:ascii="宋体" w:hAnsi="宋体" w:cs="宋体"/>
                      <w:sz w:val="24"/>
                    </w:rPr>
                  </w:pPr>
                  <w:r>
                    <w:rPr>
                      <w:rFonts w:hint="eastAsia" w:ascii="宋体" w:hAnsi="宋体" w:cs="宋体"/>
                      <w:sz w:val="24"/>
                    </w:rPr>
                    <w:t>▲三十、服务要求</w:t>
                  </w:r>
                </w:p>
                <w:p>
                  <w:pPr>
                    <w:adjustRightInd/>
                    <w:rPr>
                      <w:rFonts w:hint="eastAsia" w:ascii="宋体" w:hAnsi="宋体" w:cs="宋体"/>
                      <w:sz w:val="24"/>
                    </w:rPr>
                  </w:pPr>
                  <w:r>
                    <w:rPr>
                      <w:rFonts w:hint="eastAsia" w:ascii="宋体" w:hAnsi="宋体" w:cs="宋体"/>
                      <w:sz w:val="24"/>
                    </w:rPr>
                    <w:t>1.配置检查工具：供应商提供自检测试工具；</w:t>
                  </w:r>
                </w:p>
                <w:p>
                  <w:pPr>
                    <w:adjustRightInd/>
                    <w:rPr>
                      <w:rFonts w:hint="eastAsia" w:ascii="宋体" w:hAnsi="宋体" w:cs="宋体"/>
                      <w:sz w:val="24"/>
                    </w:rPr>
                  </w:pPr>
                  <w:r>
                    <w:rPr>
                      <w:rFonts w:hint="eastAsia" w:ascii="宋体" w:hAnsi="宋体" w:cs="宋体"/>
                      <w:sz w:val="24"/>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adjustRightInd/>
                    <w:rPr>
                      <w:rFonts w:hint="eastAsia" w:ascii="宋体" w:hAnsi="宋体" w:cs="宋体"/>
                      <w:sz w:val="24"/>
                    </w:rPr>
                  </w:pPr>
                  <w:r>
                    <w:rPr>
                      <w:rFonts w:hint="eastAsia" w:ascii="宋体" w:hAnsi="宋体" w:cs="宋体"/>
                      <w:sz w:val="24"/>
                    </w:rPr>
                    <w:t>3.服务周期：a)设备停产后应继续提供质量保障服务（含备品备件），服务终止时间与最后一批设备交付时间间隔不低于6年；b)产品停止服务时间应提前1年告知；c)应明确产品发布日期；</w:t>
                  </w:r>
                </w:p>
                <w:p>
                  <w:pPr>
                    <w:adjustRightInd/>
                    <w:rPr>
                      <w:rFonts w:hint="eastAsia" w:ascii="宋体" w:hAnsi="宋体" w:cs="宋体"/>
                      <w:sz w:val="24"/>
                    </w:rPr>
                  </w:pPr>
                  <w:r>
                    <w:rPr>
                      <w:rFonts w:hint="eastAsia" w:ascii="宋体" w:hAnsi="宋体" w:cs="宋体"/>
                      <w:sz w:val="24"/>
                    </w:rPr>
                    <w:t xml:space="preserve">4.预装操作系统：预装符合桌面操作系统政府采购需求标准的正版操作系统； </w:t>
                  </w:r>
                </w:p>
                <w:p>
                  <w:pPr>
                    <w:adjustRightInd/>
                    <w:rPr>
                      <w:rFonts w:hint="eastAsia" w:ascii="宋体" w:hAnsi="宋体" w:cs="宋体"/>
                      <w:sz w:val="24"/>
                    </w:rPr>
                  </w:pPr>
                  <w:r>
                    <w:rPr>
                      <w:rFonts w:hint="eastAsia" w:ascii="宋体" w:hAnsi="宋体" w:cs="宋体"/>
                      <w:sz w:val="24"/>
                    </w:rPr>
                    <w:t>5.培训服务：供应商提供培训材料、产品手册、培训视频等培训相关内容；</w:t>
                  </w:r>
                </w:p>
                <w:p>
                  <w:pPr>
                    <w:adjustRightInd/>
                    <w:rPr>
                      <w:rFonts w:hint="eastAsia" w:ascii="宋体" w:hAnsi="宋体" w:cs="宋体"/>
                      <w:sz w:val="24"/>
                    </w:rPr>
                  </w:pPr>
                  <w:r>
                    <w:rPr>
                      <w:rFonts w:hint="eastAsia" w:ascii="宋体" w:hAnsi="宋体" w:cs="宋体"/>
                      <w:sz w:val="24"/>
                    </w:rPr>
                    <w:t>6.典型问题解决手册：供应商提供典型问题解决说明文档或视频；</w:t>
                  </w:r>
                </w:p>
                <w:p>
                  <w:pPr>
                    <w:adjustRightInd/>
                    <w:rPr>
                      <w:rFonts w:hint="eastAsia" w:ascii="宋体" w:hAnsi="宋体" w:cs="宋体"/>
                      <w:sz w:val="24"/>
                    </w:rPr>
                  </w:pPr>
                  <w:r>
                    <w:rPr>
                      <w:rFonts w:hint="eastAsia" w:ascii="宋体" w:hAnsi="宋体" w:cs="宋体"/>
                      <w:sz w:val="24"/>
                    </w:rPr>
                    <w:t>7.厂家升级软件与扩容服务：供应商提供上门升级部件/软件与扩容的增值服务；</w:t>
                  </w:r>
                </w:p>
                <w:p>
                  <w:pPr>
                    <w:adjustRightInd/>
                    <w:rPr>
                      <w:rFonts w:hint="eastAsia" w:ascii="宋体" w:hAnsi="宋体" w:cs="宋体"/>
                      <w:sz w:val="24"/>
                    </w:rPr>
                  </w:pPr>
                  <w:r>
                    <w:rPr>
                      <w:rFonts w:hint="eastAsia" w:ascii="宋体" w:hAnsi="宋体" w:cs="宋体"/>
                      <w:sz w:val="24"/>
                    </w:rPr>
                    <w:t>8.整机质量服务要求：免费服务周期（含换件和维修）应不小于3年；</w:t>
                  </w:r>
                </w:p>
                <w:p>
                  <w:pPr>
                    <w:adjustRightInd/>
                    <w:rPr>
                      <w:rFonts w:hint="eastAsia" w:ascii="宋体" w:hAnsi="宋体" w:cs="宋体"/>
                      <w:sz w:val="24"/>
                    </w:rPr>
                  </w:pPr>
                  <w:r>
                    <w:rPr>
                      <w:rFonts w:hint="eastAsia" w:ascii="宋体" w:hAnsi="宋体" w:cs="宋体"/>
                      <w:sz w:val="24"/>
                    </w:rPr>
                    <w:t>9.合格证书要求：供应商提供产品合格证；</w:t>
                  </w:r>
                </w:p>
                <w:p>
                  <w:pPr>
                    <w:adjustRightInd/>
                    <w:rPr>
                      <w:rFonts w:hint="eastAsia" w:ascii="宋体" w:hAnsi="宋体" w:cs="宋体"/>
                      <w:sz w:val="24"/>
                    </w:rPr>
                  </w:pPr>
                  <w:r>
                    <w:rPr>
                      <w:rFonts w:hint="eastAsia" w:ascii="宋体" w:hAnsi="宋体" w:cs="宋体"/>
                      <w:sz w:val="24"/>
                    </w:rPr>
                    <w:t>10.开箱组装/使用指导要求：供应商提供开箱组装/使用指导；</w:t>
                  </w:r>
                </w:p>
                <w:p>
                  <w:pPr>
                    <w:adjustRightInd/>
                    <w:rPr>
                      <w:rFonts w:hint="eastAsia" w:ascii="宋体" w:hAnsi="宋体" w:cs="宋体"/>
                      <w:sz w:val="24"/>
                    </w:rPr>
                  </w:pPr>
                  <w:r>
                    <w:rPr>
                      <w:rFonts w:hint="eastAsia" w:ascii="宋体" w:hAnsi="宋体" w:cs="宋体"/>
                      <w:sz w:val="24"/>
                    </w:rPr>
                    <w:t>11.驱动下载服务要求：供应商提供驱动光盘或下载方式；</w:t>
                  </w:r>
                </w:p>
                <w:p>
                  <w:pPr>
                    <w:adjustRightInd/>
                    <w:rPr>
                      <w:rFonts w:hint="eastAsia" w:ascii="宋体" w:hAnsi="宋体" w:cs="宋体"/>
                      <w:sz w:val="24"/>
                    </w:rPr>
                  </w:pPr>
                  <w:r>
                    <w:rPr>
                      <w:rFonts w:hint="eastAsia" w:ascii="宋体" w:hAnsi="宋体" w:cs="宋体"/>
                      <w:sz w:val="24"/>
                    </w:rPr>
                    <w:t>12.兼容适配软件下载服务要求：供应商提供兼容适配软件下载渠道（光盘、网站）；</w:t>
                  </w:r>
                </w:p>
                <w:p>
                  <w:pPr>
                    <w:adjustRightInd/>
                    <w:rPr>
                      <w:rFonts w:hint="eastAsia" w:ascii="宋体" w:hAnsi="宋体" w:cs="宋体"/>
                      <w:sz w:val="24"/>
                    </w:rPr>
                  </w:pPr>
                  <w:r>
                    <w:rPr>
                      <w:rFonts w:hint="eastAsia" w:ascii="宋体" w:hAnsi="宋体" w:cs="宋体"/>
                      <w:sz w:val="24"/>
                    </w:rPr>
                    <w:t>▲三十一、供应链合规性</w:t>
                  </w:r>
                </w:p>
                <w:p>
                  <w:pPr>
                    <w:adjustRightInd/>
                    <w:rPr>
                      <w:rFonts w:hint="eastAsia" w:ascii="宋体" w:hAnsi="宋体" w:cs="宋体"/>
                      <w:sz w:val="24"/>
                    </w:rPr>
                  </w:pPr>
                  <w:r>
                    <w:rPr>
                      <w:rFonts w:hint="eastAsia" w:ascii="宋体" w:hAnsi="宋体" w:cs="宋体"/>
                      <w:sz w:val="24"/>
                    </w:rPr>
                    <w:t>1.产品部件保障：供应商保障产品主要部件，提供6年的备件服务能力（自购买之日起），或提供可兼容原设备的升级换代产品；</w:t>
                  </w:r>
                </w:p>
                <w:p>
                  <w:pPr>
                    <w:adjustRightInd/>
                    <w:rPr>
                      <w:rFonts w:hint="eastAsia" w:ascii="宋体" w:hAnsi="宋体" w:cs="宋体"/>
                      <w:sz w:val="24"/>
                    </w:rPr>
                  </w:pPr>
                  <w:r>
                    <w:rPr>
                      <w:rFonts w:hint="eastAsia" w:ascii="宋体" w:hAnsi="宋体" w:cs="宋体"/>
                      <w:sz w:val="24"/>
                    </w:rPr>
                    <w:t>▲三十二、供应链质量</w:t>
                  </w:r>
                </w:p>
                <w:p>
                  <w:pPr>
                    <w:adjustRightInd/>
                    <w:rPr>
                      <w:rFonts w:hint="eastAsia" w:ascii="宋体" w:hAnsi="宋体" w:cs="宋体"/>
                      <w:sz w:val="24"/>
                    </w:rPr>
                  </w:pPr>
                  <w:r>
                    <w:rPr>
                      <w:rFonts w:hint="eastAsia" w:ascii="宋体" w:hAnsi="宋体" w:cs="宋体"/>
                      <w:sz w:val="24"/>
                    </w:rPr>
                    <w:t>1.抗干扰性：当产品部件出现供应风险时，供应商应通知采购人并提供风险应对方案确保产品的服务保障；</w:t>
                  </w:r>
                </w:p>
                <w:p>
                  <w:pPr>
                    <w:adjustRightInd/>
                    <w:rPr>
                      <w:rFonts w:hint="eastAsia" w:ascii="宋体" w:hAnsi="宋体" w:cs="宋体"/>
                      <w:sz w:val="24"/>
                    </w:rPr>
                  </w:pPr>
                  <w:r>
                    <w:rPr>
                      <w:rFonts w:hint="eastAsia" w:ascii="宋体" w:hAnsi="宋体" w:cs="宋体"/>
                      <w:sz w:val="24"/>
                    </w:rPr>
                    <w:t>2.供应能力证明：确保产品的部件在产品服务周期内稳定供货；</w:t>
                  </w:r>
                </w:p>
                <w:p>
                  <w:pPr>
                    <w:adjustRightInd/>
                    <w:rPr>
                      <w:rFonts w:hint="eastAsia" w:ascii="宋体" w:hAnsi="宋体" w:cs="宋体"/>
                      <w:sz w:val="24"/>
                    </w:rPr>
                  </w:pPr>
                  <w:r>
                    <w:rPr>
                      <w:rFonts w:hint="eastAsia" w:ascii="宋体" w:hAnsi="宋体" w:cs="宋体"/>
                      <w:sz w:val="24"/>
                    </w:rPr>
                    <w:t>三十三、软件要求</w:t>
                  </w:r>
                </w:p>
                <w:p>
                  <w:pPr>
                    <w:adjustRightInd/>
                    <w:rPr>
                      <w:rFonts w:hint="eastAsia" w:ascii="宋体" w:hAnsi="宋体" w:cs="宋体"/>
                      <w:sz w:val="24"/>
                      <w:highlight w:val="none"/>
                    </w:rPr>
                  </w:pPr>
                  <w:r>
                    <w:rPr>
                      <w:rFonts w:hint="eastAsia" w:ascii="宋体" w:hAnsi="宋体" w:cs="宋体"/>
                      <w:sz w:val="24"/>
                      <w:highlight w:val="none"/>
                    </w:rPr>
                    <w:t>★（一）具备云电脑及AI秘书功能</w:t>
                  </w:r>
                </w:p>
                <w:p>
                  <w:pPr>
                    <w:adjustRightInd/>
                    <w:rPr>
                      <w:rFonts w:hint="eastAsia" w:ascii="宋体" w:hAnsi="宋体" w:cs="宋体"/>
                      <w:sz w:val="24"/>
                      <w:highlight w:val="none"/>
                    </w:rPr>
                  </w:pPr>
                  <w:r>
                    <w:rPr>
                      <w:rFonts w:hint="eastAsia" w:ascii="宋体" w:hAnsi="宋体" w:cs="宋体"/>
                      <w:sz w:val="24"/>
                      <w:highlight w:val="none"/>
                    </w:rPr>
                    <w:t>其中云电脑要求内存≥4C,CPU≥8G。AI秘书要求集成≥4个AI模型如deepseek、通义千问等。针对教师可提供课堂互动建议、课件大纲及智能组卷等功能。</w:t>
                  </w:r>
                </w:p>
                <w:p>
                  <w:pPr>
                    <w:adjustRightInd/>
                    <w:rPr>
                      <w:rFonts w:hint="eastAsia" w:ascii="宋体" w:hAnsi="宋体" w:cs="宋体"/>
                      <w:sz w:val="24"/>
                    </w:rPr>
                  </w:pPr>
                  <w:r>
                    <w:rPr>
                      <w:rFonts w:hint="eastAsia" w:ascii="宋体" w:hAnsi="宋体" w:cs="宋体"/>
                      <w:sz w:val="24"/>
                    </w:rPr>
                    <w:t>（二）教师备授课办公软件</w:t>
                  </w:r>
                </w:p>
                <w:p>
                  <w:pPr>
                    <w:adjustRightInd/>
                    <w:rPr>
                      <w:rFonts w:hint="eastAsia" w:ascii="宋体" w:hAnsi="宋体" w:cs="宋体"/>
                      <w:sz w:val="24"/>
                    </w:rPr>
                  </w:pPr>
                  <w:r>
                    <w:rPr>
                      <w:rFonts w:hint="eastAsia" w:ascii="宋体" w:hAnsi="宋体" w:cs="宋体"/>
                      <w:sz w:val="24"/>
                    </w:rPr>
                    <w:t>1.登录方式多样性：支持帐号/密码和手机微信扫码两种登录方式。用户首次登录时绑定微信ID与帐号的对应关系，绑定后可通过微信扫码登录，无需再次输入帐号/密码。</w:t>
                  </w:r>
                </w:p>
                <w:p>
                  <w:pPr>
                    <w:adjustRightInd/>
                    <w:rPr>
                      <w:rFonts w:hint="eastAsia" w:ascii="宋体" w:hAnsi="宋体" w:cs="宋体"/>
                      <w:sz w:val="24"/>
                    </w:rPr>
                  </w:pPr>
                  <w:r>
                    <w:rPr>
                      <w:rFonts w:hint="eastAsia" w:ascii="宋体" w:hAnsi="宋体" w:cs="宋体"/>
                      <w:sz w:val="24"/>
                    </w:rPr>
                    <w:t>2.终端关联设备：设备通过微信扫码可绑定学校的设备管理系统，能设置当前设备类型与归属用户。</w:t>
                  </w:r>
                </w:p>
                <w:p>
                  <w:pPr>
                    <w:adjustRightInd/>
                    <w:rPr>
                      <w:rFonts w:hint="eastAsia" w:ascii="宋体" w:hAnsi="宋体" w:cs="宋体"/>
                      <w:sz w:val="24"/>
                    </w:rPr>
                  </w:pPr>
                  <w:r>
                    <w:rPr>
                      <w:rFonts w:hint="eastAsia" w:ascii="宋体" w:hAnsi="宋体" w:cs="宋体"/>
                      <w:sz w:val="24"/>
                    </w:rPr>
                    <w:t>3.设备详情：能查看当前设备的硬件信息和和系统信息。可查看的硬件信息包CPU、主板、显卡、硬盘、显示器、网卡、声卡。可查看的系统信息包括操作系统、系统激活状态、连接ID、SN号、MAC地址、内外网IP。</w:t>
                  </w:r>
                </w:p>
                <w:p>
                  <w:pPr>
                    <w:adjustRightInd/>
                    <w:rPr>
                      <w:rFonts w:hint="eastAsia" w:ascii="宋体" w:hAnsi="宋体" w:cs="宋体"/>
                      <w:sz w:val="24"/>
                    </w:rPr>
                  </w:pPr>
                  <w:r>
                    <w:rPr>
                      <w:rFonts w:hint="eastAsia" w:ascii="宋体" w:hAnsi="宋体" w:cs="宋体"/>
                      <w:sz w:val="24"/>
                    </w:rPr>
                    <w:t>4.设备运行状态：能查看当前设备的内存、CPU、硬盘、系统盘、网速的实时占用状态信息。</w:t>
                  </w:r>
                </w:p>
                <w:p>
                  <w:pPr>
                    <w:adjustRightInd/>
                    <w:rPr>
                      <w:rFonts w:hint="eastAsia" w:ascii="宋体" w:hAnsi="宋体" w:cs="宋体"/>
                      <w:sz w:val="24"/>
                    </w:rPr>
                  </w:pPr>
                  <w:r>
                    <w:rPr>
                      <w:rFonts w:hint="eastAsia" w:ascii="宋体" w:hAnsi="宋体" w:cs="宋体"/>
                      <w:kern w:val="0"/>
                      <w:sz w:val="24"/>
                    </w:rPr>
                    <w:t>★</w:t>
                  </w:r>
                  <w:r>
                    <w:rPr>
                      <w:rFonts w:hint="eastAsia" w:ascii="宋体" w:hAnsi="宋体" w:cs="宋体"/>
                      <w:sz w:val="24"/>
                    </w:rPr>
                    <w:t>5.整体描述：发送端软件发送文件至接收端软件。</w:t>
                  </w:r>
                </w:p>
                <w:p>
                  <w:pPr>
                    <w:adjustRightInd/>
                    <w:rPr>
                      <w:rFonts w:hint="eastAsia" w:ascii="宋体" w:hAnsi="宋体" w:cs="宋体"/>
                      <w:sz w:val="24"/>
                    </w:rPr>
                  </w:pPr>
                  <w:r>
                    <w:rPr>
                      <w:rFonts w:hint="eastAsia" w:ascii="宋体" w:hAnsi="宋体" w:cs="宋体"/>
                      <w:sz w:val="24"/>
                    </w:rPr>
                    <w:t>6.文件条件：支持一次发送多个文件；可发送图片、视频、文档等类型的文件。</w:t>
                  </w:r>
                </w:p>
                <w:p>
                  <w:pPr>
                    <w:adjustRightInd/>
                    <w:rPr>
                      <w:rFonts w:hint="eastAsia" w:ascii="宋体" w:hAnsi="宋体" w:cs="宋体"/>
                      <w:sz w:val="24"/>
                    </w:rPr>
                  </w:pPr>
                  <w:r>
                    <w:rPr>
                      <w:rFonts w:hint="eastAsia" w:ascii="宋体" w:hAnsi="宋体" w:cs="宋体"/>
                      <w:sz w:val="24"/>
                    </w:rPr>
                    <w:t>7.文件发送：可以从不同的文件夹拖动或选择文件至发送区；能查看待发送的文件列表，并可移除选择错误的文件。</w:t>
                  </w:r>
                </w:p>
                <w:p>
                  <w:pPr>
                    <w:adjustRightInd/>
                    <w:rPr>
                      <w:rFonts w:hint="eastAsia" w:ascii="宋体" w:hAnsi="宋体" w:cs="宋体"/>
                      <w:sz w:val="24"/>
                    </w:rPr>
                  </w:pPr>
                  <w:r>
                    <w:rPr>
                      <w:rFonts w:hint="eastAsia" w:ascii="宋体" w:hAnsi="宋体" w:cs="宋体"/>
                      <w:sz w:val="24"/>
                    </w:rPr>
                    <w:t>8.快捷发送：支持拖动文件至发送区进行文件发送。</w:t>
                  </w:r>
                </w:p>
                <w:p>
                  <w:pPr>
                    <w:adjustRightInd/>
                    <w:rPr>
                      <w:rFonts w:hint="eastAsia" w:ascii="宋体" w:hAnsi="宋体" w:cs="宋体"/>
                      <w:sz w:val="24"/>
                    </w:rPr>
                  </w:pPr>
                  <w:r>
                    <w:rPr>
                      <w:rFonts w:hint="eastAsia" w:ascii="宋体" w:hAnsi="宋体" w:cs="宋体"/>
                      <w:kern w:val="0"/>
                      <w:sz w:val="24"/>
                    </w:rPr>
                    <w:t>★</w:t>
                  </w:r>
                  <w:r>
                    <w:rPr>
                      <w:rFonts w:hint="eastAsia" w:ascii="宋体" w:hAnsi="宋体" w:cs="宋体"/>
                      <w:sz w:val="24"/>
                    </w:rPr>
                    <w:t>9.离线暂存：支持一次发送文件给多个接收端设备。接收端离线时文件能够暂存在云端，接收端设备在线后可进行自动下载。</w:t>
                  </w:r>
                </w:p>
                <w:p>
                  <w:pPr>
                    <w:adjustRightInd/>
                    <w:rPr>
                      <w:rFonts w:hint="eastAsia" w:ascii="宋体" w:hAnsi="宋体" w:cs="宋体"/>
                      <w:sz w:val="24"/>
                    </w:rPr>
                  </w:pPr>
                  <w:r>
                    <w:rPr>
                      <w:rFonts w:hint="eastAsia" w:ascii="宋体" w:hAnsi="宋体" w:cs="宋体"/>
                      <w:sz w:val="24"/>
                    </w:rPr>
                    <w:t>10.其他：支持查看发送进度；</w:t>
                  </w:r>
                </w:p>
                <w:p>
                  <w:pPr>
                    <w:adjustRightInd/>
                    <w:rPr>
                      <w:rFonts w:hint="eastAsia" w:ascii="宋体" w:hAnsi="宋体" w:eastAsia="宋体" w:cs="宋体"/>
                      <w:sz w:val="24"/>
                      <w:lang w:eastAsia="zh-CN"/>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11.个性接收夹：在接收端设备上能够创建自己独立的文件接收夹。可个性化定义文件的名称与图标颜色；接收到新文件时有提示新文件；</w:t>
                  </w:r>
                </w:p>
                <w:p>
                  <w:pPr>
                    <w:adjustRightInd/>
                    <w:rPr>
                      <w:rFonts w:hint="eastAsia" w:ascii="宋体" w:hAnsi="宋体" w:cs="宋体"/>
                      <w:sz w:val="24"/>
                    </w:rPr>
                  </w:pPr>
                  <w:r>
                    <w:rPr>
                      <w:rFonts w:hint="eastAsia" w:ascii="宋体" w:hAnsi="宋体" w:cs="宋体"/>
                      <w:sz w:val="24"/>
                    </w:rPr>
                    <w:t>12.文件列表：支接收端设备可查看当前已接收的文件列表，包括文件名称、接收时间、接收状态信息；可直接打开已下载的文件，能手动下载未下载或下载失败的文件；支持查看单个文件下载进度与总进度。</w:t>
                  </w:r>
                </w:p>
                <w:p>
                  <w:pPr>
                    <w:adjustRightInd/>
                    <w:rPr>
                      <w:rFonts w:hint="eastAsia" w:ascii="宋体" w:hAnsi="宋体" w:cs="宋体"/>
                      <w:sz w:val="24"/>
                    </w:rPr>
                  </w:pPr>
                  <w:r>
                    <w:rPr>
                      <w:rFonts w:hint="eastAsia" w:ascii="宋体" w:hAnsi="宋体" w:cs="宋体"/>
                      <w:sz w:val="24"/>
                    </w:rPr>
                    <w:t>13.自动下载：支持接收端设备在线状态下可自动接收发送端设备发送的文件。</w:t>
                  </w:r>
                </w:p>
                <w:p>
                  <w:pPr>
                    <w:adjustRightInd/>
                    <w:rPr>
                      <w:rFonts w:hint="eastAsia" w:ascii="宋体" w:hAnsi="宋体" w:cs="宋体"/>
                      <w:sz w:val="24"/>
                    </w:rPr>
                  </w:pPr>
                  <w:r>
                    <w:rPr>
                      <w:rFonts w:hint="eastAsia" w:ascii="宋体" w:hAnsi="宋体" w:cs="宋体"/>
                      <w:kern w:val="0"/>
                      <w:sz w:val="24"/>
                    </w:rPr>
                    <w:t>★</w:t>
                  </w:r>
                  <w:r>
                    <w:rPr>
                      <w:rFonts w:hint="eastAsia" w:ascii="宋体" w:hAnsi="宋体" w:cs="宋体"/>
                      <w:sz w:val="24"/>
                    </w:rPr>
                    <w:t>14.自动清理：支持自动清理超过14天的文件。</w:t>
                  </w:r>
                </w:p>
                <w:p>
                  <w:pPr>
                    <w:adjustRightInd/>
                    <w:rPr>
                      <w:rFonts w:hint="eastAsia" w:ascii="宋体" w:hAnsi="宋体" w:cs="宋体"/>
                      <w:sz w:val="24"/>
                    </w:rPr>
                  </w:pPr>
                  <w:r>
                    <w:rPr>
                      <w:rFonts w:hint="eastAsia" w:ascii="宋体" w:hAnsi="宋体" w:cs="宋体"/>
                      <w:sz w:val="24"/>
                    </w:rPr>
                    <w:t>15.状态查看：支持展示电脑实时的数据信息，包括CPU、内存、系统盘、总存储、实时网速数据信息，离线的设备展示最后的数据信息。</w:t>
                  </w:r>
                </w:p>
                <w:p>
                  <w:pPr>
                    <w:adjustRightInd/>
                    <w:rPr>
                      <w:rFonts w:hint="eastAsia" w:ascii="宋体" w:hAnsi="宋体" w:cs="宋体"/>
                      <w:sz w:val="24"/>
                    </w:rPr>
                  </w:pPr>
                  <w:r>
                    <w:rPr>
                      <w:rFonts w:hint="eastAsia" w:ascii="宋体" w:hAnsi="宋体" w:cs="宋体"/>
                      <w:sz w:val="24"/>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pPr>
                    <w:adjustRightInd/>
                    <w:rPr>
                      <w:rFonts w:hint="eastAsia" w:ascii="宋体" w:hAnsi="宋体" w:cs="宋体"/>
                      <w:sz w:val="24"/>
                    </w:rPr>
                  </w:pPr>
                  <w:r>
                    <w:rPr>
                      <w:rFonts w:hint="eastAsia" w:ascii="宋体" w:hAnsi="宋体" w:cs="宋体"/>
                      <w:sz w:val="24"/>
                    </w:rPr>
                    <w:t>17.编辑：用户可在任意路径节点创建文件夹，并且可以自定义文件夹名称；用户可以对上传的文件和文件夹进行重命名；支持用户对文件和文件夹进行移动和批量移动；支持用户删除文件和文件夹。</w:t>
                  </w:r>
                </w:p>
                <w:p>
                  <w:pPr>
                    <w:adjustRightInd/>
                    <w:rPr>
                      <w:rFonts w:hint="eastAsia" w:ascii="宋体" w:hAnsi="宋体" w:cs="宋体"/>
                      <w:sz w:val="24"/>
                    </w:rPr>
                  </w:pPr>
                  <w:r>
                    <w:rPr>
                      <w:rFonts w:hint="eastAsia" w:ascii="宋体" w:hAnsi="宋体" w:cs="宋体"/>
                      <w:sz w:val="24"/>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pPr>
                    <w:adjustRightInd/>
                    <w:rPr>
                      <w:rFonts w:hint="eastAsia" w:ascii="宋体" w:hAnsi="宋体" w:cs="宋体"/>
                      <w:sz w:val="24"/>
                    </w:rPr>
                  </w:pPr>
                  <w:r>
                    <w:rPr>
                      <w:rFonts w:hint="eastAsia" w:ascii="宋体" w:hAnsi="宋体" w:cs="宋体"/>
                      <w:sz w:val="24"/>
                    </w:rPr>
                    <w:t>19.预览：能够在线预览图片、音视频、文档；支持预览的格式，包括，图片：BMP、GIF、JPE、JPEG、JPG、PNG；音频：WAV、MP3、OGG；视频：3GP、F4V、M4V、MKV、MP4、OGV、MOV；文档：DOC、DOCX、PDF、PPT、XLS、XLSX。</w:t>
                  </w:r>
                </w:p>
                <w:p>
                  <w:pPr>
                    <w:adjustRightInd/>
                    <w:rPr>
                      <w:rFonts w:hint="eastAsia" w:ascii="宋体" w:hAnsi="宋体" w:cs="宋体"/>
                      <w:sz w:val="24"/>
                    </w:rPr>
                  </w:pPr>
                  <w:r>
                    <w:rPr>
                      <w:rFonts w:hint="eastAsia" w:ascii="宋体" w:hAnsi="宋体" w:cs="宋体"/>
                      <w:kern w:val="0"/>
                      <w:sz w:val="24"/>
                    </w:rPr>
                    <w:t>★</w:t>
                  </w:r>
                  <w:r>
                    <w:rPr>
                      <w:rFonts w:hint="eastAsia" w:ascii="宋体" w:hAnsi="宋体" w:cs="宋体"/>
                      <w:sz w:val="24"/>
                    </w:rPr>
                    <w:t>20.发送到班级：用户可在资料夹中把多个文件发送至接收端软件中，发送的文件不限格式，接收端软件自动下载该文件。</w:t>
                  </w:r>
                </w:p>
                <w:p>
                  <w:pPr>
                    <w:adjustRightInd/>
                    <w:rPr>
                      <w:rFonts w:hint="eastAsia" w:ascii="宋体" w:hAnsi="宋体" w:eastAsia="宋体" w:cs="宋体"/>
                      <w:sz w:val="24"/>
                      <w:lang w:eastAsia="zh-CN"/>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pPr>
                    <w:adjustRightInd/>
                    <w:rPr>
                      <w:rFonts w:hint="eastAsia" w:ascii="宋体" w:hAnsi="宋体" w:cs="宋体"/>
                      <w:sz w:val="24"/>
                    </w:rPr>
                  </w:pPr>
                  <w:r>
                    <w:rPr>
                      <w:rFonts w:hint="eastAsia" w:ascii="宋体" w:hAnsi="宋体" w:cs="宋体"/>
                      <w:sz w:val="24"/>
                    </w:rPr>
                    <w:t>22.最近使用课件：助手栏展示最近使用的前3条课件，点击课件支持在发送端软件内打开和编辑。</w:t>
                  </w:r>
                </w:p>
                <w:p>
                  <w:pPr>
                    <w:adjustRightInd/>
                    <w:rPr>
                      <w:rFonts w:hint="eastAsia" w:ascii="宋体" w:hAnsi="宋体" w:cs="宋体"/>
                      <w:sz w:val="24"/>
                    </w:rPr>
                  </w:pPr>
                  <w:r>
                    <w:rPr>
                      <w:rFonts w:hint="eastAsia" w:ascii="宋体" w:hAnsi="宋体" w:cs="宋体"/>
                      <w:sz w:val="24"/>
                    </w:rPr>
                    <w:t>23.编辑：用户可自定义助手栏展示的内容，根据自己的需求能对内容进行移除、添加、移动位置，变更后数据会跟随当前登陆的账号，登录另一台电脑时会同步当前编辑的结果。</w:t>
                  </w:r>
                </w:p>
                <w:p>
                  <w:pPr>
                    <w:adjustRightInd/>
                    <w:rPr>
                      <w:rFonts w:hint="eastAsia" w:ascii="宋体" w:hAnsi="宋体" w:cs="宋体"/>
                      <w:sz w:val="24"/>
                    </w:rPr>
                  </w:pPr>
                  <w:r>
                    <w:rPr>
                      <w:rFonts w:hint="eastAsia" w:ascii="宋体" w:hAnsi="宋体" w:cs="宋体"/>
                      <w:sz w:val="24"/>
                    </w:rPr>
                    <w:t>24.网站：支持用户主动添加网址，添加的网站会呈现在助手栏中，点击即可在发送端软件打开。</w:t>
                  </w:r>
                </w:p>
                <w:p>
                  <w:pPr>
                    <w:adjustRightInd/>
                    <w:rPr>
                      <w:rFonts w:hint="eastAsia" w:ascii="宋体" w:hAnsi="宋体" w:cs="宋体"/>
                      <w:sz w:val="24"/>
                    </w:rPr>
                  </w:pPr>
                  <w:r>
                    <w:rPr>
                      <w:rFonts w:hint="eastAsia" w:ascii="宋体" w:hAnsi="宋体" w:cs="宋体"/>
                      <w:kern w:val="0"/>
                      <w:sz w:val="24"/>
                    </w:rPr>
                    <w:t>★</w:t>
                  </w:r>
                  <w:r>
                    <w:rPr>
                      <w:rFonts w:hint="eastAsia" w:ascii="宋体" w:hAnsi="宋体" w:cs="宋体"/>
                      <w:sz w:val="24"/>
                    </w:rPr>
                    <w:t>25.移动：用户能拖动助手栏到屏幕的任意位置，当用户拖动助手栏靠近屏幕边缘时会自动收到侧边；鼠标悬浮在侧边的时候，会弹出该助手栏，再次拖动助手栏会取消收起。</w:t>
                  </w:r>
                </w:p>
                <w:p>
                  <w:pPr>
                    <w:adjustRightInd/>
                    <w:rPr>
                      <w:rFonts w:hint="eastAsia" w:ascii="宋体" w:hAnsi="宋体" w:cs="宋体"/>
                      <w:sz w:val="24"/>
                    </w:rPr>
                  </w:pPr>
                  <w:r>
                    <w:rPr>
                      <w:rFonts w:hint="eastAsia" w:ascii="宋体" w:hAnsi="宋体" w:cs="宋体"/>
                      <w:kern w:val="0"/>
                      <w:sz w:val="24"/>
                    </w:rPr>
                    <w:t>★</w:t>
                  </w:r>
                  <w:r>
                    <w:rPr>
                      <w:rFonts w:hint="eastAsia" w:ascii="宋体" w:hAnsi="宋体" w:cs="宋体"/>
                      <w:sz w:val="24"/>
                    </w:rPr>
                    <w:t>26.对话式生成：根据输入的文字生成文本，并通过类人类对话的形式表达，还支持根据上下文进行多轮连续对话。</w:t>
                  </w:r>
                </w:p>
                <w:p>
                  <w:pPr>
                    <w:adjustRightInd/>
                    <w:rPr>
                      <w:rFonts w:hint="eastAsia" w:ascii="宋体" w:hAnsi="宋体" w:eastAsia="宋体" w:cs="宋体"/>
                      <w:sz w:val="24"/>
                      <w:lang w:eastAsia="zh-CN"/>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27.写作：支持输入主题一键生成活动感想、发言稿、活动策划；支持选择生成的文字数量。</w:t>
                  </w:r>
                </w:p>
                <w:p>
                  <w:pPr>
                    <w:adjustRightInd/>
                    <w:rPr>
                      <w:rFonts w:hint="eastAsia" w:ascii="宋体" w:hAnsi="宋体" w:cs="宋体"/>
                      <w:sz w:val="24"/>
                    </w:rPr>
                  </w:pPr>
                  <w:r>
                    <w:rPr>
                      <w:rFonts w:hint="eastAsia" w:ascii="宋体" w:hAnsi="宋体" w:cs="宋体"/>
                      <w:sz w:val="24"/>
                    </w:rPr>
                    <w:t>28.评价：支持根据输入的学生姓名与评价维度生成评语。</w:t>
                  </w:r>
                </w:p>
                <w:p>
                  <w:pPr>
                    <w:adjustRightInd/>
                    <w:rPr>
                      <w:rFonts w:hint="eastAsia" w:ascii="宋体" w:hAnsi="宋体" w:cs="宋体"/>
                      <w:sz w:val="24"/>
                    </w:rPr>
                  </w:pPr>
                  <w:r>
                    <w:rPr>
                      <w:rFonts w:hint="eastAsia" w:ascii="宋体" w:hAnsi="宋体" w:cs="宋体"/>
                      <w:sz w:val="24"/>
                    </w:rPr>
                    <w:t>29.提示词：支持进入百宝箱后默认展示3条提示词，一键问询AI问题。</w:t>
                  </w:r>
                </w:p>
                <w:p>
                  <w:pPr>
                    <w:adjustRightInd/>
                    <w:rPr>
                      <w:rFonts w:hint="eastAsia" w:ascii="宋体" w:hAnsi="宋体" w:cs="宋体"/>
                      <w:sz w:val="24"/>
                    </w:rPr>
                  </w:pPr>
                  <w:r>
                    <w:rPr>
                      <w:rFonts w:hint="eastAsia" w:ascii="宋体" w:hAnsi="宋体" w:cs="宋体"/>
                      <w:sz w:val="24"/>
                    </w:rPr>
                    <w:t>30.生成编辑：支持对AI生成的内容复制或重新生成。</w:t>
                  </w:r>
                </w:p>
                <w:p>
                  <w:pPr>
                    <w:adjustRightInd/>
                    <w:rPr>
                      <w:rFonts w:hint="eastAsia" w:ascii="宋体" w:hAnsi="宋体" w:eastAsia="宋体" w:cs="宋体"/>
                      <w:sz w:val="24"/>
                      <w:highlight w:val="yellow"/>
                      <w:lang w:eastAsia="zh-CN"/>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31.批量生成：支持批量生成学生的奖状，并可对奖状内容、奖励称号、颁奖人/单位、颁发日期、印章内容进行自定义编辑；支持选择生成的奖状模板。</w:t>
                  </w:r>
                </w:p>
                <w:p>
                  <w:pPr>
                    <w:adjustRightInd/>
                    <w:rPr>
                      <w:rFonts w:hint="eastAsia" w:ascii="宋体" w:hAnsi="宋体" w:cs="宋体"/>
                      <w:sz w:val="24"/>
                    </w:rPr>
                  </w:pPr>
                  <w:r>
                    <w:rPr>
                      <w:rFonts w:hint="eastAsia" w:ascii="宋体" w:hAnsi="宋体" w:cs="宋体"/>
                      <w:sz w:val="24"/>
                    </w:rPr>
                    <w:t>32.下载：支持将生成的奖状一键下载到本地。</w:t>
                  </w:r>
                </w:p>
                <w:p>
                  <w:pPr>
                    <w:adjustRightInd/>
                    <w:rPr>
                      <w:rFonts w:hint="eastAsia" w:ascii="宋体" w:hAnsi="宋体" w:cs="宋体"/>
                      <w:sz w:val="24"/>
                    </w:rPr>
                  </w:pPr>
                  <w:r>
                    <w:rPr>
                      <w:rFonts w:hint="eastAsia" w:ascii="宋体" w:hAnsi="宋体" w:cs="宋体"/>
                      <w:sz w:val="24"/>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pPr>
                    <w:adjustRightInd/>
                    <w:rPr>
                      <w:rFonts w:hint="eastAsia" w:ascii="宋体" w:hAnsi="宋体" w:cs="宋体"/>
                      <w:sz w:val="24"/>
                    </w:rPr>
                  </w:pPr>
                  <w:r>
                    <w:rPr>
                      <w:rFonts w:hint="eastAsia" w:ascii="宋体" w:hAnsi="宋体" w:cs="宋体"/>
                      <w:sz w:val="24"/>
                    </w:rPr>
                    <w:t>34.录屏：支持对全屏/区域的屏幕内容、电脑的声音、麦克风声音、摄像头内容进行录制；支持切换录制的分辨率。</w:t>
                  </w:r>
                </w:p>
                <w:p>
                  <w:pPr>
                    <w:adjustRightInd/>
                    <w:rPr>
                      <w:rFonts w:hint="eastAsia" w:ascii="宋体" w:hAnsi="宋体" w:cs="宋体"/>
                      <w:sz w:val="24"/>
                    </w:rPr>
                  </w:pPr>
                  <w:r>
                    <w:rPr>
                      <w:rFonts w:hint="eastAsia" w:ascii="宋体" w:hAnsi="宋体" w:cs="宋体"/>
                      <w:sz w:val="24"/>
                    </w:rPr>
                    <w:t>35.录制中：支持录制过程中进行画笔标注与擦除；支持中途暂停录制和继续录制。</w:t>
                  </w:r>
                </w:p>
                <w:p>
                  <w:pPr>
                    <w:adjustRightInd/>
                    <w:rPr>
                      <w:rFonts w:hint="eastAsia" w:ascii="宋体" w:hAnsi="宋体" w:cs="宋体"/>
                      <w:sz w:val="24"/>
                    </w:rPr>
                  </w:pPr>
                  <w:r>
                    <w:rPr>
                      <w:rFonts w:hint="eastAsia" w:ascii="宋体" w:hAnsi="宋体" w:cs="宋体"/>
                      <w:sz w:val="24"/>
                    </w:rPr>
                    <w:t>36.录制结束：支持录制结束后进行文字快剪、视频编辑。</w:t>
                  </w:r>
                </w:p>
                <w:p>
                  <w:pPr>
                    <w:adjustRightInd/>
                    <w:rPr>
                      <w:rFonts w:hint="eastAsia" w:ascii="宋体" w:hAnsi="宋体" w:cs="宋体"/>
                      <w:sz w:val="24"/>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37.传屏：支持把发送端设备的屏幕同步到班班通设备；传屏成功后支持在班班通设备反向触控发送端设备。</w:t>
                  </w:r>
                </w:p>
                <w:p>
                  <w:pPr>
                    <w:adjustRightInd/>
                    <w:rPr>
                      <w:rFonts w:hint="eastAsia" w:ascii="宋体" w:hAnsi="宋体" w:cs="宋体"/>
                      <w:sz w:val="24"/>
                    </w:rPr>
                  </w:pPr>
                  <w:r>
                    <w:rPr>
                      <w:rFonts w:hint="eastAsia" w:ascii="宋体" w:hAnsi="宋体" w:cs="宋体"/>
                      <w:sz w:val="24"/>
                    </w:rPr>
                    <w:t>38.设备连接：支持通过连接码的方式与班班通设备建立传屏关系；支持自动发现附近的班班通设备，一键连接班班通设备。</w:t>
                  </w:r>
                </w:p>
                <w:p>
                  <w:pPr>
                    <w:adjustRightInd/>
                    <w:rPr>
                      <w:rFonts w:hint="eastAsia" w:ascii="宋体" w:hAnsi="宋体" w:cs="宋体"/>
                      <w:sz w:val="24"/>
                    </w:rPr>
                  </w:pPr>
                  <w:r>
                    <w:rPr>
                      <w:rFonts w:hint="eastAsia" w:ascii="宋体" w:hAnsi="宋体" w:cs="宋体"/>
                      <w:sz w:val="24"/>
                    </w:rPr>
                    <w:t>39.指令下发：支持对单个电脑或批量设备下发关机与重启指令、移动分组、移除设备。</w:t>
                  </w:r>
                </w:p>
                <w:p>
                  <w:pPr>
                    <w:adjustRightInd/>
                    <w:rPr>
                      <w:rFonts w:hint="eastAsia" w:ascii="宋体" w:hAnsi="宋体" w:cs="宋体"/>
                      <w:sz w:val="24"/>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pPr>
                    <w:adjustRightInd/>
                    <w:rPr>
                      <w:rFonts w:hint="eastAsia" w:ascii="宋体" w:hAnsi="宋体" w:eastAsia="宋体" w:cs="宋体"/>
                      <w:sz w:val="24"/>
                      <w:highlight w:val="yellow"/>
                      <w:lang w:eastAsia="zh-CN"/>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41.图片转格式：支持对图片进行在线转换格式，图片原始格式为bmp、jpg、jpeg、png、tif、webp、heic;转换为jpg、png;转换后支持下载图片到电脑本地。</w:t>
                  </w:r>
                </w:p>
                <w:p>
                  <w:pPr>
                    <w:adjustRightInd/>
                    <w:rPr>
                      <w:rFonts w:hint="eastAsia" w:ascii="宋体" w:hAnsi="宋体" w:cs="宋体"/>
                      <w:sz w:val="24"/>
                    </w:rPr>
                  </w:pPr>
                  <w:r>
                    <w:rPr>
                      <w:rFonts w:hint="eastAsia" w:ascii="宋体" w:hAnsi="宋体" w:cs="宋体"/>
                      <w:sz w:val="24"/>
                    </w:rPr>
                    <w:t>42.提取文字：支持对图片进行在线文字识别；识别后支持对文字进行复制。</w:t>
                  </w:r>
                </w:p>
                <w:p>
                  <w:pPr>
                    <w:adjustRightInd/>
                    <w:rPr>
                      <w:rFonts w:hint="eastAsia" w:ascii="宋体" w:hAnsi="宋体" w:eastAsia="宋体" w:cs="宋体"/>
                      <w:sz w:val="24"/>
                      <w:highlight w:val="yellow"/>
                      <w:lang w:eastAsia="zh-CN"/>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43.文字快剪：支持提取视频的声音并转换成文字，自动识别出语气词，用户可选择删除，支持手动删除文字从而达到剪辑的目的。</w:t>
                  </w:r>
                </w:p>
                <w:p>
                  <w:pPr>
                    <w:adjustRightInd/>
                    <w:rPr>
                      <w:rFonts w:hint="eastAsia" w:ascii="宋体" w:hAnsi="宋体" w:eastAsia="宋体" w:cs="宋体"/>
                      <w:sz w:val="24"/>
                      <w:lang w:eastAsia="zh-CN"/>
                    </w:rPr>
                  </w:pPr>
                  <w:r>
                    <w:rPr>
                      <w:rFonts w:hint="eastAsia" w:ascii="宋体" w:hAnsi="宋体" w:cs="宋体"/>
                      <w:sz w:val="24"/>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pPr>
                    <w:adjustRightInd/>
                    <w:rPr>
                      <w:rFonts w:hint="eastAsia" w:ascii="宋体" w:hAnsi="宋体" w:cs="宋体"/>
                      <w:sz w:val="24"/>
                    </w:rPr>
                  </w:pPr>
                  <w:r>
                    <w:rPr>
                      <w:rFonts w:hint="eastAsia" w:ascii="宋体" w:hAnsi="宋体" w:cs="宋体"/>
                      <w:sz w:val="24"/>
                    </w:rPr>
                    <w:t>45.退出关联：支持学校管理员可通过手机微信扫描接收端软件的二维码退出学校。退出后普通老师无法在该学校对该设备远程创建接收夹；</w:t>
                  </w:r>
                </w:p>
                <w:p>
                  <w:pPr>
                    <w:adjustRightInd/>
                    <w:rPr>
                      <w:rFonts w:hint="eastAsia" w:ascii="宋体" w:hAnsi="宋体" w:cs="宋体"/>
                      <w:sz w:val="24"/>
                    </w:rPr>
                  </w:pPr>
                  <w:r>
                    <w:rPr>
                      <w:rFonts w:hint="eastAsia" w:ascii="宋体" w:hAnsi="宋体" w:cs="宋体"/>
                      <w:sz w:val="24"/>
                    </w:rPr>
                    <w:t>46.设备管理：支持查看当前学校的电脑列表，包括电脑在线状态、归属用户、操作系统、IP地址、上线时间与最后在线时间；支持对设备进行分组管理；支持通过设备名称与归属用户进行搜索。</w:t>
                  </w:r>
                </w:p>
                <w:p>
                  <w:pPr>
                    <w:adjustRightInd/>
                    <w:rPr>
                      <w:rFonts w:hint="eastAsia" w:ascii="宋体" w:hAnsi="宋体" w:cs="宋体"/>
                      <w:sz w:val="24"/>
                    </w:rPr>
                  </w:pPr>
                  <w:r>
                    <w:rPr>
                      <w:rFonts w:hint="eastAsia" w:ascii="宋体" w:hAnsi="宋体" w:cs="宋体"/>
                      <w:sz w:val="24"/>
                    </w:rPr>
                    <w:t>47.设备信息：支持查看单个电脑的硬件信息与系统信息。</w:t>
                  </w:r>
                </w:p>
                <w:p>
                  <w:pPr>
                    <w:adjustRightInd/>
                    <w:rPr>
                      <w:rFonts w:hint="eastAsia" w:ascii="宋体" w:hAnsi="宋体" w:cs="宋体"/>
                      <w:sz w:val="24"/>
                    </w:rPr>
                  </w:pPr>
                  <w:r>
                    <w:rPr>
                      <w:rFonts w:hint="eastAsia" w:ascii="宋体" w:hAnsi="宋体" w:cs="宋体"/>
                      <w:sz w:val="24"/>
                    </w:rPr>
                    <w:t>（三）、教研备课管理平台和互动教学要求：</w:t>
                  </w:r>
                </w:p>
                <w:p>
                  <w:pPr>
                    <w:adjustRightInd/>
                    <w:rPr>
                      <w:rFonts w:hint="eastAsia" w:ascii="宋体" w:hAnsi="宋体" w:cs="宋体"/>
                      <w:sz w:val="24"/>
                    </w:rPr>
                  </w:pPr>
                  <w:r>
                    <w:rPr>
                      <w:rFonts w:hint="eastAsia" w:ascii="宋体" w:hAnsi="宋体" w:cs="宋体"/>
                      <w:sz w:val="24"/>
                    </w:rPr>
                    <w:t>1、为学校提供教研全流程管理服务，包含教学目标与计划、教学设计、集体备课、听课评课、班级氛围的流程管理和数据分析。管理者在教学检查中可以掌握以教研组、备课组为单位的教学资源和集体备数据，了解老师的教学备课工作。</w:t>
                  </w:r>
                </w:p>
                <w:p>
                  <w:pPr>
                    <w:adjustRightInd/>
                    <w:rPr>
                      <w:rFonts w:hint="eastAsia" w:ascii="宋体" w:hAnsi="宋体" w:cs="宋体"/>
                      <w:sz w:val="24"/>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2、支持查看各年级和学科的教研组的教学资源覆盖情况和集体备课数据。支持以时间、教材进行数据筛选，推动老师的备课进度。支持查看备课组下成员的课程资源和集体备课数据概览，支持查看每位成员在不同教材章节下的课程资源上传/获取情况和集体备课的研讨情况。支持以时间、老师、教材章节进行数据筛选。支持导出备课组下全部成员的课程资源和集体备课数据。</w:t>
                  </w:r>
                </w:p>
                <w:p>
                  <w:pPr>
                    <w:adjustRightInd/>
                    <w:rPr>
                      <w:rFonts w:hint="eastAsia" w:ascii="宋体" w:hAnsi="宋体" w:cs="宋体"/>
                      <w:sz w:val="24"/>
                    </w:rPr>
                  </w:pPr>
                  <w:r>
                    <w:rPr>
                      <w:rFonts w:hint="eastAsia" w:ascii="宋体" w:hAnsi="宋体" w:cs="宋体"/>
                      <w:sz w:val="24"/>
                    </w:rPr>
                    <w:t>3、可查看集体备课的开展统计情况及老师参与集体备课的记录。支持以时间、学科进行筛选，支持输入集体备课名称/主备人名称，进行全局搜索。支持查看集体备课名称，主备人、所属学科、年级、参备老师数、稿数、浏览数、评论数、批注数、评论点赞数、集体备课状态和创建时间等数据。</w:t>
                  </w:r>
                </w:p>
                <w:p>
                  <w:pPr>
                    <w:adjustRightInd/>
                    <w:rPr>
                      <w:rFonts w:hint="eastAsia" w:ascii="宋体" w:hAnsi="宋体" w:eastAsia="宋体" w:cs="宋体"/>
                      <w:sz w:val="24"/>
                      <w:lang w:eastAsia="zh-CN"/>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4、管理员可随时查看学校集体备课详情，查看集体备课的详细内容并给予指导评论，同时支持管理员删除集体备课活动和导出集体备课记录数据表格。支持查看以老师维度统计的集体备课记录，查看老师所属学段学科、发起次数、参备次数、评论数、批注数、最近集体备课时间等数据。支持管理员导出教师集体备课记录数据表格。</w:t>
                  </w:r>
                </w:p>
                <w:p>
                  <w:pPr>
                    <w:adjustRightInd/>
                    <w:rPr>
                      <w:rFonts w:hint="eastAsia" w:ascii="宋体" w:hAnsi="宋体" w:cs="宋体"/>
                      <w:sz w:val="24"/>
                    </w:rPr>
                  </w:pPr>
                  <w:r>
                    <w:rPr>
                      <w:rFonts w:hint="eastAsia" w:ascii="宋体" w:hAnsi="宋体" w:cs="宋体"/>
                      <w:kern w:val="0"/>
                      <w:sz w:val="24"/>
                    </w:rPr>
                    <w:t>★</w:t>
                  </w:r>
                  <w:r>
                    <w:rPr>
                      <w:rFonts w:hint="eastAsia" w:ascii="宋体" w:hAnsi="宋体" w:cs="宋体"/>
                      <w:sz w:val="24"/>
                    </w:rPr>
                    <w:t>5、可查看课程的评价统计情况及教师对课程的评价记录。支持以时间、评课表、学科进行筛选，支持输入课程名称/老师名称，进行全局搜索。支持查看以课程维度的评价记录，包括课件名称、授课老师、所属学科、本节课的评课人数、总评价平均分及授课时间，通过点击操作“详情”可查看具体评价情况，支持管理员删除评价记录和导出课程评价记录数据表格。</w:t>
                  </w:r>
                </w:p>
                <w:p>
                  <w:pPr>
                    <w:adjustRightInd/>
                    <w:rPr>
                      <w:rFonts w:hint="eastAsia" w:ascii="宋体" w:hAnsi="宋体" w:cs="宋体"/>
                      <w:sz w:val="24"/>
                    </w:rPr>
                  </w:pPr>
                  <w:r>
                    <w:rPr>
                      <w:rFonts w:hint="eastAsia" w:ascii="宋体" w:hAnsi="宋体" w:cs="宋体"/>
                      <w:sz w:val="24"/>
                    </w:rPr>
                    <w:t>6、点击课程详情可以查看评课报告，可以查看该课程的总分和各板块得分，支持导出为PDF文件。支持查看课程下所有老师的评课表，可以批量导出为Word文件。支持查看以教师维度统计的评课记录，查看教师的所属学科，评课节数，点击操作“详情”，可查看该教师详细的评课记录，包括课程名称，授课老师和评课时间，进入详情可查看该教师对该课程的评价记录。</w:t>
                  </w:r>
                </w:p>
                <w:p>
                  <w:pPr>
                    <w:adjustRightInd/>
                    <w:rPr>
                      <w:rFonts w:hint="eastAsia" w:ascii="宋体" w:hAnsi="宋体" w:eastAsia="宋体" w:cs="宋体"/>
                      <w:sz w:val="24"/>
                      <w:lang w:eastAsia="zh-CN"/>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7、支持导出教师评课记录数据表格。支持自定义设置学校专属评课表，系统预置中央电教馆“一师一优课，一课一名师”、“教师通用评课表-评分制”模板供使用。点评支持评分题、主观题等评价及拍照上传图片等功能。支持发布多张评课表，同时开展多学科、多个评课活动。评课表支持在线预览和设置权限，听课老师权限可以选择公开，无需登录/需要登录用户账号/绑定本校且需登录用户账号等选项。</w:t>
                  </w:r>
                </w:p>
                <w:p>
                  <w:pPr>
                    <w:adjustRightInd/>
                    <w:rPr>
                      <w:rFonts w:hint="eastAsia" w:ascii="宋体" w:hAnsi="宋体" w:cs="宋体"/>
                      <w:sz w:val="24"/>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8、一键开课：教师可一键开课生成课程海报；学生扫描课程海报微信二维码即可加入直播课堂，无需额外安装APP；</w:t>
                  </w:r>
                </w:p>
                <w:p>
                  <w:pPr>
                    <w:adjustRightInd/>
                    <w:rPr>
                      <w:rFonts w:hint="eastAsia" w:ascii="宋体" w:hAnsi="宋体" w:eastAsia="宋体" w:cs="宋体"/>
                      <w:sz w:val="24"/>
                      <w:highlight w:val="yellow"/>
                      <w:lang w:eastAsia="zh-CN"/>
                    </w:rPr>
                  </w:pPr>
                  <w:r>
                    <w:rPr>
                      <w:rFonts w:hint="eastAsia" w:ascii="宋体" w:hAnsi="宋体" w:cs="宋体"/>
                      <w:sz w:val="24"/>
                    </w:rPr>
                    <w:t>9、课程回放：课程结束后自动生成直播回放，报名课程的学生可反复学习；回放课程自动保存在云端，支持人工删除；</w:t>
                  </w:r>
                </w:p>
                <w:p>
                  <w:pPr>
                    <w:adjustRightInd/>
                    <w:rPr>
                      <w:rFonts w:hint="eastAsia" w:ascii="宋体" w:hAnsi="宋体" w:eastAsia="宋体" w:cs="宋体"/>
                      <w:sz w:val="24"/>
                      <w:lang w:eastAsia="zh-CN"/>
                    </w:rPr>
                  </w:pPr>
                  <w:r>
                    <w:rPr>
                      <w:rFonts w:hint="eastAsia" w:ascii="宋体" w:hAnsi="宋体" w:cs="宋体"/>
                      <w:sz w:val="24"/>
                    </w:rPr>
                    <w:t>10、个人账号：为使用方全体教师配备个人账号，形成体的信息化教学账号体系；根据教师账号信息将教师云空间匹配至对应学校、学科校本资源库。支持通过数字账号、微信二维码、硬件密钥方式登录教师个人账号；</w:t>
                  </w:r>
                </w:p>
                <w:p>
                  <w:pPr>
                    <w:adjustRightInd/>
                    <w:rPr>
                      <w:rFonts w:hint="eastAsia" w:ascii="宋体" w:hAnsi="宋体" w:eastAsia="宋体" w:cs="宋体"/>
                      <w:sz w:val="24"/>
                      <w:lang w:eastAsia="zh-CN"/>
                    </w:rPr>
                  </w:pPr>
                  <w:r>
                    <w:rPr>
                      <w:rFonts w:hint="eastAsia" w:ascii="宋体" w:hAnsi="宋体" w:eastAsia="宋体" w:cs="宋体"/>
                      <w:color w:val="auto"/>
                      <w:kern w:val="2"/>
                      <w:sz w:val="21"/>
                      <w:szCs w:val="21"/>
                      <w:highlight w:val="none"/>
                      <w:vertAlign w:val="baseline"/>
                      <w:lang w:val="en-US" w:eastAsia="zh-CN" w:bidi="ar-SA"/>
                    </w:rPr>
                    <w:t>★</w:t>
                  </w:r>
                  <w:r>
                    <w:rPr>
                      <w:rFonts w:hint="eastAsia" w:ascii="宋体" w:hAnsi="宋体" w:cs="宋体"/>
                      <w:sz w:val="24"/>
                    </w:rPr>
                    <w:t>11、课堂活动：具备课堂活动智能填写功能，支持选词填空、判断对错和趣味选择三大课堂活动。支持输入文本后一键解析，自动将文本内容结构化填充至题干和正确选项，完成课堂活动的制作。</w:t>
                  </w:r>
                </w:p>
                <w:p>
                  <w:pPr>
                    <w:adjustRightInd/>
                    <w:rPr>
                      <w:rFonts w:hint="eastAsia" w:ascii="宋体" w:hAnsi="宋体" w:cs="宋体"/>
                      <w:sz w:val="24"/>
                    </w:rPr>
                  </w:pPr>
                  <w:r>
                    <w:rPr>
                      <w:rFonts w:hint="eastAsia" w:ascii="宋体" w:hAnsi="宋体" w:cs="宋体"/>
                      <w:sz w:val="24"/>
                    </w:rPr>
                    <w:t>（四）、教学课程资源</w:t>
                  </w:r>
                </w:p>
                <w:p>
                  <w:pPr>
                    <w:adjustRightInd/>
                    <w:rPr>
                      <w:rFonts w:hint="eastAsia" w:ascii="宋体" w:hAnsi="宋体" w:cs="宋体"/>
                      <w:sz w:val="24"/>
                    </w:rPr>
                  </w:pPr>
                  <w:r>
                    <w:rPr>
                      <w:rFonts w:hint="eastAsia" w:ascii="宋体" w:hAnsi="宋体" w:cs="宋体"/>
                      <w:sz w:val="24"/>
                    </w:rPr>
                    <w:t>1、提供互动式教学课件资源，包含学科教育各学段各地区教材版本不少于88个。包含学科教育各学段教材版本全部教学章节、专题教育多个主题教育、特殊教育三大分类不少于16000份的互动课件。</w:t>
                  </w:r>
                </w:p>
                <w:p>
                  <w:pPr>
                    <w:adjustRightInd/>
                    <w:rPr>
                      <w:rFonts w:hint="eastAsia" w:ascii="宋体" w:hAnsi="宋体" w:cs="宋体"/>
                      <w:sz w:val="24"/>
                    </w:rPr>
                  </w:pPr>
                  <w:r>
                    <w:rPr>
                      <w:rFonts w:hint="eastAsia" w:ascii="宋体" w:hAnsi="宋体" w:cs="宋体"/>
                      <w:sz w:val="24"/>
                    </w:rPr>
                    <w:t>按照下载量、课件质量、相关性会每天动态更新课件列表，提供按章节、主题筛选和关键词搜索，支持模糊搜索，具有默认排序、最多获取和最新上架三种排序方式。</w:t>
                  </w:r>
                </w:p>
                <w:p>
                  <w:pPr>
                    <w:adjustRightInd/>
                    <w:rPr>
                      <w:rFonts w:hint="eastAsia" w:ascii="宋体" w:hAnsi="宋体" w:cs="宋体"/>
                      <w:sz w:val="24"/>
                    </w:rPr>
                  </w:pPr>
                  <w:r>
                    <w:rPr>
                      <w:rFonts w:hint="eastAsia" w:ascii="宋体" w:hAnsi="宋体" w:cs="宋体"/>
                      <w:sz w:val="24"/>
                    </w:rPr>
                    <w:t>2、课件支持直接预览并下载。预览课件时可以拖动课堂活动、形状、几何、文本元素。下载时课件可同步至教师个人云空间。</w:t>
                  </w:r>
                </w:p>
                <w:p>
                  <w:pPr>
                    <w:adjustRightInd/>
                    <w:rPr>
                      <w:rFonts w:hint="eastAsia" w:ascii="宋体" w:hAnsi="宋体" w:cs="宋体"/>
                      <w:sz w:val="24"/>
                    </w:rPr>
                  </w:pPr>
                  <w:r>
                    <w:rPr>
                      <w:rFonts w:hint="eastAsia" w:ascii="宋体" w:hAnsi="宋体" w:cs="宋体"/>
                      <w:sz w:val="24"/>
                    </w:rPr>
                    <w:t>3、课件支持教师在线评分。</w:t>
                  </w:r>
                </w:p>
                <w:p>
                  <w:pPr>
                    <w:adjustRightInd/>
                    <w:rPr>
                      <w:rFonts w:hint="eastAsia" w:ascii="宋体" w:hAnsi="宋体" w:cs="宋体"/>
                      <w:sz w:val="24"/>
                    </w:rPr>
                  </w:pPr>
                  <w:r>
                    <w:rPr>
                      <w:rFonts w:hint="eastAsia" w:ascii="宋体" w:hAnsi="宋体" w:cs="宋体"/>
                      <w:sz w:val="24"/>
                    </w:rPr>
                    <w:t>4、在备课场景中支持搜索课件库课件资源，具有不少于15万份课件资源，支持整份课件或按照课件页插入课件中。</w:t>
                  </w:r>
                </w:p>
                <w:p>
                  <w:pPr>
                    <w:adjustRightInd/>
                    <w:rPr>
                      <w:rFonts w:hint="eastAsia" w:ascii="宋体" w:hAnsi="宋体" w:cs="宋体"/>
                      <w:sz w:val="24"/>
                    </w:rPr>
                  </w:pPr>
                  <w:r>
                    <w:rPr>
                      <w:rFonts w:hint="eastAsia" w:ascii="宋体" w:hAnsi="宋体" w:cs="宋体"/>
                      <w:sz w:val="24"/>
                    </w:rPr>
                    <w:t>5、支持按照教学环节筛选对应课件页一键插入课件中，可导入新课、作者简介。</w:t>
                  </w:r>
                </w:p>
                <w:p>
                  <w:pPr>
                    <w:adjustRightInd/>
                    <w:rPr>
                      <w:rFonts w:hint="eastAsia" w:ascii="宋体" w:hAnsi="宋体" w:cs="宋体"/>
                      <w:sz w:val="24"/>
                    </w:rPr>
                  </w:pPr>
                  <w:r>
                    <w:rPr>
                      <w:rFonts w:hint="eastAsia" w:ascii="宋体" w:hAnsi="宋体" w:cs="宋体"/>
                      <w:sz w:val="24"/>
                    </w:rPr>
                    <w:t>6、支持按照元素类型思维导图、课堂活动选取需要的部分补充课件缺失的部分。</w:t>
                  </w:r>
                </w:p>
                <w:p>
                  <w:pPr>
                    <w:widowControl/>
                    <w:snapToGrid w:val="0"/>
                    <w:jc w:val="left"/>
                    <w:rPr>
                      <w:rFonts w:hint="eastAsia" w:ascii="宋体" w:hAnsi="宋体" w:cs="宋体"/>
                      <w:kern w:val="0"/>
                      <w:sz w:val="24"/>
                    </w:rPr>
                  </w:pPr>
                  <w:r>
                    <w:rPr>
                      <w:rFonts w:hint="eastAsia" w:ascii="宋体" w:hAnsi="宋体" w:cs="宋体"/>
                      <w:sz w:val="24"/>
                    </w:rPr>
                    <w:t>7、支持在查看部分课件的同时查看对应整份课件，了解作者整体教学思路。</w:t>
                  </w:r>
                </w:p>
              </w:tc>
            </w:tr>
            <w:tr>
              <w:tblPrEx>
                <w:tblCellMar>
                  <w:top w:w="0" w:type="dxa"/>
                  <w:left w:w="108" w:type="dxa"/>
                  <w:bottom w:w="0" w:type="dxa"/>
                  <w:right w:w="108" w:type="dxa"/>
                </w:tblCellMar>
              </w:tblPrEx>
              <w:trPr>
                <w:trHeight w:val="723" w:hRule="atLeast"/>
              </w:trPr>
              <w:tc>
                <w:tcPr>
                  <w:tcW w:w="663" w:type="dxa"/>
                  <w:tcBorders>
                    <w:top w:val="nil"/>
                    <w:left w:val="single" w:color="auto" w:sz="4" w:space="0"/>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2</w:t>
                  </w:r>
                </w:p>
              </w:tc>
              <w:tc>
                <w:tcPr>
                  <w:tcW w:w="994" w:type="dxa"/>
                  <w:tcBorders>
                    <w:top w:val="nil"/>
                    <w:left w:val="nil"/>
                    <w:bottom w:val="single" w:color="auto" w:sz="4" w:space="0"/>
                    <w:right w:val="single" w:color="auto" w:sz="4" w:space="0"/>
                  </w:tcBorders>
                  <w:vAlign w:val="center"/>
                </w:tcPr>
                <w:p>
                  <w:pPr>
                    <w:widowControl/>
                    <w:snapToGrid w:val="0"/>
                    <w:jc w:val="center"/>
                    <w:rPr>
                      <w:rFonts w:hint="eastAsia" w:ascii="宋体" w:hAnsi="宋体" w:cs="宋体"/>
                      <w:kern w:val="0"/>
                      <w:sz w:val="24"/>
                    </w:rPr>
                  </w:pPr>
                  <w:r>
                    <w:rPr>
                      <w:rFonts w:hint="eastAsia" w:ascii="宋体" w:hAnsi="宋体" w:cs="宋体"/>
                      <w:kern w:val="0"/>
                      <w:sz w:val="24"/>
                    </w:rPr>
                    <w:t>网络教室学生机</w:t>
                  </w:r>
                </w:p>
              </w:tc>
              <w:tc>
                <w:tcPr>
                  <w:tcW w:w="564" w:type="dxa"/>
                  <w:tcBorders>
                    <w:top w:val="nil"/>
                    <w:left w:val="nil"/>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98</w:t>
                  </w:r>
                </w:p>
              </w:tc>
              <w:tc>
                <w:tcPr>
                  <w:tcW w:w="564" w:type="dxa"/>
                  <w:tcBorders>
                    <w:top w:val="nil"/>
                    <w:left w:val="nil"/>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台</w:t>
                  </w:r>
                </w:p>
              </w:tc>
              <w:tc>
                <w:tcPr>
                  <w:tcW w:w="6911" w:type="dxa"/>
                  <w:tcBorders>
                    <w:top w:val="single" w:color="auto" w:sz="4" w:space="0"/>
                    <w:left w:val="nil"/>
                    <w:bottom w:val="single" w:color="auto" w:sz="4" w:space="0"/>
                    <w:right w:val="nil"/>
                  </w:tcBorders>
                  <w:vAlign w:val="center"/>
                </w:tcPr>
                <w:p>
                  <w:pPr>
                    <w:adjustRightInd/>
                    <w:rPr>
                      <w:rFonts w:hint="eastAsia" w:ascii="宋体" w:hAnsi="宋体" w:cs="宋体"/>
                      <w:sz w:val="24"/>
                    </w:rPr>
                  </w:pPr>
                  <w:r>
                    <w:rPr>
                      <w:rFonts w:hint="eastAsia" w:ascii="宋体" w:hAnsi="宋体" w:cs="宋体"/>
                      <w:sz w:val="24"/>
                    </w:rPr>
                    <w:t>▲一、CPU规格</w:t>
                  </w:r>
                </w:p>
                <w:p>
                  <w:pPr>
                    <w:adjustRightInd/>
                    <w:rPr>
                      <w:rFonts w:hint="eastAsia" w:ascii="宋体" w:hAnsi="宋体" w:cs="宋体"/>
                      <w:sz w:val="24"/>
                    </w:rPr>
                  </w:pPr>
                  <w:r>
                    <w:rPr>
                      <w:rFonts w:hint="eastAsia" w:ascii="宋体" w:hAnsi="宋体" w:cs="宋体"/>
                      <w:sz w:val="24"/>
                    </w:rPr>
                    <w:t>1.CPU：≥4核8线程，主频≥3.3GHz，L3缓存≥12M；</w:t>
                  </w:r>
                </w:p>
                <w:p>
                  <w:pPr>
                    <w:adjustRightInd/>
                    <w:rPr>
                      <w:rFonts w:hint="eastAsia" w:ascii="宋体" w:hAnsi="宋体" w:cs="宋体"/>
                      <w:sz w:val="24"/>
                    </w:rPr>
                  </w:pPr>
                  <w:r>
                    <w:rPr>
                      <w:rFonts w:hint="eastAsia" w:ascii="宋体" w:hAnsi="宋体" w:cs="宋体"/>
                      <w:sz w:val="24"/>
                    </w:rPr>
                    <w:t>▲二、内存规格</w:t>
                  </w:r>
                </w:p>
                <w:p>
                  <w:pPr>
                    <w:adjustRightInd/>
                    <w:rPr>
                      <w:rFonts w:hint="eastAsia" w:ascii="宋体" w:hAnsi="宋体" w:cs="宋体"/>
                      <w:sz w:val="24"/>
                    </w:rPr>
                  </w:pPr>
                  <w:r>
                    <w:rPr>
                      <w:rFonts w:hint="eastAsia" w:ascii="宋体" w:hAnsi="宋体" w:cs="宋体"/>
                      <w:sz w:val="24"/>
                    </w:rPr>
                    <w:t>1.内存配置容量：≥8GB；</w:t>
                  </w:r>
                </w:p>
                <w:p>
                  <w:pPr>
                    <w:adjustRightInd/>
                    <w:rPr>
                      <w:rFonts w:hint="eastAsia" w:ascii="宋体" w:hAnsi="宋体" w:cs="宋体"/>
                      <w:sz w:val="24"/>
                    </w:rPr>
                  </w:pPr>
                  <w:r>
                    <w:rPr>
                      <w:rFonts w:hint="eastAsia" w:ascii="宋体" w:hAnsi="宋体" w:cs="宋体"/>
                      <w:sz w:val="24"/>
                    </w:rPr>
                    <w:t>2.内存类型：支持DDR4/LPDDR4/LPDDR4X及以上内存类型；</w:t>
                  </w:r>
                </w:p>
                <w:p>
                  <w:pPr>
                    <w:adjustRightInd/>
                    <w:rPr>
                      <w:rFonts w:hint="eastAsia" w:ascii="宋体" w:hAnsi="宋体" w:cs="宋体"/>
                      <w:sz w:val="24"/>
                    </w:rPr>
                  </w:pPr>
                  <w:r>
                    <w:rPr>
                      <w:rFonts w:hint="eastAsia" w:ascii="宋体" w:hAnsi="宋体" w:cs="宋体"/>
                      <w:sz w:val="24"/>
                    </w:rPr>
                    <w:t>3.内存条配置数量（板载内存不涉及）：≥2；</w:t>
                  </w:r>
                </w:p>
                <w:p>
                  <w:pPr>
                    <w:adjustRightInd/>
                    <w:rPr>
                      <w:rFonts w:hint="eastAsia" w:ascii="宋体" w:hAnsi="宋体" w:cs="宋体"/>
                      <w:sz w:val="24"/>
                    </w:rPr>
                  </w:pPr>
                  <w:r>
                    <w:rPr>
                      <w:rFonts w:hint="eastAsia" w:ascii="宋体" w:hAnsi="宋体" w:cs="宋体"/>
                      <w:sz w:val="24"/>
                    </w:rPr>
                    <w:t>▲三、主板规格</w:t>
                  </w:r>
                </w:p>
                <w:p>
                  <w:pPr>
                    <w:adjustRightInd/>
                    <w:rPr>
                      <w:rFonts w:hint="eastAsia" w:ascii="宋体" w:hAnsi="宋体" w:cs="宋体"/>
                      <w:sz w:val="24"/>
                    </w:rPr>
                  </w:pPr>
                  <w:r>
                    <w:rPr>
                      <w:rFonts w:hint="eastAsia" w:ascii="宋体" w:hAnsi="宋体" w:cs="宋体"/>
                      <w:sz w:val="24"/>
                    </w:rPr>
                    <w:t>1.主板集成模块：集成资源扩展模块、计算处理模块、音频扩展模块等，主板的互联拓扑可通过处理器或交换电路实现；</w:t>
                  </w:r>
                </w:p>
                <w:p>
                  <w:pPr>
                    <w:adjustRightInd/>
                    <w:rPr>
                      <w:rFonts w:hint="eastAsia" w:ascii="宋体" w:hAnsi="宋体" w:cs="宋体"/>
                      <w:sz w:val="24"/>
                    </w:rPr>
                  </w:pPr>
                  <w:r>
                    <w:rPr>
                      <w:rFonts w:hint="eastAsia" w:ascii="宋体" w:hAnsi="宋体" w:cs="宋体"/>
                      <w:sz w:val="24"/>
                    </w:rPr>
                    <w:t>2.主板支持的CPU和内存情况：≥4核8线程，主频≥3.3GHz，L3缓存≥12M；内存条数量≥2；</w:t>
                  </w:r>
                </w:p>
                <w:p>
                  <w:pPr>
                    <w:adjustRightInd/>
                    <w:rPr>
                      <w:rFonts w:hint="eastAsia" w:ascii="宋体" w:hAnsi="宋体" w:cs="宋体"/>
                      <w:sz w:val="24"/>
                    </w:rPr>
                  </w:pPr>
                  <w:r>
                    <w:rPr>
                      <w:rFonts w:hint="eastAsia" w:ascii="宋体" w:hAnsi="宋体" w:cs="宋体"/>
                      <w:sz w:val="24"/>
                    </w:rPr>
                    <w:t>3.主板其他内置接口：SATA×3 （支持SATA 3.0。其中至少一路用于拓展机械硬盘、至少一路用于拓展DVD光驱）</w:t>
                  </w:r>
                </w:p>
                <w:p>
                  <w:pPr>
                    <w:adjustRightInd/>
                    <w:rPr>
                      <w:rFonts w:hint="eastAsia" w:ascii="宋体" w:hAnsi="宋体" w:cs="宋体"/>
                      <w:sz w:val="24"/>
                    </w:rPr>
                  </w:pPr>
                  <w:r>
                    <w:rPr>
                      <w:rFonts w:hint="eastAsia" w:ascii="宋体" w:hAnsi="宋体" w:cs="宋体"/>
                      <w:sz w:val="24"/>
                    </w:rPr>
                    <w:t>M.2×2 （其中一路用于拓展固态硬盘、一路用于拓展wifi/蓝牙模块）</w:t>
                  </w:r>
                </w:p>
                <w:p>
                  <w:pPr>
                    <w:adjustRightInd/>
                    <w:rPr>
                      <w:rFonts w:hint="eastAsia" w:ascii="宋体" w:hAnsi="宋体" w:cs="宋体"/>
                      <w:sz w:val="24"/>
                    </w:rPr>
                  </w:pPr>
                  <w:r>
                    <w:rPr>
                      <w:rFonts w:hint="eastAsia" w:ascii="宋体" w:hAnsi="宋体" w:cs="宋体"/>
                      <w:sz w:val="24"/>
                    </w:rPr>
                    <w:t>4.单内存插槽最大可支持容量（板载内存不涉及）：≥32GB；</w:t>
                  </w:r>
                </w:p>
                <w:p>
                  <w:pPr>
                    <w:adjustRightInd/>
                    <w:rPr>
                      <w:rFonts w:hint="eastAsia" w:ascii="宋体" w:hAnsi="宋体" w:cs="宋体"/>
                      <w:sz w:val="24"/>
                    </w:rPr>
                  </w:pPr>
                  <w:r>
                    <w:rPr>
                      <w:rFonts w:hint="eastAsia" w:ascii="宋体" w:hAnsi="宋体" w:cs="宋体"/>
                      <w:sz w:val="24"/>
                    </w:rPr>
                    <w:t>5.内存插槽满配时提供的最高内存总容量：≥64GB；</w:t>
                  </w:r>
                </w:p>
                <w:p>
                  <w:pPr>
                    <w:adjustRightInd/>
                    <w:rPr>
                      <w:rFonts w:hint="eastAsia" w:ascii="宋体" w:hAnsi="宋体" w:cs="宋体"/>
                      <w:sz w:val="24"/>
                    </w:rPr>
                  </w:pPr>
                  <w:r>
                    <w:rPr>
                      <w:rFonts w:hint="eastAsia" w:ascii="宋体" w:hAnsi="宋体" w:cs="宋体"/>
                      <w:sz w:val="24"/>
                    </w:rPr>
                    <w:t>▲四、存储设备规格</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1.固态盘数量：≥1个；</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2.固态存储容量：≥512 GB；</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3.固态存储形态：采用插卡或板载等形态，可选用符合M.2 或2.5寸SATA或mSATA等标准的插卡形态；</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4.存储设备其他参数要求：a)固态盘应符合SJ/T11654相关规定；b)机械硬盘准备时间应不大于30s；侧面固定螺丝孔数量可为4孔或6孔；工作状态环境温度应满足5℃-55℃；其它参数应符合GB/T12628相关规定；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▲五、显卡规格</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1.显卡类型：集成显卡；</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▲六、显示设备规格</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1.显示屏屏占比：≥90%；</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2.显示屏分辨率：≥1920*1080；</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3.显示屏尺寸：≥23英寸；</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4.显示屏屏幕比例：16:9；</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5.显示器外观颜色：黑色商务色系；</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6.显示屏防蓝光：支持防蓝光模式，蓝光加权辐射亮度比应≤0.0012W/(·cd·sr)（瓦每坎特拉每球面度）；</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7.显示屏低频闪：显示屏应支持低频闪≤-35dB；</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8.显示屏防炫目：显示屏镜面反射率≤10%；</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▲七、外设规格</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1.鼠标数量：≥1个；</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2.键盘数量：≥1个；</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3.键盘按键数目：≥101键；</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4.键盘连接方式：有线；</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5.键盘键程：2.3mm-4.0mm；</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6.键盘按键压力：按键压力应在0.54N±0.14N；</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7.有线键盘连接线：≥1.5米；</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8.键盘颜色：黑色商务色系；</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9.鼠标连接方式：有线；</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10.有线鼠标连接线：≥1.5米；</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11.鼠标DPI分辨率：800-1600；</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12.鼠标颜色：黑色商务色系；</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13.鼠标其他要求：其它参数应符合GB/T26245的相关规定；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▲八、网络设备规格</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1.有线网卡数量：≥1；</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▲九、外部接口规格</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1.USB 接口数量：前面板共7个USB接口，其中：USB3.0 7个（其中一个为TypeC）</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2.视频接口数量：≥2个，其中：HDMI≥1；VGA≥1；</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3.音频接口数量：≥5；</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▲十、整机基础规格</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1.整机外观：a) 产品表面不应有凹痕、划伤、裂缝、变形和污染等。表面涂层均匀，不应起泡、龟裂、脱落和磨损，金属零部件无锈蚀及其它机械损伤；b) 产品表面说明功能的文字、符号、标志，应清晰、端正、牢固；</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2.状态指示灯：在产品显著位置提供状态指示功能；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 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4.机箱防护要求：机箱应符合GB/T4208中IP20防护要求；</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5.整机噪音：产品工作在空闲状态下，产品的声功率级应不超过4.5Bel；</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6.整机散热：在环境温度25℃及处理器满载情况下，产品表面温度应符合如下要求：a)出风口在机箱后面板情况下，出风口温度不高于 55℃；b)可触及面温度不高于45℃；c) 显示器表面温度：显示屏不高于38℃，显示屏上下灯带位置温度（如涉及）不高于40℃，出风口温度不高于45℃；</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7.整机能效限定值：产品能效限定值应达到GB28380-2012标准中能效等级2级及以上；</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8.机身材质：金属；</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9.机身颜色：黑色商务色系；</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10.机箱尺寸容量：机箱体积应不大于15L；</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▲十一、CPU性能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1.CPU物理核数：≥4；</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2.CPU主频：≥3.3GHz；</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3.CPU L3缓存容量：≥12MB；</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4.CPU支持的内存最高速率：≥3200MT/s；</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▲十二、内存性能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1.内存读写速率：≥3200MT/s；</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▲十三、显卡性能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1.显示分辨率：≥1920*1080；</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2.显卡显示芯片核心频率：≥300MHz；</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3.显存等效频率：≥1000MT/s；</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4.显卡可支持多屏同时显示数量：显卡应支持2块屏幕同时显示，分辨率应不低于1920*1080；</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▲十四、显示设备性能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1.显示屏刷新率：≥90Hz；</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2.显示屏位深：≥8位；</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3.显示屏色域：≥99% sRGB；DCI-P3色域覆盖率≥90%；</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4.显示屏色准：△E≤4；</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5.显示屏响应时间：≤8ms；</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6.显示屏亮度：≥300尼特；</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7.显示屏亮度一致性：≥70%；</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8.显示屏对比度：≥500：1；</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9.显示屏其他参数：其它参数应符合SJ/T11292的相关规定；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▲十五、网络设备性能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1.有线网卡速率：最高速率应不低于1000Mbps，应支持10Mbps、100Mbps、1000Mbps速率自适应；</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▲十六、主板功能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1.内存扩展接口(板载内存不涉及)：≥2个；</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2.主板 USB瞬间过流保护：支持有瞬间过流保护功能；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3.主板防静电保护：支持防静电保护功能；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▲十七、显卡功能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1.显卡外接显示接口：显卡至少支持VGA、HDMI、DVI、DP、Type-C中1种显示接口，并与显示器接口相匹配；</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▲十八、显示设备功能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1.显示器接口：显示器应与显卡外接显示接口匹配；</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2.显示器支架：显示器应提供显示器支架；</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3.显示器参数调节：a)提供OSD选单按钮用于调节色彩、模式等；b)支持色温、亮度、对比度调节；</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▲十九、存储功能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1.存储功能：通过SATA固态存储/PCIe 固态存储/UFS 固态存储/SATA硬磁盘等存储部件提供存储功能；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▲二十、网络设备功能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1.网络功能：a)支持网络连接、网络开启/关闭功能；b)支持访问网络和数据交换功能；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2.数据传输：支持数据传输能力；</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3.有线网卡接口类型：支持RJ45接口；</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4.网络设备拆装：网络设备支持物理拆装，包括无线网卡和蓝牙模块等；</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▲二十一、外部接口功能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1.音频接口类型：支持3.5mm 孔径3段式或4段式接口；</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2.视频接口类型：至少支持VGA、HDMI、DVI、DP、Type-C中1种显示接口；</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3.HDMI、DP、Type-C显示接口要求：若提供HDMI或DP或Type-C作为显示接口，应支持音频和视频同步输出；</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▲二十二、电源功能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1.电源线适配能力：电源适配器电线组件应符合GB/T15934 的要求；</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▲二十三、操作系统及软件功能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1.中文信息处理要求：符合GB18030的相关规定；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2.操作系统备份及还原功能：支持操作系统备份及还原功能；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3.固件设置网络引导：支持网络引导启动和关闭功能；；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4.操作系统及驱动升级：支持通过网络、闪存盘等方式对操作系统、驱动进行升级；</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5.固件升级：支持通过网络、闪存盘等方式对固件进行升级；</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6.BIOS支持关闭通讯接口：支持BIOS关闭以太网及USB接口；</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7.固件查看信息：支持查看固件版本、内存信息、主板信息、处理器信息和系统时间信息等功能；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8.固件设置启动顺序：支持设置启动顺序功能，并按照设置的启动顺序启动；</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9.固件设置口令：支持设置口令、修改口令、验证口令功能；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▲二十四、存储设备可靠性</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1.固态存储寿命：TBW≥80TB（条件：512GB硬盘容量）；</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2.机械硬盘寿命：通电时间≥5万小时；</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▲二十五、显示设备可靠性</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1.显示屏屏幕失效点：符合GB/T9813.2的要求；</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▲二十六、外设可靠性</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1.键盘按键寿命：≥1000万次；</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2.鼠标按键寿命：≥500万次；</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3.键盘鼠标线材寿命：键盘鼠标所用线材经±60°弯折不低于3000次，功能、外观完好；</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4.风扇寿命：≥4万小时；</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▲二十七、整机可靠性要求</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1.电磁兼容性要求的抗扰度：符合GB/T9254.2的规定；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2.环境条件要求的气候环境适应性：符合GB/T 9813.1中规定；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3.环境条件要求的振动适应性：符合GB/T9813.1中规定；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4.环境条件要求的冲击适应性：符合GB/T9813.1中规定；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5.环境条件要求的碰撞适应性：符合GB/T9813.1中规定；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6.环境条件要求的运输包装件跌落适应性：符合GB/T9813.1中规定；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7.MTBF 测试：MTBF(m1)≥3万小时；</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▲二十八、兼容要求</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1.常用软件兼容：支持流式软件、版式软件、浏览器、邮件采购人端、解压软件、多媒体、图形图像处理等常用软件；</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2.数据库兼容：兼容3个及以上厂商的数据库产品；</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3.中间件兼容：兼容3个及以上厂商中间件产品；</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4.平台软件兼容：兼容3个及以上厂商云计算及大数据平台；</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▲二十九、包装及运输要求</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1.标志、包装、运输和贮存：符合GB/T9813.1和商品包装政府采购需求标准的相关规定；</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▲三十、服务要求</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1.配置检查工具：供应商提供自检测试工具；</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3.服务周期：a)设备停产后应继续提供质量保障服务（含备品备件），服务终止时间与最后一批设备交付时间间隔不低于6年；b)产品停止服务时间应提前1年告知；c)应明确产品发布日期；</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 xml:space="preserve">4.预装操作系统：预装符合桌面操作系统政府采购需求标准的正版操作系统； </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5.培训服务：供应商提供培训材料、产品手册、培训视频等培训相关内容；</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6.典型问题解决手册：供应商提供典型问题解决说明文档或视频；</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7.厂家升级软件与扩容服务：供应商提供上门升级部件/软件与扩容的增值服务；</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8.整机质量服务要求：免费服务周期（含换件和维修）应不小于3年；</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9.合格证书要求：供应商提供产品合格证；</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10.开箱组装/使用指导要求：供应商提供开箱组装/使用指导；</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11.驱动下载服务要求：供应商提供驱动光盘或下载方式；</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12.兼容适配软件下载服务要求：供应商提供兼容适配软件下载渠道（光盘、网站）；</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▲三十一、供应链合规性</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1.产品部件保障：供应商保障产品主要部件，提供6年的备件服务能力（自购买之日起），或提供可兼容原设备的升级换代产品；</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▲三十二、供应链质量</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1.抗干扰性：当产品部件出现供应风险时，供应商应通知采购人并提供风险应对方案确保产品的服务保障；</w:t>
                  </w:r>
                </w:p>
                <w:p>
                  <w:pPr>
                    <w:pBdr>
                      <w:top w:val="single" w:color="auto" w:sz="4" w:space="1"/>
                      <w:left w:val="single" w:color="auto" w:sz="4" w:space="1"/>
                      <w:bottom w:val="single" w:color="auto" w:sz="4" w:space="1"/>
                      <w:right w:val="single" w:color="auto" w:sz="4" w:space="1"/>
                    </w:pBdr>
                    <w:adjustRightInd/>
                    <w:rPr>
                      <w:rFonts w:hint="eastAsia" w:ascii="宋体" w:hAnsi="宋体" w:cs="宋体"/>
                      <w:sz w:val="24"/>
                    </w:rPr>
                  </w:pPr>
                  <w:r>
                    <w:rPr>
                      <w:rFonts w:hint="eastAsia" w:ascii="宋体" w:hAnsi="宋体" w:cs="宋体"/>
                      <w:sz w:val="24"/>
                    </w:rPr>
                    <w:t>2.供应能力证明：确保产品的部件在产品服务周期内稳定供货；</w:t>
                  </w:r>
                </w:p>
                <w:p>
                  <w:pPr>
                    <w:widowControl/>
                    <w:pBdr>
                      <w:top w:val="single" w:color="auto" w:sz="4" w:space="1"/>
                      <w:left w:val="single" w:color="auto" w:sz="4" w:space="1"/>
                      <w:bottom w:val="single" w:color="auto" w:sz="4" w:space="1"/>
                      <w:right w:val="single" w:color="auto" w:sz="4" w:space="1"/>
                    </w:pBdr>
                    <w:adjustRightInd/>
                    <w:jc w:val="left"/>
                    <w:rPr>
                      <w:rFonts w:hint="eastAsia" w:ascii="宋体" w:hAnsi="宋体" w:cs="宋体"/>
                      <w:sz w:val="24"/>
                    </w:rPr>
                  </w:pPr>
                  <w:r>
                    <w:rPr>
                      <w:rFonts w:hint="eastAsia" w:ascii="宋体" w:hAnsi="宋体" w:cs="宋体"/>
                      <w:sz w:val="24"/>
                    </w:rPr>
                    <w:t>三十</w:t>
                  </w:r>
                  <w:r>
                    <w:rPr>
                      <w:rFonts w:hint="eastAsia" w:ascii="宋体" w:hAnsi="宋体" w:cs="宋体"/>
                      <w:sz w:val="24"/>
                    </w:rPr>
                    <w:br w:type="page"/>
                  </w:r>
                  <w:r>
                    <w:rPr>
                      <w:rFonts w:hint="eastAsia" w:ascii="宋体" w:hAnsi="宋体" w:cs="宋体"/>
                      <w:sz w:val="24"/>
                    </w:rPr>
                    <w:t>三、具备云电脑及AI秘书功能</w:t>
                  </w:r>
                </w:p>
                <w:p>
                  <w:pPr>
                    <w:widowControl/>
                    <w:pBdr>
                      <w:top w:val="single" w:color="auto" w:sz="4" w:space="1"/>
                      <w:left w:val="single" w:color="auto" w:sz="4" w:space="1"/>
                      <w:bottom w:val="single" w:color="auto" w:sz="4" w:space="1"/>
                      <w:right w:val="single" w:color="auto" w:sz="4" w:space="1"/>
                    </w:pBdr>
                    <w:snapToGrid w:val="0"/>
                    <w:jc w:val="left"/>
                    <w:rPr>
                      <w:rFonts w:hint="eastAsia" w:ascii="宋体" w:hAnsi="宋体" w:cs="宋体"/>
                      <w:kern w:val="0"/>
                      <w:sz w:val="24"/>
                    </w:rPr>
                  </w:pPr>
                  <w:r>
                    <w:rPr>
                      <w:rFonts w:hint="eastAsia" w:ascii="宋体" w:hAnsi="宋体" w:cs="宋体"/>
                      <w:sz w:val="24"/>
                    </w:rPr>
                    <w:t>其中云电脑要求内存≥4C,CPU≥8G。AI秘书要求集成≥4个AI模型如deepseek、通义千问等。针对学生可提供学习计划、读书笔记等功能。</w:t>
                  </w:r>
                </w:p>
              </w:tc>
            </w:tr>
            <w:tr>
              <w:tblPrEx>
                <w:tblCellMar>
                  <w:top w:w="0" w:type="dxa"/>
                  <w:left w:w="108" w:type="dxa"/>
                  <w:bottom w:w="0" w:type="dxa"/>
                  <w:right w:w="108" w:type="dxa"/>
                </w:tblCellMar>
              </w:tblPrEx>
              <w:trPr>
                <w:trHeight w:val="711" w:hRule="atLeast"/>
              </w:trPr>
              <w:tc>
                <w:tcPr>
                  <w:tcW w:w="663" w:type="dxa"/>
                  <w:tcBorders>
                    <w:top w:val="single" w:color="auto" w:sz="4" w:space="0"/>
                    <w:left w:val="single" w:color="auto" w:sz="4" w:space="0"/>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kern w:val="0"/>
                      <w:sz w:val="24"/>
                    </w:rPr>
                  </w:pPr>
                  <w:r>
                    <w:rPr>
                      <w:rFonts w:hint="eastAsia" w:ascii="宋体" w:hAnsi="宋体" w:cs="宋体"/>
                      <w:kern w:val="0"/>
                      <w:sz w:val="24"/>
                    </w:rPr>
                    <w:t>网络教室电子教室管理软件</w:t>
                  </w:r>
                </w:p>
              </w:tc>
              <w:tc>
                <w:tcPr>
                  <w:tcW w:w="564" w:type="dxa"/>
                  <w:tcBorders>
                    <w:top w:val="single" w:color="auto" w:sz="4" w:space="0"/>
                    <w:left w:val="single" w:color="auto" w:sz="4" w:space="0"/>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2</w:t>
                  </w:r>
                </w:p>
              </w:tc>
              <w:tc>
                <w:tcPr>
                  <w:tcW w:w="564" w:type="dxa"/>
                  <w:tcBorders>
                    <w:top w:val="single" w:color="auto" w:sz="4" w:space="0"/>
                    <w:left w:val="single" w:color="auto" w:sz="4" w:space="0"/>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套</w:t>
                  </w:r>
                </w:p>
              </w:tc>
              <w:tc>
                <w:tcPr>
                  <w:tcW w:w="6911"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kern w:val="0"/>
                      <w:sz w:val="24"/>
                    </w:rPr>
                  </w:pPr>
                  <w:r>
                    <w:rPr>
                      <w:rFonts w:hint="eastAsia" w:ascii="宋体" w:hAnsi="宋体" w:cs="宋体"/>
                      <w:kern w:val="0"/>
                      <w:sz w:val="24"/>
                    </w:rPr>
                    <w:t>1.登录方式多样性：支持账号/密码和手机微信扫码两种登录方式。</w:t>
                  </w:r>
                  <w:r>
                    <w:rPr>
                      <w:rFonts w:hint="eastAsia" w:ascii="宋体" w:hAnsi="宋体" w:cs="宋体"/>
                      <w:kern w:val="0"/>
                      <w:sz w:val="24"/>
                    </w:rPr>
                    <w:br w:type="textWrapping"/>
                  </w:r>
                  <w:r>
                    <w:rPr>
                      <w:rFonts w:hint="eastAsia" w:ascii="宋体" w:hAnsi="宋体" w:cs="宋体"/>
                      <w:kern w:val="0"/>
                      <w:sz w:val="24"/>
                    </w:rPr>
                    <w:t>2.设备管理：可实现实时监控学生机画面、以及进行统一的教学管理，文件共享和回收。</w:t>
                  </w:r>
                  <w:r>
                    <w:rPr>
                      <w:rFonts w:hint="eastAsia" w:ascii="宋体" w:hAnsi="宋体" w:cs="宋体"/>
                      <w:kern w:val="0"/>
                      <w:sz w:val="24"/>
                    </w:rPr>
                    <w:br w:type="textWrapping"/>
                  </w:r>
                  <w:r>
                    <w:rPr>
                      <w:rFonts w:hint="eastAsia" w:ascii="宋体" w:hAnsi="宋体" w:cs="宋体"/>
                      <w:kern w:val="0"/>
                      <w:sz w:val="24"/>
                    </w:rPr>
                    <w:t>3.人员管理：学校超级管理员可以添加教师和管理员的角色，添加之后管理员能够绑定设备和进行正常的授课工作，教师只能在终端应用软件进行授课操作。</w:t>
                  </w:r>
                  <w:r>
                    <w:rPr>
                      <w:rFonts w:hint="eastAsia" w:ascii="宋体" w:hAnsi="宋体" w:cs="宋体"/>
                      <w:kern w:val="0"/>
                      <w:sz w:val="24"/>
                    </w:rPr>
                    <w:br w:type="textWrapping"/>
                  </w:r>
                  <w:r>
                    <w:rPr>
                      <w:rFonts w:hint="eastAsia" w:ascii="宋体" w:hAnsi="宋体" w:cs="宋体"/>
                      <w:kern w:val="0"/>
                      <w:sz w:val="24"/>
                    </w:rPr>
                    <w:t>4.教师云空间：支持老师自定义上传、存储文件内容。</w:t>
                  </w:r>
                  <w:r>
                    <w:rPr>
                      <w:rFonts w:hint="eastAsia" w:ascii="宋体" w:hAnsi="宋体" w:cs="宋体"/>
                      <w:kern w:val="0"/>
                      <w:sz w:val="24"/>
                    </w:rPr>
                    <w:br w:type="textWrapping"/>
                  </w:r>
                  <w:r>
                    <w:rPr>
                      <w:rFonts w:hint="eastAsia" w:ascii="宋体" w:hAnsi="宋体" w:cs="宋体"/>
                      <w:kern w:val="0"/>
                      <w:sz w:val="24"/>
                    </w:rPr>
                    <w:t>支持上传的格式有：</w:t>
                  </w:r>
                  <w:r>
                    <w:rPr>
                      <w:rFonts w:hint="eastAsia" w:ascii="宋体" w:hAnsi="宋体" w:cs="宋体"/>
                      <w:kern w:val="0"/>
                      <w:sz w:val="24"/>
                    </w:rPr>
                    <w:br w:type="textWrapping"/>
                  </w:r>
                  <w:r>
                    <w:rPr>
                      <w:rFonts w:hint="eastAsia" w:ascii="宋体" w:hAnsi="宋体" w:cs="宋体"/>
                      <w:kern w:val="0"/>
                      <w:sz w:val="24"/>
                    </w:rPr>
                    <w:t>文档：ppt、pptx、word、pdf;</w:t>
                  </w:r>
                  <w:r>
                    <w:rPr>
                      <w:rFonts w:hint="eastAsia" w:ascii="宋体" w:hAnsi="宋体" w:cs="宋体"/>
                      <w:kern w:val="0"/>
                      <w:sz w:val="24"/>
                    </w:rPr>
                    <w:br w:type="textWrapping"/>
                  </w:r>
                  <w:r>
                    <w:rPr>
                      <w:rFonts w:hint="eastAsia" w:ascii="宋体" w:hAnsi="宋体" w:cs="宋体"/>
                      <w:kern w:val="0"/>
                      <w:sz w:val="24"/>
                    </w:rPr>
                    <w:t>图片：bmp、png、jpg、jpeg、gif;</w:t>
                  </w:r>
                  <w:r>
                    <w:rPr>
                      <w:rFonts w:hint="eastAsia" w:ascii="宋体" w:hAnsi="宋体" w:cs="宋体"/>
                      <w:kern w:val="0"/>
                      <w:sz w:val="24"/>
                    </w:rPr>
                    <w:br w:type="textWrapping"/>
                  </w:r>
                  <w:r>
                    <w:rPr>
                      <w:rFonts w:hint="eastAsia" w:ascii="宋体" w:hAnsi="宋体" w:cs="宋体"/>
                      <w:kern w:val="0"/>
                      <w:sz w:val="24"/>
                    </w:rPr>
                    <w:t>音视频：mp3、wav、ogg、aac、mp4</w:t>
                  </w:r>
                  <w:r>
                    <w:rPr>
                      <w:rFonts w:hint="eastAsia" w:ascii="宋体" w:hAnsi="宋体" w:cs="宋体"/>
                      <w:kern w:val="0"/>
                      <w:sz w:val="24"/>
                    </w:rPr>
                    <w:br w:type="textWrapping"/>
                  </w:r>
                  <w:r>
                    <w:rPr>
                      <w:rFonts w:hint="eastAsia" w:ascii="宋体" w:hAnsi="宋体" w:cs="宋体"/>
                      <w:kern w:val="0"/>
                      <w:sz w:val="24"/>
                    </w:rPr>
                    <w:t>5.教师广播：不需要借助任何外接设备，支持将教师机的画面以及声音广播给全班学生。</w:t>
                  </w:r>
                  <w:r>
                    <w:rPr>
                      <w:rFonts w:hint="eastAsia" w:ascii="宋体" w:hAnsi="宋体" w:cs="宋体"/>
                      <w:kern w:val="0"/>
                      <w:sz w:val="24"/>
                    </w:rPr>
                    <w:br w:type="textWrapping"/>
                  </w:r>
                  <w:r>
                    <w:rPr>
                      <w:rFonts w:hint="eastAsia" w:ascii="宋体" w:hAnsi="宋体" w:cs="宋体"/>
                      <w:kern w:val="0"/>
                      <w:sz w:val="24"/>
                    </w:rPr>
                    <w:t>6.学生演示：支持老师将指定学生的屏幕画面广播给其他所有学生，同时老师也能看到该指定学生的屏幕图像。</w:t>
                  </w:r>
                  <w:r>
                    <w:rPr>
                      <w:rFonts w:hint="eastAsia" w:ascii="宋体" w:hAnsi="宋体" w:cs="宋体"/>
                      <w:kern w:val="0"/>
                      <w:sz w:val="24"/>
                    </w:rPr>
                    <w:br w:type="textWrapping"/>
                  </w:r>
                  <w:r>
                    <w:rPr>
                      <w:rFonts w:hint="eastAsia" w:ascii="宋体" w:hAnsi="宋体" w:cs="宋体"/>
                      <w:kern w:val="0"/>
                      <w:sz w:val="24"/>
                    </w:rPr>
                    <w:t>▲7.下发课堂活动：在开启授课时支持教师发起不低于4种课堂活动，支持学生拖动答案进行作答，系统将自动判断是否正确。</w:t>
                  </w:r>
                  <w:r>
                    <w:rPr>
                      <w:rFonts w:hint="eastAsia" w:ascii="宋体" w:hAnsi="宋体" w:cs="宋体"/>
                      <w:sz w:val="24"/>
                      <w:highlight w:val="yellow"/>
                      <w:lang w:eastAsia="zh-CN"/>
                    </w:rPr>
                    <w:t>投标时提供证明材料，证明材料可以是功能截图或其他项目中标截图或厂家证明等</w:t>
                  </w:r>
                  <w:r>
                    <w:rPr>
                      <w:rFonts w:hint="eastAsia" w:ascii="宋体" w:hAnsi="宋体" w:cs="宋体"/>
                      <w:sz w:val="24"/>
                      <w:highlight w:val="none"/>
                      <w:lang w:eastAsia="zh-CN"/>
                    </w:rPr>
                    <w:t>。</w:t>
                  </w:r>
                  <w:r>
                    <w:rPr>
                      <w:rFonts w:hint="eastAsia" w:ascii="宋体" w:hAnsi="宋体" w:cs="宋体"/>
                      <w:kern w:val="0"/>
                      <w:sz w:val="24"/>
                      <w:highlight w:val="none"/>
                    </w:rPr>
                    <w:br w:type="textWrapping"/>
                  </w:r>
                  <w:r>
                    <w:rPr>
                      <w:rFonts w:hint="eastAsia" w:ascii="宋体" w:hAnsi="宋体" w:cs="宋体"/>
                      <w:kern w:val="0"/>
                      <w:sz w:val="24"/>
                      <w:highlight w:val="none"/>
                    </w:rPr>
                    <w:t>★8.课堂活动作答：支持学生在完成教师下发的课堂活动时，查看自己的排名、耗时以及答题情况。</w:t>
                  </w:r>
                  <w:r>
                    <w:rPr>
                      <w:rFonts w:hint="eastAsia" w:ascii="宋体" w:hAnsi="宋体" w:cs="宋体"/>
                      <w:kern w:val="0"/>
                      <w:sz w:val="24"/>
                      <w:highlight w:val="none"/>
                    </w:rPr>
                    <w:br w:type="textWrapping"/>
                  </w:r>
                  <w:r>
                    <w:rPr>
                      <w:rFonts w:hint="eastAsia" w:ascii="宋体" w:hAnsi="宋体" w:cs="宋体"/>
                      <w:kern w:val="0"/>
                      <w:sz w:val="24"/>
                      <w:highlight w:val="none"/>
                    </w:rPr>
                    <w:t>9.学生未进入课堂通知：支持在管理后台录入学生名单后，教师选择授课班级，学生在开课后输入个人姓名即可完成班级点名签到，当未签到人数低于6人时会自动显示未进入课堂的学生名单。</w:t>
                  </w:r>
                  <w:r>
                    <w:rPr>
                      <w:rFonts w:hint="eastAsia" w:ascii="宋体" w:hAnsi="宋体" w:cs="宋体"/>
                      <w:kern w:val="0"/>
                      <w:sz w:val="24"/>
                      <w:highlight w:val="none"/>
                    </w:rPr>
                    <w:br w:type="textWrapping"/>
                  </w:r>
                  <w:r>
                    <w:rPr>
                      <w:rFonts w:hint="eastAsia" w:ascii="宋体" w:hAnsi="宋体" w:cs="宋体"/>
                      <w:kern w:val="0"/>
                      <w:sz w:val="24"/>
                      <w:highlight w:val="none"/>
                    </w:rPr>
                    <w:t>10.切换课堂通知：当课堂通知大于或等于2条时，支持用户手动切换查看。</w:t>
                  </w:r>
                  <w:r>
                    <w:rPr>
                      <w:rFonts w:hint="eastAsia" w:ascii="宋体" w:hAnsi="宋体" w:cs="宋体"/>
                      <w:kern w:val="0"/>
                      <w:sz w:val="24"/>
                      <w:highlight w:val="none"/>
                    </w:rPr>
                    <w:br w:type="textWrapping"/>
                  </w:r>
                  <w:r>
                    <w:rPr>
                      <w:rFonts w:hint="eastAsia" w:ascii="宋体" w:hAnsi="宋体" w:cs="宋体"/>
                      <w:kern w:val="0"/>
                      <w:sz w:val="24"/>
                      <w:highlight w:val="none"/>
                    </w:rPr>
                    <w:t>▲11.教学白板课件同步：支持同步教学白板软件的课件内容，支持按照大小、更新时间进行排序，支持按照按照文件类型进行筛选。</w:t>
                  </w:r>
                  <w:r>
                    <w:rPr>
                      <w:rFonts w:hint="eastAsia" w:ascii="宋体" w:hAnsi="宋体" w:cs="宋体"/>
                      <w:kern w:val="0"/>
                      <w:sz w:val="24"/>
                      <w:highlight w:val="yellow"/>
                      <w:lang w:eastAsia="zh-CN"/>
                    </w:rPr>
                    <w:t>投标时提供证明材料，证明材料可以是功能截图或其他项目中标截图或厂家证明等</w:t>
                  </w:r>
                  <w:r>
                    <w:rPr>
                      <w:rFonts w:hint="eastAsia" w:ascii="宋体" w:hAnsi="宋体" w:cs="宋体"/>
                      <w:kern w:val="0"/>
                      <w:sz w:val="24"/>
                      <w:highlight w:val="none"/>
                      <w:lang w:eastAsia="zh-CN"/>
                    </w:rPr>
                    <w:t>。</w:t>
                  </w:r>
                  <w:r>
                    <w:rPr>
                      <w:rFonts w:hint="eastAsia" w:ascii="宋体" w:hAnsi="宋体" w:cs="宋体"/>
                      <w:kern w:val="0"/>
                      <w:sz w:val="24"/>
                      <w:highlight w:val="none"/>
                    </w:rPr>
                    <w:br w:type="textWrapping"/>
                  </w:r>
                  <w:r>
                    <w:rPr>
                      <w:rFonts w:hint="eastAsia" w:ascii="宋体" w:hAnsi="宋体" w:cs="宋体"/>
                      <w:kern w:val="0"/>
                      <w:sz w:val="24"/>
                      <w:highlight w:val="none"/>
                    </w:rPr>
                    <w:t>12.文件上传：支持上传“本地文件”到终端应用软件的教师云空间。</w:t>
                  </w:r>
                  <w:r>
                    <w:rPr>
                      <w:rFonts w:hint="eastAsia" w:ascii="宋体" w:hAnsi="宋体" w:cs="宋体"/>
                      <w:kern w:val="0"/>
                      <w:sz w:val="24"/>
                      <w:highlight w:val="none"/>
                    </w:rPr>
                    <w:br w:type="textWrapping"/>
                  </w:r>
                  <w:r>
                    <w:rPr>
                      <w:rFonts w:hint="eastAsia" w:ascii="宋体" w:hAnsi="宋体" w:cs="宋体"/>
                      <w:kern w:val="0"/>
                      <w:sz w:val="24"/>
                      <w:highlight w:val="none"/>
                    </w:rPr>
                    <w:t>▲13.文件共享：支持教师把云空间的文件批量共享给指定的多个授课班级，资料被删除后文件仍可重新下载。支持教师把已共享的资料进行取消共享。</w:t>
                  </w:r>
                  <w:r>
                    <w:rPr>
                      <w:rFonts w:hint="eastAsia" w:ascii="宋体" w:hAnsi="宋体" w:cs="宋体"/>
                      <w:kern w:val="0"/>
                      <w:sz w:val="24"/>
                      <w:highlight w:val="yellow"/>
                      <w:lang w:eastAsia="zh-CN"/>
                    </w:rPr>
                    <w:t>投标时提供证明材料，证明材料可以是功能截图或其他项目中标截图或厂家证明等</w:t>
                  </w:r>
                  <w:r>
                    <w:rPr>
                      <w:rFonts w:hint="eastAsia" w:ascii="宋体" w:hAnsi="宋体" w:cs="宋体"/>
                      <w:kern w:val="0"/>
                      <w:sz w:val="24"/>
                      <w:highlight w:val="none"/>
                      <w:lang w:eastAsia="zh-CN"/>
                    </w:rPr>
                    <w:t>。</w:t>
                  </w:r>
                  <w:r>
                    <w:rPr>
                      <w:rFonts w:hint="eastAsia" w:ascii="宋体" w:hAnsi="宋体" w:cs="宋体"/>
                      <w:kern w:val="0"/>
                      <w:sz w:val="24"/>
                      <w:highlight w:val="none"/>
                    </w:rPr>
                    <w:br w:type="textWrapping"/>
                  </w:r>
                  <w:r>
                    <w:rPr>
                      <w:rFonts w:hint="eastAsia" w:ascii="宋体" w:hAnsi="宋体" w:cs="宋体"/>
                      <w:kern w:val="0"/>
                      <w:sz w:val="24"/>
                      <w:highlight w:val="none"/>
                    </w:rPr>
                    <w:t>14.授课班级状态：当作业空间存在多个班级的时候，支持显示当前正在授课班级。</w:t>
                  </w:r>
                  <w:r>
                    <w:rPr>
                      <w:rFonts w:hint="eastAsia" w:ascii="宋体" w:hAnsi="宋体" w:cs="宋体"/>
                      <w:kern w:val="0"/>
                      <w:sz w:val="24"/>
                      <w:highlight w:val="none"/>
                    </w:rPr>
                    <w:br w:type="textWrapping"/>
                  </w:r>
                  <w:r>
                    <w:rPr>
                      <w:rFonts w:hint="eastAsia" w:ascii="宋体" w:hAnsi="宋体" w:cs="宋体"/>
                      <w:kern w:val="0"/>
                      <w:sz w:val="24"/>
                      <w:highlight w:val="none"/>
                    </w:rPr>
                    <w:t>15.文件查看：当开启需输入姓名进入课堂功能时，系统支持按照班级学生的姓名归档查看学生提交的作业文件。</w:t>
                  </w:r>
                  <w:r>
                    <w:rPr>
                      <w:rFonts w:hint="eastAsia" w:ascii="宋体" w:hAnsi="宋体" w:cs="宋体"/>
                      <w:kern w:val="0"/>
                      <w:sz w:val="24"/>
                      <w:highlight w:val="none"/>
                    </w:rPr>
                    <w:br w:type="textWrapping"/>
                  </w:r>
                  <w:r>
                    <w:rPr>
                      <w:rFonts w:hint="eastAsia" w:ascii="宋体" w:hAnsi="宋体" w:cs="宋体"/>
                      <w:kern w:val="0"/>
                      <w:sz w:val="24"/>
                      <w:highlight w:val="none"/>
                    </w:rPr>
                    <w:t>▲16.导入文件共享：支持教师直接把“我的文件”内容导入共享给班级学生。</w:t>
                  </w:r>
                  <w:r>
                    <w:rPr>
                      <w:rFonts w:hint="eastAsia" w:ascii="宋体" w:hAnsi="宋体" w:cs="宋体"/>
                      <w:kern w:val="0"/>
                      <w:sz w:val="24"/>
                      <w:highlight w:val="yellow"/>
                      <w:lang w:eastAsia="zh-CN"/>
                    </w:rPr>
                    <w:t>投标时提供证明材料，证明材料可以是功能截图或其他项目中标截图或厂家证明等</w:t>
                  </w:r>
                  <w:r>
                    <w:rPr>
                      <w:rFonts w:hint="eastAsia" w:ascii="宋体" w:hAnsi="宋体" w:cs="宋体"/>
                      <w:kern w:val="0"/>
                      <w:sz w:val="24"/>
                      <w:highlight w:val="none"/>
                      <w:lang w:eastAsia="zh-CN"/>
                    </w:rPr>
                    <w:t>。</w:t>
                  </w:r>
                  <w:r>
                    <w:rPr>
                      <w:rFonts w:hint="eastAsia" w:ascii="宋体" w:hAnsi="宋体" w:cs="宋体"/>
                      <w:kern w:val="0"/>
                      <w:sz w:val="24"/>
                      <w:highlight w:val="none"/>
                    </w:rPr>
                    <w:br w:type="textWrapping"/>
                  </w:r>
                  <w:r>
                    <w:rPr>
                      <w:rFonts w:hint="eastAsia" w:ascii="宋体" w:hAnsi="宋体" w:cs="宋体"/>
                      <w:kern w:val="0"/>
                      <w:sz w:val="24"/>
                    </w:rPr>
                    <w:t>17.黑屏管控：教师可以选定学生执行黑屏操作。</w:t>
                  </w:r>
                  <w:r>
                    <w:rPr>
                      <w:rFonts w:hint="eastAsia" w:ascii="宋体" w:hAnsi="宋体" w:cs="宋体"/>
                      <w:kern w:val="0"/>
                      <w:sz w:val="24"/>
                    </w:rPr>
                    <w:br w:type="textWrapping"/>
                  </w:r>
                  <w:r>
                    <w:rPr>
                      <w:rFonts w:hint="eastAsia" w:ascii="宋体" w:hAnsi="宋体" w:cs="宋体"/>
                      <w:kern w:val="0"/>
                      <w:sz w:val="24"/>
                    </w:rPr>
                    <w:t>18.离线自动黑屏：支持教师统一配置授课是否开启离线黑屏。</w:t>
                  </w:r>
                </w:p>
              </w:tc>
            </w:tr>
            <w:tr>
              <w:tblPrEx>
                <w:tblCellMar>
                  <w:top w:w="0" w:type="dxa"/>
                  <w:left w:w="108" w:type="dxa"/>
                  <w:bottom w:w="0" w:type="dxa"/>
                  <w:right w:w="108" w:type="dxa"/>
                </w:tblCellMar>
              </w:tblPrEx>
              <w:trPr>
                <w:trHeight w:val="711" w:hRule="atLeast"/>
              </w:trPr>
              <w:tc>
                <w:tcPr>
                  <w:tcW w:w="663" w:type="dxa"/>
                  <w:tcBorders>
                    <w:top w:val="single" w:color="auto" w:sz="4" w:space="0"/>
                    <w:left w:val="single" w:color="auto" w:sz="4" w:space="0"/>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kern w:val="0"/>
                      <w:sz w:val="24"/>
                    </w:rPr>
                  </w:pPr>
                  <w:r>
                    <w:rPr>
                      <w:rFonts w:hint="eastAsia" w:ascii="宋体" w:hAnsi="宋体" w:cs="宋体"/>
                      <w:kern w:val="0"/>
                      <w:sz w:val="24"/>
                    </w:rPr>
                    <w:t>云桌面机房运维管理系统</w:t>
                  </w:r>
                </w:p>
              </w:tc>
              <w:tc>
                <w:tcPr>
                  <w:tcW w:w="564" w:type="dxa"/>
                  <w:tcBorders>
                    <w:top w:val="single" w:color="auto" w:sz="4" w:space="0"/>
                    <w:left w:val="single" w:color="auto" w:sz="4" w:space="0"/>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2</w:t>
                  </w:r>
                </w:p>
              </w:tc>
              <w:tc>
                <w:tcPr>
                  <w:tcW w:w="564" w:type="dxa"/>
                  <w:tcBorders>
                    <w:top w:val="single" w:color="auto" w:sz="4" w:space="0"/>
                    <w:left w:val="single" w:color="auto" w:sz="4" w:space="0"/>
                    <w:bottom w:val="single" w:color="auto" w:sz="4" w:space="0"/>
                    <w:right w:val="single" w:color="auto" w:sz="4" w:space="0"/>
                  </w:tcBorders>
                  <w:vAlign w:val="center"/>
                </w:tcPr>
                <w:p>
                  <w:pPr>
                    <w:widowControl/>
                    <w:adjustRightInd/>
                    <w:jc w:val="center"/>
                    <w:rPr>
                      <w:rFonts w:hint="eastAsia" w:ascii="宋体" w:hAnsi="宋体" w:cs="宋体"/>
                      <w:kern w:val="0"/>
                      <w:sz w:val="24"/>
                    </w:rPr>
                  </w:pPr>
                  <w:r>
                    <w:rPr>
                      <w:rFonts w:hint="eastAsia" w:ascii="宋体" w:hAnsi="宋体" w:cs="宋体"/>
                      <w:kern w:val="0"/>
                      <w:sz w:val="24"/>
                    </w:rPr>
                    <w:t>套</w:t>
                  </w:r>
                </w:p>
              </w:tc>
              <w:tc>
                <w:tcPr>
                  <w:tcW w:w="6911"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kern w:val="0"/>
                      <w:sz w:val="24"/>
                    </w:rPr>
                  </w:pPr>
                  <w:r>
                    <w:rPr>
                      <w:rFonts w:hint="eastAsia" w:ascii="宋体" w:hAnsi="宋体" w:cs="宋体"/>
                      <w:kern w:val="0"/>
                      <w:sz w:val="24"/>
                    </w:rPr>
                    <w:t>（一）系统设计</w:t>
                  </w:r>
                  <w:r>
                    <w:rPr>
                      <w:rFonts w:hint="eastAsia" w:ascii="宋体" w:hAnsi="宋体" w:cs="宋体"/>
                      <w:kern w:val="0"/>
                      <w:sz w:val="24"/>
                    </w:rPr>
                    <w:br w:type="textWrapping"/>
                  </w:r>
                  <w:r>
                    <w:rPr>
                      <w:rFonts w:hint="eastAsia" w:ascii="宋体" w:hAnsi="宋体" w:cs="宋体"/>
                      <w:kern w:val="0"/>
                      <w:sz w:val="24"/>
                    </w:rPr>
                    <w:t>1.在配置管理平台使用终端设备时，支持多种身份识别方式。</w:t>
                  </w:r>
                  <w:r>
                    <w:rPr>
                      <w:rFonts w:hint="eastAsia" w:ascii="宋体" w:hAnsi="宋体" w:cs="宋体"/>
                      <w:kern w:val="0"/>
                      <w:sz w:val="24"/>
                    </w:rPr>
                    <w:br w:type="textWrapping"/>
                  </w:r>
                  <w:r>
                    <w:rPr>
                      <w:rFonts w:hint="eastAsia" w:ascii="宋体" w:hAnsi="宋体" w:cs="宋体"/>
                      <w:kern w:val="0"/>
                      <w:sz w:val="24"/>
                    </w:rPr>
                    <w:t>★2.支持通过账号登录、手机扫码登录、无账号访客登录。</w:t>
                  </w:r>
                  <w:r>
                    <w:rPr>
                      <w:rFonts w:hint="eastAsia" w:ascii="宋体" w:hAnsi="宋体" w:cs="宋体"/>
                      <w:kern w:val="0"/>
                      <w:sz w:val="24"/>
                    </w:rPr>
                    <w:br w:type="textWrapping"/>
                  </w:r>
                  <w:r>
                    <w:rPr>
                      <w:rFonts w:hint="eastAsia" w:ascii="宋体" w:hAnsi="宋体" w:cs="宋体"/>
                      <w:kern w:val="0"/>
                      <w:sz w:val="24"/>
                    </w:rPr>
                    <w:t>★3.支持断网使用，即在终端设备网络中断或管理平台连接中断时，正在操作的教学业务不受影响，依然可使用当前云桌面镜像继续开展业务，打开的程序也不会中断，保障业务连续性。</w:t>
                  </w:r>
                  <w:r>
                    <w:rPr>
                      <w:rFonts w:hint="eastAsia" w:ascii="宋体" w:hAnsi="宋体" w:cs="宋体"/>
                      <w:kern w:val="0"/>
                      <w:sz w:val="24"/>
                    </w:rPr>
                    <w:br w:type="textWrapping"/>
                  </w:r>
                  <w:r>
                    <w:rPr>
                      <w:rFonts w:hint="eastAsia" w:ascii="宋体" w:hAnsi="宋体" w:cs="宋体"/>
                      <w:kern w:val="0"/>
                      <w:sz w:val="24"/>
                    </w:rPr>
                    <w:t>★4.账号互通：在配置管理平台使用终端设备时，支持统一互通的用户身份认证服务，账号登录进入云桌面镜像后，打开教学白板软件、学生行为评价软件的教学应用工具时无需再次输入账号密码重复登录。</w:t>
                  </w:r>
                  <w:r>
                    <w:rPr>
                      <w:rFonts w:hint="eastAsia" w:ascii="宋体" w:hAnsi="宋体" w:cs="宋体"/>
                      <w:kern w:val="0"/>
                      <w:sz w:val="24"/>
                    </w:rPr>
                    <w:br w:type="textWrapping"/>
                  </w:r>
                  <w:r>
                    <w:rPr>
                      <w:rFonts w:hint="eastAsia" w:ascii="宋体" w:hAnsi="宋体" w:cs="宋体"/>
                      <w:kern w:val="0"/>
                      <w:sz w:val="24"/>
                    </w:rPr>
                    <w:t>5.支持终端设备运行时无需运行独立的虚拟化系统，终端设备配置的IP与进入云桌面镜像后的IP能够保持一致，同一个终端无需使用多个IP，简化运维管理与网络规划复杂度。</w:t>
                  </w:r>
                  <w:r>
                    <w:rPr>
                      <w:rFonts w:hint="eastAsia" w:ascii="宋体" w:hAnsi="宋体" w:cs="宋体"/>
                      <w:kern w:val="0"/>
                      <w:sz w:val="24"/>
                    </w:rPr>
                    <w:br w:type="textWrapping"/>
                  </w:r>
                  <w:r>
                    <w:rPr>
                      <w:rFonts w:hint="eastAsia" w:ascii="宋体" w:hAnsi="宋体" w:cs="宋体"/>
                      <w:kern w:val="0"/>
                      <w:sz w:val="24"/>
                    </w:rPr>
                    <w:t>6.支持在终端设备部署多个云桌面镜像切换使用，支持Windows、UOS、KylinOS、Ubuntu等桌面操作系统的云桌面镜像支持国产化操作系统的使用，</w:t>
                  </w:r>
                  <w:r>
                    <w:rPr>
                      <w:rFonts w:hint="eastAsia" w:ascii="宋体" w:hAnsi="宋体" w:cs="宋体"/>
                      <w:kern w:val="0"/>
                      <w:sz w:val="24"/>
                      <w:lang w:eastAsia="zh-CN"/>
                    </w:rPr>
                    <w:t>证明材料可以是</w:t>
                  </w:r>
                  <w:r>
                    <w:rPr>
                      <w:rFonts w:hint="eastAsia" w:ascii="宋体" w:hAnsi="宋体" w:cs="宋体"/>
                      <w:kern w:val="0"/>
                      <w:sz w:val="24"/>
                    </w:rPr>
                    <w:t>UOS、银河麒麟。</w:t>
                  </w:r>
                  <w:r>
                    <w:rPr>
                      <w:rFonts w:hint="eastAsia" w:ascii="宋体" w:hAnsi="宋体" w:cs="宋体"/>
                      <w:kern w:val="0"/>
                      <w:sz w:val="24"/>
                    </w:rPr>
                    <w:br w:type="textWrapping"/>
                  </w:r>
                  <w:r>
                    <w:rPr>
                      <w:rFonts w:hint="eastAsia" w:ascii="宋体" w:hAnsi="宋体" w:cs="宋体"/>
                      <w:kern w:val="0"/>
                      <w:sz w:val="24"/>
                    </w:rPr>
                    <w:t>7.支持在无法进入操作系统的情况下，快速恢复操作系统的使用，无需依赖网络、服务器、以及还原类软件。</w:t>
                  </w:r>
                  <w:r>
                    <w:rPr>
                      <w:rFonts w:hint="eastAsia" w:ascii="宋体" w:hAnsi="宋体" w:cs="宋体"/>
                      <w:kern w:val="0"/>
                      <w:sz w:val="24"/>
                    </w:rPr>
                    <w:br w:type="textWrapping"/>
                  </w:r>
                  <w:r>
                    <w:rPr>
                      <w:rFonts w:hint="eastAsia" w:ascii="宋体" w:hAnsi="宋体" w:cs="宋体"/>
                      <w:kern w:val="0"/>
                      <w:sz w:val="24"/>
                    </w:rPr>
                    <w:t>8.支持包括Windows、统信、麒麟云桌面镜像，在对应云桌面镜像系统中查看设备的CPU型号、GPU型号、系统型号、BIOS版本等系统信息显示与终端物理设备一致。</w:t>
                  </w:r>
                  <w:r>
                    <w:rPr>
                      <w:rFonts w:hint="eastAsia" w:ascii="宋体" w:hAnsi="宋体" w:cs="宋体"/>
                      <w:kern w:val="0"/>
                      <w:sz w:val="24"/>
                    </w:rPr>
                    <w:br w:type="textWrapping"/>
                  </w:r>
                  <w:r>
                    <w:rPr>
                      <w:rFonts w:hint="eastAsia" w:ascii="宋体" w:hAnsi="宋体" w:cs="宋体"/>
                      <w:kern w:val="0"/>
                      <w:sz w:val="24"/>
                    </w:rPr>
                    <w:t>9.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r>
                    <w:rPr>
                      <w:rFonts w:hint="eastAsia" w:ascii="宋体" w:hAnsi="宋体" w:cs="宋体"/>
                      <w:kern w:val="0"/>
                      <w:sz w:val="24"/>
                    </w:rPr>
                    <w:br w:type="textWrapping"/>
                  </w:r>
                  <w:r>
                    <w:rPr>
                      <w:rFonts w:hint="eastAsia" w:ascii="宋体" w:hAnsi="宋体" w:cs="宋体"/>
                      <w:kern w:val="0"/>
                      <w:sz w:val="24"/>
                    </w:rPr>
                    <w:t>（二）管理平台设计</w:t>
                  </w:r>
                  <w:r>
                    <w:rPr>
                      <w:rFonts w:hint="eastAsia" w:ascii="宋体" w:hAnsi="宋体" w:cs="宋体"/>
                      <w:kern w:val="0"/>
                      <w:sz w:val="24"/>
                    </w:rPr>
                    <w:br w:type="textWrapping"/>
                  </w:r>
                  <w:r>
                    <w:rPr>
                      <w:rFonts w:hint="eastAsia" w:ascii="宋体" w:hAnsi="宋体" w:cs="宋体"/>
                      <w:kern w:val="0"/>
                      <w:sz w:val="24"/>
                    </w:rPr>
                    <w:t>1. 管理平台采用B/S架构，中文图形化操作界面；无需本地额外部署服务器等设备，通过浏览器打开即可运维管理云桌面终端设备，支持手机扫码登录/账号密码登录完成鉴权。</w:t>
                  </w:r>
                  <w:r>
                    <w:rPr>
                      <w:rFonts w:hint="eastAsia" w:ascii="宋体" w:hAnsi="宋体" w:cs="宋体"/>
                      <w:kern w:val="0"/>
                      <w:sz w:val="24"/>
                    </w:rPr>
                    <w:br w:type="textWrapping"/>
                  </w:r>
                  <w:r>
                    <w:rPr>
                      <w:rFonts w:hint="eastAsia" w:ascii="宋体" w:hAnsi="宋体" w:cs="宋体"/>
                      <w:kern w:val="0"/>
                      <w:sz w:val="24"/>
                    </w:rPr>
                    <w:t>★2. 具备基于广域网统一纳管多分支机构云桌面的能力，支持三层网络、多校区等复杂网络环境安装。</w:t>
                  </w:r>
                  <w:r>
                    <w:rPr>
                      <w:rFonts w:hint="eastAsia" w:ascii="宋体" w:hAnsi="宋体" w:cs="宋体"/>
                      <w:kern w:val="0"/>
                      <w:sz w:val="24"/>
                    </w:rPr>
                    <w:br w:type="textWrapping"/>
                  </w:r>
                  <w:r>
                    <w:rPr>
                      <w:rFonts w:hint="eastAsia" w:ascii="宋体" w:hAnsi="宋体" w:cs="宋体"/>
                      <w:kern w:val="0"/>
                      <w:sz w:val="24"/>
                    </w:rPr>
                    <w:t>3. 基于Web浏览器，提供用户统一登录认证功能，包括：手机号码注册、登录、忘记密码、扫码登录、账号管理功能。</w:t>
                  </w:r>
                  <w:r>
                    <w:rPr>
                      <w:rFonts w:hint="eastAsia" w:ascii="宋体" w:hAnsi="宋体" w:cs="宋体"/>
                      <w:kern w:val="0"/>
                      <w:sz w:val="24"/>
                    </w:rPr>
                    <w:br w:type="textWrapping"/>
                  </w:r>
                  <w:r>
                    <w:rPr>
                      <w:rFonts w:hint="eastAsia" w:ascii="宋体" w:hAnsi="宋体" w:cs="宋体"/>
                      <w:kern w:val="0"/>
                      <w:sz w:val="24"/>
                    </w:rPr>
                    <w:t>4.支持PC终端设备与云桌面终端设备统一管理，支持在同一个设备分组中添加不同类型的PC和云桌面设备，并支持对选择的PC和云桌面设备的批量操作。</w:t>
                  </w:r>
                  <w:r>
                    <w:rPr>
                      <w:rFonts w:hint="eastAsia" w:ascii="宋体" w:hAnsi="宋体" w:cs="宋体"/>
                      <w:kern w:val="0"/>
                      <w:sz w:val="24"/>
                    </w:rPr>
                    <w:br w:type="textWrapping"/>
                  </w:r>
                  <w:r>
                    <w:rPr>
                      <w:rFonts w:hint="eastAsia" w:ascii="宋体" w:hAnsi="宋体" w:cs="宋体"/>
                      <w:kern w:val="0"/>
                      <w:sz w:val="24"/>
                    </w:rPr>
                    <w:t>5.支持查看全部设备和分组下设备的运行状态，包括CPU、内存、磁盘的使用率，CPU温度，实时上下行网速与上下行网络流量。</w:t>
                  </w:r>
                  <w:r>
                    <w:rPr>
                      <w:rFonts w:hint="eastAsia" w:ascii="宋体" w:hAnsi="宋体" w:cs="宋体"/>
                      <w:kern w:val="0"/>
                      <w:sz w:val="24"/>
                    </w:rPr>
                    <w:br w:type="textWrapping"/>
                  </w:r>
                  <w:r>
                    <w:rPr>
                      <w:rFonts w:hint="eastAsia" w:ascii="宋体" w:hAnsi="宋体" w:cs="宋体"/>
                      <w:kern w:val="0"/>
                      <w:sz w:val="24"/>
                    </w:rPr>
                    <w:t>6.硬件资产管理：收集平台中所有云桌面终端和PC终端的硬件配置与状态信息，包括终端名称、主板型号、CPU型号、内存容量、最近运行时间、硬盘信息等。</w:t>
                  </w:r>
                  <w:r>
                    <w:rPr>
                      <w:rFonts w:hint="eastAsia" w:ascii="宋体" w:hAnsi="宋体" w:cs="宋体"/>
                      <w:kern w:val="0"/>
                      <w:sz w:val="24"/>
                    </w:rPr>
                    <w:br w:type="textWrapping"/>
                  </w:r>
                  <w:r>
                    <w:rPr>
                      <w:rFonts w:hint="eastAsia" w:ascii="宋体" w:hAnsi="宋体" w:cs="宋体"/>
                      <w:kern w:val="0"/>
                      <w:sz w:val="24"/>
                    </w:rPr>
                    <w:t>7. 支持终端发现，无需安装插件或程序，仅通过浏览器即可扫描局域网内可访问互联网的终端设备进行批量配置，包括关联学校、关联分组、设置名称、配置网络。</w:t>
                  </w:r>
                  <w:r>
                    <w:rPr>
                      <w:rFonts w:hint="eastAsia" w:ascii="宋体" w:hAnsi="宋体" w:cs="宋体"/>
                      <w:kern w:val="0"/>
                      <w:sz w:val="24"/>
                    </w:rPr>
                    <w:br w:type="textWrapping"/>
                  </w:r>
                  <w:r>
                    <w:rPr>
                      <w:rFonts w:hint="eastAsia" w:ascii="宋体" w:hAnsi="宋体" w:cs="宋体"/>
                      <w:kern w:val="0"/>
                      <w:sz w:val="24"/>
                    </w:rPr>
                    <w:t>★8. 支持增强终端发现，安装插件后通过浏览器即可扫描局域网内不可访问互联网的终端设备进行批量配置，包括关联学校、关联分组、设置名称、配置网络</w:t>
                  </w:r>
                  <w:r>
                    <w:rPr>
                      <w:rFonts w:hint="eastAsia" w:ascii="宋体" w:hAnsi="宋体" w:cs="宋体"/>
                      <w:kern w:val="0"/>
                      <w:sz w:val="24"/>
                      <w:lang w:eastAsia="zh-CN"/>
                    </w:rPr>
                    <w:t>。</w:t>
                  </w:r>
                  <w:r>
                    <w:rPr>
                      <w:rFonts w:hint="eastAsia" w:ascii="宋体" w:hAnsi="宋体" w:cs="宋体"/>
                      <w:kern w:val="0"/>
                      <w:sz w:val="24"/>
                    </w:rPr>
                    <w:br w:type="textWrapping"/>
                  </w:r>
                  <w:r>
                    <w:rPr>
                      <w:rFonts w:hint="eastAsia" w:ascii="宋体" w:hAnsi="宋体" w:cs="宋体"/>
                      <w:kern w:val="0"/>
                      <w:sz w:val="24"/>
                    </w:rPr>
                    <w:t>9.支持远程管理终端设备，通过管理平台进行开机、关机、重启、还原、初始化、删除、配置更改、硬件信息查看、桌面运行状态查看等。</w:t>
                  </w:r>
                  <w:r>
                    <w:rPr>
                      <w:rFonts w:hint="eastAsia" w:ascii="宋体" w:hAnsi="宋体" w:cs="宋体"/>
                      <w:kern w:val="0"/>
                      <w:sz w:val="24"/>
                    </w:rPr>
                    <w:br w:type="textWrapping"/>
                  </w:r>
                  <w:r>
                    <w:rPr>
                      <w:rFonts w:hint="eastAsia" w:ascii="宋体" w:hAnsi="宋体" w:cs="宋体"/>
                      <w:kern w:val="0"/>
                      <w:sz w:val="24"/>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r>
                    <w:rPr>
                      <w:rFonts w:hint="eastAsia" w:ascii="宋体" w:hAnsi="宋体" w:cs="宋体"/>
                      <w:kern w:val="0"/>
                      <w:sz w:val="24"/>
                    </w:rPr>
                    <w:br w:type="textWrapping"/>
                  </w:r>
                  <w:r>
                    <w:rPr>
                      <w:rFonts w:hint="eastAsia" w:ascii="宋体" w:hAnsi="宋体" w:cs="宋体"/>
                      <w:kern w:val="0"/>
                      <w:sz w:val="24"/>
                    </w:rPr>
                    <w:t>11.支持终端设备分组管理，支持在终端组中添加不同型号的终端设备，支持为分组启用座位编号管理。</w:t>
                  </w:r>
                  <w:r>
                    <w:rPr>
                      <w:rFonts w:hint="eastAsia" w:ascii="宋体" w:hAnsi="宋体" w:cs="宋体"/>
                      <w:kern w:val="0"/>
                      <w:sz w:val="24"/>
                    </w:rPr>
                    <w:br w:type="textWrapping"/>
                  </w:r>
                  <w:r>
                    <w:rPr>
                      <w:rFonts w:hint="eastAsia" w:ascii="宋体" w:hAnsi="宋体" w:cs="宋体"/>
                      <w:kern w:val="0"/>
                      <w:sz w:val="24"/>
                    </w:rPr>
                    <w:t>12.支持批量修改计算机名、IP地址；支持对使用Windows系统的终端，统一设置群组的计算机名，也支持单独设置群组内某一终端的计算机名。</w:t>
                  </w:r>
                  <w:r>
                    <w:rPr>
                      <w:rFonts w:hint="eastAsia" w:ascii="宋体" w:hAnsi="宋体" w:cs="宋体"/>
                      <w:kern w:val="0"/>
                      <w:sz w:val="24"/>
                    </w:rPr>
                    <w:br w:type="textWrapping"/>
                  </w:r>
                  <w:r>
                    <w:rPr>
                      <w:rFonts w:hint="eastAsia" w:ascii="宋体" w:hAnsi="宋体" w:cs="宋体"/>
                      <w:kern w:val="0"/>
                      <w:sz w:val="24"/>
                    </w:rPr>
                    <w:t>▲13.支持终端批量配置，通过管理平台批量修改终端设备的所属组织（学校、校区）、设备名称、网络IP、上电自启BIOS配置、时间自动同步等设置，无需逐台配置</w:t>
                  </w:r>
                  <w:r>
                    <w:rPr>
                      <w:rFonts w:hint="eastAsia" w:ascii="宋体" w:hAnsi="宋体" w:cs="宋体"/>
                      <w:kern w:val="0"/>
                      <w:sz w:val="24"/>
                      <w:highlight w:val="none"/>
                    </w:rPr>
                    <w:t>。</w:t>
                  </w:r>
                  <w:r>
                    <w:rPr>
                      <w:rFonts w:hint="eastAsia" w:ascii="宋体" w:hAnsi="宋体" w:cs="宋体"/>
                      <w:kern w:val="0"/>
                      <w:sz w:val="24"/>
                      <w:highlight w:val="yellow"/>
                      <w:lang w:eastAsia="zh-CN"/>
                    </w:rPr>
                    <w:t>投标时提供证明材料，证明材料可以是功能截图或其他项目中标截图或厂家证明等</w:t>
                  </w:r>
                  <w:r>
                    <w:rPr>
                      <w:rFonts w:hint="eastAsia" w:ascii="宋体" w:hAnsi="宋体" w:cs="宋体"/>
                      <w:kern w:val="0"/>
                      <w:sz w:val="24"/>
                      <w:highlight w:val="none"/>
                    </w:rPr>
                    <w:br w:type="textWrapping"/>
                  </w:r>
                  <w:r>
                    <w:rPr>
                      <w:rFonts w:hint="eastAsia" w:ascii="宋体" w:hAnsi="宋体" w:cs="宋体"/>
                      <w:kern w:val="0"/>
                      <w:sz w:val="24"/>
                    </w:rPr>
                    <w:t>14.支持日志信息管理，对终端、镜像等操作信息进行汇总，方便对常见问题的判断追查；支持保留桌面下发记录，包括终端名称，镜像名称，状态等信息。</w:t>
                  </w:r>
                  <w:r>
                    <w:rPr>
                      <w:rFonts w:hint="eastAsia" w:ascii="宋体" w:hAnsi="宋体" w:cs="宋体"/>
                      <w:kern w:val="0"/>
                      <w:sz w:val="24"/>
                    </w:rPr>
                    <w:br w:type="textWrapping"/>
                  </w:r>
                  <w:r>
                    <w:rPr>
                      <w:rFonts w:hint="eastAsia" w:ascii="宋体" w:hAnsi="宋体" w:cs="宋体"/>
                      <w:kern w:val="0"/>
                      <w:sz w:val="24"/>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r>
                    <w:rPr>
                      <w:rFonts w:hint="eastAsia" w:ascii="宋体" w:hAnsi="宋体" w:cs="宋体"/>
                      <w:kern w:val="0"/>
                      <w:sz w:val="24"/>
                    </w:rPr>
                    <w:br w:type="textWrapping"/>
                  </w:r>
                  <w:r>
                    <w:rPr>
                      <w:rFonts w:hint="eastAsia" w:ascii="宋体" w:hAnsi="宋体" w:cs="宋体"/>
                      <w:kern w:val="0"/>
                      <w:sz w:val="24"/>
                    </w:rPr>
                    <w:t>16.支持通过账号登录、手机扫码登录、无账号访客登录启动的云桌面镜像均可访问公共数据分区（D盘）。</w:t>
                  </w:r>
                  <w:r>
                    <w:rPr>
                      <w:rFonts w:hint="eastAsia" w:ascii="宋体" w:hAnsi="宋体" w:cs="宋体"/>
                      <w:kern w:val="0"/>
                      <w:sz w:val="24"/>
                    </w:rPr>
                    <w:br w:type="textWrapping"/>
                  </w:r>
                  <w:r>
                    <w:rPr>
                      <w:rFonts w:hint="eastAsia" w:ascii="宋体" w:hAnsi="宋体" w:cs="宋体"/>
                      <w:kern w:val="0"/>
                      <w:sz w:val="24"/>
                    </w:rPr>
                    <w:t>17.支持终端云桌面系统升级，开启自动升级后，终端自动下载最新的终端版本并升级安装</w:t>
                  </w:r>
                  <w:r>
                    <w:rPr>
                      <w:rFonts w:hint="eastAsia" w:ascii="宋体" w:hAnsi="宋体" w:cs="宋体"/>
                      <w:kern w:val="0"/>
                      <w:sz w:val="24"/>
                    </w:rPr>
                    <w:br w:type="textWrapping"/>
                  </w:r>
                  <w:r>
                    <w:rPr>
                      <w:rFonts w:hint="eastAsia" w:ascii="宋体" w:hAnsi="宋体" w:cs="宋体"/>
                      <w:kern w:val="0"/>
                      <w:sz w:val="24"/>
                    </w:rPr>
                    <w:t>18.可由管理平台指定启动镜像且多个镜像系统环境可快速切换。</w:t>
                  </w:r>
                  <w:r>
                    <w:rPr>
                      <w:rFonts w:hint="eastAsia" w:ascii="宋体" w:hAnsi="宋体" w:cs="宋体"/>
                      <w:kern w:val="0"/>
                      <w:sz w:val="24"/>
                    </w:rPr>
                    <w:br w:type="textWrapping"/>
                  </w:r>
                  <w:r>
                    <w:rPr>
                      <w:rFonts w:hint="eastAsia" w:ascii="宋体" w:hAnsi="宋体" w:cs="宋体"/>
                      <w:kern w:val="0"/>
                      <w:sz w:val="24"/>
                    </w:rPr>
                    <w:t>19.支持远程还原终端设备，在终端设备在云桌面镜像系统无法启动、系统异常时，可远程操作系统恢复；同时可选清空终端设备的公共数据分区（D盘）的数据。</w:t>
                  </w:r>
                  <w:r>
                    <w:rPr>
                      <w:rFonts w:hint="eastAsia" w:ascii="宋体" w:hAnsi="宋体" w:cs="宋体"/>
                      <w:kern w:val="0"/>
                      <w:sz w:val="24"/>
                    </w:rPr>
                    <w:br w:type="textWrapping"/>
                  </w:r>
                  <w:r>
                    <w:rPr>
                      <w:rFonts w:hint="eastAsia" w:ascii="宋体" w:hAnsi="宋体" w:cs="宋体"/>
                      <w:kern w:val="0"/>
                      <w:sz w:val="24"/>
                    </w:rPr>
                    <w:t>20.支持配置终端设备的使用方式统一配置，可配置成开机自动启动云桌面镜像或进入云桌面系统。</w:t>
                  </w:r>
                  <w:r>
                    <w:rPr>
                      <w:rFonts w:hint="eastAsia" w:ascii="宋体" w:hAnsi="宋体" w:cs="宋体"/>
                      <w:kern w:val="0"/>
                      <w:sz w:val="24"/>
                    </w:rPr>
                    <w:br w:type="textWrapping"/>
                  </w:r>
                  <w:r>
                    <w:rPr>
                      <w:rFonts w:hint="eastAsia" w:ascii="宋体" w:hAnsi="宋体" w:cs="宋体"/>
                      <w:kern w:val="0"/>
                      <w:sz w:val="24"/>
                    </w:rPr>
                    <w:t>★21.支持配置终端设备使用鉴权方式统一配置，可配置成仅使用无账号登录、仅使用有账号登录、同时启用两种登录方式，支持同时配置不同登录方式的还原设置。</w:t>
                  </w:r>
                  <w:r>
                    <w:rPr>
                      <w:rFonts w:hint="eastAsia" w:ascii="宋体" w:hAnsi="宋体" w:cs="宋体"/>
                      <w:kern w:val="0"/>
                      <w:sz w:val="24"/>
                    </w:rPr>
                    <w:br w:type="textWrapping"/>
                  </w:r>
                  <w:r>
                    <w:rPr>
                      <w:rFonts w:hint="eastAsia" w:ascii="宋体" w:hAnsi="宋体" w:cs="宋体"/>
                      <w:kern w:val="0"/>
                      <w:sz w:val="24"/>
                    </w:rPr>
                    <w:t>22.支持分别配置无账号登录、有账号登录方式的还原模式，开启还原后终端设备的云桌面镜像系统的使用记录与数据将不被保留。</w:t>
                  </w:r>
                  <w:r>
                    <w:rPr>
                      <w:rFonts w:hint="eastAsia" w:ascii="宋体" w:hAnsi="宋体" w:cs="宋体"/>
                      <w:kern w:val="0"/>
                      <w:sz w:val="24"/>
                    </w:rPr>
                    <w:br w:type="textWrapping"/>
                  </w:r>
                  <w:r>
                    <w:rPr>
                      <w:rFonts w:hint="eastAsia" w:ascii="宋体" w:hAnsi="宋体" w:cs="宋体"/>
                      <w:kern w:val="0"/>
                      <w:sz w:val="24"/>
                    </w:rPr>
                    <w:t>23.支持策略生命周期管理，包括新建、删除、启用、停用。</w:t>
                  </w:r>
                  <w:r>
                    <w:rPr>
                      <w:rFonts w:hint="eastAsia" w:ascii="宋体" w:hAnsi="宋体" w:cs="宋体"/>
                      <w:kern w:val="0"/>
                      <w:sz w:val="24"/>
                    </w:rPr>
                    <w:br w:type="textWrapping"/>
                  </w:r>
                  <w:r>
                    <w:rPr>
                      <w:rFonts w:hint="eastAsia" w:ascii="宋体" w:hAnsi="宋体" w:cs="宋体"/>
                      <w:kern w:val="0"/>
                      <w:sz w:val="24"/>
                    </w:rPr>
                    <w:t>24.支持设备计划关机，支持按照全部设备、指定分组、指定设备，设置终端关机操作，并可设置某时间单次执行或周期循环执行。</w:t>
                  </w:r>
                  <w:r>
                    <w:rPr>
                      <w:rFonts w:hint="eastAsia" w:ascii="宋体" w:hAnsi="宋体" w:cs="宋体"/>
                      <w:kern w:val="0"/>
                      <w:sz w:val="24"/>
                    </w:rPr>
                    <w:br w:type="textWrapping"/>
                  </w:r>
                  <w:r>
                    <w:rPr>
                      <w:rFonts w:hint="eastAsia" w:ascii="宋体" w:hAnsi="宋体" w:cs="宋体"/>
                      <w:kern w:val="0"/>
                      <w:sz w:val="24"/>
                    </w:rPr>
                    <w:t>25.支持一键打开管理平台的帮助手册。</w:t>
                  </w:r>
                  <w:r>
                    <w:rPr>
                      <w:rFonts w:hint="eastAsia" w:ascii="宋体" w:hAnsi="宋体" w:cs="宋体"/>
                      <w:kern w:val="0"/>
                      <w:sz w:val="24"/>
                    </w:rPr>
                    <w:br w:type="textWrapping"/>
                  </w:r>
                  <w:r>
                    <w:rPr>
                      <w:rFonts w:hint="eastAsia" w:ascii="宋体" w:hAnsi="宋体" w:cs="宋体"/>
                      <w:kern w:val="0"/>
                      <w:sz w:val="24"/>
                    </w:rPr>
                    <w:t>26.提供组织管理员管理功能，包括：管理员添加、移除和转移，同时支持设置管理员的管理权限，包括：组织管理，系统管理员管理，角色权限，工作台配置，应用管理，区域语言和操作日志。</w:t>
                  </w:r>
                  <w:r>
                    <w:rPr>
                      <w:rFonts w:hint="eastAsia" w:ascii="宋体" w:hAnsi="宋体" w:cs="宋体"/>
                      <w:kern w:val="0"/>
                      <w:sz w:val="24"/>
                    </w:rPr>
                    <w:br w:type="textWrapping"/>
                  </w:r>
                  <w:r>
                    <w:rPr>
                      <w:rFonts w:hint="eastAsia" w:ascii="宋体" w:hAnsi="宋体" w:cs="宋体"/>
                      <w:kern w:val="0"/>
                      <w:sz w:val="24"/>
                    </w:rPr>
                    <w:t>★27.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tc>
            </w:tr>
          </w:tbl>
          <w:p>
            <w:pPr>
              <w:widowControl/>
              <w:adjustRightInd/>
              <w:spacing w:line="480" w:lineRule="exact"/>
              <w:jc w:val="center"/>
              <w:textAlignment w:val="center"/>
              <w:rPr>
                <w:rFonts w:cs="宋体" w:asciiTheme="minorEastAsia" w:hAnsiTheme="minorEastAsia" w:eastAsiaTheme="minorEastAsia"/>
                <w:bCs/>
                <w:color w:val="000000"/>
                <w:kern w:val="0"/>
                <w:sz w:val="28"/>
                <w:szCs w:val="28"/>
              </w:rPr>
            </w:pPr>
            <w:r>
              <w:rPr>
                <w:rFonts w:hint="eastAsia" w:cs="宋体"/>
              </w:rPr>
              <w:t>▲</w:t>
            </w:r>
            <w:bookmarkEnd w:id="46"/>
            <w:bookmarkEnd w:id="47"/>
            <w:r>
              <w:rPr>
                <w:rFonts w:hint="eastAsia" w:cs="宋体" w:asciiTheme="minorEastAsia" w:hAnsiTheme="minorEastAsia" w:eastAsiaTheme="minorEastAsia"/>
                <w:bCs/>
                <w:color w:val="000000"/>
                <w:kern w:val="0"/>
                <w:sz w:val="28"/>
                <w:szCs w:val="28"/>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0020" w:type="dxa"/>
            <w:tcBorders>
              <w:top w:val="single" w:color="auto" w:sz="4" w:space="0"/>
              <w:left w:val="single" w:color="auto" w:sz="4" w:space="0"/>
              <w:bottom w:val="single" w:color="auto" w:sz="4" w:space="0"/>
              <w:right w:val="single" w:color="auto" w:sz="4" w:space="0"/>
            </w:tcBorders>
            <w:vAlign w:val="center"/>
          </w:tcPr>
          <w:p>
            <w:pPr>
              <w:tabs>
                <w:tab w:val="left" w:pos="0"/>
              </w:tabs>
              <w:spacing w:line="360" w:lineRule="auto"/>
              <w:ind w:firstLine="480"/>
              <w:rPr>
                <w:rFonts w:ascii="宋体" w:hAnsi="宋体" w:cs="宋体"/>
                <w:kern w:val="0"/>
                <w:sz w:val="24"/>
              </w:rPr>
            </w:pPr>
            <w:r>
              <w:rPr>
                <w:rFonts w:hint="eastAsia" w:ascii="宋体" w:hAnsi="宋体" w:cs="宋体"/>
                <w:kern w:val="0"/>
                <w:sz w:val="24"/>
              </w:rPr>
              <w:t>1．交货（交付）时间：</w:t>
            </w:r>
            <w:r>
              <w:rPr>
                <w:rFonts w:hint="eastAsia" w:ascii="宋体" w:hAnsi="宋体" w:cs="宋体"/>
                <w:kern w:val="0"/>
                <w:sz w:val="24"/>
                <w:szCs w:val="21"/>
              </w:rPr>
              <w:t>签订合同后</w:t>
            </w:r>
            <w:r>
              <w:rPr>
                <w:rFonts w:hint="eastAsia" w:ascii="宋体" w:hAnsi="宋体" w:cs="宋体"/>
                <w:kern w:val="0"/>
                <w:sz w:val="24"/>
                <w:szCs w:val="21"/>
                <w:u w:val="single"/>
              </w:rPr>
              <w:t>20</w:t>
            </w:r>
            <w:r>
              <w:rPr>
                <w:rFonts w:ascii="宋体" w:hAnsi="宋体" w:cs="宋体"/>
                <w:kern w:val="0"/>
                <w:sz w:val="24"/>
                <w:szCs w:val="21"/>
                <w:u w:val="single"/>
              </w:rPr>
              <w:t xml:space="preserve"> </w:t>
            </w:r>
            <w:r>
              <w:rPr>
                <w:rFonts w:hint="eastAsia" w:ascii="宋体" w:hAnsi="宋体" w:cs="宋体"/>
                <w:kern w:val="0"/>
                <w:sz w:val="24"/>
                <w:szCs w:val="21"/>
              </w:rPr>
              <w:t>个工作日</w:t>
            </w:r>
            <w:r>
              <w:rPr>
                <w:rFonts w:hint="eastAsia" w:ascii="宋体" w:hAnsi="宋体" w:cs="宋体"/>
                <w:kern w:val="0"/>
                <w:sz w:val="24"/>
              </w:rPr>
              <w:t>。</w:t>
            </w:r>
          </w:p>
          <w:p>
            <w:pPr>
              <w:tabs>
                <w:tab w:val="left" w:pos="0"/>
              </w:tabs>
              <w:spacing w:line="360" w:lineRule="auto"/>
              <w:ind w:firstLine="480"/>
              <w:rPr>
                <w:rFonts w:ascii="宋体" w:hAnsi="宋体" w:cs="宋体"/>
                <w:kern w:val="0"/>
                <w:sz w:val="24"/>
              </w:rPr>
            </w:pPr>
            <w:r>
              <w:rPr>
                <w:rFonts w:hint="eastAsia" w:ascii="宋体" w:hAnsi="宋体" w:cs="宋体"/>
                <w:kern w:val="0"/>
                <w:sz w:val="24"/>
              </w:rPr>
              <w:t>2．交货地点：采购人指定地点</w:t>
            </w:r>
          </w:p>
          <w:p>
            <w:pPr>
              <w:widowControl/>
              <w:snapToGrid w:val="0"/>
              <w:spacing w:line="360" w:lineRule="auto"/>
              <w:ind w:firstLine="484" w:firstLineChars="202"/>
              <w:jc w:val="left"/>
              <w:rPr>
                <w:rFonts w:ascii="宋体" w:hAnsi="宋体" w:cs="宋体"/>
                <w:kern w:val="0"/>
                <w:sz w:val="24"/>
                <w:szCs w:val="21"/>
              </w:rPr>
            </w:pPr>
            <w:r>
              <w:rPr>
                <w:rFonts w:hint="eastAsia" w:ascii="宋体" w:hAnsi="宋体" w:cs="宋体"/>
                <w:kern w:val="0"/>
                <w:sz w:val="24"/>
              </w:rPr>
              <w:t>3．付款时间和方式：</w:t>
            </w:r>
            <w:r>
              <w:rPr>
                <w:rFonts w:hint="eastAsia" w:ascii="宋体" w:hAnsi="宋体" w:cs="宋体"/>
                <w:kern w:val="0"/>
                <w:sz w:val="24"/>
                <w:szCs w:val="21"/>
              </w:rPr>
              <w:t>自合同签订生效后，采购方向中标供应商支付合同金额的40%预付款，所有设备交货安装完毕，并经采购人验收合格后15个工作日内，由采购方一次性付清剩余的全部价款。</w:t>
            </w:r>
          </w:p>
          <w:p>
            <w:pPr>
              <w:widowControl/>
              <w:snapToGrid w:val="0"/>
              <w:spacing w:line="360" w:lineRule="auto"/>
              <w:ind w:firstLine="480" w:firstLineChars="200"/>
              <w:jc w:val="left"/>
              <w:rPr>
                <w:rFonts w:hint="eastAsia" w:ascii="宋体" w:hAnsi="宋体" w:cs="宋体"/>
                <w:kern w:val="0"/>
                <w:sz w:val="24"/>
                <w:szCs w:val="21"/>
              </w:rPr>
            </w:pPr>
            <w:r>
              <w:rPr>
                <w:rFonts w:hint="eastAsia" w:ascii="宋体" w:hAnsi="宋体" w:cs="宋体"/>
                <w:kern w:val="0"/>
                <w:sz w:val="24"/>
              </w:rPr>
              <w:t>4.</w:t>
            </w:r>
            <w:r>
              <w:rPr>
                <w:rFonts w:hint="eastAsia" w:ascii="宋体" w:hAnsi="宋体" w:cs="宋体"/>
                <w:kern w:val="0"/>
                <w:sz w:val="24"/>
                <w:szCs w:val="21"/>
              </w:rPr>
              <w:t>质量要求：</w:t>
            </w:r>
          </w:p>
          <w:p>
            <w:pPr>
              <w:widowControl/>
              <w:adjustRightInd/>
              <w:snapToGrid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投标产品必须是整套全新且经由正规合法经销渠道的符合国家各项有关质量标准的合格产品。相关部件及服务须满足本表中各项要求。所有设备除满足上表要求的技术参数和配置外，其余均按国家标准及厂家出厂标准配置，若产品在运输过程中损坏须无偿调换同样产品。</w:t>
            </w:r>
          </w:p>
          <w:p>
            <w:pPr>
              <w:widowControl/>
              <w:adjustRightInd/>
              <w:snapToGrid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如成交供应商有下列情况之一的，采购人有权拒绝验收和支付款项，并依照相关法规做出处理：</w:t>
            </w:r>
          </w:p>
          <w:p>
            <w:pPr>
              <w:widowControl/>
              <w:adjustRightInd/>
              <w:snapToGrid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（1）提供的货物规格、技术标准、材料未达到其响应文件所承诺的，导致无法通过验收交付使用的；</w:t>
            </w:r>
          </w:p>
          <w:p>
            <w:pPr>
              <w:widowControl/>
              <w:adjustRightInd/>
              <w:snapToGrid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（2）提供的货物经查证无法得到生产厂家正规售后服务的；</w:t>
            </w:r>
          </w:p>
          <w:p>
            <w:pPr>
              <w:widowControl/>
              <w:adjustRightInd/>
              <w:snapToGrid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（3）提供的货物未经正规合法经销渠道的；</w:t>
            </w:r>
          </w:p>
          <w:p>
            <w:pPr>
              <w:widowControl/>
              <w:adjustRightInd/>
              <w:snapToGrid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（4）提供的货物侵犯了第三方合法权益而引发了纠纷或诉讼，导致无法按期交付使用的；</w:t>
            </w:r>
          </w:p>
          <w:p>
            <w:pPr>
              <w:widowControl/>
              <w:adjustRightInd/>
              <w:snapToGrid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（5）所提交的货物品种、型号、规格、质量等不符合响应文件提供的技术数据经实际测试发现不真实的。</w:t>
            </w:r>
          </w:p>
          <w:p>
            <w:pPr>
              <w:widowControl/>
              <w:adjustRightInd/>
              <w:snapToGrid w:val="0"/>
              <w:spacing w:line="360" w:lineRule="auto"/>
              <w:ind w:firstLine="480" w:firstLineChars="200"/>
              <w:jc w:val="left"/>
              <w:rPr>
                <w:rFonts w:hint="eastAsia" w:ascii="Book Antiqua" w:hAnsi="Book Antiqua" w:cs="Book Antiqua"/>
              </w:rPr>
            </w:pPr>
            <w:r>
              <w:rPr>
                <w:rFonts w:hint="eastAsia" w:ascii="宋体" w:hAnsi="宋体" w:cs="宋体"/>
                <w:kern w:val="0"/>
                <w:sz w:val="24"/>
                <w:szCs w:val="21"/>
              </w:rPr>
              <w:t>（6）发现所提供的产品有弄虚作假的行为的。</w:t>
            </w:r>
          </w:p>
          <w:p>
            <w:pPr>
              <w:widowControl/>
              <w:snapToGrid w:val="0"/>
              <w:spacing w:line="360" w:lineRule="auto"/>
              <w:ind w:firstLine="484" w:firstLineChars="202"/>
              <w:jc w:val="left"/>
              <w:rPr>
                <w:rFonts w:ascii="宋体" w:hAnsi="Calibri" w:cs="宋体"/>
                <w:kern w:val="0"/>
                <w:sz w:val="24"/>
                <w:szCs w:val="21"/>
              </w:rPr>
            </w:pPr>
            <w:r>
              <w:rPr>
                <w:rFonts w:hint="eastAsia" w:ascii="宋体" w:hAnsi="宋体" w:cs="宋体"/>
                <w:kern w:val="0"/>
                <w:sz w:val="24"/>
                <w:szCs w:val="21"/>
              </w:rPr>
              <w:t>（注：所涉及的相关标准，应是法定的和公开、公允不影响公开、公平、公正采购原则的标准。）</w:t>
            </w:r>
          </w:p>
          <w:p>
            <w:pPr>
              <w:widowControl/>
              <w:numPr>
                <w:ilvl w:val="0"/>
                <w:numId w:val="1"/>
              </w:numPr>
              <w:adjustRightInd/>
              <w:snapToGrid w:val="0"/>
              <w:spacing w:line="360" w:lineRule="auto"/>
              <w:ind w:firstLine="484" w:firstLineChars="202"/>
              <w:jc w:val="left"/>
              <w:rPr>
                <w:rFonts w:ascii="宋体" w:hAnsi="Calibri" w:cs="宋体"/>
                <w:kern w:val="0"/>
                <w:sz w:val="24"/>
                <w:szCs w:val="21"/>
              </w:rPr>
            </w:pPr>
            <w:r>
              <w:rPr>
                <w:rFonts w:hint="eastAsia" w:ascii="宋体" w:hAnsi="宋体" w:cs="宋体"/>
                <w:kern w:val="0"/>
                <w:sz w:val="24"/>
                <w:szCs w:val="21"/>
              </w:rPr>
              <w:t>保修和服务要求：</w:t>
            </w:r>
          </w:p>
          <w:p>
            <w:pPr>
              <w:widowControl/>
              <w:adjustRightInd/>
              <w:snapToGrid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1）按国家标准有关规定实行“三包”，质保期三年，自交货并验收合格之日起三年内所有设备免费维护。为确保货物质量，成交供应商必须在供货时提供生产厂家针对此项目的售后服务保证函原件、供货证明原件并加盖生产厂家公章，否则不予验收。</w:t>
            </w:r>
          </w:p>
          <w:p>
            <w:pPr>
              <w:widowControl/>
              <w:adjustRightInd/>
              <w:snapToGrid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（2）免费送货上门，安装调试。</w:t>
            </w:r>
          </w:p>
          <w:p>
            <w:pPr>
              <w:widowControl/>
              <w:adjustRightInd/>
              <w:snapToGrid w:val="0"/>
              <w:spacing w:line="360" w:lineRule="auto"/>
              <w:ind w:firstLine="480" w:firstLineChars="200"/>
              <w:jc w:val="left"/>
              <w:rPr>
                <w:rFonts w:ascii="宋体" w:hAnsi="宋体" w:cs="宋体"/>
                <w:kern w:val="0"/>
                <w:sz w:val="24"/>
                <w:szCs w:val="21"/>
              </w:rPr>
            </w:pPr>
            <w:r>
              <w:rPr>
                <w:rFonts w:hint="eastAsia" w:ascii="宋体" w:hAnsi="宋体" w:cs="宋体"/>
                <w:kern w:val="0"/>
                <w:sz w:val="24"/>
                <w:szCs w:val="21"/>
              </w:rPr>
              <w:t>（3）所有货物必须保证全新原装，否则，采购方有权拒收。</w:t>
            </w:r>
          </w:p>
          <w:p>
            <w:pPr>
              <w:widowControl/>
              <w:adjustRightInd/>
              <w:snapToGrid w:val="0"/>
              <w:spacing w:line="360" w:lineRule="auto"/>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（4）故障响应时间：对采购人的服务通知，成交供应商在接采购人服务通知</w:t>
            </w:r>
            <w:bookmarkStart w:id="53" w:name="OLE_LINK17"/>
            <w:bookmarkStart w:id="54" w:name="OLE_LINK22"/>
            <w:r>
              <w:rPr>
                <w:rFonts w:hint="eastAsia" w:ascii="宋体" w:hAnsi="宋体" w:cs="宋体"/>
                <w:kern w:val="0"/>
                <w:sz w:val="24"/>
                <w:szCs w:val="21"/>
                <w:highlight w:val="none"/>
              </w:rPr>
              <w:t>后</w:t>
            </w:r>
            <w:bookmarkEnd w:id="53"/>
            <w:bookmarkEnd w:id="54"/>
            <w:r>
              <w:rPr>
                <w:rFonts w:hint="eastAsia" w:ascii="宋体" w:hAnsi="宋体" w:cs="宋体"/>
                <w:kern w:val="0"/>
                <w:sz w:val="24"/>
                <w:szCs w:val="21"/>
                <w:highlight w:val="none"/>
              </w:rPr>
              <w:t>2小时内响应，8小时内到达现场，48小时内处理完毕。</w:t>
            </w:r>
          </w:p>
          <w:p>
            <w:pPr>
              <w:widowControl/>
              <w:adjustRightInd/>
              <w:snapToGrid w:val="0"/>
              <w:spacing w:line="360" w:lineRule="auto"/>
              <w:ind w:firstLine="480" w:firstLineChars="200"/>
              <w:jc w:val="left"/>
              <w:rPr>
                <w:rFonts w:hint="eastAsia" w:ascii="宋体" w:hAnsi="宋体" w:cs="宋体"/>
                <w:kern w:val="0"/>
                <w:sz w:val="24"/>
                <w:szCs w:val="21"/>
              </w:rPr>
            </w:pPr>
            <w:r>
              <w:rPr>
                <w:rFonts w:hint="eastAsia" w:ascii="宋体" w:hAnsi="宋体" w:cs="宋体"/>
                <w:kern w:val="0"/>
                <w:sz w:val="24"/>
                <w:szCs w:val="21"/>
              </w:rPr>
              <w:t>（5）为保证服务质量，及时响应服务要求，提供本地化服务。</w:t>
            </w:r>
          </w:p>
          <w:p>
            <w:pPr>
              <w:widowControl/>
              <w:snapToGrid w:val="0"/>
              <w:spacing w:line="360" w:lineRule="auto"/>
              <w:ind w:firstLine="484" w:firstLineChars="202"/>
              <w:jc w:val="left"/>
              <w:rPr>
                <w:rFonts w:hint="eastAsia" w:ascii="宋体" w:hAnsi="宋体" w:cs="宋体"/>
                <w:kern w:val="0"/>
                <w:sz w:val="24"/>
                <w:szCs w:val="21"/>
              </w:rPr>
            </w:pPr>
            <w:r>
              <w:rPr>
                <w:rFonts w:hint="eastAsia" w:ascii="宋体" w:hAnsi="宋体" w:cs="宋体"/>
                <w:kern w:val="0"/>
                <w:sz w:val="24"/>
                <w:szCs w:val="21"/>
              </w:rPr>
              <w:t>（注：不得违反公开、公平、公正采购原则。）</w:t>
            </w:r>
          </w:p>
          <w:p>
            <w:pPr>
              <w:widowControl/>
              <w:adjustRightInd/>
              <w:snapToGrid w:val="0"/>
              <w:spacing w:line="360" w:lineRule="auto"/>
              <w:ind w:firstLine="480" w:firstLineChars="200"/>
              <w:jc w:val="left"/>
              <w:rPr>
                <w:rFonts w:hint="eastAsia" w:ascii="宋体" w:hAnsi="宋体" w:cs="宋体"/>
                <w:kern w:val="0"/>
                <w:sz w:val="24"/>
                <w:szCs w:val="21"/>
              </w:rPr>
            </w:pPr>
            <w:r>
              <w:rPr>
                <w:rFonts w:hint="eastAsia" w:ascii="宋体" w:hAnsi="宋体" w:cs="宋体"/>
                <w:kern w:val="0"/>
                <w:sz w:val="24"/>
                <w:szCs w:val="21"/>
              </w:rPr>
              <w:t>其他要求：</w:t>
            </w:r>
          </w:p>
          <w:p>
            <w:pPr>
              <w:widowControl/>
              <w:adjustRightInd/>
              <w:snapToGrid w:val="0"/>
              <w:spacing w:line="360" w:lineRule="auto"/>
              <w:ind w:firstLine="480" w:firstLineChars="200"/>
              <w:jc w:val="left"/>
              <w:rPr>
                <w:rFonts w:hint="eastAsia" w:ascii="宋体" w:hAnsi="宋体" w:cs="宋体"/>
                <w:kern w:val="0"/>
                <w:sz w:val="24"/>
                <w:szCs w:val="21"/>
              </w:rPr>
            </w:pPr>
            <w:r>
              <w:rPr>
                <w:rFonts w:hint="eastAsia" w:ascii="宋体" w:hAnsi="宋体" w:cs="宋体"/>
                <w:kern w:val="0"/>
                <w:sz w:val="24"/>
                <w:szCs w:val="21"/>
                <w:highlight w:val="yellow"/>
                <w:lang w:eastAsia="zh-CN"/>
              </w:rPr>
              <w:t>签订合同后，</w:t>
            </w:r>
            <w:r>
              <w:rPr>
                <w:rFonts w:hint="eastAsia" w:ascii="宋体" w:hAnsi="宋体" w:cs="宋体"/>
                <w:kern w:val="0"/>
                <w:sz w:val="24"/>
                <w:szCs w:val="21"/>
              </w:rPr>
              <w:t>采购人认为有必要的情况下，可以在双方共同见证下随机抽取样品送检验机构检验，检验所发生的费用全部由中标人负责。检验合格的，予以验收；若检验不合格，不予验收，视为产品验收不合格，采购单位可解除双方的供货合同，并且保留追究供应商虚假应标法律责任的权利。</w:t>
            </w:r>
          </w:p>
          <w:p>
            <w:pPr>
              <w:spacing w:line="560" w:lineRule="exact"/>
              <w:ind w:firstLine="560" w:firstLineChars="200"/>
              <w:rPr>
                <w:rFonts w:cs="宋体" w:asciiTheme="minorEastAsia" w:hAnsiTheme="minorEastAsia" w:eastAsiaTheme="minorEastAsia"/>
                <w:color w:val="000000"/>
                <w:sz w:val="28"/>
                <w:szCs w:val="28"/>
              </w:rPr>
            </w:pPr>
          </w:p>
        </w:tc>
      </w:tr>
    </w:tbl>
    <w:p>
      <w:pPr>
        <w:pStyle w:val="82"/>
      </w:pPr>
    </w:p>
    <w:p>
      <w:pPr>
        <w:widowControl/>
        <w:adjustRightInd/>
        <w:jc w:val="left"/>
        <w:rPr>
          <w:rFonts w:ascii="宋体" w:hAnsi="宋体" w:cs="宋体"/>
          <w:bCs/>
          <w:spacing w:val="10"/>
          <w:kern w:val="0"/>
          <w:sz w:val="24"/>
        </w:rPr>
        <w:sectPr>
          <w:pgSz w:w="11906" w:h="16838"/>
          <w:pgMar w:top="1247" w:right="849" w:bottom="1247" w:left="1418" w:header="851" w:footer="992" w:gutter="0"/>
          <w:cols w:space="720" w:num="1"/>
          <w:titlePg/>
          <w:docGrid w:type="lines" w:linePitch="312" w:charSpace="0"/>
        </w:sectPr>
      </w:pPr>
      <w:r>
        <w:rPr>
          <w:rFonts w:ascii="宋体" w:hAnsi="宋体" w:cs="宋体"/>
          <w:bCs/>
          <w:spacing w:val="10"/>
          <w:kern w:val="0"/>
          <w:sz w:val="24"/>
        </w:rPr>
        <w:br w:type="page"/>
      </w:r>
    </w:p>
    <w:p>
      <w:pPr>
        <w:spacing w:line="360" w:lineRule="auto"/>
        <w:jc w:val="center"/>
        <w:outlineLvl w:val="0"/>
        <w:rPr>
          <w:rFonts w:ascii="宋体" w:hAnsi="宋体" w:cs="宋体"/>
          <w:b/>
          <w:color w:val="auto"/>
          <w:sz w:val="36"/>
          <w:szCs w:val="36"/>
          <w:highlight w:val="none"/>
        </w:rPr>
      </w:pPr>
      <w:bookmarkStart w:id="55" w:name="_Toc176343851"/>
      <w:bookmarkStart w:id="56" w:name="_Toc176185122"/>
      <w:r>
        <w:rPr>
          <w:rFonts w:hint="eastAsia" w:ascii="宋体" w:hAnsi="宋体" w:cs="宋体"/>
          <w:b/>
          <w:color w:val="auto"/>
          <w:sz w:val="36"/>
          <w:szCs w:val="36"/>
          <w:highlight w:val="none"/>
        </w:rPr>
        <w:t xml:space="preserve">第四部分  </w:t>
      </w:r>
      <w:bookmarkStart w:id="57" w:name="_Toc184310308"/>
      <w:bookmarkEnd w:id="57"/>
      <w:bookmarkStart w:id="58" w:name="_Toc184312104"/>
      <w:bookmarkEnd w:id="58"/>
      <w:bookmarkStart w:id="59" w:name="_Toc184308100"/>
      <w:bookmarkEnd w:id="59"/>
      <w:bookmarkStart w:id="60" w:name="_Toc184312088"/>
      <w:bookmarkEnd w:id="60"/>
      <w:bookmarkStart w:id="61" w:name="_Toc184312101"/>
      <w:bookmarkEnd w:id="61"/>
      <w:bookmarkStart w:id="62" w:name="_Toc184313263"/>
      <w:bookmarkEnd w:id="62"/>
      <w:bookmarkStart w:id="63" w:name="_Toc184310295"/>
      <w:bookmarkEnd w:id="63"/>
      <w:bookmarkStart w:id="64" w:name="_Toc184313284"/>
      <w:bookmarkEnd w:id="64"/>
      <w:bookmarkStart w:id="65" w:name="_Toc184313259"/>
      <w:bookmarkEnd w:id="65"/>
      <w:bookmarkStart w:id="66" w:name="_Toc184314477"/>
      <w:bookmarkEnd w:id="66"/>
      <w:bookmarkStart w:id="67" w:name="_Toc184313271"/>
      <w:bookmarkEnd w:id="67"/>
      <w:bookmarkStart w:id="68" w:name="_Toc184310296"/>
      <w:bookmarkEnd w:id="68"/>
      <w:bookmarkStart w:id="69" w:name="_Toc184313261"/>
      <w:bookmarkEnd w:id="69"/>
      <w:bookmarkStart w:id="70" w:name="_Toc184313262"/>
      <w:bookmarkEnd w:id="70"/>
      <w:bookmarkStart w:id="71" w:name="_Toc184312124"/>
      <w:bookmarkEnd w:id="71"/>
      <w:bookmarkStart w:id="72" w:name="_Toc184308071"/>
      <w:bookmarkEnd w:id="72"/>
      <w:bookmarkStart w:id="73" w:name="_Toc184314431"/>
      <w:bookmarkEnd w:id="73"/>
      <w:bookmarkStart w:id="74" w:name="_Toc184308102"/>
      <w:bookmarkEnd w:id="74"/>
      <w:bookmarkStart w:id="75" w:name="_Toc184312068"/>
      <w:bookmarkEnd w:id="75"/>
      <w:bookmarkStart w:id="76" w:name="_Toc184310277"/>
      <w:bookmarkEnd w:id="76"/>
      <w:bookmarkStart w:id="77" w:name="_Toc184308047"/>
      <w:bookmarkEnd w:id="77"/>
      <w:bookmarkStart w:id="78" w:name="_Toc184308037"/>
      <w:bookmarkEnd w:id="78"/>
      <w:bookmarkStart w:id="79" w:name="_Toc184314465"/>
      <w:bookmarkEnd w:id="79"/>
      <w:bookmarkStart w:id="80" w:name="_Toc184314480"/>
      <w:bookmarkEnd w:id="80"/>
      <w:bookmarkStart w:id="81" w:name="_Toc184313307"/>
      <w:bookmarkEnd w:id="81"/>
      <w:bookmarkStart w:id="82" w:name="_Toc184310300"/>
      <w:bookmarkEnd w:id="82"/>
      <w:bookmarkStart w:id="83" w:name="_Toc184312103"/>
      <w:bookmarkEnd w:id="83"/>
      <w:bookmarkStart w:id="84" w:name="_Toc184308089"/>
      <w:bookmarkEnd w:id="84"/>
      <w:bookmarkStart w:id="85" w:name="_Toc184313268"/>
      <w:bookmarkEnd w:id="85"/>
      <w:bookmarkStart w:id="86" w:name="_Toc184314444"/>
      <w:bookmarkEnd w:id="86"/>
      <w:bookmarkStart w:id="87" w:name="_Toc184308039"/>
      <w:bookmarkEnd w:id="87"/>
      <w:bookmarkStart w:id="88" w:name="_Toc184313249"/>
      <w:bookmarkEnd w:id="88"/>
      <w:bookmarkStart w:id="89" w:name="_Toc184312080"/>
      <w:bookmarkEnd w:id="89"/>
      <w:bookmarkStart w:id="90" w:name="_Toc184312079"/>
      <w:bookmarkEnd w:id="90"/>
      <w:bookmarkStart w:id="91" w:name="_Toc184310328"/>
      <w:bookmarkEnd w:id="91"/>
      <w:bookmarkStart w:id="92" w:name="_Toc184308051"/>
      <w:bookmarkEnd w:id="92"/>
      <w:bookmarkStart w:id="93" w:name="_Toc184312100"/>
      <w:bookmarkEnd w:id="93"/>
      <w:bookmarkStart w:id="94" w:name="_Toc184308055"/>
      <w:bookmarkEnd w:id="94"/>
      <w:bookmarkStart w:id="95" w:name="_Toc184312131"/>
      <w:bookmarkEnd w:id="95"/>
      <w:bookmarkStart w:id="96" w:name="_Toc184313277"/>
      <w:bookmarkEnd w:id="96"/>
      <w:bookmarkStart w:id="97" w:name="_Toc184314417"/>
      <w:bookmarkEnd w:id="97"/>
      <w:bookmarkStart w:id="98" w:name="_Toc184308067"/>
      <w:bookmarkEnd w:id="98"/>
      <w:bookmarkStart w:id="99" w:name="_Toc184310344"/>
      <w:bookmarkEnd w:id="99"/>
      <w:bookmarkStart w:id="100" w:name="_Toc184314434"/>
      <w:bookmarkEnd w:id="100"/>
      <w:bookmarkStart w:id="101" w:name="_Toc184312111"/>
      <w:bookmarkEnd w:id="101"/>
      <w:bookmarkStart w:id="102" w:name="_Toc184312112"/>
      <w:bookmarkEnd w:id="102"/>
      <w:bookmarkStart w:id="103" w:name="_Toc184312078"/>
      <w:bookmarkEnd w:id="103"/>
      <w:bookmarkStart w:id="104" w:name="_Toc184308044"/>
      <w:bookmarkEnd w:id="104"/>
      <w:bookmarkStart w:id="105" w:name="_Toc184312075"/>
      <w:bookmarkEnd w:id="105"/>
      <w:bookmarkStart w:id="106" w:name="_Toc184310335"/>
      <w:bookmarkEnd w:id="106"/>
      <w:bookmarkStart w:id="107" w:name="_Toc184310280"/>
      <w:bookmarkEnd w:id="107"/>
      <w:bookmarkStart w:id="108" w:name="_Toc184312087"/>
      <w:bookmarkEnd w:id="108"/>
      <w:bookmarkStart w:id="109" w:name="_Toc184308038"/>
      <w:bookmarkEnd w:id="109"/>
      <w:bookmarkStart w:id="110" w:name="_Toc184313289"/>
      <w:bookmarkEnd w:id="110"/>
      <w:bookmarkStart w:id="111" w:name="_Toc184312121"/>
      <w:bookmarkEnd w:id="111"/>
      <w:bookmarkStart w:id="112" w:name="_Toc184314429"/>
      <w:bookmarkEnd w:id="112"/>
      <w:bookmarkStart w:id="113" w:name="_Toc184313300"/>
      <w:bookmarkEnd w:id="113"/>
      <w:bookmarkStart w:id="114" w:name="_Toc184313266"/>
      <w:bookmarkEnd w:id="114"/>
      <w:bookmarkStart w:id="115" w:name="_Toc184313257"/>
      <w:bookmarkEnd w:id="115"/>
      <w:bookmarkStart w:id="116" w:name="_Toc184308084"/>
      <w:bookmarkEnd w:id="116"/>
      <w:bookmarkStart w:id="117" w:name="_Toc184310327"/>
      <w:bookmarkEnd w:id="117"/>
      <w:bookmarkStart w:id="118" w:name="_Toc184314482"/>
      <w:bookmarkEnd w:id="118"/>
      <w:bookmarkStart w:id="119" w:name="_Toc184310313"/>
      <w:bookmarkEnd w:id="119"/>
      <w:bookmarkStart w:id="120" w:name="_Toc184313306"/>
      <w:bookmarkEnd w:id="120"/>
      <w:bookmarkStart w:id="121" w:name="_Toc184313288"/>
      <w:bookmarkEnd w:id="121"/>
      <w:bookmarkStart w:id="122" w:name="_Toc184314479"/>
      <w:bookmarkEnd w:id="122"/>
      <w:bookmarkStart w:id="123" w:name="_Toc184308062"/>
      <w:bookmarkEnd w:id="123"/>
      <w:bookmarkStart w:id="124" w:name="_Toc184314433"/>
      <w:bookmarkEnd w:id="124"/>
      <w:bookmarkStart w:id="125" w:name="_Toc184308040"/>
      <w:bookmarkEnd w:id="125"/>
      <w:bookmarkStart w:id="126" w:name="_Toc184308063"/>
      <w:bookmarkEnd w:id="126"/>
      <w:bookmarkStart w:id="127" w:name="_Toc184313296"/>
      <w:bookmarkEnd w:id="127"/>
      <w:bookmarkStart w:id="128" w:name="_Toc184312076"/>
      <w:bookmarkEnd w:id="128"/>
      <w:bookmarkStart w:id="129" w:name="_Toc184312110"/>
      <w:bookmarkEnd w:id="129"/>
      <w:bookmarkStart w:id="130" w:name="_Toc184314474"/>
      <w:bookmarkEnd w:id="130"/>
      <w:bookmarkStart w:id="131" w:name="_Toc184312120"/>
      <w:bookmarkEnd w:id="131"/>
      <w:bookmarkStart w:id="132" w:name="_Toc184314411"/>
      <w:bookmarkEnd w:id="132"/>
      <w:bookmarkStart w:id="133" w:name="_Toc184310287"/>
      <w:bookmarkEnd w:id="133"/>
      <w:bookmarkStart w:id="134" w:name="_Toc184312098"/>
      <w:bookmarkEnd w:id="134"/>
      <w:bookmarkStart w:id="135" w:name="_Toc184308101"/>
      <w:bookmarkEnd w:id="135"/>
      <w:bookmarkStart w:id="136" w:name="_Toc184314435"/>
      <w:bookmarkEnd w:id="136"/>
      <w:bookmarkStart w:id="137" w:name="_Toc184310326"/>
      <w:bookmarkEnd w:id="137"/>
      <w:bookmarkStart w:id="138" w:name="_Toc184314475"/>
      <w:bookmarkEnd w:id="138"/>
      <w:bookmarkStart w:id="139" w:name="_Toc184314413"/>
      <w:bookmarkEnd w:id="139"/>
      <w:bookmarkStart w:id="140" w:name="_Toc184310316"/>
      <w:bookmarkEnd w:id="140"/>
      <w:bookmarkStart w:id="141" w:name="_Toc184312095"/>
      <w:bookmarkEnd w:id="141"/>
      <w:bookmarkStart w:id="142" w:name="_Toc184313254"/>
      <w:bookmarkEnd w:id="142"/>
      <w:bookmarkStart w:id="143" w:name="_Toc184314432"/>
      <w:bookmarkEnd w:id="143"/>
      <w:bookmarkStart w:id="144" w:name="_Toc184312116"/>
      <w:bookmarkEnd w:id="144"/>
      <w:bookmarkStart w:id="145" w:name="_Toc184314468"/>
      <w:bookmarkEnd w:id="145"/>
      <w:bookmarkStart w:id="146" w:name="_Toc184310285"/>
      <w:bookmarkEnd w:id="146"/>
      <w:bookmarkStart w:id="147" w:name="_Toc184312099"/>
      <w:bookmarkEnd w:id="147"/>
      <w:bookmarkStart w:id="148" w:name="_Toc184313276"/>
      <w:bookmarkEnd w:id="148"/>
      <w:bookmarkStart w:id="149" w:name="_Toc184312123"/>
      <w:bookmarkEnd w:id="149"/>
      <w:bookmarkStart w:id="150" w:name="_Toc184308096"/>
      <w:bookmarkEnd w:id="150"/>
      <w:bookmarkStart w:id="151" w:name="_Toc184310314"/>
      <w:bookmarkEnd w:id="151"/>
      <w:bookmarkStart w:id="152" w:name="_Toc184312070"/>
      <w:bookmarkEnd w:id="152"/>
      <w:bookmarkStart w:id="153" w:name="_Toc184314442"/>
      <w:bookmarkEnd w:id="153"/>
      <w:bookmarkStart w:id="154" w:name="_Toc184313241"/>
      <w:bookmarkEnd w:id="154"/>
      <w:bookmarkStart w:id="155" w:name="_Toc184314481"/>
      <w:bookmarkEnd w:id="155"/>
      <w:bookmarkStart w:id="156" w:name="_Toc184310315"/>
      <w:bookmarkEnd w:id="156"/>
      <w:bookmarkStart w:id="157" w:name="_Toc184308088"/>
      <w:bookmarkEnd w:id="157"/>
      <w:bookmarkStart w:id="158" w:name="_Toc184313274"/>
      <w:bookmarkEnd w:id="158"/>
      <w:bookmarkStart w:id="159" w:name="_Toc184310320"/>
      <w:bookmarkEnd w:id="159"/>
      <w:bookmarkStart w:id="160" w:name="_Toc184310281"/>
      <w:bookmarkEnd w:id="160"/>
      <w:bookmarkStart w:id="161" w:name="_Toc184313242"/>
      <w:bookmarkEnd w:id="161"/>
      <w:bookmarkStart w:id="162" w:name="_Toc184310306"/>
      <w:bookmarkEnd w:id="162"/>
      <w:bookmarkStart w:id="163" w:name="_Toc184313243"/>
      <w:bookmarkEnd w:id="163"/>
      <w:bookmarkStart w:id="164" w:name="_Toc184310274"/>
      <w:bookmarkEnd w:id="164"/>
      <w:bookmarkStart w:id="165" w:name="_Toc184312071"/>
      <w:bookmarkEnd w:id="165"/>
      <w:bookmarkStart w:id="166" w:name="_Toc184308104"/>
      <w:bookmarkEnd w:id="166"/>
      <w:bookmarkStart w:id="167" w:name="_Toc184313297"/>
      <w:bookmarkEnd w:id="167"/>
      <w:bookmarkStart w:id="168" w:name="_Toc184314441"/>
      <w:bookmarkEnd w:id="168"/>
      <w:bookmarkStart w:id="169" w:name="_Toc184314425"/>
      <w:bookmarkEnd w:id="169"/>
      <w:bookmarkStart w:id="170" w:name="_Toc184310311"/>
      <w:bookmarkEnd w:id="170"/>
      <w:bookmarkStart w:id="171" w:name="_Toc184308069"/>
      <w:bookmarkEnd w:id="171"/>
      <w:bookmarkStart w:id="172" w:name="_Toc184313248"/>
      <w:bookmarkEnd w:id="172"/>
      <w:bookmarkStart w:id="173" w:name="_Toc184314416"/>
      <w:bookmarkEnd w:id="173"/>
      <w:bookmarkStart w:id="174" w:name="_Toc184312138"/>
      <w:bookmarkEnd w:id="174"/>
      <w:bookmarkStart w:id="175" w:name="_Toc184314478"/>
      <w:bookmarkEnd w:id="175"/>
      <w:bookmarkStart w:id="176" w:name="_Toc184310339"/>
      <w:bookmarkEnd w:id="176"/>
      <w:bookmarkStart w:id="177" w:name="_Toc184313252"/>
      <w:bookmarkEnd w:id="177"/>
      <w:bookmarkStart w:id="178" w:name="_Toc184313283"/>
      <w:bookmarkEnd w:id="178"/>
      <w:bookmarkStart w:id="179" w:name="_Toc184310272"/>
      <w:bookmarkEnd w:id="179"/>
      <w:bookmarkStart w:id="180" w:name="_Toc184313258"/>
      <w:bookmarkEnd w:id="180"/>
      <w:bookmarkStart w:id="181" w:name="_Toc184313291"/>
      <w:bookmarkEnd w:id="181"/>
      <w:bookmarkStart w:id="182" w:name="_Toc184313285"/>
      <w:bookmarkEnd w:id="182"/>
      <w:bookmarkStart w:id="183" w:name="_Toc184310343"/>
      <w:bookmarkEnd w:id="183"/>
      <w:bookmarkStart w:id="184" w:name="_Toc184308106"/>
      <w:bookmarkEnd w:id="184"/>
      <w:bookmarkStart w:id="185" w:name="_Toc184314452"/>
      <w:bookmarkEnd w:id="185"/>
      <w:bookmarkStart w:id="186" w:name="_Toc184313308"/>
      <w:bookmarkEnd w:id="186"/>
      <w:bookmarkStart w:id="187" w:name="_Toc184310283"/>
      <w:bookmarkEnd w:id="187"/>
      <w:bookmarkStart w:id="188" w:name="_Toc184312073"/>
      <w:bookmarkEnd w:id="188"/>
      <w:bookmarkStart w:id="189" w:name="_Toc184314472"/>
      <w:bookmarkEnd w:id="189"/>
      <w:bookmarkStart w:id="190" w:name="_Toc184308057"/>
      <w:bookmarkEnd w:id="190"/>
      <w:bookmarkStart w:id="191" w:name="_Toc184312081"/>
      <w:bookmarkEnd w:id="191"/>
      <w:bookmarkStart w:id="192" w:name="_Toc184308080"/>
      <w:bookmarkEnd w:id="192"/>
      <w:bookmarkStart w:id="193" w:name="_Toc184313255"/>
      <w:bookmarkEnd w:id="193"/>
      <w:bookmarkStart w:id="194" w:name="_Toc184308036"/>
      <w:bookmarkEnd w:id="194"/>
      <w:bookmarkStart w:id="195" w:name="_Toc184314464"/>
      <w:bookmarkEnd w:id="195"/>
      <w:bookmarkStart w:id="196" w:name="_Toc184314414"/>
      <w:bookmarkEnd w:id="196"/>
      <w:bookmarkStart w:id="197" w:name="_Toc184314439"/>
      <w:bookmarkEnd w:id="197"/>
      <w:bookmarkStart w:id="198" w:name="_Toc184314428"/>
      <w:bookmarkEnd w:id="198"/>
      <w:bookmarkStart w:id="199" w:name="_Toc184314466"/>
      <w:bookmarkEnd w:id="199"/>
      <w:bookmarkStart w:id="200" w:name="_Toc184312084"/>
      <w:bookmarkEnd w:id="200"/>
      <w:bookmarkStart w:id="201" w:name="_Toc184313275"/>
      <w:bookmarkEnd w:id="201"/>
      <w:bookmarkStart w:id="202" w:name="_Toc184308072"/>
      <w:bookmarkEnd w:id="202"/>
      <w:bookmarkStart w:id="203" w:name="_Toc184308053"/>
      <w:bookmarkEnd w:id="203"/>
      <w:bookmarkStart w:id="204" w:name="_Toc184312119"/>
      <w:bookmarkEnd w:id="204"/>
      <w:bookmarkStart w:id="205" w:name="_Toc184308045"/>
      <w:bookmarkEnd w:id="205"/>
      <w:bookmarkStart w:id="206" w:name="_Toc184312096"/>
      <w:bookmarkEnd w:id="206"/>
      <w:bookmarkStart w:id="207" w:name="_Toc184313303"/>
      <w:bookmarkEnd w:id="207"/>
      <w:bookmarkStart w:id="208" w:name="_Toc184313267"/>
      <w:bookmarkEnd w:id="208"/>
      <w:bookmarkStart w:id="209" w:name="_Toc184312136"/>
      <w:bookmarkEnd w:id="209"/>
      <w:bookmarkStart w:id="210" w:name="_Toc184314438"/>
      <w:bookmarkEnd w:id="210"/>
      <w:bookmarkStart w:id="211" w:name="_Toc184308075"/>
      <w:bookmarkEnd w:id="211"/>
      <w:bookmarkStart w:id="212" w:name="_Toc184312134"/>
      <w:bookmarkEnd w:id="212"/>
      <w:bookmarkStart w:id="213" w:name="_Toc184314424"/>
      <w:bookmarkEnd w:id="213"/>
      <w:bookmarkStart w:id="214" w:name="_Toc184312102"/>
      <w:bookmarkEnd w:id="214"/>
      <w:bookmarkStart w:id="215" w:name="_Toc184312083"/>
      <w:bookmarkEnd w:id="215"/>
      <w:bookmarkStart w:id="216" w:name="_Toc184308074"/>
      <w:bookmarkEnd w:id="216"/>
      <w:bookmarkStart w:id="217" w:name="_Toc184308049"/>
      <w:bookmarkEnd w:id="217"/>
      <w:bookmarkStart w:id="218" w:name="_Toc184313244"/>
      <w:bookmarkEnd w:id="218"/>
      <w:bookmarkStart w:id="219" w:name="_Toc184313294"/>
      <w:bookmarkEnd w:id="219"/>
      <w:bookmarkStart w:id="220" w:name="_Toc184312092"/>
      <w:bookmarkEnd w:id="220"/>
      <w:bookmarkStart w:id="221" w:name="_Toc184313256"/>
      <w:bookmarkEnd w:id="221"/>
      <w:bookmarkStart w:id="222" w:name="_Toc184310294"/>
      <w:bookmarkEnd w:id="222"/>
      <w:bookmarkStart w:id="223" w:name="_Toc184308043"/>
      <w:bookmarkEnd w:id="223"/>
      <w:bookmarkStart w:id="224" w:name="_Toc184312109"/>
      <w:bookmarkEnd w:id="224"/>
      <w:bookmarkStart w:id="225" w:name="_Toc184310293"/>
      <w:bookmarkEnd w:id="225"/>
      <w:bookmarkStart w:id="226" w:name="_Toc184313281"/>
      <w:bookmarkEnd w:id="226"/>
      <w:bookmarkStart w:id="227" w:name="_Toc184308090"/>
      <w:bookmarkEnd w:id="227"/>
      <w:bookmarkStart w:id="228" w:name="_Toc184314458"/>
      <w:bookmarkEnd w:id="228"/>
      <w:bookmarkStart w:id="229" w:name="_Toc184314447"/>
      <w:bookmarkEnd w:id="229"/>
      <w:bookmarkStart w:id="230" w:name="_Toc184310309"/>
      <w:bookmarkEnd w:id="230"/>
      <w:bookmarkStart w:id="231" w:name="_Toc184313260"/>
      <w:bookmarkEnd w:id="231"/>
      <w:bookmarkStart w:id="232" w:name="_Toc184312113"/>
      <w:bookmarkEnd w:id="232"/>
      <w:bookmarkStart w:id="233" w:name="_Toc184312077"/>
      <w:bookmarkEnd w:id="233"/>
      <w:bookmarkStart w:id="234" w:name="_Toc184313309"/>
      <w:bookmarkEnd w:id="234"/>
      <w:bookmarkStart w:id="235" w:name="_Toc184310325"/>
      <w:bookmarkEnd w:id="235"/>
      <w:bookmarkStart w:id="236" w:name="_Toc184314462"/>
      <w:bookmarkEnd w:id="236"/>
      <w:bookmarkStart w:id="237" w:name="_Toc184312097"/>
      <w:bookmarkEnd w:id="237"/>
      <w:bookmarkStart w:id="238" w:name="_Toc184310340"/>
      <w:bookmarkEnd w:id="238"/>
      <w:bookmarkStart w:id="239" w:name="_Toc184312132"/>
      <w:bookmarkEnd w:id="239"/>
      <w:bookmarkStart w:id="240" w:name="_Toc184310342"/>
      <w:bookmarkEnd w:id="240"/>
      <w:bookmarkStart w:id="241" w:name="_Toc184313310"/>
      <w:bookmarkEnd w:id="241"/>
      <w:bookmarkStart w:id="242" w:name="_Toc184313286"/>
      <w:bookmarkEnd w:id="242"/>
      <w:bookmarkStart w:id="243" w:name="_Toc184310288"/>
      <w:bookmarkEnd w:id="243"/>
      <w:bookmarkStart w:id="244" w:name="_Toc184310304"/>
      <w:bookmarkEnd w:id="244"/>
      <w:bookmarkStart w:id="245" w:name="_Toc184313240"/>
      <w:bookmarkEnd w:id="245"/>
      <w:bookmarkStart w:id="246" w:name="_Toc184310310"/>
      <w:bookmarkEnd w:id="246"/>
      <w:bookmarkStart w:id="247" w:name="_Toc184312122"/>
      <w:bookmarkEnd w:id="247"/>
      <w:bookmarkStart w:id="248" w:name="_Toc184312089"/>
      <w:bookmarkEnd w:id="248"/>
      <w:bookmarkStart w:id="249" w:name="_Toc184310282"/>
      <w:bookmarkEnd w:id="249"/>
      <w:bookmarkStart w:id="250" w:name="_Toc184314422"/>
      <w:bookmarkEnd w:id="250"/>
      <w:bookmarkStart w:id="251" w:name="_Toc184313238"/>
      <w:bookmarkEnd w:id="251"/>
      <w:bookmarkStart w:id="252" w:name="_Toc184310302"/>
      <w:bookmarkEnd w:id="252"/>
      <w:bookmarkStart w:id="253" w:name="_Toc184308079"/>
      <w:bookmarkEnd w:id="253"/>
      <w:bookmarkStart w:id="254" w:name="_Toc184310318"/>
      <w:bookmarkEnd w:id="254"/>
      <w:bookmarkStart w:id="255" w:name="_Toc184313270"/>
      <w:bookmarkEnd w:id="255"/>
      <w:bookmarkStart w:id="256" w:name="_Toc184314461"/>
      <w:bookmarkEnd w:id="256"/>
      <w:bookmarkStart w:id="257" w:name="_Toc184314412"/>
      <w:bookmarkEnd w:id="257"/>
      <w:bookmarkStart w:id="258" w:name="_Toc184310284"/>
      <w:bookmarkEnd w:id="258"/>
      <w:bookmarkStart w:id="259" w:name="_Toc184308078"/>
      <w:bookmarkEnd w:id="259"/>
      <w:bookmarkStart w:id="260" w:name="_Toc184313251"/>
      <w:bookmarkEnd w:id="260"/>
      <w:bookmarkStart w:id="261" w:name="_Toc184314455"/>
      <w:bookmarkEnd w:id="261"/>
      <w:bookmarkStart w:id="262" w:name="_Toc184312108"/>
      <w:bookmarkEnd w:id="262"/>
      <w:bookmarkStart w:id="263" w:name="_Toc184310330"/>
      <w:bookmarkEnd w:id="263"/>
      <w:bookmarkStart w:id="264" w:name="_Toc184312117"/>
      <w:bookmarkEnd w:id="264"/>
      <w:bookmarkStart w:id="265" w:name="_Toc184308107"/>
      <w:bookmarkEnd w:id="265"/>
      <w:bookmarkStart w:id="266" w:name="_Toc184310289"/>
      <w:bookmarkEnd w:id="266"/>
      <w:bookmarkStart w:id="267" w:name="_Toc184310332"/>
      <w:bookmarkEnd w:id="267"/>
      <w:bookmarkStart w:id="268" w:name="_Toc184314436"/>
      <w:bookmarkEnd w:id="268"/>
      <w:bookmarkStart w:id="269" w:name="_Toc184310321"/>
      <w:bookmarkEnd w:id="269"/>
      <w:bookmarkStart w:id="270" w:name="_Toc184310322"/>
      <w:bookmarkEnd w:id="270"/>
      <w:bookmarkStart w:id="271" w:name="_Toc184308066"/>
      <w:bookmarkEnd w:id="271"/>
      <w:bookmarkStart w:id="272" w:name="_Toc184313269"/>
      <w:bookmarkEnd w:id="272"/>
      <w:bookmarkStart w:id="273" w:name="_Toc184310329"/>
      <w:bookmarkEnd w:id="273"/>
      <w:bookmarkStart w:id="274" w:name="_Toc184308083"/>
      <w:bookmarkEnd w:id="274"/>
      <w:bookmarkStart w:id="275" w:name="_Toc184310341"/>
      <w:bookmarkEnd w:id="275"/>
      <w:bookmarkStart w:id="276" w:name="_Toc184314471"/>
      <w:bookmarkEnd w:id="276"/>
      <w:bookmarkStart w:id="277" w:name="_Toc184314456"/>
      <w:bookmarkEnd w:id="277"/>
      <w:bookmarkStart w:id="278" w:name="_Toc184312094"/>
      <w:bookmarkEnd w:id="278"/>
      <w:bookmarkStart w:id="279" w:name="_Toc184314423"/>
      <w:bookmarkEnd w:id="279"/>
      <w:bookmarkStart w:id="280" w:name="_Toc184312091"/>
      <w:bookmarkEnd w:id="280"/>
      <w:bookmarkStart w:id="281" w:name="_Toc184313290"/>
      <w:bookmarkEnd w:id="281"/>
      <w:bookmarkStart w:id="282" w:name="_Toc184308058"/>
      <w:bookmarkEnd w:id="282"/>
      <w:bookmarkStart w:id="283" w:name="_Toc184308091"/>
      <w:bookmarkEnd w:id="283"/>
      <w:bookmarkStart w:id="284" w:name="_Toc184314410"/>
      <w:bookmarkEnd w:id="284"/>
      <w:bookmarkStart w:id="285" w:name="_Toc184313304"/>
      <w:bookmarkEnd w:id="285"/>
      <w:bookmarkStart w:id="286" w:name="_Toc184308081"/>
      <w:bookmarkEnd w:id="286"/>
      <w:bookmarkStart w:id="287" w:name="_Toc184310337"/>
      <w:bookmarkEnd w:id="287"/>
      <w:bookmarkStart w:id="288" w:name="_Toc184312133"/>
      <w:bookmarkEnd w:id="288"/>
      <w:bookmarkStart w:id="289" w:name="_Toc184313246"/>
      <w:bookmarkEnd w:id="289"/>
      <w:bookmarkStart w:id="290" w:name="_Toc184314419"/>
      <w:bookmarkEnd w:id="290"/>
      <w:bookmarkStart w:id="291" w:name="_Toc184310298"/>
      <w:bookmarkEnd w:id="291"/>
      <w:bookmarkStart w:id="292" w:name="_Toc184314427"/>
      <w:bookmarkEnd w:id="292"/>
      <w:bookmarkStart w:id="293" w:name="_Toc184308099"/>
      <w:bookmarkEnd w:id="293"/>
      <w:bookmarkStart w:id="294" w:name="_Toc184313247"/>
      <w:bookmarkEnd w:id="294"/>
      <w:bookmarkStart w:id="295" w:name="_Toc184314437"/>
      <w:bookmarkEnd w:id="295"/>
      <w:bookmarkStart w:id="296" w:name="_Toc184310275"/>
      <w:bookmarkEnd w:id="296"/>
      <w:bookmarkStart w:id="297" w:name="_Toc184314421"/>
      <w:bookmarkEnd w:id="297"/>
      <w:bookmarkStart w:id="298" w:name="_Toc184310278"/>
      <w:bookmarkEnd w:id="298"/>
      <w:bookmarkStart w:id="299" w:name="_Toc184308065"/>
      <w:bookmarkEnd w:id="299"/>
      <w:bookmarkStart w:id="300" w:name="_Toc184310305"/>
      <w:bookmarkEnd w:id="300"/>
      <w:bookmarkStart w:id="301" w:name="_Toc184313273"/>
      <w:bookmarkEnd w:id="301"/>
      <w:bookmarkStart w:id="302" w:name="_Toc184308073"/>
      <w:bookmarkEnd w:id="302"/>
      <w:bookmarkStart w:id="303" w:name="_Toc184312107"/>
      <w:bookmarkEnd w:id="303"/>
      <w:bookmarkStart w:id="304" w:name="_Toc184310331"/>
      <w:bookmarkEnd w:id="304"/>
      <w:bookmarkStart w:id="305" w:name="_Toc184308103"/>
      <w:bookmarkEnd w:id="305"/>
      <w:bookmarkStart w:id="306" w:name="_Toc184313278"/>
      <w:bookmarkEnd w:id="306"/>
      <w:bookmarkStart w:id="307" w:name="_Toc184314418"/>
      <w:bookmarkEnd w:id="307"/>
      <w:bookmarkStart w:id="308" w:name="_Toc184312086"/>
      <w:bookmarkEnd w:id="308"/>
      <w:bookmarkStart w:id="309" w:name="_Toc184308093"/>
      <w:bookmarkEnd w:id="309"/>
      <w:bookmarkStart w:id="310" w:name="_Toc184312118"/>
      <w:bookmarkEnd w:id="310"/>
      <w:bookmarkStart w:id="311" w:name="_Toc184312135"/>
      <w:bookmarkEnd w:id="311"/>
      <w:bookmarkStart w:id="312" w:name="_Toc184308085"/>
      <w:bookmarkEnd w:id="312"/>
      <w:bookmarkStart w:id="313" w:name="_Toc184310297"/>
      <w:bookmarkEnd w:id="313"/>
      <w:bookmarkStart w:id="314" w:name="_Toc184310336"/>
      <w:bookmarkEnd w:id="314"/>
      <w:bookmarkStart w:id="315" w:name="_Toc184308094"/>
      <w:bookmarkEnd w:id="315"/>
      <w:bookmarkStart w:id="316" w:name="_Toc184308077"/>
      <w:bookmarkEnd w:id="316"/>
      <w:bookmarkStart w:id="317" w:name="_Toc184312067"/>
      <w:bookmarkEnd w:id="317"/>
      <w:bookmarkStart w:id="318" w:name="_Toc184308092"/>
      <w:bookmarkEnd w:id="318"/>
      <w:bookmarkStart w:id="319" w:name="_Toc184314459"/>
      <w:bookmarkEnd w:id="319"/>
      <w:bookmarkStart w:id="320" w:name="_Toc184313293"/>
      <w:bookmarkEnd w:id="320"/>
      <w:bookmarkStart w:id="321" w:name="_Toc184314469"/>
      <w:bookmarkEnd w:id="321"/>
      <w:bookmarkStart w:id="322" w:name="_Toc184314453"/>
      <w:bookmarkEnd w:id="322"/>
      <w:bookmarkStart w:id="323" w:name="_Toc184313272"/>
      <w:bookmarkEnd w:id="323"/>
      <w:bookmarkStart w:id="324" w:name="_Toc184314457"/>
      <w:bookmarkEnd w:id="324"/>
      <w:bookmarkStart w:id="325" w:name="_Toc184308070"/>
      <w:bookmarkEnd w:id="325"/>
      <w:bookmarkStart w:id="326" w:name="_Toc184313253"/>
      <w:bookmarkEnd w:id="326"/>
      <w:bookmarkStart w:id="327" w:name="_Toc184312129"/>
      <w:bookmarkEnd w:id="327"/>
      <w:bookmarkStart w:id="328" w:name="_Toc184310324"/>
      <w:bookmarkEnd w:id="328"/>
      <w:bookmarkStart w:id="329" w:name="_Toc184313301"/>
      <w:bookmarkEnd w:id="329"/>
      <w:bookmarkStart w:id="330" w:name="_Toc184314476"/>
      <w:bookmarkEnd w:id="330"/>
      <w:bookmarkStart w:id="331" w:name="_Toc184313250"/>
      <w:bookmarkEnd w:id="331"/>
      <w:bookmarkStart w:id="332" w:name="_Toc184310338"/>
      <w:bookmarkEnd w:id="332"/>
      <w:bookmarkStart w:id="333" w:name="_Toc184312085"/>
      <w:bookmarkEnd w:id="333"/>
      <w:bookmarkStart w:id="334" w:name="_Toc184313265"/>
      <w:bookmarkEnd w:id="334"/>
      <w:bookmarkStart w:id="335" w:name="_Toc184313264"/>
      <w:bookmarkEnd w:id="335"/>
      <w:bookmarkStart w:id="336" w:name="_Toc184308108"/>
      <w:bookmarkEnd w:id="336"/>
      <w:bookmarkStart w:id="337" w:name="_Toc184314463"/>
      <w:bookmarkEnd w:id="337"/>
      <w:bookmarkStart w:id="338" w:name="_Toc184310292"/>
      <w:bookmarkEnd w:id="338"/>
      <w:bookmarkStart w:id="339" w:name="_Toc184312139"/>
      <w:bookmarkEnd w:id="339"/>
      <w:bookmarkStart w:id="340" w:name="_Toc184314446"/>
      <w:bookmarkEnd w:id="340"/>
      <w:bookmarkStart w:id="341" w:name="_Toc184312125"/>
      <w:bookmarkEnd w:id="341"/>
      <w:bookmarkStart w:id="342" w:name="_Toc184313280"/>
      <w:bookmarkEnd w:id="342"/>
      <w:bookmarkStart w:id="343" w:name="_Toc184312115"/>
      <w:bookmarkEnd w:id="343"/>
      <w:bookmarkStart w:id="344" w:name="_Toc184312130"/>
      <w:bookmarkEnd w:id="344"/>
      <w:bookmarkStart w:id="345" w:name="_Toc184314449"/>
      <w:bookmarkEnd w:id="345"/>
      <w:bookmarkStart w:id="346" w:name="_Toc184314460"/>
      <w:bookmarkEnd w:id="346"/>
      <w:bookmarkStart w:id="347" w:name="_Toc184314451"/>
      <w:bookmarkEnd w:id="347"/>
      <w:bookmarkStart w:id="348" w:name="_Toc184308064"/>
      <w:bookmarkEnd w:id="348"/>
      <w:bookmarkStart w:id="349" w:name="_Toc184308105"/>
      <w:bookmarkEnd w:id="349"/>
      <w:bookmarkStart w:id="350" w:name="_Toc184308098"/>
      <w:bookmarkEnd w:id="350"/>
      <w:bookmarkStart w:id="351" w:name="_Toc184310301"/>
      <w:bookmarkEnd w:id="351"/>
      <w:bookmarkStart w:id="352" w:name="_Toc184312128"/>
      <w:bookmarkEnd w:id="352"/>
      <w:bookmarkStart w:id="353" w:name="_Toc184308068"/>
      <w:bookmarkEnd w:id="353"/>
      <w:bookmarkStart w:id="354" w:name="_Toc184308056"/>
      <w:bookmarkEnd w:id="354"/>
      <w:bookmarkStart w:id="355" w:name="_Toc184308095"/>
      <w:bookmarkEnd w:id="355"/>
      <w:bookmarkStart w:id="356" w:name="_Toc184314450"/>
      <w:bookmarkEnd w:id="356"/>
      <w:bookmarkStart w:id="357" w:name="_Toc184313302"/>
      <w:bookmarkEnd w:id="357"/>
      <w:bookmarkStart w:id="358" w:name="_Toc184313245"/>
      <w:bookmarkEnd w:id="358"/>
      <w:bookmarkStart w:id="359" w:name="_Toc184314473"/>
      <w:bookmarkEnd w:id="359"/>
      <w:bookmarkStart w:id="360" w:name="_Toc184314470"/>
      <w:bookmarkEnd w:id="360"/>
      <w:bookmarkStart w:id="361" w:name="_Toc184310291"/>
      <w:bookmarkEnd w:id="361"/>
      <w:bookmarkStart w:id="362" w:name="_Toc184308082"/>
      <w:bookmarkEnd w:id="362"/>
      <w:bookmarkStart w:id="363" w:name="_Toc184310312"/>
      <w:bookmarkEnd w:id="363"/>
      <w:bookmarkStart w:id="364" w:name="_Toc184310319"/>
      <w:bookmarkEnd w:id="364"/>
      <w:bookmarkStart w:id="365" w:name="_Toc184312082"/>
      <w:bookmarkEnd w:id="365"/>
      <w:bookmarkStart w:id="366" w:name="_Toc184308054"/>
      <w:bookmarkEnd w:id="366"/>
      <w:bookmarkStart w:id="367" w:name="_Toc184310323"/>
      <w:bookmarkEnd w:id="367"/>
      <w:bookmarkStart w:id="368" w:name="_Toc184312127"/>
      <w:bookmarkEnd w:id="368"/>
      <w:bookmarkStart w:id="369" w:name="_Toc184308076"/>
      <w:bookmarkEnd w:id="369"/>
      <w:bookmarkStart w:id="370" w:name="_Toc184314426"/>
      <w:bookmarkEnd w:id="370"/>
      <w:bookmarkStart w:id="371" w:name="_Toc184313279"/>
      <w:bookmarkEnd w:id="371"/>
      <w:bookmarkStart w:id="372" w:name="_Toc184308050"/>
      <w:bookmarkEnd w:id="372"/>
      <w:bookmarkStart w:id="373" w:name="_Toc184314440"/>
      <w:bookmarkEnd w:id="373"/>
      <w:bookmarkStart w:id="374" w:name="_Toc184308061"/>
      <w:bookmarkEnd w:id="374"/>
      <w:bookmarkStart w:id="375" w:name="_Toc184314454"/>
      <w:bookmarkEnd w:id="375"/>
      <w:bookmarkStart w:id="376" w:name="_Toc184314415"/>
      <w:bookmarkEnd w:id="376"/>
      <w:bookmarkStart w:id="377" w:name="_Toc184308059"/>
      <w:bookmarkEnd w:id="377"/>
      <w:bookmarkStart w:id="378" w:name="_Toc184312074"/>
      <w:bookmarkEnd w:id="378"/>
      <w:bookmarkStart w:id="379" w:name="_Toc184313295"/>
      <w:bookmarkEnd w:id="379"/>
      <w:bookmarkStart w:id="380" w:name="_Toc184313292"/>
      <w:bookmarkEnd w:id="380"/>
      <w:bookmarkStart w:id="381" w:name="_Toc184312106"/>
      <w:bookmarkEnd w:id="381"/>
      <w:bookmarkStart w:id="382" w:name="_Toc184313287"/>
      <w:bookmarkEnd w:id="382"/>
      <w:bookmarkStart w:id="383" w:name="_Toc184310317"/>
      <w:bookmarkEnd w:id="383"/>
      <w:bookmarkStart w:id="384" w:name="_Toc184313299"/>
      <w:bookmarkEnd w:id="384"/>
      <w:bookmarkStart w:id="385" w:name="_Toc184308042"/>
      <w:bookmarkEnd w:id="385"/>
      <w:bookmarkStart w:id="386" w:name="_Toc184312114"/>
      <w:bookmarkEnd w:id="386"/>
      <w:bookmarkStart w:id="387" w:name="_Toc184310334"/>
      <w:bookmarkEnd w:id="387"/>
      <w:bookmarkStart w:id="388" w:name="_Toc184308046"/>
      <w:bookmarkEnd w:id="388"/>
      <w:bookmarkStart w:id="389" w:name="_Toc184310290"/>
      <w:bookmarkEnd w:id="389"/>
      <w:bookmarkStart w:id="390" w:name="_Toc184312072"/>
      <w:bookmarkEnd w:id="390"/>
      <w:bookmarkStart w:id="391" w:name="_Toc184310286"/>
      <w:bookmarkEnd w:id="391"/>
      <w:bookmarkStart w:id="392" w:name="_Toc184312137"/>
      <w:bookmarkEnd w:id="392"/>
      <w:bookmarkStart w:id="393" w:name="_Toc184312069"/>
      <w:bookmarkEnd w:id="393"/>
      <w:bookmarkStart w:id="394" w:name="_Toc184313298"/>
      <w:bookmarkEnd w:id="394"/>
      <w:bookmarkStart w:id="395" w:name="_Toc184314448"/>
      <w:bookmarkEnd w:id="395"/>
      <w:bookmarkStart w:id="396" w:name="_Toc184310303"/>
      <w:bookmarkEnd w:id="396"/>
      <w:bookmarkStart w:id="397" w:name="_Toc184310299"/>
      <w:bookmarkEnd w:id="397"/>
      <w:bookmarkStart w:id="398" w:name="_Toc184308087"/>
      <w:bookmarkEnd w:id="398"/>
      <w:bookmarkStart w:id="399" w:name="_Toc184313282"/>
      <w:bookmarkEnd w:id="399"/>
      <w:bookmarkStart w:id="400" w:name="_Toc184308052"/>
      <w:bookmarkEnd w:id="400"/>
      <w:bookmarkStart w:id="401" w:name="_Toc184314445"/>
      <w:bookmarkEnd w:id="401"/>
      <w:bookmarkStart w:id="402" w:name="_Toc184313305"/>
      <w:bookmarkEnd w:id="402"/>
      <w:bookmarkStart w:id="403" w:name="_Toc184310307"/>
      <w:bookmarkEnd w:id="403"/>
      <w:bookmarkStart w:id="404" w:name="_Toc184312093"/>
      <w:bookmarkEnd w:id="404"/>
      <w:bookmarkStart w:id="405" w:name="_Toc184314430"/>
      <w:bookmarkEnd w:id="405"/>
      <w:bookmarkStart w:id="406" w:name="_Toc184308097"/>
      <w:bookmarkEnd w:id="406"/>
      <w:bookmarkStart w:id="407" w:name="_Toc184310273"/>
      <w:bookmarkEnd w:id="407"/>
      <w:bookmarkStart w:id="408" w:name="_Toc184314443"/>
      <w:bookmarkEnd w:id="408"/>
      <w:bookmarkStart w:id="409" w:name="_Toc184313239"/>
      <w:bookmarkEnd w:id="409"/>
      <w:bookmarkStart w:id="410" w:name="_Toc184312126"/>
      <w:bookmarkEnd w:id="410"/>
      <w:bookmarkStart w:id="411" w:name="_Toc184310279"/>
      <w:bookmarkEnd w:id="411"/>
      <w:bookmarkStart w:id="412" w:name="_Toc184308041"/>
      <w:bookmarkEnd w:id="412"/>
      <w:bookmarkStart w:id="413" w:name="_Toc184314467"/>
      <w:bookmarkEnd w:id="413"/>
      <w:bookmarkStart w:id="414" w:name="_Toc184310276"/>
      <w:bookmarkEnd w:id="414"/>
      <w:bookmarkStart w:id="415" w:name="_Toc184310333"/>
      <w:bookmarkEnd w:id="415"/>
      <w:bookmarkStart w:id="416" w:name="_Toc184312090"/>
      <w:bookmarkEnd w:id="416"/>
      <w:bookmarkStart w:id="417" w:name="_Toc184308086"/>
      <w:bookmarkEnd w:id="417"/>
      <w:bookmarkStart w:id="418" w:name="_Toc184314420"/>
      <w:bookmarkEnd w:id="418"/>
      <w:bookmarkStart w:id="419" w:name="_Toc184312105"/>
      <w:bookmarkEnd w:id="419"/>
      <w:bookmarkStart w:id="420" w:name="_Toc184308060"/>
      <w:bookmarkEnd w:id="420"/>
      <w:bookmarkStart w:id="421" w:name="_Toc184308048"/>
      <w:bookmarkEnd w:id="421"/>
      <w:r>
        <w:rPr>
          <w:rFonts w:hint="eastAsia" w:ascii="宋体" w:hAnsi="宋体" w:cs="宋体"/>
          <w:b/>
          <w:color w:val="auto"/>
          <w:sz w:val="36"/>
          <w:szCs w:val="36"/>
          <w:highlight w:val="none"/>
        </w:rPr>
        <w:t>评标办法</w:t>
      </w:r>
      <w:bookmarkEnd w:id="55"/>
      <w:bookmarkEnd w:id="56"/>
    </w:p>
    <w:tbl>
      <w:tblPr>
        <w:tblStyle w:val="62"/>
        <w:tblW w:w="4994" w:type="pct"/>
        <w:tblInd w:w="0" w:type="dxa"/>
        <w:tblLayout w:type="fixed"/>
        <w:tblCellMar>
          <w:top w:w="0" w:type="dxa"/>
          <w:left w:w="108" w:type="dxa"/>
          <w:bottom w:w="0" w:type="dxa"/>
          <w:right w:w="108" w:type="dxa"/>
        </w:tblCellMar>
      </w:tblPr>
      <w:tblGrid>
        <w:gridCol w:w="919"/>
        <w:gridCol w:w="1"/>
        <w:gridCol w:w="1162"/>
        <w:gridCol w:w="2"/>
        <w:gridCol w:w="6172"/>
        <w:gridCol w:w="1019"/>
      </w:tblGrid>
      <w:tr>
        <w:tblPrEx>
          <w:tblCellMar>
            <w:top w:w="0" w:type="dxa"/>
            <w:left w:w="108" w:type="dxa"/>
            <w:bottom w:w="0" w:type="dxa"/>
            <w:right w:w="108" w:type="dxa"/>
          </w:tblCellMar>
        </w:tblPrEx>
        <w:trPr>
          <w:trHeight w:val="319" w:hRule="atLeast"/>
        </w:trPr>
        <w:tc>
          <w:tcPr>
            <w:tcW w:w="9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bidi="ar"/>
              </w:rPr>
              <w:t>序号</w:t>
            </w:r>
          </w:p>
        </w:tc>
        <w:tc>
          <w:tcPr>
            <w:tcW w:w="11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bidi="ar"/>
              </w:rPr>
              <w:t>评审因素</w:t>
            </w:r>
          </w:p>
        </w:tc>
        <w:tc>
          <w:tcPr>
            <w:tcW w:w="6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bidi="ar"/>
              </w:rPr>
              <w:t>评分标准说明</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bidi="ar"/>
              </w:rPr>
              <w:t>分值</w:t>
            </w:r>
          </w:p>
        </w:tc>
      </w:tr>
      <w:tr>
        <w:tblPrEx>
          <w:tblCellMar>
            <w:top w:w="0" w:type="dxa"/>
            <w:left w:w="108" w:type="dxa"/>
            <w:bottom w:w="0" w:type="dxa"/>
            <w:right w:w="108" w:type="dxa"/>
          </w:tblCellMar>
        </w:tblPrEx>
        <w:trPr>
          <w:trHeight w:val="540" w:hRule="atLeast"/>
        </w:trPr>
        <w:tc>
          <w:tcPr>
            <w:tcW w:w="82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bidi="ar"/>
              </w:rPr>
              <w:t>一、价格部分</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cs="宋体"/>
                <w:b/>
                <w:bCs/>
                <w:kern w:val="0"/>
                <w:szCs w:val="21"/>
                <w:highlight w:val="none"/>
                <w:lang w:val="en-US" w:eastAsia="zh-CN" w:bidi="ar"/>
              </w:rPr>
              <w:t>30</w:t>
            </w:r>
            <w:r>
              <w:rPr>
                <w:rFonts w:hint="eastAsia" w:ascii="宋体" w:hAnsi="宋体" w:eastAsia="宋体" w:cs="宋体"/>
                <w:b/>
                <w:bCs/>
                <w:kern w:val="0"/>
                <w:szCs w:val="21"/>
                <w:highlight w:val="none"/>
                <w:lang w:bidi="ar"/>
              </w:rPr>
              <w:t>分</w:t>
            </w:r>
          </w:p>
        </w:tc>
      </w:tr>
      <w:tr>
        <w:tblPrEx>
          <w:tblCellMar>
            <w:top w:w="0" w:type="dxa"/>
            <w:left w:w="108" w:type="dxa"/>
            <w:bottom w:w="0" w:type="dxa"/>
            <w:right w:w="108" w:type="dxa"/>
          </w:tblCellMar>
        </w:tblPrEx>
        <w:trPr>
          <w:trHeight w:val="159" w:hRule="atLeast"/>
        </w:trPr>
        <w:tc>
          <w:tcPr>
            <w:tcW w:w="9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bidi="ar"/>
              </w:rPr>
              <w:t>1</w:t>
            </w:r>
          </w:p>
        </w:tc>
        <w:tc>
          <w:tcPr>
            <w:tcW w:w="11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bidi="ar"/>
              </w:rPr>
              <w:t>价格分</w:t>
            </w:r>
          </w:p>
        </w:tc>
        <w:tc>
          <w:tcPr>
            <w:tcW w:w="6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（1）评标报价为投标人的投标报价进行政策性扣除后的价格，评标报价只是作为评标时使用。最终中标人的中标金额等于投标报价。</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（2）按照《政府采购促进中小企业发展管理办法》（财库〔2020〕46号）、《广西壮族自治区财政厅关于贯彻落实政府采购支持中小企业发展政策的通知》（桂财采〔2022〕31 号）的规定，在其投标文件中提供《中小企业声明函》，且其提供的货物全部由符合政策要求的小型、微型企业制造，即货物由小型、微型企业生产且使用该小型、微型企业商号或者注册商标，对其投标价格给予20%的扣除。</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（5）政策性扣除计算方法。</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投标人被评定为监狱企业或者残疾人福利性单位或者其提供的货物全部由符合政策要求的小型、微型企业制造，即货物由小型、微型企业生产且使用该小型、微型企业商号或者注册商标的，该投标人的投标报价给予 20% 的扣除，扣除后的价格为评标报价，即评标报价=投标报价×（1-20%）。</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除上述情况外，评标价＝投标报价。</w:t>
            </w:r>
          </w:p>
          <w:p>
            <w:pPr>
              <w:widowControl/>
              <w:adjustRightInd/>
              <w:spacing w:line="360" w:lineRule="auto"/>
              <w:textAlignment w:val="center"/>
              <w:rPr>
                <w:rFonts w:hint="eastAsia" w:ascii="宋体" w:hAnsi="宋体" w:cs="宋体"/>
                <w:kern w:val="0"/>
                <w:szCs w:val="21"/>
                <w:lang w:bidi="ar"/>
              </w:rPr>
            </w:pPr>
            <w:r>
              <w:rPr>
                <w:rFonts w:hint="eastAsia" w:ascii="宋体" w:hAnsi="宋体" w:cs="宋体"/>
                <w:kern w:val="0"/>
                <w:szCs w:val="21"/>
                <w:lang w:bidi="ar"/>
              </w:rPr>
              <w:t>（6）满足招标文件要求且评标报价最低的评标报价为评标基准价，基准价报价得分为</w:t>
            </w:r>
            <w:r>
              <w:rPr>
                <w:rFonts w:hint="eastAsia" w:ascii="宋体" w:hAnsi="宋体" w:cs="宋体"/>
                <w:kern w:val="0"/>
                <w:szCs w:val="21"/>
                <w:lang w:val="en-US" w:eastAsia="zh-CN" w:bidi="ar"/>
              </w:rPr>
              <w:t>3</w:t>
            </w:r>
            <w:r>
              <w:rPr>
                <w:rFonts w:hint="eastAsia" w:ascii="宋体" w:hAnsi="宋体" w:cs="宋体"/>
                <w:kern w:val="0"/>
                <w:szCs w:val="21"/>
                <w:lang w:bidi="ar"/>
              </w:rPr>
              <w:t>0 分；</w:t>
            </w:r>
          </w:p>
          <w:p>
            <w:pPr>
              <w:widowControl/>
              <w:adjustRightInd/>
              <w:spacing w:line="360" w:lineRule="auto"/>
              <w:textAlignment w:val="center"/>
              <w:rPr>
                <w:rFonts w:hint="eastAsia" w:ascii="宋体" w:hAnsi="宋体" w:cs="宋体"/>
                <w:kern w:val="0"/>
                <w:szCs w:val="21"/>
                <w:lang w:bidi="ar"/>
              </w:rPr>
            </w:pPr>
            <w:r>
              <w:rPr>
                <w:rFonts w:hint="eastAsia" w:ascii="宋体" w:hAnsi="宋体" w:cs="宋体"/>
                <w:kern w:val="0"/>
                <w:szCs w:val="21"/>
                <w:lang w:bidi="ar"/>
              </w:rPr>
              <w:t>（7）价格分计算公式：</w:t>
            </w:r>
          </w:p>
          <w:p>
            <w:pPr>
              <w:widowControl/>
              <w:adjustRightInd/>
              <w:spacing w:line="360" w:lineRule="auto"/>
              <w:textAlignment w:val="center"/>
              <w:rPr>
                <w:rFonts w:hint="eastAsia" w:ascii="宋体" w:hAnsi="宋体" w:cs="宋体"/>
                <w:kern w:val="0"/>
                <w:szCs w:val="21"/>
                <w:lang w:bidi="ar"/>
              </w:rPr>
            </w:pPr>
            <w:r>
              <w:rPr>
                <w:rFonts w:hint="eastAsia" w:ascii="宋体" w:hAnsi="宋体" w:cs="宋体"/>
                <w:kern w:val="0"/>
                <w:szCs w:val="21"/>
                <w:lang w:bidi="ar"/>
              </w:rPr>
              <w:t>某投标人价格分 = 投标人最低评标价（金额）/某投标人评标价（金额）×</w:t>
            </w:r>
            <w:r>
              <w:rPr>
                <w:rFonts w:hint="eastAsia" w:ascii="宋体" w:hAnsi="宋体" w:cs="宋体"/>
                <w:kern w:val="0"/>
                <w:szCs w:val="21"/>
                <w:lang w:val="en-US" w:eastAsia="zh-CN" w:bidi="ar"/>
              </w:rPr>
              <w:t>3</w:t>
            </w:r>
            <w:r>
              <w:rPr>
                <w:rFonts w:hint="eastAsia" w:ascii="宋体" w:hAnsi="宋体" w:cs="宋体"/>
                <w:kern w:val="0"/>
                <w:szCs w:val="21"/>
                <w:lang w:bidi="ar"/>
              </w:rPr>
              <w:t>0分</w:t>
            </w:r>
          </w:p>
          <w:p>
            <w:pPr>
              <w:widowControl/>
              <w:adjustRightInd/>
              <w:spacing w:line="360" w:lineRule="auto"/>
              <w:textAlignment w:val="center"/>
              <w:rPr>
                <w:rFonts w:hint="eastAsia" w:ascii="宋体" w:hAnsi="宋体" w:cs="宋体"/>
                <w:kern w:val="0"/>
                <w:szCs w:val="21"/>
                <w:lang w:bidi="ar"/>
              </w:rPr>
            </w:pPr>
            <w:r>
              <w:rPr>
                <w:rFonts w:hint="eastAsia" w:ascii="宋体" w:hAnsi="宋体" w:cs="宋体"/>
                <w:kern w:val="0"/>
                <w:szCs w:val="21"/>
                <w:lang w:bidi="ar"/>
              </w:rPr>
              <w:t>（8）报价要求</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szCs w:val="21"/>
                <w:highlight w:val="none"/>
              </w:rPr>
            </w:pPr>
            <w:r>
              <w:rPr>
                <w:rFonts w:hint="eastAsia" w:ascii="宋体" w:hAnsi="宋体" w:cs="宋体"/>
                <w:kern w:val="0"/>
                <w:szCs w:val="21"/>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Cs w:val="21"/>
                <w:highlight w:val="none"/>
              </w:rPr>
            </w:pPr>
            <w:r>
              <w:rPr>
                <w:rFonts w:hint="eastAsia" w:ascii="宋体" w:hAnsi="宋体" w:cs="宋体"/>
                <w:b/>
                <w:bCs/>
                <w:kern w:val="0"/>
                <w:szCs w:val="21"/>
                <w:highlight w:val="none"/>
                <w:lang w:val="en-US" w:eastAsia="zh-CN" w:bidi="ar"/>
              </w:rPr>
              <w:t>30</w:t>
            </w:r>
            <w:r>
              <w:rPr>
                <w:rFonts w:hint="eastAsia" w:ascii="宋体" w:hAnsi="宋体" w:eastAsia="宋体" w:cs="宋体"/>
                <w:b/>
                <w:bCs/>
                <w:kern w:val="0"/>
                <w:szCs w:val="21"/>
                <w:highlight w:val="none"/>
                <w:lang w:bidi="ar"/>
              </w:rPr>
              <w:t>分</w:t>
            </w:r>
          </w:p>
        </w:tc>
      </w:tr>
      <w:tr>
        <w:tblPrEx>
          <w:tblCellMar>
            <w:top w:w="0" w:type="dxa"/>
            <w:left w:w="108" w:type="dxa"/>
            <w:bottom w:w="0" w:type="dxa"/>
            <w:right w:w="108" w:type="dxa"/>
          </w:tblCellMar>
        </w:tblPrEx>
        <w:trPr>
          <w:trHeight w:val="90" w:hRule="atLeast"/>
        </w:trPr>
        <w:tc>
          <w:tcPr>
            <w:tcW w:w="82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b/>
                <w:bCs/>
                <w:szCs w:val="21"/>
                <w:highlight w:val="none"/>
                <w:lang w:val="en-US" w:eastAsia="zh-CN"/>
              </w:rPr>
            </w:pPr>
            <w:r>
              <w:rPr>
                <w:rFonts w:hint="eastAsia" w:ascii="宋体" w:hAnsi="宋体" w:eastAsia="宋体" w:cs="宋体"/>
                <w:b/>
                <w:bCs/>
                <w:kern w:val="0"/>
                <w:szCs w:val="21"/>
                <w:highlight w:val="none"/>
                <w:lang w:bidi="ar"/>
              </w:rPr>
              <w:t>二、技术</w:t>
            </w:r>
            <w:r>
              <w:rPr>
                <w:rFonts w:hint="eastAsia" w:ascii="宋体" w:hAnsi="宋体" w:eastAsia="宋体" w:cs="宋体"/>
                <w:b/>
                <w:bCs/>
                <w:kern w:val="0"/>
                <w:szCs w:val="21"/>
                <w:highlight w:val="none"/>
                <w:lang w:val="en-US" w:eastAsia="zh-CN" w:bidi="ar"/>
              </w:rPr>
              <w:t>分</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cs="宋体"/>
                <w:b/>
                <w:bCs/>
                <w:kern w:val="0"/>
                <w:szCs w:val="21"/>
                <w:highlight w:val="none"/>
                <w:lang w:val="en-US" w:eastAsia="zh-CN" w:bidi="ar"/>
              </w:rPr>
              <w:t>30</w:t>
            </w:r>
            <w:r>
              <w:rPr>
                <w:rFonts w:hint="eastAsia" w:ascii="宋体" w:hAnsi="宋体" w:eastAsia="宋体" w:cs="宋体"/>
                <w:b/>
                <w:bCs/>
                <w:kern w:val="0"/>
                <w:szCs w:val="21"/>
                <w:highlight w:val="none"/>
                <w:lang w:bidi="ar"/>
              </w:rPr>
              <w:t>分</w:t>
            </w:r>
          </w:p>
        </w:tc>
      </w:tr>
      <w:tr>
        <w:tblPrEx>
          <w:tblCellMar>
            <w:top w:w="0" w:type="dxa"/>
            <w:left w:w="108" w:type="dxa"/>
            <w:bottom w:w="0" w:type="dxa"/>
            <w:right w:w="108" w:type="dxa"/>
          </w:tblCellMar>
        </w:tblPrEx>
        <w:trPr>
          <w:trHeight w:val="100" w:hRule="atLeast"/>
        </w:trPr>
        <w:tc>
          <w:tcPr>
            <w:tcW w:w="9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bidi="ar"/>
              </w:rPr>
              <w:t>1</w:t>
            </w:r>
          </w:p>
        </w:tc>
        <w:tc>
          <w:tcPr>
            <w:tcW w:w="11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yellow"/>
              </w:rPr>
            </w:pPr>
            <w:r>
              <w:rPr>
                <w:rFonts w:hint="eastAsia" w:ascii="宋体" w:hAnsi="宋体" w:eastAsia="宋体" w:cs="宋体"/>
                <w:b/>
                <w:bCs/>
                <w:kern w:val="0"/>
                <w:szCs w:val="21"/>
                <w:highlight w:val="none"/>
                <w:lang w:bidi="ar"/>
              </w:rPr>
              <w:t>技术参数、性能及配置分</w:t>
            </w:r>
          </w:p>
        </w:tc>
        <w:tc>
          <w:tcPr>
            <w:tcW w:w="61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center"/>
              <w:rPr>
                <w:rFonts w:hint="eastAsia" w:ascii="宋体" w:hAnsi="宋体" w:eastAsia="宋体" w:cs="宋体"/>
                <w:color w:val="auto"/>
                <w:kern w:val="2"/>
                <w:sz w:val="21"/>
                <w:szCs w:val="21"/>
                <w:highlight w:val="yellow"/>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本项目的采购项目需求一览表中标注“★”的技术参数为重要技术指标、功能项，将作为本项目中货物性能的评分依据。投标产品所有技术指标、功能项均能满足招标文件要求，且标注“★”的技术参数均能提供产品功能截图或产品彩页或产品技术说明书等证明材料复印件并加盖单位公章，每存在一项得1分，满分30分；（说明：标注“★”的技术参数在响应文件中逐点应答出证明材料具体位置。证明材料需要与招标文件描述功能或指标吻合，同时必须提供投标人针对其所提供的证明材料真实性及如提供虚假材料自愿承担相关法律责任的承诺书，格式自拟并加盖投标人公章，否则证明材料不予承认）。</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Cs w:val="21"/>
                <w:highlight w:val="none"/>
              </w:rPr>
            </w:pPr>
            <w:r>
              <w:rPr>
                <w:rFonts w:hint="eastAsia" w:ascii="宋体" w:hAnsi="宋体" w:cs="宋体"/>
                <w:b/>
                <w:bCs/>
                <w:kern w:val="0"/>
                <w:szCs w:val="21"/>
                <w:highlight w:val="none"/>
                <w:lang w:val="en-US" w:eastAsia="zh-CN" w:bidi="ar"/>
              </w:rPr>
              <w:t>30</w:t>
            </w:r>
            <w:r>
              <w:rPr>
                <w:rFonts w:hint="eastAsia" w:ascii="宋体" w:hAnsi="宋体" w:eastAsia="宋体" w:cs="宋体"/>
                <w:b/>
                <w:bCs/>
                <w:kern w:val="0"/>
                <w:szCs w:val="21"/>
                <w:highlight w:val="none"/>
                <w:lang w:bidi="ar"/>
              </w:rPr>
              <w:t>分</w:t>
            </w:r>
          </w:p>
        </w:tc>
      </w:tr>
      <w:tr>
        <w:tblPrEx>
          <w:tblCellMar>
            <w:top w:w="0" w:type="dxa"/>
            <w:left w:w="108" w:type="dxa"/>
            <w:bottom w:w="0" w:type="dxa"/>
            <w:right w:w="108" w:type="dxa"/>
          </w:tblCellMar>
        </w:tblPrEx>
        <w:trPr>
          <w:trHeight w:val="525" w:hRule="atLeast"/>
        </w:trPr>
        <w:tc>
          <w:tcPr>
            <w:tcW w:w="82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56"/>
                <w:tab w:val="left" w:pos="5993"/>
              </w:tabs>
              <w:kinsoku/>
              <w:wordWrap/>
              <w:overflowPunct/>
              <w:topLinePunct w:val="0"/>
              <w:autoSpaceDE/>
              <w:autoSpaceDN/>
              <w:bidi w:val="0"/>
              <w:spacing w:line="360" w:lineRule="auto"/>
              <w:jc w:val="left"/>
              <w:textAlignment w:val="center"/>
              <w:rPr>
                <w:rFonts w:hint="eastAsia" w:ascii="宋体" w:hAnsi="宋体" w:eastAsia="宋体" w:cs="宋体"/>
                <w:b/>
                <w:bCs/>
                <w:kern w:val="0"/>
                <w:szCs w:val="21"/>
                <w:highlight w:val="none"/>
                <w:lang w:eastAsia="zh-CN" w:bidi="ar"/>
              </w:rPr>
            </w:pPr>
            <w:r>
              <w:rPr>
                <w:rFonts w:hint="eastAsia" w:ascii="宋体" w:hAnsi="宋体" w:eastAsia="宋体" w:cs="宋体"/>
                <w:b/>
                <w:bCs/>
                <w:kern w:val="0"/>
                <w:szCs w:val="21"/>
                <w:highlight w:val="none"/>
                <w:lang w:eastAsia="zh-CN" w:bidi="ar"/>
              </w:rPr>
              <w:t>三、实施方案分</w:t>
            </w:r>
            <w:r>
              <w:rPr>
                <w:rFonts w:hint="eastAsia" w:ascii="宋体" w:hAnsi="宋体" w:cs="宋体"/>
                <w:b/>
                <w:bCs/>
                <w:kern w:val="0"/>
                <w:szCs w:val="21"/>
                <w:highlight w:val="none"/>
                <w:lang w:eastAsia="zh-CN" w:bidi="ar"/>
              </w:rPr>
              <w:tab/>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56"/>
              </w:tabs>
              <w:kinsoku/>
              <w:wordWrap/>
              <w:overflowPunct/>
              <w:topLinePunct w:val="0"/>
              <w:autoSpaceDE/>
              <w:autoSpaceDN/>
              <w:bidi w:val="0"/>
              <w:spacing w:line="360" w:lineRule="auto"/>
              <w:jc w:val="left"/>
              <w:textAlignment w:val="center"/>
              <w:rPr>
                <w:rFonts w:hint="eastAsia" w:ascii="宋体" w:hAnsi="宋体" w:eastAsia="宋体" w:cs="宋体"/>
                <w:b/>
                <w:bCs/>
                <w:kern w:val="0"/>
                <w:szCs w:val="21"/>
                <w:highlight w:val="none"/>
                <w:lang w:val="en-US" w:eastAsia="zh-CN" w:bidi="ar"/>
              </w:rPr>
            </w:pPr>
            <w:r>
              <w:rPr>
                <w:rFonts w:hint="eastAsia" w:ascii="宋体" w:hAnsi="宋体" w:cs="宋体"/>
                <w:b/>
                <w:bCs/>
                <w:kern w:val="0"/>
                <w:szCs w:val="21"/>
                <w:highlight w:val="none"/>
                <w:lang w:val="en-US" w:eastAsia="zh-CN" w:bidi="ar"/>
              </w:rPr>
              <w:t>15</w:t>
            </w:r>
            <w:r>
              <w:rPr>
                <w:rFonts w:hint="eastAsia" w:ascii="宋体" w:hAnsi="宋体" w:eastAsia="宋体" w:cs="宋体"/>
                <w:b/>
                <w:bCs/>
                <w:kern w:val="0"/>
                <w:szCs w:val="21"/>
                <w:highlight w:val="none"/>
                <w:lang w:val="en-US" w:eastAsia="zh-CN" w:bidi="ar"/>
              </w:rPr>
              <w:t>分</w:t>
            </w:r>
          </w:p>
        </w:tc>
      </w:tr>
      <w:tr>
        <w:tblPrEx>
          <w:tblCellMar>
            <w:top w:w="0" w:type="dxa"/>
            <w:left w:w="108" w:type="dxa"/>
            <w:bottom w:w="0" w:type="dxa"/>
            <w:right w:w="108" w:type="dxa"/>
          </w:tblCellMar>
        </w:tblPrEx>
        <w:trPr>
          <w:trHeight w:val="173"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lang w:eastAsia="zh-CN"/>
              </w:rPr>
            </w:pPr>
            <w:r>
              <w:rPr>
                <w:rFonts w:hint="eastAsia" w:ascii="宋体" w:hAnsi="宋体" w:eastAsia="宋体" w:cs="宋体"/>
                <w:b/>
                <w:bCs/>
                <w:kern w:val="0"/>
                <w:szCs w:val="21"/>
                <w:highlight w:val="none"/>
                <w:lang w:val="en-US" w:eastAsia="zh-CN" w:bidi="ar"/>
              </w:rPr>
              <w:t>1</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lang w:eastAsia="zh-CN"/>
              </w:rPr>
            </w:pPr>
            <w:r>
              <w:rPr>
                <w:rFonts w:hint="eastAsia" w:ascii="宋体" w:hAnsi="宋体" w:eastAsia="宋体" w:cs="宋体"/>
                <w:b/>
                <w:bCs/>
                <w:kern w:val="0"/>
                <w:szCs w:val="21"/>
                <w:highlight w:val="none"/>
                <w:lang w:bidi="ar"/>
              </w:rPr>
              <w:t>实施</w:t>
            </w:r>
            <w:r>
              <w:rPr>
                <w:rFonts w:hint="eastAsia" w:ascii="宋体" w:hAnsi="宋体" w:eastAsia="宋体" w:cs="宋体"/>
                <w:b/>
                <w:bCs/>
                <w:kern w:val="0"/>
                <w:szCs w:val="21"/>
                <w:highlight w:val="none"/>
                <w:lang w:eastAsia="zh-CN" w:bidi="ar"/>
              </w:rPr>
              <w:t>方案分</w:t>
            </w:r>
          </w:p>
        </w:tc>
        <w:tc>
          <w:tcPr>
            <w:tcW w:w="61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bidi="ar"/>
              </w:rPr>
            </w:pPr>
            <w:r>
              <w:rPr>
                <w:rFonts w:hint="eastAsia" w:ascii="宋体" w:hAnsi="宋体" w:eastAsia="宋体" w:cs="宋体"/>
                <w:snapToGrid/>
                <w:kern w:val="0"/>
                <w:sz w:val="21"/>
                <w:szCs w:val="21"/>
                <w:highlight w:val="none"/>
                <w:lang w:val="en-US" w:eastAsia="zh-CN" w:bidi="ar"/>
              </w:rPr>
              <w:t>评标委员会根据各投标人投标文件中的“实施方案”内容，综合评定其档次并在相应档次内独立打分。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bidi="ar"/>
              </w:rPr>
            </w:pPr>
            <w:r>
              <w:rPr>
                <w:rFonts w:hint="eastAsia" w:ascii="宋体" w:hAnsi="宋体" w:eastAsia="宋体" w:cs="宋体"/>
                <w:snapToGrid/>
                <w:kern w:val="0"/>
                <w:sz w:val="21"/>
                <w:szCs w:val="21"/>
                <w:highlight w:val="none"/>
                <w:lang w:val="en-US" w:eastAsia="zh-CN" w:bidi="ar"/>
              </w:rPr>
              <w:t>一档（</w:t>
            </w:r>
            <w:r>
              <w:rPr>
                <w:rFonts w:hint="eastAsia" w:ascii="宋体" w:hAnsi="宋体" w:cs="宋体"/>
                <w:snapToGrid/>
                <w:kern w:val="0"/>
                <w:sz w:val="21"/>
                <w:szCs w:val="21"/>
                <w:highlight w:val="none"/>
                <w:lang w:val="en-US" w:eastAsia="zh-CN" w:bidi="ar"/>
              </w:rPr>
              <w:t>5</w:t>
            </w:r>
            <w:r>
              <w:rPr>
                <w:rFonts w:hint="eastAsia" w:ascii="宋体" w:hAnsi="宋体" w:eastAsia="宋体" w:cs="宋体"/>
                <w:snapToGrid/>
                <w:kern w:val="0"/>
                <w:sz w:val="21"/>
                <w:szCs w:val="21"/>
                <w:highlight w:val="none"/>
                <w:lang w:val="en-US" w:eastAsia="zh-CN" w:bidi="ar"/>
              </w:rPr>
              <w:t>分）：项目实施方案简单，保证项目实施的技术力量和人力资源安排基本满足要求，</w:t>
            </w:r>
            <w:r>
              <w:rPr>
                <w:rFonts w:hint="eastAsia" w:ascii="宋体" w:hAnsi="宋体" w:eastAsia="宋体" w:cs="宋体"/>
                <w:kern w:val="0"/>
                <w:szCs w:val="21"/>
                <w:highlight w:val="none"/>
                <w:lang w:bidi="ar"/>
              </w:rPr>
              <w:t>能够提供不少于5个</w:t>
            </w:r>
            <w:r>
              <w:rPr>
                <w:rFonts w:hint="eastAsia" w:ascii="宋体" w:hAnsi="宋体" w:cs="宋体"/>
                <w:kern w:val="0"/>
                <w:szCs w:val="21"/>
                <w:highlight w:val="none"/>
                <w:lang w:eastAsia="zh-CN" w:bidi="ar"/>
              </w:rPr>
              <w:t>项目实施人员</w:t>
            </w:r>
            <w:r>
              <w:rPr>
                <w:rFonts w:hint="eastAsia" w:ascii="宋体" w:hAnsi="宋体" w:eastAsia="宋体" w:cs="宋体"/>
                <w:kern w:val="0"/>
                <w:szCs w:val="21"/>
                <w:highlight w:val="none"/>
                <w:lang w:bidi="ar"/>
              </w:rPr>
              <w:t>。</w:t>
            </w:r>
            <w:r>
              <w:rPr>
                <w:rFonts w:hint="eastAsia" w:ascii="宋体" w:hAnsi="宋体" w:eastAsia="宋体" w:cs="宋体"/>
                <w:snapToGrid/>
                <w:kern w:val="0"/>
                <w:sz w:val="21"/>
                <w:szCs w:val="21"/>
                <w:highlight w:val="none"/>
                <w:lang w:val="en-US" w:eastAsia="zh-CN" w:bidi="ar"/>
              </w:rPr>
              <w:t>技术服务、技术培训的服务内容和措施一般，进入一档。</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bidi="ar"/>
              </w:rPr>
            </w:pPr>
            <w:r>
              <w:rPr>
                <w:rFonts w:hint="eastAsia" w:ascii="宋体" w:hAnsi="宋体" w:eastAsia="宋体" w:cs="宋体"/>
                <w:snapToGrid/>
                <w:kern w:val="0"/>
                <w:sz w:val="21"/>
                <w:szCs w:val="21"/>
                <w:highlight w:val="none"/>
                <w:lang w:val="en-US" w:eastAsia="zh-CN" w:bidi="ar"/>
              </w:rPr>
              <w:t>二档（</w:t>
            </w:r>
            <w:r>
              <w:rPr>
                <w:rFonts w:hint="eastAsia" w:ascii="宋体" w:hAnsi="宋体" w:cs="宋体"/>
                <w:snapToGrid/>
                <w:kern w:val="0"/>
                <w:sz w:val="21"/>
                <w:szCs w:val="21"/>
                <w:highlight w:val="none"/>
                <w:lang w:val="en-US" w:eastAsia="zh-CN" w:bidi="ar"/>
              </w:rPr>
              <w:t>10</w:t>
            </w:r>
            <w:r>
              <w:rPr>
                <w:rFonts w:hint="eastAsia" w:ascii="宋体" w:hAnsi="宋体" w:eastAsia="宋体" w:cs="宋体"/>
                <w:snapToGrid/>
                <w:kern w:val="0"/>
                <w:sz w:val="21"/>
                <w:szCs w:val="21"/>
                <w:highlight w:val="none"/>
                <w:lang w:val="en-US" w:eastAsia="zh-CN" w:bidi="ar"/>
              </w:rPr>
              <w:t>分）：项目实施方案较详细，保证项目实施的技术力量和人力资源安排满足项目实施要求，</w:t>
            </w:r>
            <w:r>
              <w:rPr>
                <w:rFonts w:hint="eastAsia" w:ascii="宋体" w:hAnsi="宋体" w:eastAsia="宋体" w:cs="宋体"/>
                <w:kern w:val="0"/>
                <w:szCs w:val="21"/>
                <w:highlight w:val="none"/>
                <w:lang w:bidi="ar"/>
              </w:rPr>
              <w:t>能够提供不少于1</w:t>
            </w:r>
            <w:r>
              <w:rPr>
                <w:rFonts w:hint="eastAsia" w:ascii="宋体" w:hAnsi="宋体" w:eastAsia="宋体" w:cs="宋体"/>
                <w:kern w:val="0"/>
                <w:szCs w:val="21"/>
                <w:highlight w:val="none"/>
                <w:lang w:val="en-US" w:eastAsia="zh-CN" w:bidi="ar"/>
              </w:rPr>
              <w:t>0</w:t>
            </w:r>
            <w:r>
              <w:rPr>
                <w:rFonts w:hint="eastAsia" w:ascii="宋体" w:hAnsi="宋体" w:eastAsia="宋体" w:cs="宋体"/>
                <w:kern w:val="0"/>
                <w:szCs w:val="21"/>
                <w:highlight w:val="none"/>
                <w:lang w:bidi="ar"/>
              </w:rPr>
              <w:t>个</w:t>
            </w:r>
            <w:r>
              <w:rPr>
                <w:rFonts w:hint="eastAsia" w:ascii="宋体" w:hAnsi="宋体" w:cs="宋体"/>
                <w:kern w:val="0"/>
                <w:szCs w:val="21"/>
                <w:highlight w:val="none"/>
                <w:lang w:eastAsia="zh-CN" w:bidi="ar"/>
              </w:rPr>
              <w:t>项目实施人员</w:t>
            </w:r>
            <w:r>
              <w:rPr>
                <w:rFonts w:hint="eastAsia" w:ascii="宋体" w:hAnsi="宋体" w:cs="宋体"/>
                <w:snapToGrid/>
                <w:kern w:val="0"/>
                <w:sz w:val="21"/>
                <w:szCs w:val="21"/>
                <w:highlight w:val="none"/>
                <w:lang w:val="en-US" w:eastAsia="zh-CN" w:bidi="ar"/>
              </w:rPr>
              <w:t>。</w:t>
            </w:r>
            <w:r>
              <w:rPr>
                <w:rFonts w:hint="eastAsia" w:ascii="宋体" w:hAnsi="宋体" w:eastAsia="宋体" w:cs="宋体"/>
                <w:snapToGrid/>
                <w:kern w:val="0"/>
                <w:sz w:val="21"/>
                <w:szCs w:val="21"/>
                <w:highlight w:val="none"/>
                <w:lang w:val="en-US" w:eastAsia="zh-CN" w:bidi="ar"/>
              </w:rPr>
              <w:t>技术服务、技术培训的服务内容和措施较完善,进入二档。</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center"/>
              <w:rPr>
                <w:rFonts w:hint="eastAsia" w:ascii="宋体" w:hAnsi="宋体" w:eastAsia="宋体" w:cs="宋体"/>
                <w:snapToGrid/>
                <w:kern w:val="0"/>
                <w:sz w:val="21"/>
                <w:szCs w:val="21"/>
                <w:highlight w:val="none"/>
                <w:lang w:val="en-US" w:eastAsia="zh-CN" w:bidi="ar"/>
              </w:rPr>
            </w:pPr>
            <w:r>
              <w:rPr>
                <w:rFonts w:hint="eastAsia" w:ascii="宋体" w:hAnsi="宋体" w:eastAsia="宋体" w:cs="宋体"/>
                <w:snapToGrid/>
                <w:kern w:val="0"/>
                <w:sz w:val="21"/>
                <w:szCs w:val="21"/>
                <w:highlight w:val="none"/>
                <w:lang w:val="en-US" w:eastAsia="zh-CN" w:bidi="ar"/>
              </w:rPr>
              <w:t>三档（</w:t>
            </w:r>
            <w:r>
              <w:rPr>
                <w:rFonts w:hint="eastAsia" w:ascii="宋体" w:hAnsi="宋体" w:cs="宋体"/>
                <w:snapToGrid/>
                <w:kern w:val="0"/>
                <w:sz w:val="21"/>
                <w:szCs w:val="21"/>
                <w:highlight w:val="none"/>
                <w:lang w:val="en-US" w:eastAsia="zh-CN" w:bidi="ar"/>
              </w:rPr>
              <w:t>15</w:t>
            </w:r>
            <w:r>
              <w:rPr>
                <w:rFonts w:hint="eastAsia" w:ascii="宋体" w:hAnsi="宋体" w:eastAsia="宋体" w:cs="宋体"/>
                <w:snapToGrid/>
                <w:kern w:val="0"/>
                <w:sz w:val="21"/>
                <w:szCs w:val="21"/>
                <w:highlight w:val="none"/>
                <w:lang w:val="en-US" w:eastAsia="zh-CN" w:bidi="ar"/>
              </w:rPr>
              <w:t>分）：项目实施方案满足二档的基础上，方案详细全面和完善，项目组织架构健全，实施计划及目标详细，需求分析、实施措施详细可行，实施流程科学合理，完全能满足项目实施需要，实施人员配备充足。包含项目实施目标、项目组织管理、项目质量管理、项目进度及计划管理、质量保证措施、安全管理、实施进度风险分析及处理等。能够提供不少于20个</w:t>
            </w:r>
            <w:r>
              <w:rPr>
                <w:rFonts w:hint="eastAsia" w:ascii="宋体" w:hAnsi="宋体" w:cs="宋体"/>
                <w:kern w:val="0"/>
                <w:szCs w:val="21"/>
                <w:highlight w:val="none"/>
                <w:lang w:eastAsia="zh-CN" w:bidi="ar"/>
              </w:rPr>
              <w:t>项目实施人员</w:t>
            </w:r>
            <w:r>
              <w:rPr>
                <w:rFonts w:hint="eastAsia" w:ascii="宋体" w:hAnsi="宋体" w:cs="宋体"/>
                <w:snapToGrid/>
                <w:kern w:val="0"/>
                <w:sz w:val="21"/>
                <w:szCs w:val="21"/>
                <w:highlight w:val="none"/>
                <w:lang w:val="en-US" w:eastAsia="zh-CN" w:bidi="ar"/>
              </w:rPr>
              <w:t>。</w:t>
            </w:r>
            <w:r>
              <w:rPr>
                <w:rFonts w:hint="eastAsia" w:ascii="宋体" w:hAnsi="宋体" w:eastAsia="宋体" w:cs="宋体"/>
                <w:snapToGrid/>
                <w:kern w:val="0"/>
                <w:sz w:val="21"/>
                <w:szCs w:val="21"/>
                <w:highlight w:val="none"/>
                <w:lang w:val="en-US" w:eastAsia="zh-CN" w:bidi="ar"/>
              </w:rPr>
              <w:t>至少</w:t>
            </w:r>
            <w:r>
              <w:rPr>
                <w:rFonts w:hint="eastAsia" w:ascii="宋体" w:hAnsi="宋体" w:cs="宋体"/>
                <w:snapToGrid/>
                <w:kern w:val="0"/>
                <w:sz w:val="21"/>
                <w:szCs w:val="21"/>
                <w:highlight w:val="none"/>
                <w:lang w:val="en-US" w:eastAsia="zh-CN" w:bidi="ar"/>
              </w:rPr>
              <w:t>1人</w:t>
            </w:r>
            <w:r>
              <w:rPr>
                <w:rFonts w:hint="eastAsia" w:ascii="宋体" w:hAnsi="宋体" w:eastAsia="宋体" w:cs="宋体"/>
                <w:snapToGrid/>
                <w:kern w:val="0"/>
                <w:sz w:val="21"/>
                <w:szCs w:val="21"/>
                <w:highlight w:val="none"/>
                <w:lang w:val="en-US" w:eastAsia="zh-CN" w:bidi="ar"/>
              </w:rPr>
              <w:t>具</w:t>
            </w:r>
            <w:r>
              <w:rPr>
                <w:rFonts w:hint="eastAsia" w:ascii="宋体" w:hAnsi="宋体" w:cs="宋体"/>
                <w:snapToGrid/>
                <w:kern w:val="0"/>
                <w:sz w:val="21"/>
                <w:szCs w:val="21"/>
                <w:highlight w:val="none"/>
                <w:lang w:val="en-US" w:eastAsia="zh-CN" w:bidi="ar"/>
              </w:rPr>
              <w:t>备</w:t>
            </w:r>
            <w:r>
              <w:rPr>
                <w:rFonts w:hint="eastAsia" w:ascii="宋体" w:hAnsi="宋体" w:eastAsia="宋体" w:cs="宋体"/>
                <w:snapToGrid/>
                <w:kern w:val="0"/>
                <w:sz w:val="21"/>
                <w:szCs w:val="21"/>
                <w:highlight w:val="none"/>
                <w:lang w:val="en-US" w:eastAsia="zh-CN" w:bidi="ar"/>
              </w:rPr>
              <w:t>信息系统项目管理师证书</w:t>
            </w:r>
            <w:r>
              <w:rPr>
                <w:rFonts w:hint="eastAsia" w:ascii="宋体" w:hAnsi="宋体" w:cs="宋体"/>
                <w:snapToGrid/>
                <w:kern w:val="0"/>
                <w:sz w:val="21"/>
                <w:szCs w:val="21"/>
                <w:highlight w:val="none"/>
                <w:lang w:val="en-US" w:eastAsia="zh-CN" w:bidi="ar"/>
              </w:rPr>
              <w:t>、麒麟操作系统安全工程师证书</w:t>
            </w:r>
            <w:r>
              <w:rPr>
                <w:rFonts w:hint="eastAsia" w:ascii="宋体" w:hAnsi="宋体" w:eastAsia="宋体" w:cs="宋体"/>
                <w:snapToGrid/>
                <w:kern w:val="0"/>
                <w:sz w:val="21"/>
                <w:szCs w:val="21"/>
                <w:highlight w:val="none"/>
                <w:lang w:val="en-US" w:eastAsia="zh-CN" w:bidi="ar"/>
              </w:rPr>
              <w:t>，进入三档。</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注：</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1、拟投入项目的所有人员，投标人需提供为其缴纳的投标截止日期之前</w:t>
            </w:r>
            <w:r>
              <w:rPr>
                <w:rFonts w:hint="eastAsia" w:ascii="宋体" w:hAnsi="宋体" w:eastAsia="宋体" w:cs="宋体"/>
                <w:b/>
                <w:bCs/>
                <w:kern w:val="0"/>
                <w:szCs w:val="21"/>
                <w:highlight w:val="none"/>
                <w:lang w:val="en-US" w:eastAsia="zh-CN" w:bidi="ar"/>
              </w:rPr>
              <w:t>6</w:t>
            </w:r>
            <w:r>
              <w:rPr>
                <w:rFonts w:hint="eastAsia" w:ascii="宋体" w:hAnsi="宋体" w:eastAsia="宋体" w:cs="宋体"/>
                <w:b/>
                <w:bCs/>
                <w:kern w:val="0"/>
                <w:szCs w:val="21"/>
                <w:highlight w:val="none"/>
                <w:lang w:bidi="ar"/>
              </w:rPr>
              <w:t>个月以内任意一个月的社会保险证明复印件。</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szCs w:val="21"/>
                <w:highlight w:val="none"/>
              </w:rPr>
            </w:pPr>
            <w:r>
              <w:rPr>
                <w:rFonts w:hint="eastAsia" w:ascii="宋体" w:hAnsi="宋体" w:eastAsia="宋体" w:cs="宋体"/>
                <w:b/>
                <w:bCs/>
                <w:kern w:val="0"/>
                <w:szCs w:val="21"/>
                <w:highlight w:val="none"/>
                <w:lang w:bidi="ar"/>
              </w:rPr>
              <w:t>2、提供有效的证书复印件，并加投标人公章。</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Cs w:val="21"/>
                <w:highlight w:val="none"/>
              </w:rPr>
            </w:pPr>
            <w:r>
              <w:rPr>
                <w:rFonts w:hint="eastAsia" w:ascii="宋体" w:hAnsi="宋体" w:eastAsia="宋体" w:cs="宋体"/>
                <w:b/>
                <w:bCs/>
                <w:kern w:val="0"/>
                <w:szCs w:val="21"/>
                <w:highlight w:val="none"/>
                <w:lang w:val="en-US" w:eastAsia="zh-CN" w:bidi="ar"/>
              </w:rPr>
              <w:t>1</w:t>
            </w:r>
            <w:r>
              <w:rPr>
                <w:rFonts w:hint="eastAsia" w:ascii="宋体" w:hAnsi="宋体" w:cs="宋体"/>
                <w:b/>
                <w:bCs/>
                <w:kern w:val="0"/>
                <w:szCs w:val="21"/>
                <w:highlight w:val="none"/>
                <w:lang w:val="en-US" w:eastAsia="zh-CN" w:bidi="ar"/>
              </w:rPr>
              <w:t>5</w:t>
            </w:r>
            <w:r>
              <w:rPr>
                <w:rFonts w:hint="eastAsia" w:ascii="宋体" w:hAnsi="宋体" w:eastAsia="宋体" w:cs="宋体"/>
                <w:b/>
                <w:bCs/>
                <w:kern w:val="0"/>
                <w:szCs w:val="21"/>
                <w:highlight w:val="none"/>
                <w:lang w:bidi="ar"/>
              </w:rPr>
              <w:t>分</w:t>
            </w:r>
          </w:p>
        </w:tc>
      </w:tr>
      <w:tr>
        <w:tblPrEx>
          <w:tblCellMar>
            <w:top w:w="0" w:type="dxa"/>
            <w:left w:w="108" w:type="dxa"/>
            <w:bottom w:w="0" w:type="dxa"/>
            <w:right w:w="108" w:type="dxa"/>
          </w:tblCellMar>
        </w:tblPrEx>
        <w:trPr>
          <w:trHeight w:val="172" w:hRule="atLeast"/>
        </w:trPr>
        <w:tc>
          <w:tcPr>
            <w:tcW w:w="82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eastAsia="zh-CN" w:bidi="ar"/>
              </w:rPr>
              <w:t>四、售后服务分</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val="en-US" w:eastAsia="zh-CN" w:bidi="ar"/>
              </w:rPr>
            </w:pPr>
            <w:r>
              <w:rPr>
                <w:rFonts w:hint="eastAsia" w:ascii="宋体" w:hAnsi="宋体" w:cs="宋体"/>
                <w:b/>
                <w:bCs/>
                <w:kern w:val="0"/>
                <w:szCs w:val="21"/>
                <w:highlight w:val="none"/>
                <w:lang w:val="en-US" w:eastAsia="zh-CN" w:bidi="ar"/>
              </w:rPr>
              <w:t>12</w:t>
            </w:r>
            <w:r>
              <w:rPr>
                <w:rFonts w:hint="eastAsia" w:ascii="宋体" w:hAnsi="宋体" w:eastAsia="宋体" w:cs="宋体"/>
                <w:b/>
                <w:bCs/>
                <w:kern w:val="0"/>
                <w:szCs w:val="21"/>
                <w:highlight w:val="none"/>
                <w:lang w:val="en-US" w:eastAsia="zh-CN" w:bidi="ar"/>
              </w:rPr>
              <w:t>分</w:t>
            </w:r>
          </w:p>
        </w:tc>
      </w:tr>
      <w:tr>
        <w:tblPrEx>
          <w:tblCellMar>
            <w:top w:w="0" w:type="dxa"/>
            <w:left w:w="108" w:type="dxa"/>
            <w:bottom w:w="0" w:type="dxa"/>
            <w:right w:w="108" w:type="dxa"/>
          </w:tblCellMar>
        </w:tblPrEx>
        <w:trPr>
          <w:trHeight w:val="536"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eastAsia="zh-CN" w:bidi="ar"/>
              </w:rPr>
            </w:pPr>
            <w:r>
              <w:rPr>
                <w:rFonts w:hint="eastAsia" w:ascii="宋体" w:hAnsi="宋体" w:eastAsia="宋体" w:cs="宋体"/>
                <w:b/>
                <w:bCs/>
                <w:kern w:val="0"/>
                <w:szCs w:val="21"/>
                <w:highlight w:val="none"/>
                <w:lang w:val="en-US" w:eastAsia="zh-CN" w:bidi="ar"/>
              </w:rPr>
              <w:t>1</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pPr>
            <w:r>
              <w:rPr>
                <w:rFonts w:hint="eastAsia" w:ascii="宋体" w:hAnsi="宋体" w:eastAsia="宋体" w:cs="宋体"/>
                <w:b/>
                <w:bCs/>
                <w:kern w:val="0"/>
                <w:szCs w:val="21"/>
                <w:highlight w:val="none"/>
                <w:lang w:bidi="ar"/>
              </w:rPr>
              <w:t>售后方案</w:t>
            </w:r>
          </w:p>
        </w:tc>
        <w:tc>
          <w:tcPr>
            <w:tcW w:w="61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评标委员会根据各投标人投标文件中的“售后服务方案”内容，综合评定其档次并在相应档次内独立打分。</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b/>
                <w:bCs/>
                <w:kern w:val="0"/>
                <w:szCs w:val="21"/>
                <w:highlight w:val="none"/>
                <w:lang w:bidi="ar"/>
              </w:rPr>
              <w:t>一档（</w:t>
            </w:r>
            <w:r>
              <w:rPr>
                <w:rFonts w:hint="eastAsia" w:ascii="宋体" w:hAnsi="宋体" w:cs="宋体"/>
                <w:b/>
                <w:bCs/>
                <w:kern w:val="0"/>
                <w:szCs w:val="21"/>
                <w:highlight w:val="none"/>
                <w:lang w:val="en-US" w:eastAsia="zh-CN" w:bidi="ar"/>
              </w:rPr>
              <w:t>4</w:t>
            </w:r>
            <w:r>
              <w:rPr>
                <w:rFonts w:hint="eastAsia" w:ascii="宋体" w:hAnsi="宋体" w:eastAsia="宋体" w:cs="宋体"/>
                <w:b/>
                <w:bCs/>
                <w:kern w:val="0"/>
                <w:szCs w:val="21"/>
                <w:highlight w:val="none"/>
                <w:lang w:bidi="ar"/>
              </w:rPr>
              <w:t>分）：</w:t>
            </w:r>
            <w:r>
              <w:rPr>
                <w:rFonts w:hint="eastAsia" w:ascii="宋体" w:hAnsi="宋体" w:eastAsia="宋体" w:cs="宋体"/>
                <w:kern w:val="0"/>
                <w:szCs w:val="21"/>
                <w:highlight w:val="none"/>
                <w:lang w:bidi="ar"/>
              </w:rPr>
              <w:t>提供售后服务方案只有基本框架，包含售后服务承诺、服务质量承诺、项目维护</w:t>
            </w:r>
            <w:r>
              <w:rPr>
                <w:rFonts w:hint="eastAsia" w:ascii="宋体" w:hAnsi="宋体" w:cs="宋体"/>
                <w:kern w:val="0"/>
                <w:szCs w:val="21"/>
                <w:highlight w:val="none"/>
                <w:lang w:eastAsia="zh-CN" w:bidi="ar"/>
              </w:rPr>
              <w:t>、</w:t>
            </w:r>
            <w:r>
              <w:rPr>
                <w:rFonts w:hint="eastAsia" w:ascii="宋体" w:hAnsi="宋体" w:eastAsia="宋体" w:cs="宋体"/>
                <w:kern w:val="0"/>
                <w:szCs w:val="21"/>
                <w:highlight w:val="none"/>
                <w:lang w:bidi="ar"/>
              </w:rPr>
              <w:t>突发故障应急方案</w:t>
            </w:r>
            <w:r>
              <w:rPr>
                <w:rFonts w:hint="eastAsia" w:ascii="宋体" w:hAnsi="宋体" w:cs="宋体"/>
                <w:kern w:val="0"/>
                <w:szCs w:val="21"/>
                <w:highlight w:val="none"/>
                <w:lang w:eastAsia="zh-CN" w:bidi="ar"/>
              </w:rPr>
              <w:t>和培训服务方案</w:t>
            </w:r>
            <w:r>
              <w:rPr>
                <w:rFonts w:hint="eastAsia" w:ascii="宋体" w:hAnsi="宋体" w:eastAsia="宋体" w:cs="宋体"/>
                <w:kern w:val="0"/>
                <w:szCs w:val="21"/>
                <w:highlight w:val="none"/>
                <w:lang w:bidi="ar"/>
              </w:rPr>
              <w:t>。培训服务方案基本满足采购文件要求，现场提供基本软硬件使用培训。</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b/>
                <w:bCs/>
                <w:kern w:val="0"/>
                <w:szCs w:val="21"/>
                <w:highlight w:val="none"/>
                <w:lang w:bidi="ar"/>
              </w:rPr>
              <w:t>二档（</w:t>
            </w:r>
            <w:r>
              <w:rPr>
                <w:rFonts w:hint="eastAsia" w:ascii="宋体" w:hAnsi="宋体" w:cs="宋体"/>
                <w:b/>
                <w:bCs/>
                <w:kern w:val="0"/>
                <w:szCs w:val="21"/>
                <w:highlight w:val="none"/>
                <w:lang w:val="en-US" w:eastAsia="zh-CN" w:bidi="ar"/>
              </w:rPr>
              <w:t>8</w:t>
            </w:r>
            <w:r>
              <w:rPr>
                <w:rFonts w:hint="eastAsia" w:ascii="宋体" w:hAnsi="宋体" w:eastAsia="宋体" w:cs="宋体"/>
                <w:b/>
                <w:bCs/>
                <w:kern w:val="0"/>
                <w:szCs w:val="21"/>
                <w:highlight w:val="none"/>
                <w:lang w:bidi="ar"/>
              </w:rPr>
              <w:t>分）：</w:t>
            </w:r>
            <w:r>
              <w:rPr>
                <w:rFonts w:hint="eastAsia" w:ascii="宋体" w:hAnsi="宋体" w:eastAsia="宋体" w:cs="宋体"/>
                <w:kern w:val="0"/>
                <w:szCs w:val="21"/>
                <w:highlight w:val="none"/>
                <w:lang w:bidi="ar"/>
              </w:rPr>
              <w:t>售后服务方案满足一档的基础上，售后服务方案较完整，包含较详细的售后服务承诺、服务质量承诺、项目维护和突发故障应急方案，突发故障应急方案考虑周全完整。明确售后服务人员的职责和分工。培训服务方案满足一档的基础上，提供培训计划安排，包含培训人员安排、培训内容安排。</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b/>
                <w:bCs/>
                <w:kern w:val="0"/>
                <w:szCs w:val="21"/>
                <w:highlight w:val="none"/>
                <w:lang w:bidi="ar"/>
              </w:rPr>
              <w:t>三档（</w:t>
            </w:r>
            <w:r>
              <w:rPr>
                <w:rFonts w:hint="eastAsia" w:ascii="宋体" w:hAnsi="宋体" w:cs="宋体"/>
                <w:b/>
                <w:bCs/>
                <w:kern w:val="0"/>
                <w:szCs w:val="21"/>
                <w:highlight w:val="none"/>
                <w:lang w:val="en-US" w:eastAsia="zh-CN" w:bidi="ar"/>
              </w:rPr>
              <w:t>12</w:t>
            </w:r>
            <w:r>
              <w:rPr>
                <w:rFonts w:hint="eastAsia" w:ascii="宋体" w:hAnsi="宋体" w:eastAsia="宋体" w:cs="宋体"/>
                <w:b/>
                <w:bCs/>
                <w:kern w:val="0"/>
                <w:szCs w:val="21"/>
                <w:highlight w:val="none"/>
                <w:lang w:bidi="ar"/>
              </w:rPr>
              <w:t>分）：</w:t>
            </w:r>
            <w:r>
              <w:rPr>
                <w:rFonts w:hint="eastAsia" w:ascii="宋体" w:hAnsi="宋体" w:eastAsia="宋体" w:cs="宋体"/>
                <w:kern w:val="0"/>
                <w:szCs w:val="21"/>
                <w:highlight w:val="none"/>
                <w:lang w:bidi="ar"/>
              </w:rPr>
              <w:t>售后服务方案满足二档的基础上，提供有效的售后服务管理措施，包含售后人员管理、售后服务主要处理流程、售后服务热线和技术服务流程管理、定期回访流程等内容。包含免费电话咨询热线、远程技术支持服务、现场技术支持服务、紧急故障排除服务、硬件故障处理服务、售后巡检服务等，承诺服务期内每季度进行至少1次巡检。方案内容详实完善、科学合理、可操作性强。培训服务方案满足二档的基础上，培训目标明确，培训计划详细可行，包含培训地点安排、培训课时安排，其中培训内容安排包含操作培训、系统常见问题培训等，确保招标人的操作人员熟练设备使用和操作。</w:t>
            </w:r>
          </w:p>
          <w:p>
            <w:pPr>
              <w:keepNext w:val="0"/>
              <w:keepLines w:val="0"/>
              <w:pageBreakBefore w:val="0"/>
              <w:widowControl/>
              <w:kinsoku/>
              <w:wordWrap/>
              <w:overflowPunct/>
              <w:topLinePunct w:val="0"/>
              <w:autoSpaceDE/>
              <w:autoSpaceDN/>
              <w:bidi w:val="0"/>
              <w:spacing w:line="360" w:lineRule="auto"/>
              <w:textAlignment w:val="center"/>
            </w:pPr>
            <w:r>
              <w:rPr>
                <w:rFonts w:hint="eastAsia" w:ascii="宋体" w:hAnsi="宋体" w:eastAsia="宋体" w:cs="宋体"/>
                <w:b/>
                <w:bCs/>
                <w:kern w:val="0"/>
                <w:szCs w:val="21"/>
                <w:highlight w:val="none"/>
                <w:lang w:bidi="ar"/>
              </w:rPr>
              <w:t>注：需提供电话、厂家与供应商的相关承诺函等证明材料，加盖投标人公章，未提供或提供的材料不满足要求的不予计分。</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val="en-US" w:eastAsia="zh-CN" w:bidi="ar"/>
              </w:rPr>
            </w:pPr>
            <w:r>
              <w:rPr>
                <w:rFonts w:hint="eastAsia" w:ascii="宋体" w:hAnsi="宋体" w:cs="宋体"/>
                <w:b/>
                <w:bCs/>
                <w:kern w:val="0"/>
                <w:szCs w:val="21"/>
                <w:highlight w:val="none"/>
                <w:lang w:val="en-US" w:eastAsia="zh-CN" w:bidi="ar"/>
              </w:rPr>
              <w:t>12</w:t>
            </w:r>
            <w:r>
              <w:rPr>
                <w:rFonts w:hint="eastAsia" w:ascii="宋体" w:hAnsi="宋体" w:eastAsia="宋体" w:cs="宋体"/>
                <w:b/>
                <w:bCs/>
                <w:kern w:val="0"/>
                <w:szCs w:val="21"/>
                <w:highlight w:val="none"/>
                <w:lang w:bidi="ar"/>
              </w:rPr>
              <w:t>分</w:t>
            </w:r>
          </w:p>
        </w:tc>
      </w:tr>
      <w:tr>
        <w:tblPrEx>
          <w:tblCellMar>
            <w:top w:w="0" w:type="dxa"/>
            <w:left w:w="108" w:type="dxa"/>
            <w:bottom w:w="0" w:type="dxa"/>
            <w:right w:w="108" w:type="dxa"/>
          </w:tblCellMar>
        </w:tblPrEx>
        <w:trPr>
          <w:trHeight w:val="325" w:hRule="atLeast"/>
        </w:trPr>
        <w:tc>
          <w:tcPr>
            <w:tcW w:w="82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b/>
                <w:bCs/>
                <w:kern w:val="0"/>
                <w:szCs w:val="21"/>
                <w:highlight w:val="none"/>
                <w:lang w:eastAsia="zh-CN" w:bidi="ar"/>
              </w:rPr>
              <w:t>五</w:t>
            </w:r>
            <w:r>
              <w:rPr>
                <w:rFonts w:hint="eastAsia" w:ascii="宋体" w:hAnsi="宋体" w:eastAsia="宋体" w:cs="宋体"/>
                <w:b/>
                <w:bCs/>
                <w:kern w:val="0"/>
                <w:szCs w:val="21"/>
                <w:highlight w:val="none"/>
                <w:lang w:bidi="ar"/>
              </w:rPr>
              <w:t>、商务分</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szCs w:val="21"/>
                <w:highlight w:val="none"/>
              </w:rPr>
            </w:pPr>
            <w:r>
              <w:rPr>
                <w:rFonts w:hint="eastAsia" w:ascii="宋体" w:hAnsi="宋体" w:eastAsia="宋体" w:cs="宋体"/>
                <w:b/>
                <w:bCs/>
                <w:kern w:val="0"/>
                <w:szCs w:val="21"/>
                <w:highlight w:val="none"/>
                <w:lang w:val="en-US" w:eastAsia="zh-CN" w:bidi="ar"/>
              </w:rPr>
              <w:t>1</w:t>
            </w:r>
            <w:r>
              <w:rPr>
                <w:rFonts w:hint="eastAsia" w:ascii="宋体" w:hAnsi="宋体" w:cs="宋体"/>
                <w:b/>
                <w:bCs/>
                <w:kern w:val="0"/>
                <w:szCs w:val="21"/>
                <w:highlight w:val="none"/>
                <w:lang w:val="en-US" w:eastAsia="zh-CN" w:bidi="ar"/>
              </w:rPr>
              <w:t>3</w:t>
            </w:r>
            <w:r>
              <w:rPr>
                <w:rFonts w:hint="eastAsia" w:ascii="宋体" w:hAnsi="宋体" w:eastAsia="宋体" w:cs="宋体"/>
                <w:b/>
                <w:bCs/>
                <w:kern w:val="0"/>
                <w:szCs w:val="21"/>
                <w:highlight w:val="none"/>
                <w:lang w:bidi="ar"/>
              </w:rPr>
              <w:t>分</w:t>
            </w:r>
          </w:p>
        </w:tc>
      </w:tr>
      <w:tr>
        <w:tblPrEx>
          <w:tblCellMar>
            <w:top w:w="0" w:type="dxa"/>
            <w:left w:w="108" w:type="dxa"/>
            <w:bottom w:w="0" w:type="dxa"/>
            <w:right w:w="108" w:type="dxa"/>
          </w:tblCellMar>
        </w:tblPrEx>
        <w:trPr>
          <w:trHeight w:val="333"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val="en-US" w:eastAsia="zh-CN" w:bidi="ar"/>
              </w:rPr>
              <w:t>1</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pPr>
            <w:r>
              <w:rPr>
                <w:rFonts w:hint="eastAsia" w:ascii="宋体" w:hAnsi="宋体" w:eastAsia="宋体" w:cs="宋体"/>
                <w:b/>
                <w:bCs/>
                <w:kern w:val="0"/>
                <w:szCs w:val="21"/>
                <w:highlight w:val="none"/>
                <w:lang w:val="en-US" w:eastAsia="zh-CN" w:bidi="ar"/>
              </w:rPr>
              <w:t>团队能力分</w:t>
            </w:r>
          </w:p>
        </w:tc>
        <w:tc>
          <w:tcPr>
            <w:tcW w:w="61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（1）项目负责人：</w:t>
            </w: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en-US" w:eastAsia="zh-CN"/>
              </w:rPr>
              <w:t>名</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具备信息系统项目管理师证书得1分；</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具备CISP注册信息安全工程师证书得1分；</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具备通信工程专业高级工程师职称证书得1分。</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满分3分</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（2）售后负责人：</w:t>
            </w: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en-US" w:eastAsia="zh-CN"/>
              </w:rPr>
              <w:t>名</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具备信息系统项目管理师证书得1分；</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具备系统规划与管理师证书得1分；</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具备高级网络信息安全工程师得1分。</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eastAsia="zh-CN"/>
              </w:rPr>
              <w:t>满分</w:t>
            </w:r>
            <w:r>
              <w:rPr>
                <w:rFonts w:hint="eastAsia" w:ascii="宋体" w:hAnsi="宋体" w:eastAsia="宋体" w:cs="宋体"/>
                <w:color w:val="auto"/>
                <w:kern w:val="0"/>
                <w:sz w:val="22"/>
                <w:highlight w:val="none"/>
                <w:lang w:val="en-US" w:eastAsia="zh-CN"/>
              </w:rPr>
              <w:t>3分</w:t>
            </w:r>
          </w:p>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注：</w:t>
            </w:r>
          </w:p>
          <w:p>
            <w:pPr>
              <w:keepNext w:val="0"/>
              <w:keepLines w:val="0"/>
              <w:pageBreakBefore w:val="0"/>
              <w:widowControl/>
              <w:kinsoku/>
              <w:wordWrap/>
              <w:overflowPunct/>
              <w:topLinePunct w:val="0"/>
              <w:autoSpaceDE/>
              <w:autoSpaceDN/>
              <w:bidi w:val="0"/>
              <w:spacing w:line="360" w:lineRule="auto"/>
              <w:textAlignment w:val="center"/>
            </w:pPr>
            <w:r>
              <w:rPr>
                <w:rFonts w:hint="eastAsia" w:ascii="宋体" w:hAnsi="宋体" w:eastAsia="宋体" w:cs="宋体"/>
                <w:b/>
                <w:bCs/>
                <w:kern w:val="0"/>
                <w:szCs w:val="21"/>
                <w:highlight w:val="none"/>
                <w:lang w:bidi="ar"/>
              </w:rPr>
              <w:t>拟投入项目的</w:t>
            </w:r>
            <w:r>
              <w:rPr>
                <w:rFonts w:hint="eastAsia" w:ascii="宋体" w:hAnsi="宋体" w:eastAsia="宋体" w:cs="宋体"/>
                <w:b/>
                <w:bCs/>
                <w:kern w:val="0"/>
                <w:szCs w:val="21"/>
                <w:highlight w:val="none"/>
                <w:lang w:eastAsia="zh-CN" w:bidi="ar"/>
              </w:rPr>
              <w:t>团队</w:t>
            </w:r>
            <w:r>
              <w:rPr>
                <w:rFonts w:hint="eastAsia" w:ascii="宋体" w:hAnsi="宋体" w:eastAsia="宋体" w:cs="宋体"/>
                <w:b/>
                <w:bCs/>
                <w:kern w:val="0"/>
                <w:szCs w:val="21"/>
                <w:highlight w:val="none"/>
                <w:lang w:bidi="ar"/>
              </w:rPr>
              <w:t>人员，投标人需提供为其缴纳的投标截止日期之前</w:t>
            </w:r>
            <w:r>
              <w:rPr>
                <w:rFonts w:hint="eastAsia" w:ascii="宋体" w:hAnsi="宋体" w:eastAsia="宋体" w:cs="宋体"/>
                <w:b/>
                <w:bCs/>
                <w:kern w:val="0"/>
                <w:szCs w:val="21"/>
                <w:highlight w:val="none"/>
                <w:lang w:val="en-US" w:eastAsia="zh-CN" w:bidi="ar"/>
              </w:rPr>
              <w:t>6</w:t>
            </w:r>
            <w:r>
              <w:rPr>
                <w:rFonts w:hint="eastAsia" w:ascii="宋体" w:hAnsi="宋体" w:eastAsia="宋体" w:cs="宋体"/>
                <w:b/>
                <w:bCs/>
                <w:kern w:val="0"/>
                <w:szCs w:val="21"/>
                <w:highlight w:val="none"/>
                <w:lang w:bidi="ar"/>
              </w:rPr>
              <w:t>个月以内任意一个月的社会保险证明复印件。</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r>
              <w:rPr>
                <w:rFonts w:hint="eastAsia" w:ascii="宋体" w:hAnsi="宋体" w:eastAsia="宋体" w:cs="宋体"/>
                <w:b/>
                <w:bCs/>
                <w:kern w:val="0"/>
                <w:szCs w:val="21"/>
                <w:highlight w:val="none"/>
                <w:lang w:val="en-US" w:eastAsia="zh-CN" w:bidi="ar"/>
              </w:rPr>
              <w:t>6分</w:t>
            </w:r>
          </w:p>
        </w:tc>
      </w:tr>
      <w:tr>
        <w:tblPrEx>
          <w:tblCellMar>
            <w:top w:w="0" w:type="dxa"/>
            <w:left w:w="108" w:type="dxa"/>
            <w:bottom w:w="0" w:type="dxa"/>
            <w:right w:w="108" w:type="dxa"/>
          </w:tblCellMar>
        </w:tblPrEx>
        <w:trPr>
          <w:trHeight w:val="147"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val="en-US" w:eastAsia="zh-CN" w:bidi="ar"/>
              </w:rPr>
            </w:pPr>
            <w:r>
              <w:rPr>
                <w:rFonts w:hint="eastAsia" w:ascii="宋体" w:hAnsi="宋体" w:eastAsia="宋体" w:cs="宋体"/>
                <w:b/>
                <w:bCs/>
                <w:kern w:val="0"/>
                <w:szCs w:val="21"/>
                <w:highlight w:val="none"/>
                <w:lang w:val="en-US" w:eastAsia="zh-CN" w:bidi="ar"/>
              </w:rPr>
              <w:t>2</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val="en-US" w:eastAsia="zh-CN" w:bidi="ar"/>
              </w:rPr>
            </w:pPr>
            <w:r>
              <w:rPr>
                <w:rFonts w:hint="eastAsia" w:ascii="宋体" w:hAnsi="宋体" w:eastAsia="宋体" w:cs="宋体"/>
                <w:b/>
                <w:bCs/>
                <w:kern w:val="0"/>
                <w:szCs w:val="21"/>
                <w:highlight w:val="none"/>
                <w:lang w:eastAsia="zh-CN" w:bidi="ar"/>
              </w:rPr>
              <w:t>业绩分</w:t>
            </w:r>
          </w:p>
        </w:tc>
        <w:tc>
          <w:tcPr>
            <w:tcW w:w="61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color w:val="FF0000"/>
                <w:highlight w:val="none"/>
                <w:lang w:val="en-US" w:eastAsia="zh-CN"/>
              </w:rPr>
            </w:pPr>
            <w:r>
              <w:rPr>
                <w:rFonts w:hint="eastAsia" w:ascii="宋体" w:hAnsi="宋体" w:eastAsia="宋体" w:cs="宋体"/>
                <w:bCs/>
                <w:color w:val="000000"/>
                <w:kern w:val="0"/>
                <w:szCs w:val="21"/>
                <w:highlight w:val="none"/>
              </w:rPr>
              <w:t>投标人2022年以来同类项目业绩</w:t>
            </w:r>
            <w:r>
              <w:rPr>
                <w:rFonts w:hint="eastAsia" w:ascii="宋体" w:hAnsi="宋体" w:eastAsia="宋体" w:cs="宋体"/>
                <w:bCs/>
                <w:color w:val="000000"/>
                <w:kern w:val="0"/>
                <w:szCs w:val="21"/>
                <w:highlight w:val="none"/>
                <w:lang w:eastAsia="zh-CN"/>
              </w:rPr>
              <w:t>，</w:t>
            </w:r>
            <w:r>
              <w:rPr>
                <w:rFonts w:hint="eastAsia" w:ascii="宋体" w:hAnsi="宋体" w:eastAsia="宋体" w:cs="宋体"/>
                <w:bCs/>
                <w:color w:val="000000"/>
                <w:kern w:val="0"/>
                <w:szCs w:val="21"/>
                <w:highlight w:val="none"/>
                <w:lang w:val="en-US" w:eastAsia="zh-CN"/>
              </w:rPr>
              <w:t>同类业绩指包括计算机、电脑的供货业绩。</w:t>
            </w:r>
            <w:r>
              <w:rPr>
                <w:rFonts w:hint="eastAsia" w:ascii="宋体" w:hAnsi="宋体" w:eastAsia="宋体" w:cs="宋体"/>
                <w:bCs/>
                <w:color w:val="000000"/>
                <w:kern w:val="0"/>
                <w:szCs w:val="21"/>
                <w:highlight w:val="none"/>
              </w:rPr>
              <w:t>（以中标通知书或合同复印件为准，加盖</w:t>
            </w:r>
            <w:r>
              <w:rPr>
                <w:rFonts w:hint="eastAsia" w:ascii="宋体" w:hAnsi="宋体" w:eastAsia="宋体" w:cs="宋体"/>
                <w:b w:val="0"/>
                <w:bCs w:val="0"/>
                <w:color w:val="000000"/>
                <w:kern w:val="0"/>
                <w:szCs w:val="21"/>
                <w:highlight w:val="none"/>
                <w:lang w:bidi="ar"/>
              </w:rPr>
              <w:t>投标人</w:t>
            </w:r>
            <w:r>
              <w:rPr>
                <w:rFonts w:hint="eastAsia" w:ascii="宋体" w:hAnsi="宋体" w:eastAsia="宋体" w:cs="宋体"/>
                <w:bCs/>
                <w:color w:val="000000"/>
                <w:kern w:val="0"/>
                <w:szCs w:val="21"/>
                <w:highlight w:val="none"/>
              </w:rPr>
              <w:t>公章）</w:t>
            </w:r>
            <w:r>
              <w:rPr>
                <w:rFonts w:hint="eastAsia" w:ascii="宋体" w:hAnsi="宋体" w:eastAsia="宋体" w:cs="宋体"/>
                <w:szCs w:val="21"/>
                <w:highlight w:val="none"/>
              </w:rPr>
              <w:t>，每提供一份证明材料得</w:t>
            </w:r>
            <w:r>
              <w:rPr>
                <w:rFonts w:hint="eastAsia" w:ascii="宋体" w:hAnsi="宋体" w:cs="宋体"/>
                <w:szCs w:val="21"/>
                <w:highlight w:val="none"/>
                <w:lang w:val="en-US" w:eastAsia="zh-CN"/>
              </w:rPr>
              <w:t>1</w:t>
            </w:r>
            <w:r>
              <w:rPr>
                <w:rFonts w:hint="eastAsia" w:ascii="宋体" w:hAnsi="宋体" w:eastAsia="宋体" w:cs="宋体"/>
                <w:szCs w:val="21"/>
                <w:highlight w:val="none"/>
              </w:rPr>
              <w:t>分，满分</w:t>
            </w:r>
            <w:r>
              <w:rPr>
                <w:rFonts w:hint="eastAsia" w:ascii="宋体" w:hAnsi="宋体" w:cs="宋体"/>
                <w:szCs w:val="21"/>
                <w:highlight w:val="none"/>
                <w:lang w:val="en-US" w:eastAsia="zh-CN"/>
              </w:rPr>
              <w:t>3</w:t>
            </w:r>
            <w:r>
              <w:rPr>
                <w:rFonts w:hint="eastAsia" w:ascii="宋体" w:hAnsi="宋体" w:eastAsia="宋体" w:cs="宋体"/>
                <w:szCs w:val="21"/>
                <w:highlight w:val="none"/>
              </w:rPr>
              <w:t>分。（响应文件中提供合同复印件并加盖供应商公章，否则不得分。已由总公司授权的，总公司或供应商上级主管公司取得的资格、信誉、荣誉、业绩、人员与企业认证等材料对分支机构或分公司有效。）</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val="en-US" w:eastAsia="zh-CN" w:bidi="ar"/>
              </w:rPr>
            </w:pPr>
            <w:r>
              <w:rPr>
                <w:rFonts w:hint="eastAsia" w:ascii="宋体" w:hAnsi="宋体" w:cs="宋体"/>
                <w:b/>
                <w:bCs/>
                <w:kern w:val="0"/>
                <w:szCs w:val="21"/>
                <w:highlight w:val="none"/>
                <w:lang w:val="en-US" w:eastAsia="zh-CN" w:bidi="ar"/>
              </w:rPr>
              <w:t>3</w:t>
            </w:r>
            <w:r>
              <w:rPr>
                <w:rFonts w:hint="eastAsia" w:ascii="宋体" w:hAnsi="宋体" w:eastAsia="宋体" w:cs="宋体"/>
                <w:b/>
                <w:bCs/>
                <w:kern w:val="0"/>
                <w:szCs w:val="21"/>
                <w:highlight w:val="none"/>
                <w:lang w:val="en-US" w:eastAsia="zh-CN" w:bidi="ar"/>
              </w:rPr>
              <w:t>分</w:t>
            </w:r>
          </w:p>
        </w:tc>
      </w:tr>
      <w:tr>
        <w:tblPrEx>
          <w:tblCellMar>
            <w:top w:w="0" w:type="dxa"/>
            <w:left w:w="108" w:type="dxa"/>
            <w:bottom w:w="0" w:type="dxa"/>
            <w:right w:w="108" w:type="dxa"/>
          </w:tblCellMar>
        </w:tblPrEx>
        <w:trPr>
          <w:trHeight w:val="1560"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val="en-US" w:eastAsia="zh-CN" w:bidi="ar"/>
              </w:rPr>
            </w:pPr>
            <w:r>
              <w:rPr>
                <w:rFonts w:hint="eastAsia" w:ascii="宋体" w:hAnsi="宋体" w:cs="宋体"/>
                <w:b/>
                <w:bCs/>
                <w:kern w:val="0"/>
                <w:szCs w:val="21"/>
                <w:highlight w:val="none"/>
                <w:lang w:val="en-US" w:eastAsia="zh-CN" w:bidi="ar"/>
              </w:rPr>
              <w:t>3</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eastAsia="zh-CN" w:bidi="ar"/>
              </w:rPr>
            </w:pPr>
            <w:r>
              <w:rPr>
                <w:rFonts w:hint="eastAsia" w:ascii="宋体" w:hAnsi="宋体" w:cs="宋体"/>
                <w:b/>
                <w:bCs/>
                <w:kern w:val="0"/>
                <w:szCs w:val="21"/>
                <w:highlight w:val="none"/>
                <w:lang w:eastAsia="zh-CN" w:bidi="ar"/>
              </w:rPr>
              <w:t>资质分</w:t>
            </w:r>
          </w:p>
        </w:tc>
        <w:tc>
          <w:tcPr>
            <w:tcW w:w="61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spacing w:line="360" w:lineRule="auto"/>
              <w:ind w:left="0" w:leftChars="0" w:firstLine="0" w:firstLineChars="0"/>
              <w:textAlignment w:val="center"/>
              <w:rPr>
                <w:rFonts w:hint="eastAsia" w:ascii="宋体" w:hAnsi="宋体" w:eastAsia="宋体" w:cs="宋体"/>
                <w:b/>
                <w:bCs/>
                <w:kern w:val="0"/>
                <w:szCs w:val="21"/>
                <w:highlight w:val="none"/>
                <w:lang w:bidi="ar"/>
              </w:rPr>
            </w:pPr>
            <w:r>
              <w:rPr>
                <w:rFonts w:hint="eastAsia" w:ascii="Times New Roman" w:hAnsi="Times New Roman" w:eastAsia="宋体" w:cs="Times New Roman"/>
                <w:bCs/>
                <w:color w:val="000000"/>
                <w:kern w:val="0"/>
                <w:sz w:val="21"/>
                <w:szCs w:val="21"/>
                <w:lang w:val="en-US" w:eastAsia="zh-CN" w:bidi="ar-SA"/>
              </w:rPr>
              <w:t>投标人通过ISO9000系列质量管理体系认证、ISO27001信息安全管理体系认证、ISO14001环境管理体系等认证，</w:t>
            </w:r>
            <w:r>
              <w:rPr>
                <w:rFonts w:hint="eastAsia" w:ascii="宋体" w:hAnsi="宋体" w:eastAsia="宋体" w:cs="宋体"/>
                <w:szCs w:val="21"/>
                <w:highlight w:val="none"/>
              </w:rPr>
              <w:t>每提供一份证明材料得</w:t>
            </w:r>
            <w:r>
              <w:rPr>
                <w:rFonts w:hint="eastAsia" w:ascii="宋体" w:hAnsi="宋体" w:cs="宋体"/>
                <w:szCs w:val="21"/>
                <w:highlight w:val="none"/>
                <w:lang w:val="en-US" w:eastAsia="zh-CN"/>
              </w:rPr>
              <w:t>1</w:t>
            </w:r>
            <w:r>
              <w:rPr>
                <w:rFonts w:hint="eastAsia" w:ascii="宋体" w:hAnsi="宋体" w:eastAsia="宋体" w:cs="宋体"/>
                <w:szCs w:val="21"/>
                <w:highlight w:val="none"/>
              </w:rPr>
              <w:t>分，满分</w:t>
            </w:r>
            <w:r>
              <w:rPr>
                <w:rFonts w:hint="eastAsia" w:ascii="宋体" w:hAnsi="宋体" w:cs="宋体"/>
                <w:szCs w:val="21"/>
                <w:highlight w:val="none"/>
                <w:lang w:val="en-US" w:eastAsia="zh-CN"/>
              </w:rPr>
              <w:t>3</w:t>
            </w:r>
            <w:r>
              <w:rPr>
                <w:rFonts w:hint="eastAsia" w:ascii="宋体" w:hAnsi="宋体" w:eastAsia="宋体" w:cs="宋体"/>
                <w:szCs w:val="21"/>
                <w:highlight w:val="none"/>
              </w:rPr>
              <w:t>分。（响应文件中提供</w:t>
            </w:r>
            <w:r>
              <w:rPr>
                <w:rFonts w:hint="eastAsia" w:ascii="宋体" w:hAnsi="宋体" w:eastAsia="宋体" w:cs="宋体"/>
                <w:szCs w:val="21"/>
                <w:highlight w:val="none"/>
                <w:lang w:eastAsia="zh-CN"/>
              </w:rPr>
              <w:t>有效证明材料</w:t>
            </w:r>
            <w:r>
              <w:rPr>
                <w:rFonts w:hint="eastAsia" w:ascii="宋体" w:hAnsi="宋体" w:eastAsia="宋体" w:cs="宋体"/>
                <w:szCs w:val="21"/>
                <w:highlight w:val="none"/>
              </w:rPr>
              <w:t>并加盖供应商公章，否则不得分。已由总公司授权的，总公司或供应商上级主管公司取得的资格、信誉、荣誉、业绩、人员与企业认证等材料对分支机构或分公司有效。）</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val="en-US" w:eastAsia="zh-CN" w:bidi="ar"/>
              </w:rPr>
            </w:pPr>
            <w:r>
              <w:rPr>
                <w:rFonts w:hint="eastAsia" w:ascii="宋体" w:hAnsi="宋体" w:cs="宋体"/>
                <w:b/>
                <w:bCs/>
                <w:kern w:val="0"/>
                <w:szCs w:val="21"/>
                <w:highlight w:val="none"/>
                <w:lang w:val="en-US" w:eastAsia="zh-CN" w:bidi="ar"/>
              </w:rPr>
              <w:t>3分</w:t>
            </w:r>
          </w:p>
        </w:tc>
      </w:tr>
      <w:tr>
        <w:tblPrEx>
          <w:tblCellMar>
            <w:top w:w="0" w:type="dxa"/>
            <w:left w:w="108" w:type="dxa"/>
            <w:bottom w:w="0" w:type="dxa"/>
            <w:right w:w="108" w:type="dxa"/>
          </w:tblCellMar>
        </w:tblPrEx>
        <w:trPr>
          <w:trHeight w:val="755"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default" w:ascii="宋体" w:hAnsi="宋体" w:eastAsia="宋体" w:cs="宋体"/>
                <w:b/>
                <w:bCs/>
                <w:kern w:val="0"/>
                <w:szCs w:val="21"/>
                <w:highlight w:val="none"/>
                <w:lang w:val="en-US" w:eastAsia="zh-CN" w:bidi="ar"/>
              </w:rPr>
            </w:pPr>
            <w:r>
              <w:rPr>
                <w:rFonts w:hint="eastAsia" w:ascii="宋体" w:hAnsi="宋体" w:cs="宋体"/>
                <w:b/>
                <w:bCs/>
                <w:kern w:val="0"/>
                <w:szCs w:val="21"/>
                <w:highlight w:val="none"/>
                <w:lang w:val="en-US" w:eastAsia="zh-CN" w:bidi="ar"/>
              </w:rPr>
              <w:t>4</w:t>
            </w:r>
          </w:p>
        </w:tc>
        <w:tc>
          <w:tcPr>
            <w:tcW w:w="11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eastAsia="zh-CN" w:bidi="ar"/>
              </w:rPr>
            </w:pPr>
            <w:r>
              <w:rPr>
                <w:rFonts w:hint="eastAsia" w:ascii="宋体" w:hAnsi="宋体" w:eastAsia="宋体" w:cs="宋体"/>
                <w:b/>
                <w:bCs/>
                <w:kern w:val="0"/>
                <w:szCs w:val="21"/>
                <w:highlight w:val="none"/>
                <w:lang w:bidi="ar"/>
              </w:rPr>
              <w:t>政策功能</w:t>
            </w:r>
          </w:p>
        </w:tc>
        <w:tc>
          <w:tcPr>
            <w:tcW w:w="61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投标产品中包含列入政府采购品目清单中的优先采购产品并具有有效的环境标志产品认证证书，每项产品得 0.5分，满分 1 分。</w:t>
            </w:r>
          </w:p>
          <w:p>
            <w:pPr>
              <w:keepNext w:val="0"/>
              <w:keepLines w:val="0"/>
              <w:pageBreakBefore w:val="0"/>
              <w:widowControl/>
              <w:kinsoku/>
              <w:wordWrap/>
              <w:overflowPunct/>
              <w:topLinePunct w:val="0"/>
              <w:autoSpaceDE/>
              <w:autoSpaceDN/>
              <w:bidi w:val="0"/>
              <w:spacing w:line="360" w:lineRule="auto"/>
              <w:textAlignment w:val="center"/>
              <w:rPr>
                <w:rFonts w:hint="default" w:ascii="Times New Roman" w:hAnsi="Times New Roman" w:eastAsia="宋体" w:cs="Times New Roman"/>
                <w:bCs/>
                <w:color w:val="000000"/>
                <w:kern w:val="0"/>
                <w:sz w:val="21"/>
                <w:szCs w:val="21"/>
                <w:lang w:val="en-US" w:eastAsia="zh-CN" w:bidi="ar-SA"/>
              </w:rPr>
            </w:pPr>
            <w:r>
              <w:rPr>
                <w:rFonts w:hint="eastAsia" w:ascii="宋体" w:hAnsi="宋体" w:eastAsia="宋体" w:cs="宋体"/>
                <w:b/>
                <w:bCs/>
                <w:kern w:val="0"/>
                <w:szCs w:val="21"/>
                <w:highlight w:val="none"/>
                <w:lang w:bidi="ar"/>
              </w:rPr>
              <w:t>注：投标人在投标文件中列明属于环境标志产品的投标产品列表，并提供有效的环境标志产品认证证书复印件，加盖投标人公章，未提供或提供的材料不满足要求的不予计分。</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kern w:val="0"/>
                <w:szCs w:val="21"/>
                <w:highlight w:val="none"/>
                <w:lang w:val="en-US" w:eastAsia="zh-CN" w:bidi="ar"/>
              </w:rPr>
            </w:pPr>
            <w:r>
              <w:rPr>
                <w:rFonts w:hint="eastAsia" w:ascii="宋体" w:hAnsi="宋体" w:eastAsia="宋体" w:cs="宋体"/>
                <w:b/>
                <w:bCs/>
                <w:kern w:val="0"/>
                <w:szCs w:val="21"/>
                <w:highlight w:val="none"/>
                <w:lang w:bidi="ar"/>
              </w:rPr>
              <w:t>1分</w:t>
            </w:r>
          </w:p>
        </w:tc>
      </w:tr>
      <w:tr>
        <w:tblPrEx>
          <w:tblCellMar>
            <w:top w:w="0" w:type="dxa"/>
            <w:left w:w="108" w:type="dxa"/>
            <w:bottom w:w="0" w:type="dxa"/>
            <w:right w:w="108" w:type="dxa"/>
          </w:tblCellMar>
        </w:tblPrEx>
        <w:trPr>
          <w:trHeight w:val="1065" w:hRule="atLeast"/>
        </w:trPr>
        <w:tc>
          <w:tcPr>
            <w:tcW w:w="82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textAlignment w:val="center"/>
              <w:rPr>
                <w:rFonts w:hint="eastAsia" w:ascii="宋体" w:hAnsi="宋体" w:eastAsia="宋体" w:cs="宋体"/>
                <w:szCs w:val="21"/>
                <w:highlight w:val="none"/>
              </w:rPr>
            </w:pPr>
            <w:r>
              <w:rPr>
                <w:rFonts w:hint="eastAsia" w:ascii="宋体" w:hAnsi="宋体" w:eastAsia="宋体" w:cs="宋体"/>
                <w:b/>
                <w:bCs/>
                <w:kern w:val="0"/>
                <w:szCs w:val="21"/>
                <w:highlight w:val="none"/>
                <w:lang w:bidi="ar"/>
              </w:rPr>
              <w:t>总得分 = 一 + 二 + 三 + 四</w:t>
            </w:r>
            <w:r>
              <w:rPr>
                <w:rFonts w:hint="eastAsia" w:ascii="宋体" w:hAnsi="宋体" w:eastAsia="宋体" w:cs="宋体"/>
                <w:b/>
                <w:bCs/>
                <w:kern w:val="0"/>
                <w:szCs w:val="21"/>
                <w:highlight w:val="none"/>
                <w:lang w:val="en-US" w:eastAsia="zh-CN" w:bidi="ar"/>
              </w:rPr>
              <w:t xml:space="preserve"> + 五</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bCs/>
                <w:szCs w:val="21"/>
                <w:highlight w:val="none"/>
              </w:rPr>
            </w:pPr>
          </w:p>
        </w:tc>
      </w:tr>
    </w:tbl>
    <w:p>
      <w:pPr>
        <w:snapToGrid w:val="0"/>
        <w:spacing w:line="360" w:lineRule="auto"/>
        <w:jc w:val="center"/>
        <w:outlineLvl w:val="1"/>
        <w:rPr>
          <w:rFonts w:hint="eastAsia" w:ascii="宋体" w:hAnsi="宋体" w:cs="宋体"/>
          <w:b/>
          <w:sz w:val="32"/>
          <w:szCs w:val="20"/>
        </w:rPr>
      </w:pPr>
    </w:p>
    <w:p>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p>
      <w:pPr>
        <w:snapToGrid w:val="0"/>
        <w:spacing w:line="360" w:lineRule="auto"/>
        <w:outlineLvl w:val="1"/>
        <w:rPr>
          <w:rFonts w:ascii="宋体" w:hAnsi="宋体" w:cs="宋体"/>
          <w:b/>
          <w:sz w:val="32"/>
          <w:szCs w:val="20"/>
        </w:rPr>
      </w:pPr>
    </w:p>
    <w:p>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pPr>
        <w:adjustRightInd/>
        <w:spacing w:line="360" w:lineRule="auto"/>
        <w:outlineLvl w:val="1"/>
        <w:rPr>
          <w:rFonts w:ascii="宋体" w:hAnsi="宋体" w:cs="宋体"/>
          <w:b/>
          <w:sz w:val="32"/>
        </w:rPr>
      </w:pPr>
      <w:r>
        <w:rPr>
          <w:rFonts w:hint="eastAsia" w:ascii="宋体" w:hAnsi="宋体" w:cs="宋体"/>
          <w:b/>
          <w:sz w:val="32"/>
        </w:rPr>
        <w:t>一、评标方法</w:t>
      </w:r>
    </w:p>
    <w:p>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sym w:font="Wingdings" w:char="F0FE"/>
      </w:r>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kern w:val="0"/>
          <w:sz w:val="24"/>
        </w:rPr>
      </w:pPr>
      <w:r>
        <w:rPr>
          <w:rFonts w:hint="eastAsia" w:ascii="宋体" w:hAnsi="宋体" w:cs="宋体"/>
          <w:kern w:val="0"/>
          <w:sz w:val="24"/>
        </w:rPr>
        <w:t>□</w:t>
      </w:r>
      <w:r>
        <w:rPr>
          <w:rFonts w:hint="eastAsia" w:ascii="宋体" w:hAnsi="宋体" w:cs="宋体"/>
          <w:sz w:val="24"/>
        </w:rPr>
        <w:t>B最低评标价法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kern w:val="0"/>
          <w:sz w:val="24"/>
        </w:rPr>
      </w:pPr>
      <w:r>
        <w:rPr>
          <w:rFonts w:hint="eastAsia" w:ascii="宋体" w:hAnsi="宋体" w:cs="宋体"/>
          <w:b/>
          <w:sz w:val="32"/>
        </w:rPr>
        <w:t>二、评标标准</w:t>
      </w:r>
    </w:p>
    <w:p>
      <w:pPr>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sz w:val="32"/>
          <w:szCs w:val="32"/>
        </w:rPr>
      </w:pPr>
      <w:r>
        <w:rPr>
          <w:rFonts w:hint="eastAsia" w:ascii="宋体" w:hAnsi="宋体" w:cs="宋体"/>
          <w:b/>
          <w:sz w:val="32"/>
          <w:szCs w:val="32"/>
        </w:rPr>
        <w:t>三、评标程序</w:t>
      </w:r>
    </w:p>
    <w:p>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pPr>
        <w:pStyle w:val="128"/>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pPr>
        <w:pStyle w:val="128"/>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pPr>
        <w:pStyle w:val="128"/>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pPr>
        <w:pStyle w:val="128"/>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pPr>
        <w:pStyle w:val="128"/>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pPr>
        <w:pStyle w:val="128"/>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pPr>
        <w:pStyle w:val="128"/>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128"/>
        <w:spacing w:before="0"/>
        <w:ind w:firstLine="480"/>
        <w:rPr>
          <w:rFonts w:ascii="宋体" w:hAnsi="宋体" w:cs="宋体"/>
          <w:color w:val="FF0000"/>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FF0000"/>
          <w:kern w:val="0"/>
          <w:szCs w:val="24"/>
        </w:rPr>
        <w:t>对于专门面向中小企业采购的项目或者采购包，不再执行价格评审优惠的扶持政策。</w:t>
      </w:r>
    </w:p>
    <w:p>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pPr>
        <w:spacing w:line="360" w:lineRule="auto"/>
        <w:ind w:firstLine="482" w:firstLineChars="200"/>
        <w:rPr>
          <w:rFonts w:ascii="宋体" w:hAnsi="宋体" w:cs="宋体"/>
          <w:kern w:val="0"/>
          <w:sz w:val="24"/>
        </w:rPr>
      </w:pPr>
      <w:r>
        <w:rPr>
          <w:rFonts w:hint="eastAsia" w:ascii="宋体" w:hAnsi="宋体" w:cs="宋体"/>
          <w:b/>
          <w:kern w:val="0"/>
          <w:sz w:val="24"/>
        </w:rPr>
        <w:t>3.5.1</w:t>
      </w:r>
      <w:r>
        <w:rPr>
          <w:rFonts w:hint="eastAsia" w:ascii="宋体" w:hAnsi="宋体" w:cs="宋体"/>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82"/>
        <w:rPr>
          <w:rFonts w:cs="宋体"/>
        </w:rPr>
      </w:pPr>
      <w:r>
        <w:rPr>
          <w:rFonts w:hint="eastAsia" w:cs="宋体"/>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pStyle w:val="82"/>
      </w:pPr>
      <w:r>
        <w:rPr>
          <w:rFonts w:hint="eastAsia" w:cs="宋体"/>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line="360" w:lineRule="auto"/>
        <w:jc w:val="left"/>
        <w:outlineLvl w:val="1"/>
        <w:rPr>
          <w:rFonts w:ascii="宋体" w:hAnsi="宋体" w:cs="宋体"/>
          <w:b/>
          <w:sz w:val="32"/>
        </w:rPr>
      </w:pPr>
      <w:r>
        <w:rPr>
          <w:rFonts w:hint="eastAsia" w:ascii="宋体" w:hAnsi="宋体" w:cs="宋体"/>
          <w:b/>
          <w:sz w:val="32"/>
        </w:rPr>
        <w:t>四、评标中的其他事项</w:t>
      </w:r>
    </w:p>
    <w:p>
      <w:pPr>
        <w:pStyle w:val="128"/>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pPr>
        <w:pStyle w:val="82"/>
      </w:pPr>
      <w:r>
        <w:rPr>
          <w:rFonts w:hint="eastAsia"/>
        </w:rPr>
        <w:t>4.2.13 投标文件不满足招标文件的其它实质性要求的；</w:t>
      </w:r>
    </w:p>
    <w:p>
      <w:pPr>
        <w:pStyle w:val="82"/>
      </w:pPr>
      <w:r>
        <w:rPr>
          <w:rFonts w:hint="eastAsia"/>
        </w:rPr>
        <w:t>4.2.14</w:t>
      </w:r>
      <w:r>
        <w:rPr>
          <w:rFonts w:hint="eastAsia" w:asciiTheme="minorEastAsia" w:hAnsiTheme="minorEastAsia" w:eastAsiaTheme="minorEastAsia"/>
        </w:rPr>
        <w:t>存在下列情形之一且无法合理解释的，其投标文件无效：1.不同供应商的电子投标文件上传计算机的网卡MAC地址或硬盘序列号等硬件信息相同的；2.上传的电子投标文件若出现使用本项目其他投标供应商的数字证书加密的，或者加盖本项目其他投标供应商的电子印章的；3.不同供应商的投标文件的内容存在3 处（含）以上错误一致的；4.不同供应商联系人为同一人或不同联系人的联系电话一致的；</w:t>
      </w:r>
    </w:p>
    <w:p>
      <w:pPr>
        <w:spacing w:line="360" w:lineRule="auto"/>
        <w:ind w:firstLine="480" w:firstLineChars="200"/>
        <w:rPr>
          <w:rFonts w:ascii="宋体" w:hAnsi="宋体" w:cs="宋体"/>
          <w:kern w:val="0"/>
          <w:sz w:val="24"/>
        </w:rPr>
      </w:pPr>
      <w:r>
        <w:rPr>
          <w:rFonts w:hint="eastAsia" w:ascii="宋体" w:hAnsi="宋体" w:cs="宋体"/>
          <w:kern w:val="0"/>
          <w:sz w:val="24"/>
        </w:rPr>
        <w:t>4.2.15法律、法规、规章（适用本市的）及省级以上规范性文件（适用本市的）规定的其他无效情形。</w:t>
      </w:r>
    </w:p>
    <w:p>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pPr>
        <w:pStyle w:val="24"/>
        <w:snapToGrid w:val="0"/>
        <w:spacing w:line="360" w:lineRule="auto"/>
        <w:rPr>
          <w:rFonts w:cs="宋体"/>
        </w:rPr>
      </w:pPr>
      <w:r>
        <w:rPr>
          <w:rFonts w:hint="eastAsia" w:cs="宋体"/>
        </w:rPr>
        <w:t>5.1符合专业条件的供应商或者对招标文件作实质响应的供应商不足3家的；</w:t>
      </w:r>
    </w:p>
    <w:p>
      <w:pPr>
        <w:pStyle w:val="24"/>
        <w:snapToGrid w:val="0"/>
        <w:spacing w:line="360" w:lineRule="auto"/>
        <w:rPr>
          <w:rFonts w:cs="宋体"/>
        </w:rPr>
      </w:pPr>
      <w:r>
        <w:rPr>
          <w:rFonts w:hint="eastAsia" w:cs="宋体"/>
        </w:rPr>
        <w:t>5.2出现影响采购公正的违法、违规行为的；</w:t>
      </w:r>
    </w:p>
    <w:p>
      <w:pPr>
        <w:pStyle w:val="24"/>
        <w:snapToGrid w:val="0"/>
        <w:spacing w:line="360" w:lineRule="auto"/>
        <w:rPr>
          <w:rFonts w:cs="宋体"/>
        </w:rPr>
      </w:pPr>
      <w:r>
        <w:rPr>
          <w:rFonts w:hint="eastAsia" w:cs="宋体"/>
        </w:rPr>
        <w:t>5.3投标人的报价均超过了采购预算，采购人不能支付的；</w:t>
      </w:r>
    </w:p>
    <w:p>
      <w:pPr>
        <w:pStyle w:val="24"/>
        <w:snapToGrid w:val="0"/>
        <w:spacing w:line="360" w:lineRule="auto"/>
        <w:rPr>
          <w:rFonts w:cs="宋体"/>
        </w:rPr>
      </w:pPr>
      <w:r>
        <w:rPr>
          <w:rFonts w:hint="eastAsia" w:cs="宋体"/>
        </w:rPr>
        <w:t>5.4因重大变故，采购任务取消的。</w:t>
      </w:r>
    </w:p>
    <w:p>
      <w:pPr>
        <w:pStyle w:val="24"/>
        <w:snapToGrid w:val="0"/>
        <w:spacing w:line="360" w:lineRule="auto"/>
        <w:rPr>
          <w:rFonts w:cs="宋体"/>
        </w:rPr>
      </w:pPr>
      <w:r>
        <w:rPr>
          <w:rFonts w:hint="eastAsia" w:cs="宋体"/>
        </w:rPr>
        <w:t>废标后，采购代理机构应当将废标理由通知所有投标人。</w:t>
      </w:r>
    </w:p>
    <w:p>
      <w:pPr>
        <w:pStyle w:val="24"/>
        <w:snapToGrid w:val="0"/>
        <w:spacing w:line="360" w:lineRule="auto"/>
        <w:ind w:firstLine="482"/>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pPr>
        <w:pStyle w:val="24"/>
        <w:snapToGrid w:val="0"/>
        <w:spacing w:line="360" w:lineRule="auto"/>
        <w:rPr>
          <w:rFonts w:cs="宋体"/>
        </w:rPr>
      </w:pPr>
      <w:r>
        <w:rPr>
          <w:rFonts w:hint="eastAsia" w:cs="宋体"/>
        </w:rPr>
        <w:t>7.1未确定中标供应商的，终止本次政府采购活动，重新开展政府采购活动。</w:t>
      </w:r>
    </w:p>
    <w:p>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cs="宋体"/>
        </w:rPr>
      </w:pPr>
      <w:r>
        <w:rPr>
          <w:rFonts w:hint="eastAsia" w:cs="宋体"/>
        </w:rPr>
        <w:t>7.4政府采购合同已经履行，给采购人、供应商造成损失的，由责任人承担赔偿责任。</w:t>
      </w:r>
    </w:p>
    <w:p>
      <w:pPr>
        <w:pStyle w:val="24"/>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pPr>
        <w:pStyle w:val="82"/>
        <w:ind w:firstLine="0"/>
        <w:rPr>
          <w:b/>
          <w:sz w:val="32"/>
          <w:szCs w:val="32"/>
        </w:rPr>
      </w:pPr>
      <w:r>
        <w:rPr>
          <w:rFonts w:hint="eastAsia"/>
          <w:b/>
          <w:sz w:val="32"/>
          <w:szCs w:val="32"/>
        </w:rPr>
        <w:t>五、评审过程的保密与录像</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4"/>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bookmarkEnd w:id="43"/>
    <w:p>
      <w:pPr>
        <w:spacing w:line="360" w:lineRule="auto"/>
        <w:ind w:left="720" w:leftChars="343" w:firstLine="1084" w:firstLineChars="300"/>
        <w:rPr>
          <w:rFonts w:ascii="宋体" w:hAnsi="宋体" w:cs="宋体"/>
          <w:b/>
          <w:sz w:val="36"/>
          <w:szCs w:val="36"/>
        </w:rPr>
      </w:pPr>
      <w:bookmarkStart w:id="422" w:name="第五部分"/>
      <w:bookmarkStart w:id="423" w:name="_Toc86217003"/>
    </w:p>
    <w:p>
      <w:pPr>
        <w:spacing w:line="360" w:lineRule="auto"/>
        <w:ind w:left="720" w:leftChars="343" w:firstLine="1084" w:firstLineChars="300"/>
        <w:rPr>
          <w:rFonts w:ascii="宋体" w:hAnsi="宋体" w:cs="宋体"/>
          <w:b/>
          <w:sz w:val="36"/>
          <w:szCs w:val="36"/>
        </w:rPr>
      </w:pPr>
      <w:r>
        <w:rPr>
          <w:rFonts w:hint="eastAsia" w:ascii="宋体" w:hAnsi="宋体" w:cs="宋体"/>
          <w:b/>
          <w:sz w:val="36"/>
          <w:szCs w:val="36"/>
        </w:rPr>
        <w:t xml:space="preserve">    </w:t>
      </w:r>
    </w:p>
    <w:p>
      <w:pPr>
        <w:pStyle w:val="82"/>
      </w:pPr>
      <w:r>
        <w:br w:type="page"/>
      </w:r>
    </w:p>
    <w:p>
      <w:pPr>
        <w:pStyle w:val="82"/>
      </w:pPr>
    </w:p>
    <w:p>
      <w:pPr>
        <w:spacing w:line="360" w:lineRule="auto"/>
        <w:jc w:val="center"/>
        <w:outlineLvl w:val="0"/>
        <w:rPr>
          <w:rFonts w:ascii="宋体" w:hAnsi="宋体" w:cs="宋体"/>
          <w:b/>
          <w:sz w:val="36"/>
          <w:szCs w:val="36"/>
        </w:rPr>
      </w:pPr>
      <w:bookmarkStart w:id="424" w:name="_Toc176343852"/>
      <w:bookmarkStart w:id="425" w:name="_Toc176185125"/>
      <w:r>
        <w:rPr>
          <w:rFonts w:hint="eastAsia" w:ascii="宋体" w:hAnsi="宋体" w:cs="宋体"/>
          <w:b/>
          <w:sz w:val="36"/>
          <w:szCs w:val="36"/>
        </w:rPr>
        <w:t>第五部分  拟签订的合同文本</w:t>
      </w:r>
      <w:bookmarkEnd w:id="424"/>
      <w:bookmarkEnd w:id="425"/>
    </w:p>
    <w:p>
      <w:pPr>
        <w:adjustRightInd/>
        <w:spacing w:line="600" w:lineRule="exact"/>
        <w:ind w:firstLine="1044"/>
        <w:rPr>
          <w:rFonts w:ascii="宋体" w:hAnsi="宋体" w:cs="宋体"/>
          <w:b/>
          <w:kern w:val="0"/>
          <w:sz w:val="52"/>
          <w:szCs w:val="52"/>
        </w:rPr>
      </w:pPr>
    </w:p>
    <w:p>
      <w:pPr>
        <w:adjustRightInd/>
        <w:jc w:val="center"/>
        <w:rPr>
          <w:rFonts w:ascii="宋体" w:hAnsi="宋体" w:cs="宋体"/>
          <w:b/>
          <w:bCs/>
          <w:spacing w:val="-20"/>
          <w:kern w:val="44"/>
          <w:sz w:val="48"/>
          <w:szCs w:val="48"/>
        </w:rPr>
      </w:pPr>
      <w:bookmarkStart w:id="426" w:name="_Toc3995"/>
    </w:p>
    <w:p>
      <w:pPr>
        <w:adjustRightInd/>
        <w:jc w:val="center"/>
        <w:rPr>
          <w:rFonts w:ascii="宋体" w:hAnsi="宋体" w:cs="宋体"/>
          <w:b/>
          <w:bCs/>
          <w:spacing w:val="-20"/>
          <w:kern w:val="44"/>
          <w:sz w:val="48"/>
          <w:szCs w:val="48"/>
        </w:rPr>
      </w:pPr>
    </w:p>
    <w:p>
      <w:pPr>
        <w:adjustRightInd/>
        <w:jc w:val="center"/>
        <w:rPr>
          <w:rFonts w:ascii="宋体" w:hAnsi="宋体" w:cs="宋体"/>
          <w:b/>
          <w:bCs/>
          <w:spacing w:val="-20"/>
          <w:kern w:val="44"/>
          <w:sz w:val="48"/>
          <w:szCs w:val="48"/>
        </w:rPr>
      </w:pPr>
    </w:p>
    <w:p>
      <w:pPr>
        <w:adjustRightInd/>
        <w:jc w:val="center"/>
        <w:rPr>
          <w:rFonts w:ascii="宋体" w:hAnsi="宋体" w:cs="宋体"/>
          <w:b/>
          <w:bCs/>
          <w:spacing w:val="-20"/>
          <w:kern w:val="44"/>
          <w:sz w:val="48"/>
          <w:szCs w:val="48"/>
        </w:rPr>
      </w:pPr>
    </w:p>
    <w:p>
      <w:pPr>
        <w:adjustRightInd/>
        <w:jc w:val="center"/>
        <w:rPr>
          <w:rFonts w:ascii="宋体" w:hAnsi="宋体" w:cs="宋体"/>
          <w:b/>
          <w:bCs/>
          <w:color w:val="FF0000"/>
          <w:spacing w:val="-20"/>
          <w:kern w:val="44"/>
          <w:sz w:val="48"/>
          <w:szCs w:val="48"/>
        </w:rPr>
      </w:pPr>
      <w:r>
        <w:rPr>
          <w:rFonts w:hint="eastAsia" w:ascii="宋体" w:hAnsi="宋体" w:cs="宋体"/>
          <w:b/>
          <w:bCs/>
          <w:color w:val="FF0000"/>
          <w:spacing w:val="-20"/>
          <w:kern w:val="44"/>
          <w:sz w:val="48"/>
          <w:szCs w:val="48"/>
        </w:rPr>
        <w:t>北海市政府采购合同</w:t>
      </w:r>
    </w:p>
    <w:p>
      <w:pPr>
        <w:adjustRightInd/>
        <w:jc w:val="center"/>
        <w:rPr>
          <w:rFonts w:ascii="宋体" w:hAnsi="宋体" w:cs="宋体"/>
          <w:b/>
          <w:bCs/>
          <w:spacing w:val="-20"/>
          <w:kern w:val="44"/>
          <w:sz w:val="36"/>
          <w:szCs w:val="36"/>
        </w:rPr>
      </w:pPr>
    </w:p>
    <w:p>
      <w:pPr>
        <w:adjustRightInd/>
        <w:jc w:val="center"/>
        <w:rPr>
          <w:rFonts w:ascii="宋体" w:hAnsi="宋体" w:cs="宋体"/>
          <w:b/>
          <w:bCs/>
          <w:spacing w:val="-20"/>
          <w:kern w:val="44"/>
          <w:sz w:val="36"/>
          <w:szCs w:val="36"/>
          <w:highlight w:val="none"/>
        </w:rPr>
      </w:pPr>
      <w:r>
        <w:rPr>
          <w:rFonts w:hint="eastAsia" w:ascii="宋体" w:hAnsi="宋体" w:cs="宋体"/>
          <w:b/>
          <w:bCs/>
          <w:spacing w:val="-20"/>
          <w:kern w:val="44"/>
          <w:sz w:val="36"/>
          <w:szCs w:val="36"/>
          <w:highlight w:val="none"/>
        </w:rPr>
        <w:t>（货物类）</w:t>
      </w:r>
    </w:p>
    <w:p>
      <w:pPr>
        <w:adjustRightInd/>
        <w:rPr>
          <w:rFonts w:ascii="宋体" w:hAnsi="宋体" w:cs="宋体"/>
          <w:b/>
          <w:bCs/>
          <w:spacing w:val="-20"/>
          <w:kern w:val="44"/>
          <w:sz w:val="40"/>
          <w:szCs w:val="40"/>
        </w:rPr>
      </w:pPr>
    </w:p>
    <w:p>
      <w:pPr>
        <w:adjustRightInd/>
        <w:rPr>
          <w:rFonts w:ascii="宋体" w:hAnsi="宋体" w:cs="宋体"/>
          <w:b/>
          <w:bCs/>
          <w:spacing w:val="-20"/>
          <w:kern w:val="44"/>
          <w:sz w:val="40"/>
          <w:szCs w:val="40"/>
        </w:rPr>
      </w:pPr>
    </w:p>
    <w:p>
      <w:pPr>
        <w:adjustRightInd/>
        <w:rPr>
          <w:rFonts w:ascii="宋体" w:hAnsi="宋体" w:cs="宋体"/>
          <w:b/>
          <w:bCs/>
          <w:spacing w:val="-20"/>
          <w:kern w:val="44"/>
          <w:sz w:val="40"/>
          <w:szCs w:val="40"/>
        </w:rPr>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pPr>
        <w:adjustRightInd/>
      </w:pPr>
    </w:p>
    <w:p>
      <w:pPr>
        <w:adjustRightInd/>
        <w:jc w:val="center"/>
        <w:outlineLvl w:val="1"/>
        <w:rPr>
          <w:rFonts w:ascii="黑体" w:hAnsi="黑体" w:eastAsia="黑体"/>
          <w:sz w:val="28"/>
          <w:szCs w:val="28"/>
        </w:rPr>
      </w:pPr>
      <w:r>
        <w:rPr>
          <w:rFonts w:eastAsia="黑体"/>
          <w:sz w:val="44"/>
          <w:szCs w:val="44"/>
        </w:rPr>
        <w:br w:type="page"/>
      </w:r>
      <w:bookmarkEnd w:id="426"/>
      <w:bookmarkStart w:id="427" w:name="_Toc22209"/>
      <w:r>
        <w:rPr>
          <w:rFonts w:hint="eastAsia" w:ascii="黑体" w:hAnsi="黑体" w:eastAsia="黑体"/>
          <w:sz w:val="28"/>
          <w:szCs w:val="28"/>
        </w:rPr>
        <w:t>第一节 政府采购合同协议书</w:t>
      </w:r>
      <w:bookmarkEnd w:id="427"/>
    </w:p>
    <w:p>
      <w:pPr>
        <w:pStyle w:val="82"/>
      </w:pPr>
    </w:p>
    <w:p>
      <w:pPr>
        <w:pStyle w:val="82"/>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pPr>
        <w:pStyle w:val="82"/>
        <w:ind w:firstLine="0"/>
      </w:pPr>
      <w:r>
        <w:rPr>
          <w:rFonts w:hint="eastAsia"/>
        </w:rPr>
        <w:t>乙方1（全称）：</w:t>
      </w:r>
      <w:r>
        <w:rPr>
          <w:rFonts w:hint="eastAsia"/>
          <w:u w:val="single"/>
        </w:rPr>
        <w:t xml:space="preserve">                       </w:t>
      </w:r>
      <w:r>
        <w:rPr>
          <w:rFonts w:hint="eastAsia"/>
        </w:rPr>
        <w:t>（供应商）</w:t>
      </w:r>
    </w:p>
    <w:p>
      <w:pPr>
        <w:pStyle w:val="82"/>
        <w:ind w:firstLine="0"/>
      </w:pPr>
      <w:r>
        <w:rPr>
          <w:rFonts w:hint="eastAsia"/>
        </w:rPr>
        <w:t>乙方2（全称）：</w:t>
      </w:r>
      <w:r>
        <w:rPr>
          <w:rFonts w:hint="eastAsia"/>
          <w:u w:val="single"/>
        </w:rPr>
        <w:t xml:space="preserve">                        </w:t>
      </w:r>
      <w:r>
        <w:rPr>
          <w:rFonts w:hint="eastAsia"/>
        </w:rPr>
        <w:t>（联合体成员供应商或其他合同主体）（如有）</w:t>
      </w:r>
    </w:p>
    <w:p>
      <w:pPr>
        <w:pStyle w:val="82"/>
        <w:ind w:firstLine="0"/>
      </w:pPr>
      <w:r>
        <w:rPr>
          <w:rFonts w:hint="eastAsia"/>
        </w:rPr>
        <w:t>乙方3（全称）：</w:t>
      </w:r>
      <w:r>
        <w:rPr>
          <w:rFonts w:hint="eastAsia"/>
          <w:u w:val="single"/>
        </w:rPr>
        <w:t xml:space="preserve">                         </w:t>
      </w:r>
      <w:r>
        <w:rPr>
          <w:rFonts w:hint="eastAsia"/>
        </w:rPr>
        <w:t>（联合体成员供应商或其他合同主体）（如有）</w:t>
      </w:r>
    </w:p>
    <w:p>
      <w:pPr>
        <w:adjustRightInd/>
        <w:spacing w:line="400" w:lineRule="exact"/>
      </w:pPr>
    </w:p>
    <w:p>
      <w:pPr>
        <w:pStyle w:val="82"/>
        <w:ind w:firstLine="480" w:firstLineChars="20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82"/>
        <w:ind w:firstLine="0"/>
        <w:rPr>
          <w:b/>
        </w:rPr>
      </w:pPr>
      <w:r>
        <w:rPr>
          <w:rFonts w:hint="eastAsia"/>
          <w:b/>
        </w:rPr>
        <w:t>1.项目信息</w:t>
      </w:r>
    </w:p>
    <w:p>
      <w:pPr>
        <w:pStyle w:val="82"/>
        <w:ind w:firstLine="480" w:firstLineChars="200"/>
        <w:rPr>
          <w:u w:val="single"/>
        </w:rPr>
      </w:pPr>
      <w:r>
        <w:rPr>
          <w:rFonts w:hint="eastAsia"/>
        </w:rPr>
        <w:t>（1）采购项目名称：</w:t>
      </w:r>
      <w:r>
        <w:rPr>
          <w:rFonts w:hint="eastAsia"/>
          <w:u w:val="single"/>
        </w:rPr>
        <w:t xml:space="preserve">                                          </w:t>
      </w:r>
    </w:p>
    <w:p>
      <w:pPr>
        <w:pStyle w:val="82"/>
        <w:ind w:firstLine="1080" w:firstLineChars="450"/>
      </w:pPr>
      <w:r>
        <w:rPr>
          <w:rFonts w:hint="eastAsia"/>
        </w:rPr>
        <w:t>采购项目编号：</w:t>
      </w:r>
      <w:r>
        <w:rPr>
          <w:rFonts w:hint="eastAsia"/>
          <w:u w:val="single"/>
        </w:rPr>
        <w:t xml:space="preserve">                                          </w:t>
      </w:r>
    </w:p>
    <w:p>
      <w:pPr>
        <w:pStyle w:val="82"/>
        <w:ind w:firstLine="480" w:firstLineChars="200"/>
      </w:pPr>
      <w:r>
        <w:rPr>
          <w:rFonts w:hint="eastAsia"/>
        </w:rPr>
        <w:t>（2）采购计划编号：</w:t>
      </w:r>
      <w:r>
        <w:rPr>
          <w:rFonts w:hint="eastAsia"/>
          <w:u w:val="single"/>
        </w:rPr>
        <w:t xml:space="preserve">                                          </w:t>
      </w:r>
      <w:r>
        <w:rPr>
          <w:rFonts w:hint="eastAsia"/>
        </w:rPr>
        <w:t xml:space="preserve"> </w:t>
      </w:r>
    </w:p>
    <w:p>
      <w:pPr>
        <w:pStyle w:val="82"/>
        <w:ind w:firstLine="480" w:firstLineChars="200"/>
      </w:pPr>
      <w:r>
        <w:rPr>
          <w:rFonts w:hint="eastAsia"/>
        </w:rPr>
        <w:t>（3）项目内容：</w:t>
      </w:r>
    </w:p>
    <w:p>
      <w:pPr>
        <w:pStyle w:val="82"/>
        <w:ind w:firstLine="480" w:firstLineChars="200"/>
      </w:pPr>
      <w:r>
        <w:rPr>
          <w:rFonts w:hint="eastAsia"/>
        </w:rPr>
        <w:t xml:space="preserve">     采购标的及数量（台/套</w:t>
      </w:r>
      <w:r>
        <w:rPr>
          <w:rFonts w:hint="eastAsia"/>
          <w:lang w:val="en"/>
        </w:rPr>
        <w:t>/个/架/组等</w:t>
      </w:r>
      <w:r>
        <w:rPr>
          <w:rFonts w:hint="eastAsia"/>
        </w:rPr>
        <w:t>）：</w:t>
      </w:r>
      <w:r>
        <w:rPr>
          <w:rFonts w:hint="eastAsia"/>
          <w:u w:val="single"/>
        </w:rPr>
        <w:t xml:space="preserve">               </w:t>
      </w:r>
      <w:r>
        <w:rPr>
          <w:rFonts w:hint="eastAsia"/>
        </w:rPr>
        <w:t xml:space="preserve">   </w:t>
      </w:r>
    </w:p>
    <w:p>
      <w:pPr>
        <w:pStyle w:val="82"/>
        <w:ind w:firstLine="480" w:firstLineChars="200"/>
        <w:rPr>
          <w:rFonts w:cs="宋体"/>
          <w:lang w:val="en"/>
        </w:rPr>
      </w:pPr>
      <w:r>
        <w:rPr>
          <w:rFonts w:hint="eastAsia"/>
        </w:rPr>
        <w:t xml:space="preserve">     </w:t>
      </w:r>
      <w:r>
        <w:rPr>
          <w:rFonts w:hint="eastAsia" w:cs="宋体"/>
        </w:rPr>
        <w:t>品牌：</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lang w:val="en"/>
        </w:rPr>
        <w:t xml:space="preserve">     </w:t>
      </w:r>
      <w:r>
        <w:rPr>
          <w:rFonts w:hint="eastAsia" w:cs="宋体"/>
        </w:rPr>
        <w:t>规格型号：</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p>
    <w:p>
      <w:pPr>
        <w:pStyle w:val="82"/>
        <w:ind w:firstLine="480" w:firstLineChars="200"/>
        <w:rPr>
          <w:u w:val="single"/>
        </w:rPr>
      </w:pPr>
      <w:r>
        <w:rPr>
          <w:rFonts w:hint="eastAsia"/>
        </w:rPr>
        <w:t>采购标的的技术要求、商务要求具体见附件。</w:t>
      </w:r>
    </w:p>
    <w:p>
      <w:pPr>
        <w:pStyle w:val="82"/>
        <w:ind w:firstLine="480" w:firstLineChars="200"/>
        <w:rPr>
          <w:rFonts w:cs="宋体"/>
        </w:rPr>
      </w:pPr>
      <w:r>
        <w:rPr>
          <w:rFonts w:hint="eastAsia" w:cs="宋体"/>
        </w:rPr>
        <w:t>①涉及信息类产品，请填写该产品关键部件的品牌、型号：</w:t>
      </w:r>
    </w:p>
    <w:p>
      <w:pPr>
        <w:pStyle w:val="82"/>
        <w:ind w:firstLine="480" w:firstLineChars="200"/>
        <w:rPr>
          <w:rFonts w:cs="宋体"/>
          <w:u w:val="single"/>
        </w:rPr>
      </w:pPr>
      <w:r>
        <w:rPr>
          <w:rFonts w:hint="eastAsia" w:cs="宋体"/>
        </w:rPr>
        <w:t xml:space="preserve">     标的名称：</w:t>
      </w:r>
      <w:r>
        <w:rPr>
          <w:rFonts w:hint="eastAsia" w:cs="宋体"/>
          <w:u w:val="single"/>
        </w:rPr>
        <w:t xml:space="preserve">      </w:t>
      </w:r>
      <w:r>
        <w:rPr>
          <w:rFonts w:hint="eastAsia" w:cs="宋体"/>
          <w:u w:val="single"/>
          <w:lang w:val="en"/>
        </w:rPr>
        <w:t xml:space="preserve">               </w:t>
      </w:r>
      <w:r>
        <w:rPr>
          <w:rFonts w:hint="eastAsia" w:cs="宋体"/>
          <w:u w:val="single"/>
        </w:rPr>
        <w:t xml:space="preserve">    </w:t>
      </w:r>
    </w:p>
    <w:p>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p>
    <w:p>
      <w:pPr>
        <w:pStyle w:val="82"/>
        <w:ind w:firstLine="480" w:firstLineChars="200"/>
        <w:rPr>
          <w:rFonts w:cs="宋体"/>
        </w:rPr>
      </w:pPr>
      <w:r>
        <w:rPr>
          <w:rFonts w:hint="eastAsia" w:cs="宋体"/>
        </w:rPr>
        <w:t>（注：关键部件是指财政部会同有关部门发布的政府采购需求标准规定的需要通过国家有关部门指定的测评机构开展的安全可靠测评的软硬件，如CPU芯片、操作系统、数据库等。）</w:t>
      </w:r>
    </w:p>
    <w:p>
      <w:pPr>
        <w:pStyle w:val="82"/>
        <w:ind w:firstLine="480" w:firstLineChars="200"/>
        <w:rPr>
          <w:rFonts w:cs="宋体"/>
        </w:rPr>
      </w:pPr>
      <w:r>
        <w:rPr>
          <w:rFonts w:hint="eastAsia" w:cs="宋体"/>
        </w:rPr>
        <w:t>②涉及车辆采购，请填写是否属于新能源汽车：</w:t>
      </w:r>
    </w:p>
    <w:p>
      <w:pPr>
        <w:pStyle w:val="82"/>
        <w:ind w:firstLine="480" w:firstLineChars="200"/>
        <w:rPr>
          <w:rFonts w:cs="宋体"/>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数量：</w:t>
      </w:r>
      <w:r>
        <w:rPr>
          <w:rFonts w:hint="eastAsia" w:cs="宋体"/>
          <w:u w:val="single"/>
        </w:rPr>
        <w:t xml:space="preserve">    </w:t>
      </w:r>
      <w:r>
        <w:rPr>
          <w:rFonts w:hint="eastAsia" w:cs="宋体"/>
        </w:rPr>
        <w:t xml:space="preserve"> 金额：</w:t>
      </w:r>
      <w:r>
        <w:rPr>
          <w:rFonts w:hint="eastAsia" w:cs="宋体"/>
          <w:u w:val="single"/>
        </w:rPr>
        <w:t xml:space="preserve">     </w:t>
      </w:r>
      <w:r>
        <w:rPr>
          <w:rFonts w:hint="eastAsia" w:cs="宋体"/>
        </w:rPr>
        <w:t xml:space="preserve"> </w:t>
      </w:r>
    </w:p>
    <w:p>
      <w:pPr>
        <w:pStyle w:val="82"/>
        <w:ind w:firstLine="480" w:firstLineChars="200"/>
        <w:rPr>
          <w:rFonts w:cs="宋体"/>
        </w:rPr>
      </w:pPr>
      <w:r>
        <w:rPr>
          <w:rFonts w:cs="宋体"/>
        </w:rPr>
        <w:sym w:font="Wingdings" w:char="F0A8"/>
      </w:r>
      <w:r>
        <w:rPr>
          <w:rFonts w:hint="eastAsia" w:cs="宋体"/>
        </w:rPr>
        <w:t>否</w:t>
      </w:r>
    </w:p>
    <w:p>
      <w:pPr>
        <w:pStyle w:val="82"/>
        <w:ind w:firstLine="480" w:firstLineChars="200"/>
        <w:rPr>
          <w:rFonts w:cs="宋体"/>
        </w:rPr>
      </w:pPr>
      <w:r>
        <w:rPr>
          <w:rFonts w:hint="eastAsia" w:cs="宋体"/>
        </w:rPr>
        <w:t>（</w:t>
      </w:r>
      <w:r>
        <w:rPr>
          <w:rFonts w:hint="eastAsia" w:cs="宋体"/>
          <w:lang w:val="en"/>
        </w:rPr>
        <w:t>4</w:t>
      </w:r>
      <w:r>
        <w:rPr>
          <w:rFonts w:hint="eastAsia" w:cs="宋体"/>
        </w:rPr>
        <w:t>）政府采购组织形式：</w:t>
      </w:r>
      <w:r>
        <w:rPr>
          <w:rFonts w:cs="宋体"/>
        </w:rPr>
        <w:sym w:font="Wingdings" w:char="F0A8"/>
      </w:r>
      <w:r>
        <w:rPr>
          <w:rFonts w:hint="eastAsia" w:cs="宋体"/>
        </w:rPr>
        <w:t xml:space="preserve">政府集中采购  </w:t>
      </w:r>
      <w:r>
        <w:rPr>
          <w:rFonts w:cs="宋体"/>
        </w:rPr>
        <w:sym w:font="Wingdings" w:char="F0A8"/>
      </w:r>
      <w:r>
        <w:rPr>
          <w:rFonts w:hint="eastAsia" w:cs="宋体"/>
        </w:rPr>
        <w:t xml:space="preserve">部门集中采购  </w:t>
      </w:r>
      <w:r>
        <w:rPr>
          <w:rFonts w:cs="宋体"/>
        </w:rPr>
        <w:sym w:font="Wingdings" w:char="F0A8"/>
      </w:r>
      <w:r>
        <w:rPr>
          <w:rFonts w:hint="eastAsia" w:cs="宋体"/>
        </w:rPr>
        <w:t>分散采购</w:t>
      </w:r>
    </w:p>
    <w:p>
      <w:pPr>
        <w:pStyle w:val="82"/>
        <w:ind w:firstLine="480" w:firstLineChars="200"/>
        <w:rPr>
          <w:rFonts w:cs="宋体"/>
        </w:rPr>
      </w:pPr>
      <w:r>
        <w:rPr>
          <w:rFonts w:hint="eastAsia" w:cs="宋体"/>
        </w:rPr>
        <w:t>（</w:t>
      </w:r>
      <w:r>
        <w:rPr>
          <w:rFonts w:hint="eastAsia" w:cs="宋体"/>
          <w:lang w:val="en"/>
        </w:rPr>
        <w:t>5</w:t>
      </w:r>
      <w:r>
        <w:rPr>
          <w:rFonts w:hint="eastAsia" w:cs="宋体"/>
        </w:rPr>
        <w:t>）政府采购方式：</w:t>
      </w:r>
      <w:r>
        <w:rPr>
          <w:rFonts w:cs="宋体"/>
        </w:rPr>
        <w:sym w:font="Wingdings" w:char="F0A8"/>
      </w:r>
      <w:r>
        <w:rPr>
          <w:rFonts w:hint="eastAsia" w:cs="宋体"/>
        </w:rPr>
        <w:t xml:space="preserve">公开招标 </w:t>
      </w:r>
      <w:r>
        <w:rPr>
          <w:rFonts w:cs="宋体"/>
        </w:rPr>
        <w:sym w:font="Wingdings" w:char="F0A8"/>
      </w:r>
      <w:r>
        <w:rPr>
          <w:rFonts w:hint="eastAsia" w:cs="宋体"/>
        </w:rPr>
        <w:t xml:space="preserve">邀请招标 </w:t>
      </w:r>
      <w:r>
        <w:rPr>
          <w:rFonts w:cs="宋体"/>
        </w:rPr>
        <w:sym w:font="Wingdings" w:char="F0A8"/>
      </w:r>
      <w:r>
        <w:rPr>
          <w:rFonts w:hint="eastAsia" w:cs="宋体"/>
        </w:rPr>
        <w:t xml:space="preserve">竞争性谈判 </w:t>
      </w:r>
      <w:r>
        <w:rPr>
          <w:rFonts w:cs="宋体"/>
        </w:rPr>
        <w:sym w:font="Wingdings" w:char="F0A8"/>
      </w:r>
      <w:r>
        <w:rPr>
          <w:rFonts w:hint="eastAsia" w:cs="宋体"/>
        </w:rPr>
        <w:t>竞争性磋商</w:t>
      </w:r>
    </w:p>
    <w:p>
      <w:pPr>
        <w:pStyle w:val="82"/>
        <w:ind w:firstLine="440" w:firstLineChars="200"/>
        <w:rPr>
          <w:rFonts w:cs="宋体"/>
          <w:u w:val="single"/>
        </w:rPr>
      </w:pPr>
      <w:r>
        <w:rPr>
          <w:rFonts w:hint="eastAsia" w:eastAsia="华文楷体" w:cs="宋体"/>
          <w:sz w:val="22"/>
        </w:rPr>
        <w:t xml:space="preserve">                     </w:t>
      </w:r>
      <w:r>
        <w:rPr>
          <w:rFonts w:cs="宋体"/>
        </w:rPr>
        <w:sym w:font="Wingdings" w:char="F0A8"/>
      </w:r>
      <w:r>
        <w:rPr>
          <w:rFonts w:hint="eastAsia" w:cs="宋体"/>
        </w:rPr>
        <w:t xml:space="preserve">询价 </w:t>
      </w:r>
      <w:r>
        <w:rPr>
          <w:rFonts w:cs="宋体"/>
        </w:rPr>
        <w:sym w:font="Wingdings" w:char="F0A8"/>
      </w:r>
      <w:r>
        <w:rPr>
          <w:rFonts w:hint="eastAsia" w:cs="宋体"/>
        </w:rPr>
        <w:t xml:space="preserve">单一来源 </w:t>
      </w:r>
      <w:r>
        <w:rPr>
          <w:rFonts w:cs="宋体"/>
        </w:rPr>
        <w:sym w:font="Wingdings" w:char="F0A8"/>
      </w:r>
      <w:r>
        <w:rPr>
          <w:rFonts w:hint="eastAsia" w:cs="宋体"/>
        </w:rPr>
        <w:t xml:space="preserve">框架协议 </w:t>
      </w:r>
      <w:r>
        <w:rPr>
          <w:rFonts w:cs="宋体"/>
        </w:rPr>
        <w:sym w:font="Wingdings" w:char="F0A8"/>
      </w:r>
      <w:r>
        <w:rPr>
          <w:rFonts w:hint="eastAsia" w:cs="宋体"/>
        </w:rPr>
        <w:t>其他：</w:t>
      </w:r>
      <w:r>
        <w:rPr>
          <w:rFonts w:hint="eastAsia" w:cs="宋体"/>
          <w:u w:val="single"/>
        </w:rPr>
        <w:t xml:space="preserve">          </w:t>
      </w:r>
    </w:p>
    <w:p>
      <w:pPr>
        <w:pStyle w:val="82"/>
        <w:ind w:firstLine="480" w:firstLineChars="200"/>
        <w:rPr>
          <w:rFonts w:cs="宋体"/>
        </w:rPr>
      </w:pPr>
      <w:r>
        <w:rPr>
          <w:rFonts w:hint="eastAsia" w:cs="宋体"/>
        </w:rPr>
        <w:t>（注：在框架协议采购的第二阶段，可选择使用该合同文本）</w:t>
      </w:r>
    </w:p>
    <w:p>
      <w:pPr>
        <w:pStyle w:val="82"/>
        <w:ind w:firstLine="440" w:firstLineChars="200"/>
      </w:pPr>
      <w:r>
        <w:rPr>
          <w:rFonts w:hint="eastAsia" w:eastAsia="华文楷体" w:cs="华文楷体"/>
          <w:sz w:val="22"/>
        </w:rPr>
        <w:t>（</w:t>
      </w:r>
      <w:r>
        <w:rPr>
          <w:rFonts w:hint="eastAsia" w:eastAsia="华文楷体" w:cs="华文楷体"/>
          <w:sz w:val="22"/>
          <w:lang w:val="en"/>
        </w:rPr>
        <w:t>6</w:t>
      </w:r>
      <w:r>
        <w:rPr>
          <w:rFonts w:hint="eastAsia" w:eastAsia="华文楷体" w:cs="华文楷体"/>
          <w:sz w:val="22"/>
        </w:rPr>
        <w:t>）</w:t>
      </w:r>
      <w:r>
        <w:rPr>
          <w:rFonts w:hint="eastAsia"/>
        </w:rPr>
        <w:t>中标（成交）采购标的制造商是否为中小企业：</w:t>
      </w:r>
      <w:r>
        <w:rPr/>
        <w:sym w:font="Wingdings" w:char="F0A8"/>
      </w:r>
      <w:r>
        <w:rPr>
          <w:rFonts w:hint="eastAsia"/>
        </w:rPr>
        <w:t xml:space="preserve">是      </w:t>
      </w:r>
      <w:r>
        <w:rPr/>
        <w:sym w:font="Wingdings" w:char="F0A8"/>
      </w:r>
      <w:r>
        <w:rPr>
          <w:rFonts w:hint="eastAsia"/>
        </w:rPr>
        <w:t>否</w:t>
      </w:r>
    </w:p>
    <w:p>
      <w:pPr>
        <w:pStyle w:val="82"/>
        <w:ind w:firstLine="480" w:firstLineChars="20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pPr>
        <w:pStyle w:val="82"/>
        <w:ind w:firstLine="480" w:firstLineChars="200"/>
        <w:rPr>
          <w:iCs/>
        </w:rPr>
      </w:pPr>
      <w:r>
        <w:rPr>
          <w:rFonts w:hint="eastAsia"/>
        </w:rPr>
        <w:t>若本项目不专门面向中小企业采购，是否给予小微企业评审优惠：</w:t>
      </w:r>
      <w:r>
        <w:rPr>
          <w:iCs/>
        </w:rPr>
        <w:sym w:font="Wingdings" w:char="F0A8"/>
      </w:r>
      <w:r>
        <w:rPr>
          <w:rFonts w:hint="eastAsia"/>
          <w:iCs/>
        </w:rPr>
        <w:t xml:space="preserve">是   </w:t>
      </w:r>
      <w:r>
        <w:rPr>
          <w:iCs/>
        </w:rPr>
        <w:sym w:font="Wingdings" w:char="F0A8"/>
      </w:r>
      <w:r>
        <w:rPr>
          <w:rFonts w:hint="eastAsia"/>
          <w:iCs/>
        </w:rPr>
        <w:t>否</w:t>
      </w:r>
    </w:p>
    <w:p>
      <w:pPr>
        <w:pStyle w:val="82"/>
        <w:ind w:firstLine="480" w:firstLineChars="20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pPr>
        <w:pStyle w:val="82"/>
        <w:ind w:firstLine="480" w:firstLineChars="20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pPr>
        <w:pStyle w:val="82"/>
        <w:ind w:firstLine="480" w:firstLineChars="20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pPr>
        <w:pStyle w:val="82"/>
        <w:ind w:firstLine="480" w:firstLineChars="200"/>
        <w:rPr>
          <w:u w:val="single"/>
        </w:rPr>
      </w:pPr>
      <w:r>
        <w:rPr>
          <w:rFonts w:hint="eastAsia"/>
        </w:rPr>
        <w:t>分包主要内容：</w:t>
      </w:r>
      <w:r>
        <w:rPr>
          <w:rFonts w:hint="eastAsia"/>
          <w:u w:val="single"/>
        </w:rPr>
        <w:t xml:space="preserve">                                            </w:t>
      </w:r>
    </w:p>
    <w:p>
      <w:pPr>
        <w:pStyle w:val="82"/>
        <w:ind w:firstLine="480" w:firstLineChars="200"/>
      </w:pPr>
      <w:r>
        <w:rPr>
          <w:rFonts w:hint="eastAsia"/>
        </w:rPr>
        <w:t>分包供应商/制造商名称（如供应商和制造商不同，请分别填写）：</w:t>
      </w:r>
    </w:p>
    <w:p>
      <w:pPr>
        <w:pStyle w:val="82"/>
        <w:ind w:firstLine="480" w:firstLineChars="200"/>
        <w:rPr>
          <w:u w:val="single"/>
        </w:rPr>
      </w:pPr>
      <w:r>
        <w:rPr>
          <w:rFonts w:hint="eastAsia"/>
        </w:rPr>
        <w:t xml:space="preserve"> </w:t>
      </w:r>
      <w:r>
        <w:rPr>
          <w:rFonts w:hint="eastAsia"/>
          <w:u w:val="single"/>
        </w:rPr>
        <w:t xml:space="preserve">                                                          </w:t>
      </w:r>
    </w:p>
    <w:p>
      <w:pPr>
        <w:pStyle w:val="82"/>
        <w:ind w:firstLine="480" w:firstLineChars="200"/>
      </w:pPr>
      <w:r>
        <w:rPr>
          <w:rFonts w:hint="eastAsia"/>
        </w:rPr>
        <w:t>分包供应商/制造商类型（如果供应商和制造商不同，只填写制造商类型）：</w:t>
      </w:r>
    </w:p>
    <w:p>
      <w:pPr>
        <w:pStyle w:val="82"/>
        <w:ind w:firstLine="480" w:firstLineChars="20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pPr>
        <w:pStyle w:val="82"/>
        <w:ind w:firstLine="480" w:firstLineChars="20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pPr>
        <w:pStyle w:val="82"/>
        <w:ind w:firstLine="480" w:firstLineChars="200"/>
        <w:rPr>
          <w:rFonts w:cs="宋体"/>
          <w:iCs/>
        </w:rPr>
      </w:pPr>
      <w:r>
        <w:rPr>
          <w:rFonts w:hint="eastAsia" w:cs="宋体"/>
        </w:rPr>
        <w:t>（</w:t>
      </w:r>
      <w:r>
        <w:rPr>
          <w:rFonts w:hint="eastAsia" w:cs="宋体"/>
          <w:lang w:val="en"/>
        </w:rPr>
        <w:t>8</w:t>
      </w:r>
      <w:r>
        <w:rPr>
          <w:rFonts w:hint="eastAsia" w:cs="宋体"/>
        </w:rPr>
        <w:t>）中标（成交）供应商是否为外商投资企业：</w:t>
      </w:r>
      <w:r>
        <w:rPr>
          <w:rFonts w:cs="宋体"/>
          <w:iCs/>
        </w:rPr>
        <w:sym w:font="Wingdings" w:char="F0A8"/>
      </w:r>
      <w:r>
        <w:rPr>
          <w:rFonts w:hint="eastAsia" w:cs="宋体"/>
          <w:iCs/>
        </w:rPr>
        <w:t xml:space="preserve">是       </w:t>
      </w:r>
      <w:r>
        <w:rPr>
          <w:rFonts w:cs="宋体"/>
          <w:iCs/>
        </w:rPr>
        <w:sym w:font="Wingdings" w:char="F0A8"/>
      </w:r>
      <w:r>
        <w:rPr>
          <w:rFonts w:hint="eastAsia" w:cs="宋体"/>
          <w:iCs/>
        </w:rPr>
        <w:t>否</w:t>
      </w:r>
    </w:p>
    <w:p>
      <w:pPr>
        <w:pStyle w:val="82"/>
        <w:ind w:firstLine="480" w:firstLineChars="200"/>
        <w:rPr>
          <w:rFonts w:cs="宋体"/>
          <w:u w:val="single"/>
        </w:rPr>
      </w:pPr>
      <w:r>
        <w:rPr>
          <w:rFonts w:hint="eastAsia" w:cs="宋体"/>
        </w:rPr>
        <w:t xml:space="preserve">     外商投资企业类型：</w:t>
      </w:r>
      <w:r>
        <w:rPr>
          <w:rFonts w:cs="宋体"/>
          <w:iCs/>
        </w:rPr>
        <w:sym w:font="Wingdings" w:char="F0A8"/>
      </w:r>
      <w:r>
        <w:rPr>
          <w:rFonts w:hint="eastAsia" w:cs="宋体"/>
        </w:rPr>
        <w:t xml:space="preserve">全部由外国投资者投资  </w:t>
      </w:r>
      <w:r>
        <w:rPr>
          <w:rFonts w:cs="宋体"/>
          <w:iCs/>
        </w:rPr>
        <w:sym w:font="Wingdings" w:char="F0A8"/>
      </w:r>
      <w:r>
        <w:rPr>
          <w:rFonts w:hint="eastAsia" w:cs="宋体"/>
          <w:iCs/>
        </w:rPr>
        <w:t>部分由外国投资者投资</w:t>
      </w:r>
    </w:p>
    <w:p>
      <w:pPr>
        <w:pStyle w:val="82"/>
        <w:ind w:firstLine="480" w:firstLineChars="200"/>
        <w:rPr>
          <w:rFonts w:cs="宋体"/>
        </w:rPr>
      </w:pPr>
      <w:r>
        <w:rPr>
          <w:rFonts w:hint="eastAsia" w:cs="宋体"/>
        </w:rPr>
        <w:t>（</w:t>
      </w:r>
      <w:r>
        <w:rPr>
          <w:rFonts w:hint="eastAsia" w:cs="宋体"/>
          <w:lang w:val="en"/>
        </w:rPr>
        <w:t>9</w:t>
      </w:r>
      <w:r>
        <w:rPr>
          <w:rFonts w:hint="eastAsia" w:cs="宋体"/>
        </w:rPr>
        <w:t>）是否涉及进口产品：</w:t>
      </w:r>
    </w:p>
    <w:p>
      <w:pPr>
        <w:pStyle w:val="82"/>
        <w:ind w:firstLine="480" w:firstLineChars="200"/>
        <w:rPr>
          <w:rFonts w:cs="宋体"/>
          <w:u w:val="single"/>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金额：</w:t>
      </w:r>
      <w:r>
        <w:rPr>
          <w:rFonts w:hint="eastAsia" w:cs="宋体"/>
          <w:u w:val="single"/>
        </w:rPr>
        <w:t xml:space="preserve">        </w:t>
      </w:r>
    </w:p>
    <w:p>
      <w:pPr>
        <w:pStyle w:val="82"/>
        <w:ind w:firstLine="480" w:firstLineChars="200"/>
      </w:pPr>
      <w:r>
        <w:rPr>
          <w:rFonts w:hint="eastAsia" w:cs="宋体"/>
        </w:rPr>
        <w:t xml:space="preserve">        国别：</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规格型号：</w:t>
      </w:r>
      <w:r>
        <w:rPr>
          <w:rFonts w:hint="eastAsia" w:cs="宋体"/>
          <w:u w:val="single"/>
        </w:rPr>
        <w:t xml:space="preserve">        </w:t>
      </w:r>
      <w:r>
        <w:rPr>
          <w:rFonts w:hint="eastAsia"/>
        </w:rPr>
        <w:t xml:space="preserve">      </w:t>
      </w:r>
    </w:p>
    <w:p>
      <w:pPr>
        <w:pStyle w:val="82"/>
        <w:ind w:firstLine="480" w:firstLineChars="200"/>
      </w:pPr>
      <w:r>
        <w:rPr/>
        <w:sym w:font="Wingdings" w:char="F0A8"/>
      </w:r>
      <w:r>
        <w:rPr>
          <w:rFonts w:hint="eastAsia"/>
        </w:rPr>
        <w:t>否</w:t>
      </w:r>
    </w:p>
    <w:p>
      <w:pPr>
        <w:pStyle w:val="82"/>
        <w:ind w:firstLine="480" w:firstLineChars="200"/>
      </w:pPr>
      <w:r>
        <w:rPr>
          <w:rFonts w:hint="eastAsia"/>
        </w:rPr>
        <w:t>（1</w:t>
      </w:r>
      <w:r>
        <w:rPr>
          <w:rFonts w:hint="eastAsia"/>
          <w:lang w:val="en"/>
        </w:rPr>
        <w:t>0</w:t>
      </w:r>
      <w:r>
        <w:rPr>
          <w:rFonts w:hint="eastAsia"/>
        </w:rPr>
        <w:t>）是否涉及节能产品：</w:t>
      </w:r>
    </w:p>
    <w:p>
      <w:pPr>
        <w:pStyle w:val="82"/>
        <w:ind w:firstLine="480" w:firstLineChars="200"/>
        <w:rPr>
          <w:iCs/>
        </w:rPr>
      </w:pPr>
      <w:r>
        <w:rPr/>
        <w:sym w:font="Wingdings" w:char="F0A8"/>
      </w:r>
      <w:r>
        <w:rPr>
          <w:rFonts w:hint="eastAsia"/>
        </w:rPr>
        <w:t>是，《节能产品政府采购品目清单》的底级品目名称：</w:t>
      </w:r>
      <w:r>
        <w:rPr>
          <w:rFonts w:hint="eastAsia"/>
          <w:u w:val="single"/>
        </w:rPr>
        <w:t xml:space="preserve">         </w:t>
      </w:r>
      <w:r>
        <w:rPr>
          <w:rFonts w:hint="eastAsia"/>
          <w:iCs/>
        </w:rPr>
        <w:t xml:space="preserve">     </w:t>
      </w:r>
    </w:p>
    <w:p>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pPr>
        <w:pStyle w:val="82"/>
        <w:ind w:firstLine="480" w:firstLineChars="200"/>
      </w:pPr>
      <w:r>
        <w:rPr/>
        <w:sym w:font="Wingdings" w:char="F0A8"/>
      </w:r>
      <w:r>
        <w:rPr>
          <w:rFonts w:hint="eastAsia"/>
        </w:rPr>
        <w:t>否</w:t>
      </w:r>
    </w:p>
    <w:p>
      <w:pPr>
        <w:pStyle w:val="82"/>
        <w:ind w:firstLine="480" w:firstLineChars="200"/>
      </w:pPr>
      <w:r>
        <w:rPr>
          <w:rFonts w:hint="eastAsia"/>
        </w:rPr>
        <w:t>是否涉及环境标志产品：</w:t>
      </w:r>
    </w:p>
    <w:p>
      <w:pPr>
        <w:pStyle w:val="82"/>
        <w:ind w:firstLine="480" w:firstLineChars="200"/>
      </w:pPr>
      <w:r>
        <w:rPr/>
        <w:sym w:font="Wingdings" w:char="F0A8"/>
      </w:r>
      <w:r>
        <w:rPr>
          <w:rFonts w:hint="eastAsia"/>
        </w:rPr>
        <w:t>是，《环境标志产品政府采购品目清单》的底级品目名称：</w:t>
      </w:r>
      <w:r>
        <w:rPr>
          <w:rFonts w:hint="eastAsia"/>
          <w:u w:val="single"/>
        </w:rPr>
        <w:t xml:space="preserve">         </w:t>
      </w:r>
      <w:r>
        <w:rPr>
          <w:rFonts w:hint="eastAsia"/>
          <w:iCs/>
        </w:rPr>
        <w:t xml:space="preserve"> </w:t>
      </w:r>
    </w:p>
    <w:p>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pPr>
        <w:pStyle w:val="82"/>
        <w:ind w:firstLine="480" w:firstLineChars="200"/>
      </w:pPr>
      <w:r>
        <w:rPr/>
        <w:sym w:font="Wingdings" w:char="F0A8"/>
      </w:r>
      <w:r>
        <w:rPr>
          <w:rFonts w:hint="eastAsia"/>
        </w:rPr>
        <w:t>否</w:t>
      </w:r>
    </w:p>
    <w:p>
      <w:pPr>
        <w:pStyle w:val="82"/>
        <w:ind w:firstLine="480" w:firstLineChars="200"/>
      </w:pPr>
      <w:r>
        <w:rPr>
          <w:rFonts w:hint="eastAsia"/>
        </w:rPr>
        <w:t xml:space="preserve">是否涉及绿色产品： </w:t>
      </w:r>
    </w:p>
    <w:p>
      <w:pPr>
        <w:pStyle w:val="82"/>
        <w:ind w:firstLine="480" w:firstLineChars="200"/>
        <w:rPr>
          <w:rFonts w:cs="华文楷体"/>
          <w:sz w:val="22"/>
          <w:u w:val="single"/>
        </w:rPr>
      </w:pPr>
      <w:r>
        <w:rPr/>
        <w:sym w:font="Wingdings" w:char="F0A8"/>
      </w:r>
      <w:r>
        <w:rPr>
          <w:rFonts w:hint="eastAsia"/>
        </w:rPr>
        <w:t>是，绿色产品政府采购相关政策确定的底级品目名称：</w:t>
      </w:r>
      <w:r>
        <w:rPr>
          <w:rFonts w:hint="eastAsia" w:cs="华文楷体"/>
          <w:sz w:val="22"/>
          <w:u w:val="single"/>
        </w:rPr>
        <w:t xml:space="preserve">         </w:t>
      </w:r>
    </w:p>
    <w:p>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pPr>
        <w:pStyle w:val="82"/>
        <w:ind w:firstLine="480" w:firstLineChars="200"/>
        <w:rPr>
          <w:rFonts w:eastAsia="华文楷体" w:cs="华文楷体"/>
        </w:rPr>
      </w:pPr>
      <w:r>
        <w:rPr/>
        <w:sym w:font="Wingdings" w:char="F0A8"/>
      </w:r>
      <w:r>
        <w:rPr>
          <w:rFonts w:hint="eastAsia"/>
        </w:rPr>
        <w:t>否</w:t>
      </w:r>
    </w:p>
    <w:p>
      <w:pPr>
        <w:pStyle w:val="82"/>
        <w:ind w:firstLine="480" w:firstLineChars="20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pPr>
        <w:pStyle w:val="82"/>
        <w:ind w:firstLine="480" w:firstLineChars="200"/>
      </w:pPr>
      <w:r>
        <w:rPr/>
        <w:sym w:font="Wingdings" w:char="F0A8"/>
      </w:r>
      <w:r>
        <w:rPr>
          <w:rFonts w:hint="eastAsia"/>
        </w:rPr>
        <w:t xml:space="preserve">是       </w:t>
      </w:r>
      <w:r>
        <w:rPr/>
        <w:sym w:font="Wingdings" w:char="F0A8"/>
      </w:r>
      <w:r>
        <w:rPr>
          <w:rFonts w:hint="eastAsia"/>
        </w:rPr>
        <w:t xml:space="preserve">否      </w:t>
      </w:r>
      <w:r>
        <w:rPr/>
        <w:sym w:font="Wingdings" w:char="F0A8"/>
      </w:r>
      <w:r>
        <w:rPr>
          <w:rFonts w:hint="eastAsia"/>
        </w:rPr>
        <w:t>不涉及</w:t>
      </w:r>
    </w:p>
    <w:p>
      <w:pPr>
        <w:pStyle w:val="82"/>
        <w:ind w:firstLineChars="200"/>
        <w:rPr>
          <w:b/>
        </w:rPr>
      </w:pPr>
      <w:r>
        <w:rPr>
          <w:rFonts w:hint="eastAsia"/>
          <w:b/>
        </w:rPr>
        <w:t>2.合同金额</w:t>
      </w:r>
    </w:p>
    <w:p>
      <w:pPr>
        <w:pStyle w:val="82"/>
        <w:ind w:firstLine="480" w:firstLineChars="200"/>
      </w:pPr>
      <w:r>
        <w:rPr>
          <w:rFonts w:hint="eastAsia"/>
        </w:rPr>
        <w:t>（1）合同金额小写：</w:t>
      </w:r>
      <w:r>
        <w:rPr>
          <w:rFonts w:hint="eastAsia"/>
          <w:u w:val="single"/>
        </w:rPr>
        <w:t xml:space="preserve">                           </w:t>
      </w:r>
    </w:p>
    <w:p>
      <w:pPr>
        <w:pStyle w:val="82"/>
        <w:ind w:firstLine="480" w:firstLineChars="200"/>
        <w:rPr>
          <w:u w:val="single"/>
        </w:rPr>
      </w:pPr>
      <w:r>
        <w:rPr>
          <w:rFonts w:hint="eastAsia"/>
        </w:rPr>
        <w:t xml:space="preserve">             大写：</w:t>
      </w:r>
      <w:r>
        <w:rPr>
          <w:rFonts w:hint="eastAsia"/>
          <w:u w:val="single"/>
        </w:rPr>
        <w:t xml:space="preserve">                           </w:t>
      </w:r>
    </w:p>
    <w:p>
      <w:pPr>
        <w:pStyle w:val="82"/>
        <w:ind w:firstLine="480" w:firstLineChars="200"/>
      </w:pPr>
      <w:r>
        <w:rPr>
          <w:rFonts w:hint="eastAsia"/>
        </w:rPr>
        <w:t xml:space="preserve">     分包金额（如有）小写：</w:t>
      </w:r>
      <w:r>
        <w:rPr>
          <w:rFonts w:hint="eastAsia"/>
          <w:u w:val="single"/>
        </w:rPr>
        <w:t xml:space="preserve">                   </w:t>
      </w:r>
    </w:p>
    <w:p>
      <w:pPr>
        <w:pStyle w:val="82"/>
        <w:ind w:firstLine="480" w:firstLineChars="200"/>
        <w:rPr>
          <w:u w:val="single"/>
        </w:rPr>
      </w:pPr>
      <w:r>
        <w:rPr>
          <w:rFonts w:hint="eastAsia"/>
        </w:rPr>
        <w:t xml:space="preserve">                     大写：</w:t>
      </w:r>
      <w:r>
        <w:rPr>
          <w:rFonts w:hint="eastAsia"/>
          <w:u w:val="single"/>
        </w:rPr>
        <w:t xml:space="preserve">                   </w:t>
      </w:r>
    </w:p>
    <w:p>
      <w:pPr>
        <w:pStyle w:val="82"/>
        <w:ind w:firstLine="480" w:firstLineChars="200"/>
      </w:pPr>
      <w:r>
        <w:rPr>
          <w:rFonts w:hint="eastAsia"/>
        </w:rPr>
        <w:t xml:space="preserve">    （注：固定单价合同应填写单价和最高限价）</w:t>
      </w:r>
    </w:p>
    <w:p>
      <w:pPr>
        <w:pStyle w:val="82"/>
        <w:ind w:firstLine="480" w:firstLineChars="200"/>
      </w:pPr>
      <w:r>
        <w:rPr>
          <w:rFonts w:hint="eastAsia"/>
        </w:rPr>
        <w:t>（2）合同定价方式（采用组合定价方式的，可以勾选多项）：</w:t>
      </w:r>
    </w:p>
    <w:p>
      <w:pPr>
        <w:pStyle w:val="82"/>
        <w:ind w:firstLine="480" w:firstLineChars="20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pPr>
        <w:pStyle w:val="82"/>
        <w:ind w:firstLine="480" w:firstLineChars="200"/>
      </w:pPr>
      <w:r>
        <w:rPr>
          <w:rFonts w:hint="eastAsia"/>
        </w:rPr>
        <w:t>（3）付款方式（按项目实际勾选填写）：</w:t>
      </w:r>
    </w:p>
    <w:p>
      <w:pPr>
        <w:pStyle w:val="82"/>
        <w:ind w:firstLine="480" w:firstLineChars="200"/>
        <w:rPr>
          <w:u w:val="single"/>
        </w:rPr>
      </w:pPr>
      <w:r>
        <w:rPr/>
        <w:sym w:font="Wingdings" w:char="F0A8"/>
      </w:r>
      <w:r>
        <w:rPr>
          <w:rFonts w:hint="eastAsia"/>
        </w:rPr>
        <w:t>全额付款：</w:t>
      </w:r>
      <w:r>
        <w:rPr>
          <w:rFonts w:hint="eastAsia"/>
          <w:u w:val="single"/>
        </w:rPr>
        <w:t xml:space="preserve">     （应明确一次性支付合同款项的条件）                    </w:t>
      </w:r>
    </w:p>
    <w:p>
      <w:pPr>
        <w:pStyle w:val="82"/>
        <w:ind w:firstLine="480" w:firstLineChars="200"/>
      </w:pPr>
      <w:r>
        <w:rP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pPr>
        <w:pStyle w:val="82"/>
        <w:ind w:firstLine="480" w:firstLineChars="200"/>
        <w:rPr>
          <w:u w:val="single"/>
        </w:rPr>
      </w:pPr>
      <w:r>
        <w:rPr/>
        <w:sym w:font="Wingdings" w:char="F0A8"/>
      </w:r>
      <w:r>
        <w:rPr>
          <w:rFonts w:hint="eastAsia"/>
        </w:rPr>
        <w:t>成本补偿：</w:t>
      </w:r>
      <w:r>
        <w:rPr>
          <w:rFonts w:hint="eastAsia"/>
          <w:u w:val="single"/>
        </w:rPr>
        <w:t xml:space="preserve">      （应明确按照成本补偿方式的支付方式和支付条件）   </w:t>
      </w:r>
    </w:p>
    <w:p>
      <w:pPr>
        <w:pStyle w:val="82"/>
        <w:ind w:firstLine="480" w:firstLineChars="200"/>
      </w:pPr>
      <w:r>
        <w:rPr/>
        <w:sym w:font="Wingdings" w:char="F0A8"/>
      </w:r>
      <w:r>
        <w:rPr>
          <w:rFonts w:hint="eastAsia"/>
        </w:rPr>
        <w:t>绩效激励：</w:t>
      </w:r>
      <w:r>
        <w:rPr>
          <w:rFonts w:hint="eastAsia"/>
          <w:u w:val="single"/>
        </w:rPr>
        <w:t xml:space="preserve">      （应明确按照绩效激励方式的支付方式和支付条件）   </w:t>
      </w:r>
    </w:p>
    <w:p>
      <w:pPr>
        <w:pStyle w:val="82"/>
        <w:ind w:firstLineChars="200"/>
        <w:rPr>
          <w:b/>
          <w:u w:val="single"/>
        </w:rPr>
      </w:pPr>
      <w:r>
        <w:rPr>
          <w:rFonts w:hint="eastAsia"/>
          <w:b/>
        </w:rPr>
        <w:t>3.合同履行</w:t>
      </w:r>
    </w:p>
    <w:p>
      <w:pPr>
        <w:pStyle w:val="82"/>
        <w:ind w:firstLine="480" w:firstLineChars="200"/>
        <w:rPr>
          <w:rFonts w:cs="宋体"/>
        </w:rPr>
      </w:pPr>
      <w:r>
        <w:rPr>
          <w:rFonts w:hint="eastAsia" w:cs="宋体"/>
        </w:rPr>
        <w:t>（1）起始日期：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日，完成日期：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pPr>
        <w:pStyle w:val="82"/>
        <w:ind w:firstLine="480" w:firstLineChars="200"/>
        <w:rPr>
          <w:rFonts w:cs="宋体"/>
          <w:u w:val="single"/>
        </w:rPr>
      </w:pPr>
      <w:r>
        <w:rPr>
          <w:rFonts w:hint="eastAsia" w:cs="宋体"/>
        </w:rPr>
        <w:t>（2）履约地点</w:t>
      </w:r>
      <w:r>
        <w:rPr>
          <w:rFonts w:hint="eastAsia" w:cs="宋体"/>
          <w:bCs/>
        </w:rPr>
        <w:t>：</w:t>
      </w:r>
      <w:r>
        <w:rPr>
          <w:rFonts w:hint="eastAsia" w:cs="宋体"/>
          <w:u w:val="single"/>
        </w:rPr>
        <w:t xml:space="preserve">                             </w:t>
      </w:r>
    </w:p>
    <w:p>
      <w:pPr>
        <w:pStyle w:val="82"/>
        <w:ind w:firstLine="480" w:firstLineChars="200"/>
        <w:rPr>
          <w:rFonts w:cs="宋体"/>
        </w:rPr>
      </w:pPr>
      <w:r>
        <w:rPr>
          <w:rFonts w:hint="eastAsia" w:cs="宋体"/>
          <w:bCs/>
        </w:rPr>
        <w:t>（3）履约担保：</w:t>
      </w:r>
      <w:r>
        <w:rPr>
          <w:rFonts w:hint="eastAsia" w:cs="宋体"/>
        </w:rPr>
        <w:t>是否收取履约保证金：</w:t>
      </w:r>
      <w:r>
        <w:rPr>
          <w:rFonts w:cs="宋体"/>
        </w:rPr>
        <w:sym w:font="Wingdings" w:char="F0A8"/>
      </w:r>
      <w:r>
        <w:rPr>
          <w:rFonts w:hint="eastAsia" w:cs="宋体"/>
        </w:rPr>
        <w:t xml:space="preserve">是    </w:t>
      </w:r>
      <w:r>
        <w:rPr>
          <w:rFonts w:cs="宋体"/>
        </w:rPr>
        <w:sym w:font="Wingdings" w:char="F0A8"/>
      </w:r>
      <w:r>
        <w:rPr>
          <w:rFonts w:hint="eastAsia" w:cs="宋体"/>
        </w:rPr>
        <w:t>否</w:t>
      </w:r>
    </w:p>
    <w:p>
      <w:pPr>
        <w:pStyle w:val="82"/>
        <w:ind w:firstLine="480" w:firstLineChars="200"/>
        <w:rPr>
          <w:rFonts w:cs="宋体"/>
        </w:rPr>
      </w:pPr>
      <w:r>
        <w:rPr>
          <w:rFonts w:hint="eastAsia" w:cs="宋体"/>
        </w:rPr>
        <w:t>收取履约保证金形式：</w:t>
      </w:r>
      <w:r>
        <w:rPr>
          <w:rFonts w:hint="eastAsia" w:cs="宋体"/>
          <w:bCs/>
          <w:u w:val="single"/>
        </w:rPr>
        <w:t xml:space="preserve">                            </w:t>
      </w:r>
    </w:p>
    <w:p>
      <w:pPr>
        <w:pStyle w:val="82"/>
        <w:ind w:firstLine="480" w:firstLineChars="200"/>
        <w:rPr>
          <w:rFonts w:cs="宋体"/>
        </w:rPr>
      </w:pPr>
      <w:r>
        <w:rPr>
          <w:rFonts w:hint="eastAsia" w:cs="宋体"/>
        </w:rPr>
        <w:t>收取履约保证金金额：</w:t>
      </w:r>
      <w:r>
        <w:rPr>
          <w:rFonts w:hint="eastAsia" w:cs="宋体"/>
          <w:bCs/>
          <w:u w:val="single"/>
        </w:rPr>
        <w:t xml:space="preserve">                            </w:t>
      </w:r>
    </w:p>
    <w:p>
      <w:pPr>
        <w:pStyle w:val="82"/>
        <w:ind w:firstLine="480" w:firstLineChars="200"/>
        <w:rPr>
          <w:rFonts w:cs="宋体"/>
        </w:rPr>
      </w:pPr>
      <w:r>
        <w:rPr>
          <w:rFonts w:hint="eastAsia" w:cs="宋体"/>
          <w:bCs/>
        </w:rPr>
        <w:t>履约担保期限：</w:t>
      </w:r>
      <w:r>
        <w:rPr>
          <w:rFonts w:hint="eastAsia" w:cs="宋体"/>
          <w:bCs/>
          <w:u w:val="single"/>
        </w:rPr>
        <w:t xml:space="preserve">                                  </w:t>
      </w:r>
    </w:p>
    <w:p>
      <w:pPr>
        <w:pStyle w:val="82"/>
        <w:ind w:firstLine="480" w:firstLineChars="200"/>
        <w:rPr>
          <w:rFonts w:cs="宋体"/>
          <w:bCs/>
        </w:rPr>
      </w:pPr>
      <w:r>
        <w:rPr>
          <w:rFonts w:hint="eastAsia" w:cs="宋体"/>
          <w:bCs/>
        </w:rPr>
        <w:t>（4）分期履行要求：</w:t>
      </w:r>
      <w:r>
        <w:rPr>
          <w:rFonts w:hint="eastAsia" w:cs="宋体"/>
          <w:bCs/>
          <w:u w:val="single"/>
        </w:rPr>
        <w:t xml:space="preserve">                                                        </w:t>
      </w:r>
    </w:p>
    <w:p>
      <w:pPr>
        <w:pStyle w:val="82"/>
        <w:ind w:firstLine="480" w:firstLineChars="200"/>
        <w:rPr>
          <w:rFonts w:cs="宋体"/>
          <w:u w:val="single"/>
        </w:rPr>
      </w:pPr>
      <w:r>
        <w:rPr>
          <w:rFonts w:hint="eastAsia" w:cs="宋体"/>
          <w:bCs/>
        </w:rPr>
        <w:t>（5）风险处置措施和替代方案：</w:t>
      </w:r>
      <w:r>
        <w:rPr>
          <w:rFonts w:hint="eastAsia" w:cs="宋体"/>
          <w:u w:val="single"/>
        </w:rPr>
        <w:t xml:space="preserve">                                                               </w:t>
      </w:r>
    </w:p>
    <w:p>
      <w:pPr>
        <w:pStyle w:val="82"/>
        <w:ind w:firstLineChars="200"/>
        <w:rPr>
          <w:b/>
        </w:rPr>
      </w:pPr>
      <w:r>
        <w:rPr>
          <w:rFonts w:hint="eastAsia"/>
          <w:b/>
        </w:rPr>
        <w:t>4.合同验收</w:t>
      </w:r>
    </w:p>
    <w:p>
      <w:pPr>
        <w:pStyle w:val="82"/>
        <w:ind w:firstLine="480" w:firstLineChars="20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pPr>
        <w:pStyle w:val="82"/>
        <w:ind w:firstLine="480" w:firstLineChars="200"/>
        <w:rPr>
          <w:bCs/>
        </w:rPr>
      </w:pPr>
      <w:r>
        <w:rPr>
          <w:rFonts w:hint="eastAsia"/>
          <w:bCs/>
        </w:rPr>
        <w:t>验收主体：</w:t>
      </w:r>
      <w:r>
        <w:rPr>
          <w:rFonts w:hint="eastAsia"/>
          <w:bCs/>
          <w:u w:val="single"/>
        </w:rPr>
        <w:t xml:space="preserve">                  </w:t>
      </w:r>
    </w:p>
    <w:p>
      <w:pPr>
        <w:pStyle w:val="82"/>
        <w:ind w:firstLine="480" w:firstLineChars="20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pPr>
        <w:pStyle w:val="82"/>
        <w:ind w:firstLine="480" w:firstLineChars="20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pPr>
        <w:pStyle w:val="82"/>
        <w:ind w:firstLine="480" w:firstLineChars="20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pPr>
        <w:pStyle w:val="82"/>
        <w:ind w:firstLine="480" w:firstLineChars="20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pPr>
        <w:pStyle w:val="82"/>
        <w:ind w:firstLine="480" w:firstLineChars="20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r>
        <w:rPr>
          <w:rFonts w:hint="eastAsia"/>
          <w:bCs/>
        </w:rPr>
        <w:t>否</w:t>
      </w:r>
    </w:p>
    <w:p>
      <w:pPr>
        <w:pStyle w:val="82"/>
        <w:ind w:firstLine="480" w:firstLineChars="20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pPr>
        <w:pStyle w:val="82"/>
        <w:ind w:firstLine="480" w:firstLineChars="200"/>
        <w:rPr>
          <w:bCs/>
        </w:rPr>
      </w:pPr>
      <w:r>
        <w:rPr>
          <w:rFonts w:hint="eastAsia"/>
          <w:bCs/>
        </w:rPr>
        <w:t xml:space="preserve">                    </w:t>
      </w:r>
      <w:r>
        <w:rPr>
          <w:rFonts w:cs="宋体"/>
        </w:rPr>
        <w:sym w:font="Wingdings" w:char="F0A8"/>
      </w:r>
      <w:r>
        <w:rPr>
          <w:rFonts w:hint="eastAsia"/>
          <w:bCs/>
        </w:rPr>
        <w:t>否</w:t>
      </w:r>
    </w:p>
    <w:p>
      <w:pPr>
        <w:pStyle w:val="82"/>
        <w:ind w:firstLine="480" w:firstLineChars="200"/>
        <w:rPr>
          <w:bCs/>
          <w:u w:val="single"/>
        </w:rPr>
      </w:pPr>
      <w:r>
        <w:rPr>
          <w:rFonts w:hint="eastAsia"/>
          <w:bCs/>
        </w:rPr>
        <w:t>验收组织的其他事项：</w:t>
      </w:r>
      <w:r>
        <w:rPr>
          <w:rFonts w:hint="eastAsia"/>
          <w:bCs/>
          <w:u w:val="single"/>
        </w:rPr>
        <w:t xml:space="preserve">                </w:t>
      </w:r>
    </w:p>
    <w:p>
      <w:pPr>
        <w:pStyle w:val="82"/>
        <w:ind w:firstLine="480" w:firstLineChars="200"/>
        <w:rPr>
          <w:bCs/>
          <w:u w:val="single"/>
        </w:rPr>
      </w:pPr>
      <w:r>
        <w:rPr>
          <w:rFonts w:hint="eastAsia"/>
          <w:bCs/>
        </w:rPr>
        <w:t>（2）履约验收时间：</w:t>
      </w:r>
      <w:r>
        <w:rPr>
          <w:rFonts w:hint="eastAsia"/>
          <w:bCs/>
          <w:u w:val="single"/>
        </w:rPr>
        <w:t xml:space="preserve">（计划于何时验收/供应商提出验收申请之日起   日内组织验收） </w:t>
      </w:r>
    </w:p>
    <w:p>
      <w:pPr>
        <w:pStyle w:val="82"/>
        <w:ind w:firstLine="480" w:firstLineChars="200"/>
        <w:rPr>
          <w:bCs/>
        </w:rPr>
      </w:pPr>
      <w:r>
        <w:rPr>
          <w:rFonts w:hint="eastAsia"/>
          <w:bCs/>
        </w:rPr>
        <w:t>（3）履约验收方式：</w:t>
      </w:r>
      <w:r>
        <w:rPr>
          <w:rFonts w:cs="宋体"/>
        </w:rPr>
        <w:sym w:font="Wingdings" w:char="F0A8"/>
      </w:r>
      <w:r>
        <w:rPr>
          <w:rFonts w:hint="eastAsia"/>
          <w:bCs/>
        </w:rPr>
        <w:t xml:space="preserve">一次性验收         </w:t>
      </w:r>
    </w:p>
    <w:p>
      <w:pPr>
        <w:pStyle w:val="82"/>
        <w:ind w:firstLine="480" w:firstLineChars="20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pPr>
        <w:pStyle w:val="82"/>
        <w:ind w:firstLine="480" w:firstLineChars="200"/>
        <w:rPr>
          <w:bCs/>
        </w:rPr>
      </w:pPr>
      <w:r>
        <w:rPr>
          <w:rFonts w:hint="eastAsia"/>
          <w:bCs/>
        </w:rPr>
        <w:t>（4）履约验收程序：</w:t>
      </w:r>
      <w:r>
        <w:rPr>
          <w:rFonts w:hint="eastAsia"/>
          <w:bCs/>
          <w:u w:val="single"/>
        </w:rPr>
        <w:t xml:space="preserve">                                         </w:t>
      </w:r>
    </w:p>
    <w:p>
      <w:pPr>
        <w:pStyle w:val="82"/>
        <w:ind w:firstLine="480" w:firstLineChars="20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pPr>
        <w:pStyle w:val="82"/>
        <w:ind w:firstLine="480" w:firstLineChars="200"/>
        <w:rPr>
          <w:bCs/>
          <w:u w:val="single"/>
        </w:rPr>
      </w:pPr>
      <w:r>
        <w:rPr>
          <w:rFonts w:hint="eastAsia"/>
          <w:bCs/>
        </w:rPr>
        <w:t>（6）履约验收标准：</w:t>
      </w:r>
      <w:r>
        <w:rPr>
          <w:rFonts w:hint="eastAsia"/>
          <w:bCs/>
          <w:u w:val="single"/>
        </w:rPr>
        <w:t xml:space="preserve">                                         </w:t>
      </w:r>
    </w:p>
    <w:p>
      <w:pPr>
        <w:pStyle w:val="82"/>
        <w:ind w:firstLine="480" w:firstLineChars="200"/>
        <w:rPr>
          <w:rFonts w:cs="宋体"/>
        </w:rPr>
      </w:pPr>
      <w:r>
        <w:rPr>
          <w:rFonts w:hint="eastAsia" w:cs="宋体"/>
          <w:bCs/>
        </w:rPr>
        <w:t>（7）是否以采购活动中供应商提供的样品作为参考：</w:t>
      </w:r>
      <w:r>
        <w:rPr>
          <w:rFonts w:cs="宋体"/>
        </w:rPr>
        <w:sym w:font="Wingdings" w:char="F0A8"/>
      </w:r>
      <w:r>
        <w:rPr>
          <w:rFonts w:hint="eastAsia" w:cs="宋体"/>
          <w:bCs/>
        </w:rPr>
        <w:t xml:space="preserve">是  </w:t>
      </w:r>
      <w:r>
        <w:rPr>
          <w:rFonts w:cs="宋体"/>
        </w:rPr>
        <w:sym w:font="Wingdings" w:char="F0A8"/>
      </w:r>
      <w:r>
        <w:rPr>
          <w:rFonts w:hint="eastAsia" w:cs="宋体"/>
          <w:bCs/>
        </w:rPr>
        <w:t>否</w:t>
      </w:r>
    </w:p>
    <w:p>
      <w:pPr>
        <w:pStyle w:val="82"/>
        <w:ind w:firstLine="480" w:firstLineChars="200"/>
        <w:rPr>
          <w:rFonts w:cs="宋体"/>
          <w:bCs/>
          <w:u w:val="single"/>
        </w:rPr>
      </w:pPr>
      <w:r>
        <w:rPr>
          <w:rFonts w:hint="eastAsia" w:cs="宋体"/>
          <w:bCs/>
        </w:rPr>
        <w:t>（8）履约验收其他事项：</w:t>
      </w:r>
      <w:r>
        <w:rPr>
          <w:rFonts w:hint="eastAsia" w:cs="宋体"/>
          <w:bCs/>
          <w:u w:val="single"/>
        </w:rPr>
        <w:t xml:space="preserve">      （产权过户登记等）          </w:t>
      </w:r>
    </w:p>
    <w:p>
      <w:pPr>
        <w:pStyle w:val="82"/>
        <w:ind w:firstLineChars="200"/>
        <w:rPr>
          <w:b/>
        </w:rPr>
      </w:pPr>
      <w:r>
        <w:rPr>
          <w:rFonts w:hint="eastAsia"/>
          <w:b/>
        </w:rPr>
        <w:t>5.组成合同的文件</w:t>
      </w:r>
    </w:p>
    <w:p>
      <w:pPr>
        <w:pStyle w:val="82"/>
        <w:ind w:firstLine="480" w:firstLineChars="200"/>
      </w:pPr>
      <w:r>
        <w:rPr>
          <w:rFonts w:hint="eastAsia"/>
        </w:rPr>
        <w:t>本协议书与下列文件一起构成合同文件，如下述文件之间有任何抵触、矛盾或歧义，应按以下顺序解释：</w:t>
      </w:r>
    </w:p>
    <w:p>
      <w:pPr>
        <w:pStyle w:val="82"/>
        <w:ind w:firstLine="480" w:firstLineChars="200"/>
      </w:pPr>
      <w:r>
        <w:rPr>
          <w:rFonts w:hint="eastAsia"/>
        </w:rPr>
        <w:t>（1）政府采购合同协议书及其变更、补充协议</w:t>
      </w:r>
    </w:p>
    <w:p>
      <w:pPr>
        <w:pStyle w:val="82"/>
        <w:ind w:firstLine="480" w:firstLineChars="200"/>
      </w:pPr>
      <w:r>
        <w:rPr>
          <w:rFonts w:hint="eastAsia"/>
        </w:rPr>
        <w:t>（2）政府采购合同专用条款</w:t>
      </w:r>
    </w:p>
    <w:p>
      <w:pPr>
        <w:pStyle w:val="82"/>
        <w:ind w:firstLine="480" w:firstLineChars="200"/>
      </w:pPr>
      <w:r>
        <w:rPr>
          <w:rFonts w:hint="eastAsia"/>
        </w:rPr>
        <w:t>（3）政府采购合同通用条款</w:t>
      </w:r>
    </w:p>
    <w:p>
      <w:pPr>
        <w:pStyle w:val="82"/>
        <w:ind w:firstLine="480" w:firstLineChars="200"/>
      </w:pPr>
      <w:r>
        <w:rPr>
          <w:rFonts w:hint="eastAsia"/>
        </w:rPr>
        <w:t>（4）中标（成交）通知书</w:t>
      </w:r>
    </w:p>
    <w:p>
      <w:pPr>
        <w:pStyle w:val="82"/>
        <w:ind w:firstLine="480" w:firstLineChars="200"/>
      </w:pPr>
      <w:r>
        <w:rPr>
          <w:rFonts w:hint="eastAsia"/>
        </w:rPr>
        <w:t>（5）投标（响应）文件</w:t>
      </w:r>
    </w:p>
    <w:p>
      <w:pPr>
        <w:pStyle w:val="82"/>
        <w:ind w:firstLine="480" w:firstLineChars="200"/>
      </w:pPr>
      <w:r>
        <w:rPr>
          <w:rFonts w:hint="eastAsia"/>
        </w:rPr>
        <w:t>（6）采购文件</w:t>
      </w:r>
    </w:p>
    <w:p>
      <w:pPr>
        <w:pStyle w:val="82"/>
        <w:ind w:firstLine="480" w:firstLineChars="200"/>
      </w:pPr>
      <w:r>
        <w:rPr>
          <w:rFonts w:hint="eastAsia"/>
        </w:rPr>
        <w:t>（7）有关技术文件，图纸</w:t>
      </w:r>
    </w:p>
    <w:p>
      <w:pPr>
        <w:pStyle w:val="82"/>
        <w:ind w:firstLine="480" w:firstLineChars="200"/>
        <w:rPr>
          <w:rFonts w:cs="宋体"/>
        </w:rPr>
      </w:pPr>
      <w:r>
        <w:rPr>
          <w:rFonts w:hint="eastAsia" w:cs="宋体"/>
        </w:rPr>
        <w:t>（8）国家法律、行政法规和规章制度规定或合同约定的作为合同组成部分的其他文件</w:t>
      </w:r>
    </w:p>
    <w:p>
      <w:pPr>
        <w:pStyle w:val="82"/>
        <w:ind w:firstLineChars="200"/>
        <w:rPr>
          <w:b/>
        </w:rPr>
      </w:pPr>
      <w:r>
        <w:rPr>
          <w:rFonts w:hint="eastAsia"/>
          <w:b/>
        </w:rPr>
        <w:t>6.合同生效</w:t>
      </w:r>
    </w:p>
    <w:p>
      <w:pPr>
        <w:pStyle w:val="82"/>
        <w:ind w:firstLine="480" w:firstLineChars="200"/>
      </w:pPr>
      <w:r>
        <w:rPr>
          <w:rFonts w:hint="eastAsia"/>
        </w:rPr>
        <w:t>本合同自</w:t>
      </w:r>
      <w:r>
        <w:rPr>
          <w:rFonts w:hint="eastAsia"/>
          <w:u w:val="single"/>
        </w:rPr>
        <w:t xml:space="preserve">                             </w:t>
      </w:r>
      <w:r>
        <w:rPr>
          <w:rFonts w:hint="eastAsia"/>
        </w:rPr>
        <w:t>生效。</w:t>
      </w:r>
    </w:p>
    <w:p>
      <w:pPr>
        <w:pStyle w:val="82"/>
        <w:ind w:firstLineChars="200"/>
        <w:rPr>
          <w:b/>
        </w:rPr>
      </w:pPr>
      <w:r>
        <w:rPr>
          <w:rFonts w:hint="eastAsia"/>
          <w:b/>
        </w:rPr>
        <w:t>7.合同份数</w:t>
      </w:r>
    </w:p>
    <w:p>
      <w:pPr>
        <w:pStyle w:val="82"/>
        <w:ind w:firstLine="480" w:firstLineChars="20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pPr>
        <w:pStyle w:val="82"/>
        <w:ind w:firstLine="480" w:firstLineChars="20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82"/>
        <w:ind w:firstLine="480" w:firstLineChars="200"/>
      </w:pPr>
      <w:r>
        <w:rPr>
          <w:rFonts w:hint="eastAsia"/>
        </w:rPr>
        <w:t>合同订立地点：</w:t>
      </w:r>
      <w:r>
        <w:rPr>
          <w:rFonts w:hint="eastAsia"/>
          <w:u w:val="single"/>
        </w:rPr>
        <w:t xml:space="preserve">                           </w:t>
      </w:r>
    </w:p>
    <w:p>
      <w:pPr>
        <w:pStyle w:val="82"/>
        <w:ind w:firstLine="480" w:firstLineChars="200"/>
      </w:pPr>
      <w:r>
        <w:rPr>
          <w:rFonts w:hint="eastAsia"/>
        </w:rPr>
        <w:t>附件：具体标的及其技术要求和商务要求、联合协议、分包意向协议等。</w:t>
      </w:r>
    </w:p>
    <w:p>
      <w:pPr>
        <w:pStyle w:val="82"/>
      </w:pPr>
    </w:p>
    <w:p>
      <w:pPr>
        <w:pStyle w:val="82"/>
        <w:rPr>
          <w:szCs w:val="21"/>
        </w:rPr>
      </w:pPr>
      <w:r>
        <w:rPr>
          <w:lang w:val="en"/>
        </w:rPr>
        <w:t xml:space="preserve">   </w:t>
      </w:r>
    </w:p>
    <w:p>
      <w:pPr>
        <w:adjustRightInd/>
      </w:pPr>
      <w:r>
        <w:br w:type="page"/>
      </w:r>
    </w:p>
    <w:p>
      <w:pPr>
        <w:adjustRightInd/>
        <w:ind w:firstLine="420" w:firstLineChars="200"/>
        <w:rPr>
          <w:szCs w:val="21"/>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r>
              <w:rPr>
                <w:rFonts w:hint="eastAsia" w:ascii="Calibri" w:hAnsi="Calibri"/>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sz w:val="28"/>
          <w:szCs w:val="28"/>
        </w:rPr>
      </w:pPr>
      <w:r>
        <w:rPr>
          <w:rFonts w:hint="eastAsia" w:ascii="宋体" w:hAnsi="宋体"/>
          <w:b/>
          <w:bCs/>
          <w:szCs w:val="21"/>
          <w:u w:val="single"/>
        </w:rPr>
        <w:br w:type="page"/>
      </w:r>
      <w:bookmarkStart w:id="428" w:name="_Toc27624"/>
      <w:r>
        <w:rPr>
          <w:rFonts w:hint="eastAsia" w:ascii="黑体" w:hAnsi="黑体" w:eastAsia="黑体"/>
          <w:sz w:val="28"/>
          <w:szCs w:val="28"/>
        </w:rPr>
        <w:t>第二节 政府采购合同通用条款</w:t>
      </w:r>
      <w:bookmarkEnd w:id="428"/>
    </w:p>
    <w:p>
      <w:pPr>
        <w:tabs>
          <w:tab w:val="left" w:pos="8820"/>
          <w:tab w:val="left" w:pos="9345"/>
          <w:tab w:val="left" w:pos="9765"/>
        </w:tabs>
        <w:snapToGrid w:val="0"/>
        <w:spacing w:line="360" w:lineRule="auto"/>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1.1合同当事人</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（3）其他合同主体是指除采购人和供应商以外，</w:t>
      </w:r>
      <w:r>
        <w:rPr>
          <w:rFonts w:hint="eastAsia" w:ascii="宋体" w:hAnsi="宋体" w:cs="宋体"/>
          <w:bCs/>
          <w:sz w:val="24"/>
        </w:rPr>
        <w:t>依法参与合同缔结或履行，享有权利、承担义务的合同当事人</w:t>
      </w:r>
      <w:r>
        <w:rPr>
          <w:rFonts w:hint="eastAsia" w:ascii="宋体" w:hAnsi="宋体"/>
          <w:sz w:val="24"/>
        </w:rPr>
        <w:t>。</w:t>
      </w:r>
    </w:p>
    <w:p>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1.2本合同下列术语应解释为：</w:t>
      </w:r>
    </w:p>
    <w:p>
      <w:pPr>
        <w:snapToGrid w:val="0"/>
        <w:spacing w:line="360" w:lineRule="auto"/>
        <w:ind w:firstLine="480" w:firstLineChars="200"/>
        <w:jc w:val="left"/>
        <w:rPr>
          <w:rFonts w:ascii="宋体" w:hAnsi="宋体"/>
          <w:sz w:val="24"/>
        </w:rPr>
      </w:pPr>
      <w:r>
        <w:rPr>
          <w:rFonts w:hint="eastAsia" w:ascii="宋体" w:hAnsi="宋体"/>
          <w:sz w:val="24"/>
        </w:rPr>
        <w:t>（1）“合同”系指</w:t>
      </w:r>
      <w:r>
        <w:rPr>
          <w:rFonts w:hint="eastAsia" w:ascii="宋体" w:hAnsi="宋体" w:cs="宋体"/>
          <w:bCs/>
          <w:sz w:val="24"/>
        </w:rPr>
        <w:t>合同当事人意思表示达成一致的任何协议，包括签署的</w:t>
      </w:r>
      <w:r>
        <w:rPr>
          <w:rFonts w:hint="eastAsia" w:ascii="宋体" w:hAnsi="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sz w:val="24"/>
        </w:rPr>
        <w:t>国家法律、行政法规和规章制度规定或合同约定的作为合同组成部分的其他文件</w:t>
      </w:r>
      <w:r>
        <w:rPr>
          <w:rFonts w:hint="eastAsia" w:ascii="宋体" w:hAnsi="宋体"/>
          <w:sz w:val="24"/>
        </w:rPr>
        <w:t>。</w:t>
      </w:r>
    </w:p>
    <w:p>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（3）“货物”系指乙方根据本合同规定须向甲方提供的各种形态和种类的物品，包括原材料、设备、产品（包括软件）及相关的其备品备件、工具、手册及</w:t>
      </w:r>
      <w:r>
        <w:rPr>
          <w:rFonts w:hint="eastAsia" w:ascii="宋体" w:hAnsi="宋体"/>
          <w:sz w:val="24"/>
          <w:lang w:val="en"/>
        </w:rPr>
        <w:t>其他</w:t>
      </w:r>
      <w:r>
        <w:rPr>
          <w:rFonts w:hint="eastAsia" w:ascii="宋体" w:hAnsi="宋体"/>
          <w:sz w:val="24"/>
        </w:rPr>
        <w:t>技术资料和材料等。</w:t>
      </w:r>
    </w:p>
    <w:p>
      <w:pPr>
        <w:snapToGrid w:val="0"/>
        <w:spacing w:line="360" w:lineRule="auto"/>
        <w:ind w:firstLine="480" w:firstLineChars="200"/>
        <w:jc w:val="left"/>
        <w:rPr>
          <w:rFonts w:ascii="宋体" w:hAnsi="宋体"/>
          <w:sz w:val="24"/>
        </w:rPr>
      </w:pPr>
      <w:r>
        <w:rPr>
          <w:rFonts w:hint="eastAsia" w:ascii="宋体" w:hAnsi="宋体"/>
          <w:sz w:val="24"/>
        </w:rPr>
        <w:t>（4）“相关服务”系指根据合同规定，乙方应提供的与货物有关的技术、管理和</w:t>
      </w:r>
      <w:r>
        <w:rPr>
          <w:rFonts w:hint="eastAsia" w:ascii="宋体" w:hAnsi="宋体"/>
          <w:sz w:val="24"/>
          <w:lang w:val="en"/>
        </w:rPr>
        <w:t>其他</w:t>
      </w:r>
      <w:r>
        <w:rPr>
          <w:rFonts w:hint="eastAsia" w:ascii="宋体" w:hAnsi="宋体"/>
          <w:sz w:val="24"/>
        </w:rPr>
        <w:t>服务，</w:t>
      </w:r>
      <w:r>
        <w:rPr>
          <w:rFonts w:hint="eastAsia" w:ascii="宋体" w:hAnsi="宋体"/>
          <w:sz w:val="24"/>
          <w:lang w:eastAsia="zh-CN"/>
        </w:rPr>
        <w:t>证明材料可以是</w:t>
      </w:r>
      <w:r>
        <w:rPr>
          <w:rFonts w:hint="eastAsia" w:ascii="宋体" w:hAnsi="宋体"/>
          <w:sz w:val="24"/>
        </w:rPr>
        <w:t>：管理和质量保证、运输、保险、检验、现场准备、安装、集成、调试、培训、维修、废弃处置、技术支持等以及合同中规定乙方应承担的</w:t>
      </w:r>
      <w:r>
        <w:rPr>
          <w:rFonts w:hint="eastAsia" w:ascii="宋体" w:hAnsi="宋体"/>
          <w:sz w:val="24"/>
          <w:lang w:val="en"/>
        </w:rPr>
        <w:t>其他</w:t>
      </w:r>
      <w:r>
        <w:rPr>
          <w:rFonts w:hint="eastAsia" w:ascii="宋体" w:hAnsi="宋体"/>
          <w:sz w:val="24"/>
        </w:rPr>
        <w:t>义务。</w:t>
      </w:r>
    </w:p>
    <w:p>
      <w:pPr>
        <w:snapToGrid w:val="0"/>
        <w:spacing w:line="360" w:lineRule="auto"/>
        <w:ind w:firstLine="480" w:firstLineChars="200"/>
        <w:jc w:val="left"/>
        <w:rPr>
          <w:rFonts w:ascii="宋体" w:hAnsi="宋体"/>
          <w:sz w:val="24"/>
        </w:rPr>
      </w:pPr>
      <w:r>
        <w:rPr>
          <w:rFonts w:hint="eastAsia" w:ascii="宋体" w:hAnsi="宋体"/>
          <w:sz w:val="24"/>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 w:val="24"/>
        </w:rPr>
        <w:t>政府采购合同专用条款</w:t>
      </w:r>
      <w:r>
        <w:rPr>
          <w:rFonts w:hint="eastAsia" w:ascii="宋体" w:hAnsi="宋体"/>
          <w:sz w:val="24"/>
        </w:rPr>
        <w:t>】。</w:t>
      </w:r>
    </w:p>
    <w:p>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（7）其他术语解释，见【</w:t>
      </w:r>
      <w:r>
        <w:rPr>
          <w:rFonts w:hint="eastAsia" w:ascii="宋体" w:hAnsi="宋体"/>
          <w:b/>
          <w:bCs/>
          <w:sz w:val="24"/>
        </w:rPr>
        <w:t>政府采购合同专用条款</w:t>
      </w:r>
      <w:r>
        <w:rPr>
          <w:rFonts w:hint="eastAsia" w:ascii="宋体" w:hAnsi="宋体"/>
          <w:sz w:val="24"/>
        </w:rPr>
        <w:t>】。</w:t>
      </w:r>
    </w:p>
    <w:p>
      <w:pPr>
        <w:tabs>
          <w:tab w:val="left" w:pos="8820"/>
          <w:tab w:val="left" w:pos="9345"/>
          <w:tab w:val="left" w:pos="9765"/>
        </w:tabs>
        <w:snapToGrid w:val="0"/>
        <w:spacing w:line="360" w:lineRule="auto"/>
        <w:jc w:val="left"/>
        <w:rPr>
          <w:rFonts w:ascii="宋体" w:hAnsi="宋体"/>
          <w:b/>
          <w:sz w:val="24"/>
        </w:rPr>
      </w:pPr>
      <w:r>
        <w:rPr>
          <w:rFonts w:hint="eastAsia" w:ascii="宋体" w:hAnsi="宋体"/>
          <w:b/>
          <w:sz w:val="24"/>
        </w:rPr>
        <w:t>2. 合同标的及金额</w:t>
      </w:r>
    </w:p>
    <w:p>
      <w:pPr>
        <w:autoSpaceDE w:val="0"/>
        <w:autoSpaceDN w:val="0"/>
        <w:snapToGrid w:val="0"/>
        <w:spacing w:line="360" w:lineRule="auto"/>
        <w:ind w:firstLine="480" w:firstLineChars="200"/>
        <w:jc w:val="left"/>
        <w:rPr>
          <w:rFonts w:ascii="宋体" w:hAnsi="宋体"/>
          <w:b/>
          <w:bCs/>
          <w:i/>
          <w:iCs/>
          <w:sz w:val="24"/>
        </w:rPr>
      </w:pPr>
      <w:r>
        <w:rPr>
          <w:rFonts w:hint="eastAsia" w:ascii="宋体" w:hAnsi="宋体"/>
          <w:sz w:val="24"/>
        </w:rPr>
        <w:t>2.1 合同标的及金额应与中标（成交）结果一致。乙方为履行本合同而发生的所有费用均应包含在合同价款中，甲方不再另行支付</w:t>
      </w:r>
      <w:r>
        <w:rPr>
          <w:rFonts w:hint="eastAsia" w:ascii="宋体" w:hAnsi="宋体"/>
          <w:sz w:val="24"/>
          <w:lang w:val="en"/>
        </w:rPr>
        <w:t>其他</w:t>
      </w:r>
      <w:r>
        <w:rPr>
          <w:rFonts w:hint="eastAsia" w:ascii="宋体" w:hAnsi="宋体"/>
          <w:sz w:val="24"/>
        </w:rPr>
        <w:t>任何费用。</w:t>
      </w:r>
    </w:p>
    <w:p>
      <w:pPr>
        <w:snapToGrid w:val="0"/>
        <w:spacing w:line="360" w:lineRule="auto"/>
        <w:jc w:val="left"/>
        <w:rPr>
          <w:rFonts w:ascii="宋体" w:hAnsi="宋体"/>
          <w:b/>
          <w:sz w:val="24"/>
        </w:rPr>
      </w:pPr>
      <w:r>
        <w:rPr>
          <w:rFonts w:hint="eastAsia" w:ascii="宋体" w:hAnsi="宋体"/>
          <w:b/>
          <w:sz w:val="24"/>
        </w:rPr>
        <w:t>3. 履行合同的时间、地点和方式</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3.1 </w:t>
      </w:r>
      <w:r>
        <w:rPr>
          <w:rFonts w:hint="eastAsia" w:ascii="宋体" w:hAnsi="宋体" w:cs="宋体"/>
          <w:sz w:val="24"/>
        </w:rPr>
        <w:t>乙方应当在约定的时间、地点，按照约定方式履行合同。</w:t>
      </w:r>
    </w:p>
    <w:p>
      <w:pPr>
        <w:autoSpaceDE w:val="0"/>
        <w:autoSpaceDN w:val="0"/>
        <w:snapToGrid w:val="0"/>
        <w:spacing w:line="360" w:lineRule="auto"/>
        <w:jc w:val="left"/>
        <w:rPr>
          <w:rFonts w:ascii="宋体" w:hAnsi="宋体"/>
          <w:b/>
          <w:bCs/>
          <w:sz w:val="24"/>
        </w:rPr>
      </w:pPr>
      <w:r>
        <w:rPr>
          <w:rFonts w:hint="eastAsia" w:ascii="宋体" w:hAnsi="宋体"/>
          <w:b/>
          <w:bCs/>
          <w:sz w:val="24"/>
        </w:rPr>
        <w:t>4. 甲方的权利和义务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sz w:val="24"/>
        </w:rPr>
      </w:pPr>
      <w:r>
        <w:rPr>
          <w:rFonts w:hint="eastAsia" w:ascii="宋体" w:hAnsi="宋体"/>
          <w:sz w:val="24"/>
        </w:rPr>
        <w:t>4.4 甲方应当按照合同约定及时对交付的货物进行验收，</w:t>
      </w:r>
      <w:r>
        <w:rPr>
          <w:rFonts w:hint="eastAsia" w:ascii="宋体" w:hAnsi="宋体" w:cs="宋体"/>
          <w:sz w:val="24"/>
        </w:rPr>
        <w:t>未</w:t>
      </w:r>
      <w:r>
        <w:rPr>
          <w:rFonts w:hint="eastAsia" w:ascii="宋体" w:hAnsi="宋体"/>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sz w:val="24"/>
        </w:rPr>
        <w:t>视为验收通过。</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4.6 国家法律法规规定及</w:t>
      </w:r>
      <w:r>
        <w:rPr>
          <w:rFonts w:hint="eastAsia" w:ascii="宋体" w:hAnsi="宋体" w:cs="宋体"/>
          <w:b/>
          <w:bCs/>
          <w:sz w:val="24"/>
        </w:rPr>
        <w:t>【政府采购合同专用条款】</w:t>
      </w:r>
      <w:r>
        <w:rPr>
          <w:rFonts w:hint="eastAsia" w:ascii="宋体" w:hAnsi="宋体"/>
          <w:sz w:val="24"/>
        </w:rPr>
        <w:t>约定应由甲方承担的其他义务和责任。</w:t>
      </w:r>
    </w:p>
    <w:p>
      <w:pPr>
        <w:autoSpaceDE w:val="0"/>
        <w:autoSpaceDN w:val="0"/>
        <w:snapToGrid w:val="0"/>
        <w:spacing w:line="360" w:lineRule="auto"/>
        <w:jc w:val="left"/>
        <w:rPr>
          <w:rFonts w:ascii="宋体" w:hAnsi="宋体"/>
          <w:b/>
          <w:bCs/>
          <w:sz w:val="24"/>
        </w:rPr>
      </w:pPr>
      <w:r>
        <w:rPr>
          <w:rFonts w:hint="eastAsia" w:ascii="宋体" w:hAnsi="宋体"/>
          <w:b/>
          <w:bCs/>
          <w:sz w:val="24"/>
        </w:rPr>
        <w:t>5. 乙方的权利和义务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sz w:val="24"/>
        </w:rPr>
      </w:pPr>
      <w:r>
        <w:rPr>
          <w:rFonts w:hint="eastAsia" w:ascii="宋体" w:hAnsi="宋体"/>
          <w:sz w:val="24"/>
        </w:rPr>
        <w:t>5.3乙方有权</w:t>
      </w:r>
      <w:r>
        <w:rPr>
          <w:rFonts w:hint="eastAsia" w:ascii="宋体" w:hAnsi="宋体" w:cs="宋体"/>
          <w:sz w:val="24"/>
        </w:rPr>
        <w:t>根据合同约定向甲方收取合同价款。</w:t>
      </w:r>
    </w:p>
    <w:p>
      <w:pPr>
        <w:adjustRightInd/>
        <w:spacing w:line="360" w:lineRule="auto"/>
        <w:ind w:firstLine="422" w:firstLineChars="176"/>
        <w:rPr>
          <w:rFonts w:ascii="宋体" w:hAnsi="宋体" w:cs="宋体"/>
          <w:sz w:val="24"/>
        </w:rPr>
      </w:pPr>
      <w:r>
        <w:rPr>
          <w:rFonts w:hint="eastAsia" w:ascii="宋体" w:hAnsi="宋体"/>
          <w:sz w:val="24"/>
        </w:rPr>
        <w:t>5.4</w:t>
      </w:r>
      <w:r>
        <w:rPr>
          <w:rFonts w:hint="eastAsia" w:ascii="宋体" w:hAnsi="宋体" w:cs="宋体"/>
          <w:sz w:val="24"/>
        </w:rPr>
        <w:t>国家法律法规规定</w:t>
      </w:r>
      <w:r>
        <w:rPr>
          <w:rFonts w:hint="eastAsia" w:ascii="宋体" w:hAnsi="宋体"/>
          <w:sz w:val="24"/>
        </w:rPr>
        <w:t>及</w:t>
      </w:r>
      <w:r>
        <w:rPr>
          <w:rFonts w:hint="eastAsia" w:ascii="宋体" w:hAnsi="宋体" w:cs="宋体"/>
          <w:b/>
          <w:bCs/>
          <w:sz w:val="24"/>
        </w:rPr>
        <w:t>【政府采购合同专用条款】</w:t>
      </w:r>
      <w:r>
        <w:rPr>
          <w:rFonts w:hint="eastAsia" w:ascii="宋体" w:hAnsi="宋体" w:cs="宋体"/>
          <w:sz w:val="24"/>
        </w:rPr>
        <w:t>约定应由乙方承担的其他义务和责任。</w:t>
      </w:r>
    </w:p>
    <w:p>
      <w:pPr>
        <w:autoSpaceDE w:val="0"/>
        <w:autoSpaceDN w:val="0"/>
        <w:snapToGrid w:val="0"/>
        <w:spacing w:line="360" w:lineRule="auto"/>
        <w:jc w:val="left"/>
        <w:rPr>
          <w:rFonts w:ascii="宋体" w:hAnsi="宋体"/>
          <w:b/>
          <w:bCs/>
          <w:sz w:val="24"/>
        </w:rPr>
      </w:pPr>
      <w:r>
        <w:rPr>
          <w:rFonts w:hint="eastAsia" w:ascii="宋体" w:hAnsi="宋体"/>
          <w:b/>
          <w:bCs/>
          <w:sz w:val="24"/>
        </w:rPr>
        <w:t>6.合同履行</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6.1 甲乙双方应当按照</w:t>
      </w:r>
      <w:r>
        <w:rPr>
          <w:rFonts w:hint="eastAsia" w:ascii="宋体" w:hAnsi="宋体" w:cs="宋体"/>
          <w:b/>
          <w:bCs/>
          <w:sz w:val="24"/>
        </w:rPr>
        <w:t>【政府采购合同专用条款】</w:t>
      </w:r>
      <w:r>
        <w:rPr>
          <w:rFonts w:hint="eastAsia" w:ascii="宋体" w:hAnsi="宋体"/>
          <w:sz w:val="24"/>
        </w:rPr>
        <w:t>约定顺序履行合同义务；如果没有先后顺序的，应当同时履行。</w:t>
      </w:r>
    </w:p>
    <w:p>
      <w:pPr>
        <w:autoSpaceDE w:val="0"/>
        <w:autoSpaceDN w:val="0"/>
        <w:snapToGrid w:val="0"/>
        <w:spacing w:line="360" w:lineRule="auto"/>
        <w:ind w:firstLine="480" w:firstLineChars="200"/>
        <w:jc w:val="left"/>
        <w:rPr>
          <w:sz w:val="24"/>
        </w:rPr>
      </w:pPr>
      <w:r>
        <w:rPr>
          <w:rFonts w:hint="eastAsia" w:ascii="宋体" w:hAnsi="宋体"/>
          <w:sz w:val="24"/>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sz w:val="24"/>
        </w:rPr>
      </w:pPr>
      <w:r>
        <w:rPr>
          <w:rFonts w:hint="eastAsia" w:ascii="宋体" w:hAnsi="宋体"/>
          <w:b/>
          <w:bCs/>
          <w:sz w:val="24"/>
        </w:rPr>
        <w:t>7. 货物包装、运输、保险和交付要求</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7.1 本合同</w:t>
      </w:r>
      <w:r>
        <w:rPr>
          <w:rFonts w:hint="eastAsia" w:ascii="宋体" w:hAnsi="宋体"/>
          <w:bCs/>
          <w:sz w:val="24"/>
        </w:rPr>
        <w:t>涉及商品包装、快递包装的，</w:t>
      </w:r>
      <w:r>
        <w:rPr>
          <w:rFonts w:hint="eastAsia" w:ascii="宋体" w:hAnsi="宋体"/>
          <w:sz w:val="24"/>
        </w:rPr>
        <w:t>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包装应适应远距离运输、防潮、防震、防锈和防野蛮装卸等要求，确保货物安全无损地运抵</w:t>
      </w:r>
      <w:r>
        <w:rPr>
          <w:rFonts w:hint="eastAsia" w:ascii="宋体" w:hAnsi="宋体"/>
          <w:b/>
          <w:sz w:val="24"/>
        </w:rPr>
        <w:t>【政府采购合同专用条款】</w:t>
      </w:r>
      <w:r>
        <w:rPr>
          <w:rFonts w:hint="eastAsia" w:ascii="宋体" w:hAnsi="宋体"/>
          <w:bCs/>
          <w:sz w:val="24"/>
        </w:rPr>
        <w:t>约定的</w:t>
      </w:r>
      <w:r>
        <w:rPr>
          <w:rFonts w:hint="eastAsia" w:ascii="宋体" w:hAnsi="宋体"/>
          <w:sz w:val="24"/>
        </w:rPr>
        <w:t>指定现场。</w:t>
      </w:r>
    </w:p>
    <w:p>
      <w:pPr>
        <w:snapToGrid w:val="0"/>
        <w:spacing w:line="360" w:lineRule="auto"/>
        <w:ind w:firstLine="480" w:firstLineChars="200"/>
        <w:jc w:val="left"/>
        <w:rPr>
          <w:rFonts w:ascii="宋体" w:hAnsi="宋体"/>
          <w:sz w:val="24"/>
        </w:rPr>
      </w:pPr>
      <w:r>
        <w:rPr>
          <w:rFonts w:hint="eastAsia" w:ascii="宋体" w:hAnsi="宋体"/>
          <w:sz w:val="24"/>
        </w:rPr>
        <w:t>7.2 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sz w:val="24"/>
        </w:rPr>
      </w:pPr>
      <w:r>
        <w:rPr>
          <w:rFonts w:hint="eastAsia" w:ascii="宋体" w:hAnsi="宋体"/>
          <w:sz w:val="24"/>
        </w:rPr>
        <w:t>7.3 货物保险要求按</w:t>
      </w:r>
      <w:r>
        <w:rPr>
          <w:rFonts w:hint="eastAsia" w:ascii="宋体" w:hAnsi="宋体"/>
          <w:b/>
          <w:sz w:val="24"/>
        </w:rPr>
        <w:t>【政府采购合同专用条款】</w:t>
      </w:r>
      <w:r>
        <w:rPr>
          <w:rFonts w:hint="eastAsia" w:ascii="宋体" w:hAnsi="宋体"/>
          <w:bCs/>
          <w:sz w:val="24"/>
        </w:rPr>
        <w:t>规定执行</w:t>
      </w:r>
      <w:r>
        <w:rPr>
          <w:rFonts w:hint="eastAsia" w:ascii="宋体" w:hAnsi="宋体"/>
          <w:sz w:val="24"/>
        </w:rPr>
        <w:t>。</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7.5 </w:t>
      </w:r>
      <w:r>
        <w:rPr>
          <w:rFonts w:hint="eastAsia" w:ascii="宋体" w:hAnsi="宋体" w:cs="宋体"/>
          <w:sz w:val="24"/>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kern w:val="0"/>
          <w:sz w:val="24"/>
        </w:rPr>
      </w:pPr>
      <w:r>
        <w:rPr>
          <w:rFonts w:hint="eastAsia" w:ascii="宋体" w:hAnsi="宋体"/>
          <w:sz w:val="24"/>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sz w:val="24"/>
        </w:rPr>
      </w:pPr>
      <w:r>
        <w:rPr>
          <w:rFonts w:hint="eastAsia" w:ascii="宋体" w:hAnsi="宋体"/>
          <w:b/>
          <w:sz w:val="24"/>
        </w:rPr>
        <w:t>8. 质量标准和保证</w:t>
      </w:r>
    </w:p>
    <w:p>
      <w:pPr>
        <w:snapToGrid w:val="0"/>
        <w:spacing w:line="360" w:lineRule="auto"/>
        <w:ind w:firstLine="480" w:firstLineChars="200"/>
        <w:jc w:val="left"/>
        <w:rPr>
          <w:rFonts w:ascii="宋体" w:hAnsi="宋体" w:cs="Courier New"/>
          <w:b/>
          <w:sz w:val="24"/>
        </w:rPr>
      </w:pPr>
      <w:r>
        <w:rPr>
          <w:rFonts w:hint="eastAsia" w:ascii="宋体" w:hAnsi="宋体" w:cs="Courier New"/>
          <w:sz w:val="24"/>
        </w:rPr>
        <w:t>8.1 质量标准</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（1）本合同下提供的货物应符合合同</w:t>
      </w:r>
      <w:r>
        <w:rPr>
          <w:rFonts w:hint="eastAsia" w:ascii="宋体" w:hAnsi="宋体" w:cs="宋体"/>
          <w:sz w:val="24"/>
        </w:rPr>
        <w:t>约定的品牌、规格型号、技术性能、配置、质量、数量等要求。</w:t>
      </w:r>
      <w:r>
        <w:rPr>
          <w:rFonts w:hint="eastAsia" w:ascii="宋体" w:hAnsi="宋体"/>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sz w:val="24"/>
        </w:rPr>
      </w:pPr>
      <w:r>
        <w:rPr>
          <w:rFonts w:hint="eastAsia" w:ascii="宋体" w:hAnsi="宋体" w:cs="Courier New"/>
          <w:sz w:val="24"/>
        </w:rPr>
        <w:t>（2）采用中华人民共和国法定计量单位。</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（3）乙方所提供的货物应符合国家有关安全、环保、卫生的规定。</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8.2 保证</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（1）乙方应保证提供的货物完全符合合同规定的质量、规格和性能要求。乙方应保证货物在正确安装、正常使用和保养条件下，</w:t>
      </w:r>
      <w:r>
        <w:rPr>
          <w:rFonts w:hint="eastAsia" w:ascii="宋体" w:hAnsi="宋体" w:cs="宋体"/>
          <w:sz w:val="24"/>
        </w:rPr>
        <w:t>在其使用寿命期内具备合同约定的性能</w:t>
      </w:r>
      <w:r>
        <w:rPr>
          <w:rFonts w:hint="eastAsia" w:ascii="宋体" w:hAnsi="宋体"/>
          <w:sz w:val="24"/>
        </w:rPr>
        <w:t>。存在质量保证期的，货物最终交付验收合格后在</w:t>
      </w:r>
      <w:r>
        <w:rPr>
          <w:rFonts w:hint="eastAsia" w:ascii="宋体" w:hAnsi="宋体"/>
          <w:b/>
          <w:sz w:val="24"/>
        </w:rPr>
        <w:t>【政府采购合同专用条款】</w:t>
      </w:r>
      <w:r>
        <w:rPr>
          <w:rFonts w:hint="eastAsia" w:ascii="宋体" w:hAnsi="宋体"/>
          <w:sz w:val="24"/>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（3）乙方收到通知后，应在</w:t>
      </w:r>
      <w:r>
        <w:rPr>
          <w:rFonts w:hint="eastAsia" w:ascii="宋体" w:hAnsi="宋体"/>
          <w:b/>
          <w:sz w:val="24"/>
        </w:rPr>
        <w:t>【政府采购合同专用条款】</w:t>
      </w:r>
      <w:r>
        <w:rPr>
          <w:rFonts w:hint="eastAsia" w:ascii="宋体" w:hAnsi="宋体"/>
          <w:sz w:val="24"/>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sz w:val="24"/>
        </w:rPr>
      </w:pPr>
      <w:r>
        <w:rPr>
          <w:rFonts w:hint="eastAsia" w:ascii="宋体" w:hAnsi="宋体"/>
          <w:sz w:val="24"/>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sz w:val="24"/>
        </w:rPr>
      </w:pPr>
      <w:r>
        <w:rPr>
          <w:rFonts w:hint="eastAsia" w:ascii="宋体" w:hAnsi="宋体"/>
          <w:b/>
          <w:bCs/>
          <w:sz w:val="24"/>
        </w:rPr>
        <w:t>9. 权利瑕疵担保</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9.1 乙方保证对其出售的货物享有合法的权利。</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9.2 </w:t>
      </w:r>
      <w:r>
        <w:rPr>
          <w:rFonts w:hint="eastAsia" w:ascii="宋体" w:hAnsi="宋体" w:cs="宋体"/>
          <w:sz w:val="24"/>
        </w:rPr>
        <w:t>乙方保证在交付的货物上不存在抵押权等担保物权。</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9.3 如甲方使用上述货物构成对第三人侵权的，则由乙方承担全部责任。</w:t>
      </w:r>
    </w:p>
    <w:p>
      <w:pPr>
        <w:autoSpaceDE w:val="0"/>
        <w:autoSpaceDN w:val="0"/>
        <w:snapToGrid w:val="0"/>
        <w:spacing w:line="360" w:lineRule="auto"/>
        <w:jc w:val="left"/>
        <w:rPr>
          <w:rFonts w:ascii="宋体" w:hAnsi="宋体"/>
          <w:b/>
          <w:bCs/>
          <w:sz w:val="24"/>
        </w:rPr>
      </w:pPr>
      <w:r>
        <w:rPr>
          <w:rFonts w:hint="eastAsia" w:ascii="宋体" w:hAnsi="宋体"/>
          <w:b/>
          <w:bCs/>
          <w:sz w:val="24"/>
        </w:rPr>
        <w:t>10. 知识产权保护</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10.1 乙方对其所销售的货物应当享有知识产权或经权利人合法授权，保证没有侵犯任何第三人的知识产权等权利。</w:t>
      </w:r>
      <w:bookmarkStart w:id="429"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429"/>
      <w:r>
        <w:rPr>
          <w:rFonts w:hint="eastAsia" w:ascii="宋体" w:hAnsi="宋体"/>
          <w:sz w:val="24"/>
        </w:rPr>
        <w:t>。</w:t>
      </w:r>
    </w:p>
    <w:p>
      <w:pPr>
        <w:autoSpaceDE w:val="0"/>
        <w:autoSpaceDN w:val="0"/>
        <w:snapToGrid w:val="0"/>
        <w:spacing w:line="360" w:lineRule="auto"/>
        <w:jc w:val="left"/>
        <w:rPr>
          <w:rFonts w:ascii="宋体" w:hAnsi="宋体"/>
          <w:b/>
          <w:bCs/>
          <w:sz w:val="24"/>
        </w:rPr>
      </w:pPr>
      <w:r>
        <w:rPr>
          <w:rFonts w:hint="eastAsia" w:ascii="宋体" w:hAnsi="宋体"/>
          <w:b/>
          <w:bCs/>
          <w:sz w:val="24"/>
        </w:rPr>
        <w:t>11. 保密义务</w:t>
      </w:r>
    </w:p>
    <w:p>
      <w:pPr>
        <w:autoSpaceDE w:val="0"/>
        <w:autoSpaceDN w:val="0"/>
        <w:snapToGrid w:val="0"/>
        <w:spacing w:line="360" w:lineRule="auto"/>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pPr>
        <w:autoSpaceDE w:val="0"/>
        <w:autoSpaceDN w:val="0"/>
        <w:snapToGrid w:val="0"/>
        <w:spacing w:line="360" w:lineRule="auto"/>
        <w:jc w:val="left"/>
        <w:rPr>
          <w:rFonts w:ascii="宋体" w:hAnsi="宋体"/>
          <w:b/>
          <w:bCs/>
          <w:sz w:val="24"/>
        </w:rPr>
      </w:pPr>
      <w:r>
        <w:rPr>
          <w:rFonts w:hint="eastAsia" w:ascii="宋体" w:hAnsi="宋体"/>
          <w:b/>
          <w:bCs/>
          <w:sz w:val="24"/>
        </w:rPr>
        <w:t>12. 合同价款支付</w:t>
      </w:r>
    </w:p>
    <w:p>
      <w:pPr>
        <w:snapToGrid w:val="0"/>
        <w:spacing w:line="360" w:lineRule="auto"/>
        <w:ind w:firstLine="480" w:firstLineChars="200"/>
        <w:jc w:val="left"/>
        <w:rPr>
          <w:rFonts w:ascii="宋体" w:hAnsi="宋体"/>
          <w:sz w:val="24"/>
        </w:rPr>
      </w:pPr>
      <w:r>
        <w:rPr>
          <w:rFonts w:hint="eastAsia" w:ascii="宋体" w:hAnsi="宋体"/>
          <w:sz w:val="24"/>
        </w:rPr>
        <w:t>12.1 合同价款支付按照国库集中支付制度及财政管理相关规定执行。</w:t>
      </w:r>
    </w:p>
    <w:p>
      <w:pPr>
        <w:keepNext/>
        <w:keepLines/>
        <w:adjustRightInd/>
        <w:spacing w:line="360" w:lineRule="auto"/>
        <w:ind w:firstLine="480" w:firstLineChars="200"/>
        <w:rPr>
          <w:rFonts w:ascii="Arial" w:hAnsi="Arial"/>
          <w:b/>
          <w:bCs/>
          <w:sz w:val="24"/>
        </w:rPr>
      </w:pPr>
      <w:r>
        <w:rPr>
          <w:rFonts w:hint="eastAsia" w:ascii="宋体" w:hAnsi="宋体"/>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 w:val="24"/>
        </w:rPr>
        <w:t>政府采购合同专用条款</w:t>
      </w:r>
      <w:r>
        <w:rPr>
          <w:rFonts w:hint="eastAsia" w:ascii="宋体" w:hAnsi="宋体"/>
          <w:sz w:val="24"/>
        </w:rPr>
        <w:t>】中约定。</w:t>
      </w:r>
    </w:p>
    <w:p>
      <w:pPr>
        <w:adjustRightInd/>
        <w:spacing w:line="360" w:lineRule="auto"/>
        <w:rPr>
          <w:rFonts w:ascii="宋体" w:hAnsi="宋体"/>
          <w:b/>
          <w:bCs/>
          <w:sz w:val="24"/>
        </w:rPr>
      </w:pPr>
      <w:r>
        <w:rPr>
          <w:rFonts w:hint="eastAsia" w:ascii="宋体" w:hAnsi="宋体"/>
          <w:b/>
          <w:bCs/>
          <w:sz w:val="24"/>
        </w:rPr>
        <w:t>13. 履约保证金</w:t>
      </w:r>
    </w:p>
    <w:p>
      <w:pPr>
        <w:snapToGrid w:val="0"/>
        <w:spacing w:line="360" w:lineRule="auto"/>
        <w:ind w:firstLine="480" w:firstLineChars="200"/>
        <w:jc w:val="left"/>
        <w:rPr>
          <w:rFonts w:ascii="宋体" w:hAnsi="宋体"/>
          <w:sz w:val="24"/>
        </w:rPr>
      </w:pPr>
      <w:r>
        <w:rPr>
          <w:rFonts w:hint="eastAsia" w:ascii="宋体" w:hAnsi="宋体"/>
          <w:sz w:val="24"/>
        </w:rPr>
        <w:t xml:space="preserve">13.1 </w:t>
      </w:r>
      <w:r>
        <w:rPr>
          <w:rFonts w:hint="eastAsia" w:ascii="宋体" w:hAnsi="宋体" w:cs="宋体"/>
          <w:sz w:val="24"/>
        </w:rPr>
        <w:t>乙方应当以支票、汇票、本票或者金融机构、担保机构出具的保函等非现金形式提交。</w:t>
      </w:r>
    </w:p>
    <w:p>
      <w:pPr>
        <w:snapToGrid w:val="0"/>
        <w:spacing w:line="360" w:lineRule="auto"/>
        <w:ind w:firstLine="480" w:firstLineChars="200"/>
        <w:jc w:val="left"/>
        <w:rPr>
          <w:rFonts w:ascii="宋体" w:hAnsi="宋体"/>
          <w:sz w:val="24"/>
        </w:rPr>
      </w:pPr>
      <w:r>
        <w:rPr>
          <w:rFonts w:hint="eastAsia" w:ascii="宋体" w:hAnsi="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w:t>
      </w:r>
      <w:r>
        <w:rPr>
          <w:rFonts w:hint="eastAsia" w:ascii="宋体" w:hAnsi="宋体"/>
          <w:sz w:val="24"/>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sz w:val="24"/>
        </w:rPr>
      </w:pPr>
      <w:r>
        <w:rPr>
          <w:rFonts w:hint="eastAsia" w:ascii="宋体" w:hAnsi="宋体"/>
          <w:sz w:val="24"/>
        </w:rPr>
        <w:t>13.3 甲方在项目通过验收后按照</w:t>
      </w:r>
      <w:r>
        <w:rPr>
          <w:rFonts w:hint="eastAsia" w:ascii="宋体" w:hAnsi="宋体"/>
          <w:b/>
          <w:sz w:val="24"/>
        </w:rPr>
        <w:t>【政府采购合同专用条款】</w:t>
      </w:r>
      <w:r>
        <w:rPr>
          <w:rFonts w:hint="eastAsia" w:ascii="宋体" w:hAnsi="宋体"/>
          <w:sz w:val="24"/>
        </w:rPr>
        <w:t>规定的时间内将履约保证金退还乙方；逾期退还的，乙方可要求甲方支付违约金，违约金按照</w:t>
      </w:r>
      <w:r>
        <w:rPr>
          <w:rFonts w:hint="eastAsia" w:ascii="宋体" w:hAnsi="宋体"/>
          <w:b/>
          <w:sz w:val="24"/>
        </w:rPr>
        <w:t>【政府采购合同专用条款】</w:t>
      </w:r>
      <w:r>
        <w:rPr>
          <w:rFonts w:hint="eastAsia" w:ascii="宋体" w:hAnsi="宋体"/>
          <w:sz w:val="24"/>
        </w:rPr>
        <w:t>规定支付。</w:t>
      </w:r>
    </w:p>
    <w:p>
      <w:pPr>
        <w:autoSpaceDE w:val="0"/>
        <w:autoSpaceDN w:val="0"/>
        <w:snapToGrid w:val="0"/>
        <w:spacing w:line="360" w:lineRule="auto"/>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（1）货物的现场移动、安装、调试、启动监督及技术支持；</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（2）提供货物组装和维修所需的专用工具和辅助材料；</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（3）在</w:t>
      </w:r>
      <w:r>
        <w:rPr>
          <w:rFonts w:hint="eastAsia" w:ascii="宋体" w:hAnsi="宋体" w:cs="宋体"/>
          <w:b/>
          <w:bCs/>
          <w:sz w:val="24"/>
        </w:rPr>
        <w:t>【政府采购合同专用条款】</w:t>
      </w:r>
      <w:r>
        <w:rPr>
          <w:rFonts w:hint="eastAsia" w:ascii="宋体" w:hAnsi="宋体"/>
          <w:sz w:val="24"/>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（4）在制造商所在地或指定现场就货物的安装、启动、运营、维护、废弃处置等对甲方操作人员进行培训</w:t>
      </w:r>
      <w:r>
        <w:rPr>
          <w:rFonts w:hint="eastAsia" w:ascii="宋体" w:hAnsi="宋体" w:cs="宋体"/>
          <w:sz w:val="24"/>
        </w:rPr>
        <w:t>；</w:t>
      </w:r>
    </w:p>
    <w:p>
      <w:pPr>
        <w:widowControl/>
        <w:autoSpaceDE w:val="0"/>
        <w:autoSpaceDN w:val="0"/>
        <w:spacing w:line="360" w:lineRule="auto"/>
        <w:ind w:firstLine="480" w:firstLineChars="200"/>
        <w:jc w:val="left"/>
        <w:rPr>
          <w:rFonts w:ascii="宋体" w:hAnsi="宋体" w:cs="宋体"/>
          <w:kern w:val="0"/>
          <w:sz w:val="24"/>
        </w:rPr>
      </w:pPr>
      <w:r>
        <w:rPr>
          <w:rFonts w:hint="eastAsia" w:ascii="宋体" w:hAnsi="宋体" w:cs="宋体"/>
          <w:kern w:val="0"/>
          <w:sz w:val="24"/>
        </w:rPr>
        <w:t>（5）依照法律、行政法规的规定或者按照</w:t>
      </w:r>
      <w:r>
        <w:rPr>
          <w:rFonts w:hint="eastAsia" w:ascii="宋体" w:hAnsi="宋体" w:cs="宋体"/>
          <w:b/>
          <w:bCs/>
          <w:kern w:val="0"/>
          <w:sz w:val="24"/>
        </w:rPr>
        <w:t>【政府采购合同专用条款】</w:t>
      </w:r>
      <w:r>
        <w:rPr>
          <w:rFonts w:hint="eastAsia" w:ascii="宋体" w:hAnsi="宋体" w:cs="宋体"/>
          <w:kern w:val="0"/>
          <w:sz w:val="24"/>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w:t>
      </w:r>
      <w:r>
        <w:rPr>
          <w:rFonts w:hint="eastAsia" w:ascii="宋体" w:hAnsi="宋体"/>
          <w:b/>
          <w:sz w:val="24"/>
        </w:rPr>
        <w:t>【政府采购合同专用条款】</w:t>
      </w:r>
      <w:r>
        <w:rPr>
          <w:rFonts w:hint="eastAsia" w:ascii="宋体" w:hAnsi="宋体"/>
          <w:sz w:val="24"/>
        </w:rPr>
        <w:t>规定由乙方提供的其他服务。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14.2 乙方提供的售后服务的费用已包含在合同价款中，甲方不再另行支付。</w:t>
      </w:r>
    </w:p>
    <w:p>
      <w:pPr>
        <w:snapToGrid w:val="0"/>
        <w:spacing w:line="360" w:lineRule="auto"/>
        <w:jc w:val="left"/>
        <w:rPr>
          <w:rFonts w:ascii="宋体" w:hAnsi="宋体"/>
          <w:b/>
          <w:bCs/>
          <w:sz w:val="24"/>
        </w:rPr>
      </w:pPr>
      <w:r>
        <w:rPr>
          <w:rFonts w:hint="eastAsia" w:ascii="宋体" w:hAnsi="宋体"/>
          <w:b/>
          <w:bCs/>
          <w:sz w:val="24"/>
        </w:rPr>
        <w:t>15. 违约责任</w:t>
      </w:r>
    </w:p>
    <w:p>
      <w:pPr>
        <w:snapToGrid w:val="0"/>
        <w:spacing w:line="360" w:lineRule="auto"/>
        <w:ind w:firstLine="480" w:firstLineChars="200"/>
        <w:jc w:val="left"/>
        <w:rPr>
          <w:rFonts w:ascii="宋体" w:hAnsi="宋体"/>
          <w:bCs/>
          <w:sz w:val="24"/>
        </w:rPr>
      </w:pPr>
      <w:r>
        <w:rPr>
          <w:rFonts w:hint="eastAsia" w:ascii="宋体" w:hAnsi="宋体"/>
          <w:bCs/>
          <w:sz w:val="24"/>
        </w:rPr>
        <w:t>15.1质量瑕疵的违约责任</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乙方提供的产品不符合合同约定的质量标准或存在产品质量缺陷，甲方有权要求乙方根据</w:t>
      </w:r>
      <w:r>
        <w:rPr>
          <w:rFonts w:hint="eastAsia" w:ascii="宋体" w:hAnsi="宋体"/>
          <w:b/>
          <w:sz w:val="24"/>
        </w:rPr>
        <w:t>【政府采购合同专用条款】</w:t>
      </w:r>
      <w:r>
        <w:rPr>
          <w:rFonts w:hint="eastAsia" w:ascii="宋体" w:hAnsi="宋体"/>
          <w:bCs/>
          <w:sz w:val="24"/>
        </w:rPr>
        <w:t>要求</w:t>
      </w:r>
      <w:r>
        <w:rPr>
          <w:rFonts w:hint="eastAsia" w:ascii="宋体" w:hAnsi="宋体"/>
          <w:sz w:val="24"/>
        </w:rPr>
        <w:t>及时修理、重作、更换，并承担由此给甲方造成的损失。</w:t>
      </w:r>
    </w:p>
    <w:p>
      <w:pPr>
        <w:autoSpaceDE w:val="0"/>
        <w:autoSpaceDN w:val="0"/>
        <w:snapToGrid w:val="0"/>
        <w:spacing w:line="360" w:lineRule="auto"/>
        <w:ind w:firstLine="480" w:firstLineChars="200"/>
        <w:jc w:val="left"/>
        <w:rPr>
          <w:rFonts w:ascii="宋体" w:hAnsi="宋体"/>
          <w:bCs/>
          <w:sz w:val="24"/>
        </w:rPr>
      </w:pPr>
      <w:r>
        <w:rPr>
          <w:rFonts w:hint="eastAsia" w:ascii="宋体" w:hAnsi="宋体"/>
          <w:bCs/>
          <w:sz w:val="24"/>
        </w:rPr>
        <w:t>15.2 迟延交货的违约责任</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（2）如果乙方没有按照合同规定的时间交货和提供相关服务，甲方有权从货款中扣除误期赔偿费而不影响合同项下的其他补救方法，赔偿费按</w:t>
      </w:r>
      <w:r>
        <w:rPr>
          <w:rFonts w:hint="eastAsia" w:ascii="宋体" w:hAnsi="宋体"/>
          <w:b/>
          <w:sz w:val="24"/>
        </w:rPr>
        <w:t>【政府采购合同专用条款】</w:t>
      </w:r>
      <w:r>
        <w:rPr>
          <w:rFonts w:hint="eastAsia" w:ascii="宋体" w:hAnsi="宋体"/>
          <w:sz w:val="24"/>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15.3 迟延支付的违约责任</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甲方存在迟延支付乙方合同款项的，应当承担</w:t>
      </w:r>
      <w:r>
        <w:rPr>
          <w:rFonts w:hint="eastAsia" w:ascii="宋体" w:hAnsi="宋体"/>
          <w:b/>
          <w:bCs/>
          <w:sz w:val="24"/>
        </w:rPr>
        <w:t>【政府采购合同专用条款】</w:t>
      </w:r>
      <w:r>
        <w:rPr>
          <w:rFonts w:hint="eastAsia" w:ascii="宋体" w:hAnsi="宋体"/>
          <w:sz w:val="24"/>
        </w:rPr>
        <w:t>规定的逾期付款利息。</w:t>
      </w:r>
    </w:p>
    <w:p>
      <w:pPr>
        <w:snapToGrid w:val="0"/>
        <w:spacing w:line="360" w:lineRule="auto"/>
        <w:ind w:firstLine="480" w:firstLineChars="200"/>
        <w:jc w:val="left"/>
        <w:rPr>
          <w:rFonts w:ascii="宋体" w:hAnsi="宋体"/>
          <w:sz w:val="24"/>
        </w:rPr>
      </w:pPr>
      <w:r>
        <w:rPr>
          <w:rFonts w:hint="eastAsia" w:ascii="宋体" w:hAnsi="宋体"/>
          <w:bCs/>
          <w:sz w:val="24"/>
        </w:rPr>
        <w:t>15.4其他违约责任根据项目实际需要按</w:t>
      </w:r>
      <w:r>
        <w:rPr>
          <w:rFonts w:hint="eastAsia" w:ascii="宋体" w:hAnsi="宋体"/>
          <w:b/>
          <w:bCs/>
          <w:sz w:val="24"/>
        </w:rPr>
        <w:t>【政府采购合同专用条款】</w:t>
      </w:r>
      <w:r>
        <w:rPr>
          <w:rFonts w:hint="eastAsia" w:ascii="宋体" w:hAnsi="宋体"/>
          <w:sz w:val="24"/>
        </w:rPr>
        <w:t>规定执行。</w:t>
      </w:r>
    </w:p>
    <w:p>
      <w:pPr>
        <w:snapToGrid w:val="0"/>
        <w:spacing w:line="360" w:lineRule="auto"/>
        <w:jc w:val="left"/>
        <w:rPr>
          <w:rFonts w:ascii="宋体" w:hAnsi="宋体"/>
          <w:b/>
          <w:bCs/>
          <w:sz w:val="24"/>
        </w:rPr>
      </w:pPr>
      <w:r>
        <w:rPr>
          <w:rFonts w:hint="eastAsia" w:ascii="宋体" w:hAnsi="宋体"/>
          <w:b/>
          <w:bCs/>
          <w:sz w:val="24"/>
        </w:rPr>
        <w:t>16. 合同变更、中止与终止</w:t>
      </w:r>
    </w:p>
    <w:p>
      <w:pPr>
        <w:snapToGrid w:val="0"/>
        <w:spacing w:line="360" w:lineRule="auto"/>
        <w:jc w:val="left"/>
        <w:rPr>
          <w:rFonts w:ascii="宋体" w:hAnsi="宋体"/>
          <w:sz w:val="24"/>
        </w:rPr>
      </w:pPr>
      <w:r>
        <w:rPr>
          <w:rFonts w:hint="eastAsia" w:ascii="宋体" w:hAnsi="宋体"/>
          <w:sz w:val="24"/>
        </w:rPr>
        <w:t xml:space="preserve">    16.1合同的变更</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sz w:val="24"/>
        </w:rPr>
      </w:pPr>
      <w:r>
        <w:rPr>
          <w:rFonts w:hint="eastAsia" w:ascii="宋体" w:hAnsi="宋体"/>
          <w:sz w:val="24"/>
        </w:rPr>
        <w:t>16.2合同的中止</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sz w:val="24"/>
        </w:rPr>
      </w:pPr>
      <w:r>
        <w:rPr>
          <w:rFonts w:hint="eastAsia" w:ascii="宋体" w:hAnsi="宋体"/>
          <w:sz w:val="24"/>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sz w:val="24"/>
        </w:rPr>
      </w:pPr>
      <w:r>
        <w:rPr>
          <w:rFonts w:hint="eastAsia" w:ascii="宋体" w:hAnsi="宋体"/>
          <w:sz w:val="24"/>
        </w:rPr>
        <w:t>16.3合同的终止</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（1）合同因有效期限届满而终止；</w:t>
      </w:r>
    </w:p>
    <w:p>
      <w:pPr>
        <w:adjustRightInd/>
        <w:snapToGrid w:val="0"/>
        <w:spacing w:line="360" w:lineRule="auto"/>
        <w:ind w:firstLine="480" w:firstLineChars="200"/>
        <w:rPr>
          <w:rFonts w:ascii="宋体" w:hAnsi="宋体" w:cs="宋体"/>
          <w:sz w:val="24"/>
        </w:rPr>
      </w:pPr>
      <w:r>
        <w:rPr>
          <w:rFonts w:hint="eastAsia" w:ascii="宋体" w:hAnsi="宋体"/>
          <w:sz w:val="24"/>
        </w:rPr>
        <w:t>（2）乙方未按合同约定履行，构成根本性违约的，甲方有权终止合同，</w:t>
      </w:r>
      <w:r>
        <w:rPr>
          <w:rFonts w:hint="eastAsia" w:ascii="宋体" w:hAnsi="宋体" w:cs="宋体"/>
          <w:sz w:val="24"/>
        </w:rPr>
        <w:t>并追究乙方的违约责任</w:t>
      </w:r>
      <w:r>
        <w:rPr>
          <w:rFonts w:hint="eastAsia" w:ascii="宋体" w:hAnsi="宋体"/>
          <w:sz w:val="24"/>
        </w:rPr>
        <w:t>。</w:t>
      </w:r>
    </w:p>
    <w:p>
      <w:pPr>
        <w:widowControl/>
        <w:autoSpaceDE w:val="0"/>
        <w:autoSpaceDN w:val="0"/>
        <w:spacing w:line="360" w:lineRule="auto"/>
        <w:ind w:firstLine="480" w:firstLineChars="200"/>
        <w:jc w:val="left"/>
        <w:rPr>
          <w:rFonts w:ascii="宋体" w:hAnsi="宋体" w:eastAsia="华文楷体" w:cs="华文楷体"/>
          <w:kern w:val="0"/>
          <w:sz w:val="24"/>
        </w:rPr>
      </w:pPr>
      <w:r>
        <w:rPr>
          <w:rFonts w:hint="eastAsia" w:ascii="宋体" w:hAnsi="宋体" w:eastAsia="华文楷体" w:cs="华文楷体"/>
          <w:kern w:val="0"/>
          <w:sz w:val="24"/>
        </w:rPr>
        <w:t xml:space="preserve">16.4 </w:t>
      </w:r>
      <w:r>
        <w:rPr>
          <w:rFonts w:hint="eastAsia" w:ascii="宋体" w:hAnsi="宋体"/>
          <w:sz w:val="24"/>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sz w:val="24"/>
        </w:rPr>
      </w:pPr>
      <w:r>
        <w:rPr>
          <w:rFonts w:hint="eastAsia" w:ascii="宋体" w:hAnsi="宋体"/>
          <w:b/>
          <w:bCs/>
          <w:sz w:val="24"/>
        </w:rPr>
        <w:t>17. 合同分包</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sz w:val="24"/>
        </w:rPr>
      </w:pPr>
      <w:r>
        <w:rPr>
          <w:rFonts w:hint="eastAsia" w:ascii="宋体" w:hAnsi="宋体"/>
          <w:b/>
          <w:bCs/>
          <w:sz w:val="24"/>
        </w:rPr>
        <w:t>18. 不可抗力</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sz w:val="24"/>
        </w:rPr>
      </w:pPr>
      <w:r>
        <w:rPr>
          <w:rFonts w:hint="eastAsia" w:ascii="宋体" w:hAnsi="宋体"/>
          <w:b/>
          <w:bCs/>
          <w:sz w:val="24"/>
        </w:rPr>
        <w:t>19. 解决争议的方法</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19.2 选择仲裁的，应在</w:t>
      </w:r>
      <w:r>
        <w:rPr>
          <w:rFonts w:hint="eastAsia" w:ascii="宋体" w:hAnsi="宋体" w:cs="宋体"/>
          <w:b/>
          <w:bCs/>
          <w:kern w:val="0"/>
          <w:sz w:val="24"/>
        </w:rPr>
        <w:t>【政府采购合同专用条款】</w:t>
      </w:r>
      <w:r>
        <w:rPr>
          <w:rFonts w:hint="eastAsia" w:ascii="宋体" w:hAnsi="宋体" w:cs="宋体"/>
          <w:kern w:val="0"/>
          <w:sz w:val="24"/>
        </w:rPr>
        <w:t>中明确仲裁机构及仲裁地；通过诉讼方式解决的，可以在</w:t>
      </w:r>
      <w:r>
        <w:rPr>
          <w:rFonts w:hint="eastAsia" w:ascii="宋体" w:hAnsi="宋体" w:cs="宋体"/>
          <w:b/>
          <w:bCs/>
          <w:kern w:val="0"/>
          <w:sz w:val="24"/>
        </w:rPr>
        <w:t>【政府采购合同专用条款】</w:t>
      </w:r>
      <w:r>
        <w:rPr>
          <w:rFonts w:hint="eastAsia" w:ascii="宋体" w:hAnsi="宋体" w:cs="宋体"/>
          <w:kern w:val="0"/>
          <w:sz w:val="24"/>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sz w:val="24"/>
        </w:rPr>
      </w:pPr>
      <w:r>
        <w:rPr>
          <w:rFonts w:hint="eastAsia" w:ascii="宋体" w:hAnsi="宋体"/>
          <w:b/>
          <w:sz w:val="24"/>
        </w:rPr>
        <w:t>20. 政府采购政策</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20.1 </w:t>
      </w:r>
      <w:r>
        <w:rPr>
          <w:rFonts w:hint="eastAsia" w:ascii="宋体" w:hAnsi="宋体" w:cs="宋体"/>
          <w:sz w:val="24"/>
          <w:lang w:val="en-GB"/>
        </w:rPr>
        <w:t>本合同应当按照规定执行政府采购政策。</w:t>
      </w:r>
    </w:p>
    <w:p>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20.2 本合同依法执行政府采购政策的方式和内容，属于合同履约验收的范围。</w:t>
      </w:r>
      <w:r>
        <w:rPr>
          <w:rFonts w:hint="eastAsia" w:ascii="宋体" w:hAnsi="宋体" w:cs="宋体"/>
          <w:sz w:val="24"/>
        </w:rPr>
        <w:t>甲乙双方</w:t>
      </w:r>
      <w:r>
        <w:rPr>
          <w:rFonts w:hint="eastAsia" w:ascii="宋体" w:hAnsi="宋体" w:cs="宋体"/>
          <w:sz w:val="24"/>
          <w:lang w:val="en-GB"/>
        </w:rPr>
        <w:t>未按规定要求执行政府采购政策造成损失的</w:t>
      </w:r>
      <w:r>
        <w:rPr>
          <w:rFonts w:hint="eastAsia" w:ascii="宋体" w:hAnsi="宋体"/>
          <w:sz w:val="24"/>
        </w:rPr>
        <w:t>，有过错的一方应当承担赔偿责任，双方都有过错的，各自承担相应的责任。</w:t>
      </w:r>
    </w:p>
    <w:p>
      <w:pPr>
        <w:adjustRightInd/>
        <w:spacing w:line="360" w:lineRule="auto"/>
        <w:ind w:firstLine="480" w:firstLineChars="200"/>
        <w:rPr>
          <w:rFonts w:ascii="Calibri" w:hAnsi="Calibri"/>
          <w:sz w:val="24"/>
        </w:rPr>
      </w:pPr>
      <w:r>
        <w:rPr>
          <w:rFonts w:hint="eastAsia" w:ascii="宋体" w:hAnsi="宋体"/>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sz w:val="24"/>
        </w:rPr>
      </w:pPr>
      <w:r>
        <w:rPr>
          <w:rFonts w:hint="eastAsia" w:ascii="宋体" w:hAnsi="宋体"/>
          <w:b/>
          <w:sz w:val="24"/>
        </w:rPr>
        <w:t>21. 法律适用</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sz w:val="24"/>
        </w:rPr>
      </w:pPr>
      <w:r>
        <w:rPr>
          <w:rFonts w:hint="eastAsia" w:ascii="宋体" w:hAnsi="宋体"/>
          <w:b/>
          <w:sz w:val="24"/>
        </w:rPr>
        <w:t>22. 通知</w:t>
      </w:r>
    </w:p>
    <w:p>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kern w:val="0"/>
          <w:sz w:val="24"/>
        </w:rPr>
      </w:pPr>
      <w:r>
        <w:rPr>
          <w:rFonts w:hint="eastAsia" w:ascii="宋体" w:hAnsi="宋体" w:cs="宋体"/>
          <w:kern w:val="0"/>
          <w:sz w:val="24"/>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sz w:val="24"/>
        </w:rPr>
      </w:pPr>
      <w:r>
        <w:rPr>
          <w:rFonts w:hint="eastAsia" w:ascii="宋体" w:hAnsi="宋体"/>
          <w:sz w:val="24"/>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sz w:val="24"/>
        </w:rPr>
      </w:pPr>
      <w:r>
        <w:rPr>
          <w:rFonts w:hint="eastAsia" w:ascii="宋体" w:hAnsi="宋体"/>
          <w:sz w:val="24"/>
        </w:rPr>
        <w:t>22.4通知以送达之日或通知书中规定的生效之日起生效，两者中以较迟之日为准。</w:t>
      </w:r>
    </w:p>
    <w:p>
      <w:pPr>
        <w:autoSpaceDE w:val="0"/>
        <w:autoSpaceDN w:val="0"/>
        <w:snapToGrid w:val="0"/>
        <w:spacing w:line="360" w:lineRule="auto"/>
        <w:jc w:val="left"/>
        <w:rPr>
          <w:rFonts w:ascii="宋体" w:hAnsi="宋体"/>
          <w:b/>
          <w:sz w:val="24"/>
        </w:rPr>
      </w:pPr>
      <w:r>
        <w:rPr>
          <w:rFonts w:hint="eastAsia" w:ascii="宋体" w:hAnsi="宋体"/>
          <w:b/>
          <w:sz w:val="24"/>
        </w:rPr>
        <w:t>23. 合同未尽事项</w:t>
      </w:r>
    </w:p>
    <w:p>
      <w:pPr>
        <w:snapToGrid w:val="0"/>
        <w:spacing w:line="360" w:lineRule="auto"/>
        <w:ind w:firstLine="480" w:firstLineChars="200"/>
        <w:jc w:val="left"/>
        <w:rPr>
          <w:rFonts w:ascii="宋体" w:hAnsi="宋体"/>
          <w:bCs/>
          <w:sz w:val="24"/>
        </w:rPr>
      </w:pPr>
      <w:r>
        <w:rPr>
          <w:rFonts w:hint="eastAsia" w:ascii="宋体" w:hAnsi="宋体"/>
          <w:bCs/>
          <w:sz w:val="24"/>
        </w:rPr>
        <w:t>23.1合同未尽事项见</w:t>
      </w:r>
      <w:r>
        <w:rPr>
          <w:rFonts w:hint="eastAsia" w:ascii="宋体" w:hAnsi="宋体"/>
          <w:b/>
          <w:sz w:val="24"/>
        </w:rPr>
        <w:t>【政府采购合同专用条款】</w:t>
      </w:r>
      <w:r>
        <w:rPr>
          <w:rFonts w:hint="eastAsia" w:ascii="宋体" w:hAnsi="宋体"/>
          <w:bCs/>
          <w:sz w:val="24"/>
        </w:rPr>
        <w:t>。</w:t>
      </w:r>
    </w:p>
    <w:p>
      <w:pPr>
        <w:snapToGrid w:val="0"/>
        <w:spacing w:line="360" w:lineRule="auto"/>
        <w:jc w:val="left"/>
        <w:rPr>
          <w:rFonts w:ascii="黑体" w:hAnsi="华文中宋" w:eastAsia="黑体"/>
          <w:sz w:val="24"/>
        </w:rPr>
      </w:pPr>
      <w:r>
        <w:rPr>
          <w:rFonts w:hint="eastAsia" w:ascii="宋体" w:hAnsi="宋体"/>
          <w:bCs/>
          <w:sz w:val="24"/>
        </w:rPr>
        <w:t xml:space="preserve">    23.2 合同附件与合同正文具有同等的法律效力。</w:t>
      </w:r>
      <w:bookmarkStart w:id="430" w:name="_Toc20313"/>
      <w:r>
        <w:rPr>
          <w:rFonts w:hint="eastAsia" w:ascii="黑体" w:hAnsi="华文中宋" w:eastAsia="黑体"/>
          <w:sz w:val="24"/>
        </w:rPr>
        <w:br w:type="page"/>
      </w:r>
    </w:p>
    <w:p>
      <w:pPr>
        <w:keepNext/>
        <w:keepLines/>
        <w:snapToGrid w:val="0"/>
        <w:spacing w:line="360" w:lineRule="auto"/>
        <w:jc w:val="center"/>
        <w:outlineLvl w:val="1"/>
        <w:rPr>
          <w:rFonts w:ascii="黑体" w:hAnsi="华文中宋" w:eastAsia="黑体"/>
          <w:sz w:val="24"/>
        </w:rPr>
      </w:pPr>
      <w:r>
        <w:rPr>
          <w:rFonts w:hint="eastAsia" w:ascii="黑体" w:hAnsi="华文中宋" w:eastAsia="黑体"/>
          <w:sz w:val="24"/>
        </w:rPr>
        <w:t>第三节 政府采购合同专用条款</w:t>
      </w:r>
      <w:bookmarkEnd w:id="430"/>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adjustRightInd/>
              <w:snapToGrid w:val="0"/>
              <w:spacing w:line="360" w:lineRule="auto"/>
              <w:jc w:val="center"/>
              <w:rPr>
                <w:rFonts w:ascii="Calibri" w:hAnsi="Calibri"/>
                <w:sz w:val="24"/>
              </w:rPr>
            </w:pPr>
            <w:r>
              <w:rPr>
                <w:rFonts w:hint="eastAsia" w:ascii="宋体" w:hAnsi="宋体"/>
                <w:sz w:val="24"/>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adjustRightInd/>
              <w:snapToGrid w:val="0"/>
              <w:spacing w:line="360" w:lineRule="auto"/>
              <w:jc w:val="center"/>
              <w:rPr>
                <w:rFonts w:ascii="宋体" w:hAnsi="宋体"/>
                <w:sz w:val="24"/>
              </w:rPr>
            </w:pPr>
            <w:r>
              <w:rPr>
                <w:rFonts w:hint="eastAsia" w:ascii="宋体" w:hAnsi="宋体"/>
                <w:sz w:val="24"/>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sz w:val="24"/>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货物质量缺陷</w:t>
            </w:r>
          </w:p>
          <w:p>
            <w:pPr>
              <w:snapToGrid w:val="0"/>
              <w:spacing w:line="360" w:lineRule="auto"/>
              <w:jc w:val="left"/>
              <w:rPr>
                <w:rFonts w:ascii="宋体" w:hAnsi="宋体"/>
                <w:sz w:val="24"/>
              </w:rPr>
            </w:pPr>
            <w:r>
              <w:rPr>
                <w:rFonts w:hint="eastAsia" w:ascii="宋体" w:hAnsi="宋体"/>
                <w:sz w:val="24"/>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sz w:val="24"/>
              </w:rPr>
            </w:pPr>
            <w:r>
              <w:rPr>
                <w:rFonts w:hint="eastAsia" w:ascii="宋体" w:hAnsi="宋体" w:cs="宋体"/>
                <w:sz w:val="24"/>
              </w:rPr>
              <w:t>第二节</w:t>
            </w:r>
          </w:p>
          <w:p>
            <w:pPr>
              <w:widowControl/>
              <w:autoSpaceDE w:val="0"/>
              <w:autoSpaceDN w:val="0"/>
              <w:spacing w:line="360" w:lineRule="auto"/>
              <w:jc w:val="center"/>
              <w:rPr>
                <w:rFonts w:ascii="华文楷体" w:hAnsi="华文楷体" w:eastAsia="华文楷体" w:cs="华文楷体"/>
                <w:kern w:val="0"/>
                <w:sz w:val="24"/>
              </w:rPr>
            </w:pPr>
            <w:r>
              <w:rPr>
                <w:rFonts w:hint="eastAsia" w:ascii="宋体" w:hAnsi="宋体" w:cs="宋体"/>
                <w:kern w:val="0"/>
                <w:sz w:val="24"/>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sz w:val="24"/>
              </w:rPr>
            </w:pPr>
            <w:r>
              <w:rPr>
                <w:rFonts w:hint="eastAsia" w:ascii="宋体" w:hAnsi="宋体"/>
                <w:sz w:val="24"/>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sz w:val="24"/>
              </w:rPr>
            </w:pPr>
            <w:r>
              <w:rPr>
                <w:rFonts w:hint="eastAsia" w:ascii="宋体" w:hAnsi="宋体"/>
                <w:sz w:val="24"/>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sz w:val="24"/>
              </w:rPr>
            </w:pPr>
            <w:r>
              <w:rPr>
                <w:rFonts w:hint="eastAsia" w:ascii="宋体" w:hAnsi="宋体"/>
                <w:sz w:val="24"/>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sz w:val="24"/>
              </w:rPr>
            </w:pPr>
            <w:r>
              <w:rPr>
                <w:rFonts w:hint="eastAsia" w:ascii="宋体" w:hAnsi="宋体"/>
                <w:sz w:val="24"/>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 xml:space="preserve">   </w:t>
            </w:r>
            <w:r>
              <w:rPr>
                <w:rFonts w:hint="eastAsia" w:ascii="宋体" w:hAnsi="宋体" w:cs="宋体"/>
                <w:iCs/>
                <w:sz w:val="24"/>
              </w:rPr>
              <w:t>种方式解决：</w:t>
            </w:r>
          </w:p>
          <w:p>
            <w:pPr>
              <w:autoSpaceDE w:val="0"/>
              <w:autoSpaceDN w:val="0"/>
              <w:snapToGrid w:val="0"/>
              <w:spacing w:line="360" w:lineRule="auto"/>
              <w:jc w:val="left"/>
              <w:rPr>
                <w:rFonts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pPr>
              <w:snapToGrid w:val="0"/>
              <w:spacing w:line="360" w:lineRule="auto"/>
              <w:jc w:val="left"/>
              <w:rPr>
                <w:rFonts w:ascii="宋体" w:hAnsi="宋体"/>
                <w:sz w:val="24"/>
                <w:u w:val="single"/>
              </w:rPr>
            </w:pPr>
            <w:r>
              <w:rPr>
                <w:rFonts w:hint="eastAsia" w:ascii="宋体" w:hAnsi="宋体" w:cs="宋体"/>
                <w:iCs/>
                <w:sz w:val="24"/>
              </w:rPr>
              <w:t>（2）向</w:t>
            </w:r>
            <w:r>
              <w:rPr>
                <w:rFonts w:hint="eastAsia" w:ascii="宋体" w:hAnsi="宋体" w:cs="宋体"/>
                <w:iCs/>
                <w:sz w:val="24"/>
                <w:u w:val="single"/>
              </w:rPr>
              <w:t xml:space="preserve">                    </w:t>
            </w:r>
            <w:r>
              <w:rPr>
                <w:rFonts w:hint="eastAsia" w:ascii="宋体" w:hAnsi="宋体" w:cs="宋体"/>
                <w:iCs/>
                <w:sz w:val="24"/>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sz w:val="24"/>
              </w:rPr>
            </w:pPr>
            <w:r>
              <w:rPr>
                <w:rFonts w:hint="eastAsia" w:ascii="宋体" w:hAnsi="宋体"/>
                <w:sz w:val="24"/>
              </w:rPr>
              <w:t>第二节</w:t>
            </w:r>
          </w:p>
          <w:p>
            <w:pPr>
              <w:snapToGrid w:val="0"/>
              <w:spacing w:line="360" w:lineRule="auto"/>
              <w:jc w:val="center"/>
              <w:rPr>
                <w:rFonts w:ascii="宋体" w:hAnsi="宋体"/>
                <w:sz w:val="24"/>
              </w:rPr>
            </w:pPr>
            <w:r>
              <w:rPr>
                <w:rFonts w:hint="eastAsia" w:ascii="宋体" w:hAnsi="宋体"/>
                <w:sz w:val="24"/>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sz w:val="24"/>
              </w:rPr>
            </w:pPr>
            <w:r>
              <w:rPr>
                <w:rFonts w:hint="eastAsia" w:ascii="宋体" w:hAnsi="宋体"/>
                <w:bCs/>
                <w:sz w:val="24"/>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sz w:val="24"/>
              </w:rPr>
            </w:pPr>
          </w:p>
        </w:tc>
      </w:tr>
    </w:tbl>
    <w:p>
      <w:pPr>
        <w:adjustRightInd/>
      </w:pPr>
    </w:p>
    <w:p>
      <w:pPr>
        <w:adjustRightInd/>
      </w:pPr>
    </w:p>
    <w:p>
      <w:pPr>
        <w:spacing w:line="360" w:lineRule="auto"/>
        <w:ind w:left="-420" w:leftChars="-200" w:right="-420" w:rightChars="-200"/>
        <w:rPr>
          <w:rFonts w:ascii="宋体" w:hAnsi="宋体" w:cs="宋体"/>
          <w:sz w:val="24"/>
        </w:rPr>
      </w:pPr>
    </w:p>
    <w:p>
      <w:pPr>
        <w:pStyle w:val="3"/>
      </w:pPr>
      <w:r>
        <w:br w:type="page"/>
      </w:r>
    </w:p>
    <w:p/>
    <w:p>
      <w:pPr>
        <w:spacing w:line="360" w:lineRule="auto"/>
        <w:ind w:left="720" w:firstLine="723" w:firstLineChars="200"/>
        <w:outlineLvl w:val="0"/>
        <w:rPr>
          <w:rFonts w:ascii="宋体" w:hAnsi="宋体" w:cs="宋体"/>
          <w:b/>
          <w:sz w:val="36"/>
          <w:szCs w:val="20"/>
        </w:rPr>
      </w:pPr>
      <w:bookmarkStart w:id="431" w:name="_Toc176185126"/>
      <w:bookmarkStart w:id="432" w:name="_Toc176343853"/>
      <w:r>
        <w:rPr>
          <w:rFonts w:hint="eastAsia" w:ascii="宋体" w:hAnsi="宋体" w:cs="宋体"/>
          <w:b/>
          <w:sz w:val="36"/>
          <w:szCs w:val="20"/>
        </w:rPr>
        <w:t>第六部分</w:t>
      </w:r>
      <w:bookmarkEnd w:id="422"/>
      <w:r>
        <w:rPr>
          <w:rFonts w:hint="eastAsia" w:ascii="宋体" w:hAnsi="宋体" w:cs="宋体"/>
          <w:b/>
          <w:sz w:val="36"/>
          <w:szCs w:val="20"/>
        </w:rPr>
        <w:t xml:space="preserve"> </w:t>
      </w:r>
      <w:bookmarkEnd w:id="423"/>
      <w:r>
        <w:rPr>
          <w:rFonts w:hint="eastAsia" w:ascii="宋体" w:hAnsi="宋体" w:cs="宋体"/>
          <w:b/>
          <w:sz w:val="36"/>
          <w:szCs w:val="20"/>
        </w:rPr>
        <w:t xml:space="preserve"> 应提交的有关格式范例</w:t>
      </w:r>
      <w:bookmarkEnd w:id="431"/>
      <w:bookmarkEnd w:id="432"/>
    </w:p>
    <w:p>
      <w:pPr>
        <w:pStyle w:val="82"/>
      </w:pPr>
    </w:p>
    <w:p>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pPr>
        <w:pStyle w:val="82"/>
      </w:pPr>
    </w:p>
    <w:p>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pPr>
        <w:snapToGrid w:val="0"/>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napToGrid w:val="0"/>
        <w:spacing w:line="360" w:lineRule="auto"/>
        <w:ind w:right="480"/>
        <w:jc w:val="center"/>
        <w:rPr>
          <w:rFonts w:ascii="宋体" w:hAnsi="宋体" w:cs="宋体"/>
          <w:kern w:val="0"/>
          <w:sz w:val="24"/>
        </w:rPr>
      </w:pPr>
      <w:r>
        <w:rPr>
          <w:rFonts w:hint="eastAsia" w:ascii="宋体" w:hAnsi="宋体" w:cs="宋体"/>
          <w:kern w:val="0"/>
          <w:sz w:val="24"/>
        </w:rPr>
        <w:br w:type="page"/>
      </w:r>
    </w:p>
    <w:p>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 xml:space="preserve">  一、 符合参加政府采购活动应当具备的一般条件的承诺函</w:t>
      </w:r>
    </w:p>
    <w:p>
      <w:pPr>
        <w:snapToGrid w:val="0"/>
        <w:spacing w:line="360" w:lineRule="auto"/>
        <w:ind w:right="480"/>
        <w:jc w:val="center"/>
        <w:rPr>
          <w:rFonts w:ascii="宋体" w:hAnsi="宋体" w:cs="宋体"/>
          <w:sz w:val="24"/>
        </w:rPr>
      </w:pPr>
    </w:p>
    <w:p>
      <w:pPr>
        <w:snapToGrid w:val="0"/>
        <w:spacing w:line="360" w:lineRule="auto"/>
        <w:jc w:val="center"/>
        <w:rPr>
          <w:rFonts w:ascii="宋体" w:hAnsi="宋体" w:cs="宋体"/>
          <w:b/>
          <w:sz w:val="24"/>
        </w:rPr>
      </w:pPr>
      <w:r>
        <w:rPr>
          <w:rFonts w:hint="eastAsia" w:ascii="宋体" w:hAnsi="宋体" w:cs="宋体"/>
          <w:b/>
          <w:sz w:val="24"/>
        </w:rPr>
        <w:t>北海市政府采购供应商信用承诺函（格式）</w:t>
      </w:r>
    </w:p>
    <w:p>
      <w:pPr>
        <w:snapToGrid w:val="0"/>
        <w:spacing w:line="360" w:lineRule="auto"/>
        <w:rPr>
          <w:rFonts w:ascii="宋体" w:hAnsi="宋体" w:cs="宋体"/>
          <w:color w:val="0000FF"/>
          <w:sz w:val="24"/>
        </w:rPr>
      </w:pPr>
    </w:p>
    <w:p>
      <w:pPr>
        <w:snapToGrid w:val="0"/>
        <w:spacing w:line="360" w:lineRule="auto"/>
        <w:ind w:right="480"/>
        <w:rPr>
          <w:rFonts w:ascii="宋体" w:hAnsi="宋体" w:cs="宋体"/>
          <w:sz w:val="24"/>
        </w:rPr>
      </w:pPr>
      <w:r>
        <w:rPr>
          <w:rFonts w:hint="eastAsia" w:ascii="宋体" w:hAnsi="宋体" w:cs="宋体"/>
          <w:sz w:val="24"/>
        </w:rPr>
        <w:t>（采购人）、（采购代理机构）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napToGrid w:val="0"/>
        <w:spacing w:line="360" w:lineRule="auto"/>
        <w:ind w:right="480"/>
        <w:jc w:val="center"/>
        <w:rPr>
          <w:rFonts w:ascii="宋体" w:hAnsi="宋体" w:cs="宋体"/>
          <w:b/>
          <w:kern w:val="0"/>
          <w:sz w:val="32"/>
          <w:szCs w:val="32"/>
        </w:rPr>
      </w:pPr>
    </w:p>
    <w:p>
      <w:pPr>
        <w:rPr>
          <w:rFonts w:ascii="宋体" w:hAnsi="宋体" w:cs="宋体"/>
        </w:rPr>
      </w:pPr>
    </w:p>
    <w:p>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.专门面向中小企业，货物全部由符合政策要求的中小企业（或小微企业）制造的，提供相应的中小企业声明函（附件</w:t>
      </w:r>
      <w:r>
        <w:rPr>
          <w:rFonts w:ascii="宋体" w:hAnsi="宋体" w:cs="宋体"/>
          <w:sz w:val="24"/>
        </w:rPr>
        <w:t>7</w:t>
      </w:r>
      <w:r>
        <w:rPr>
          <w:rFonts w:hint="eastAsia" w:ascii="宋体" w:hAnsi="宋体" w:cs="宋体"/>
          <w:sz w:val="24"/>
        </w:rPr>
        <w:t xml:space="preserve">）。 </w:t>
      </w:r>
    </w:p>
    <w:p>
      <w:pPr>
        <w:widowControl/>
        <w:spacing w:line="360" w:lineRule="auto"/>
        <w:ind w:firstLine="480"/>
        <w:jc w:val="left"/>
        <w:rPr>
          <w:rFonts w:ascii="宋体" w:hAnsi="宋体" w:cs="宋体"/>
          <w:sz w:val="24"/>
        </w:rPr>
      </w:pPr>
    </w:p>
    <w:p>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pPr>
        <w:snapToGrid w:val="0"/>
        <w:spacing w:before="50" w:after="50" w:line="360" w:lineRule="auto"/>
        <w:jc w:val="center"/>
        <w:rPr>
          <w:rFonts w:ascii="宋体" w:hAnsi="宋体" w:cs="宋体"/>
          <w:sz w:val="24"/>
        </w:rPr>
      </w:pPr>
      <w:r>
        <w:rPr>
          <w:rFonts w:hint="eastAsia" w:ascii="宋体" w:hAnsi="宋体" w:cs="宋体"/>
          <w:b/>
          <w:sz w:val="24"/>
        </w:rPr>
        <w:t xml:space="preserve">    </w:t>
      </w:r>
    </w:p>
    <w:p>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pPr>
        <w:widowControl/>
        <w:spacing w:line="360" w:lineRule="auto"/>
        <w:ind w:left="150"/>
        <w:jc w:val="center"/>
        <w:rPr>
          <w:rFonts w:ascii="宋体" w:hAnsi="宋体" w:cs="宋体"/>
          <w:b/>
          <w:kern w:val="0"/>
          <w:sz w:val="32"/>
          <w:szCs w:val="32"/>
        </w:rPr>
      </w:pPr>
    </w:p>
    <w:p>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pPr>
        <w:rPr>
          <w:rFonts w:ascii="宋体" w:hAnsi="宋体" w:cs="宋体"/>
        </w:rPr>
      </w:pPr>
    </w:p>
    <w:p>
      <w:pPr>
        <w:widowControl/>
        <w:adjustRightInd/>
        <w:jc w:val="center"/>
        <w:rPr>
          <w:rFonts w:ascii="宋体" w:hAnsi="宋体" w:cs="宋体"/>
          <w:b/>
          <w:kern w:val="0"/>
          <w:sz w:val="32"/>
          <w:szCs w:val="32"/>
        </w:rPr>
      </w:pPr>
      <w:r>
        <w:rPr>
          <w:rFonts w:ascii="宋体" w:hAnsi="宋体" w:cs="宋体"/>
          <w:b/>
          <w:kern w:val="0"/>
          <w:sz w:val="32"/>
          <w:szCs w:val="32"/>
        </w:rPr>
        <w:br w:type="page"/>
      </w:r>
    </w:p>
    <w:p>
      <w:pPr>
        <w:widowControl/>
        <w:adjustRightInd/>
        <w:jc w:val="center"/>
        <w:rPr>
          <w:rFonts w:ascii="宋体" w:hAnsi="宋体" w:cs="宋体"/>
          <w:b/>
          <w:kern w:val="0"/>
          <w:sz w:val="36"/>
          <w:szCs w:val="36"/>
        </w:rPr>
      </w:pPr>
      <w:r>
        <w:rPr>
          <w:rFonts w:hint="eastAsia" w:ascii="宋体" w:hAnsi="宋体" w:cs="宋体"/>
          <w:b/>
          <w:kern w:val="0"/>
          <w:sz w:val="36"/>
          <w:szCs w:val="36"/>
        </w:rPr>
        <w:t>商务技术文件部分</w:t>
      </w:r>
    </w:p>
    <w:p>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10</w:t>
      </w:r>
      <w:r>
        <w:rPr>
          <w:rFonts w:hint="eastAsia" w:ascii="宋体" w:hAnsi="宋体" w:cs="宋体"/>
          <w:color w:val="FF0000"/>
          <w:sz w:val="24"/>
          <w:lang w:val="zh-CN"/>
        </w:rPr>
        <w:t>）技术解决方案</w:t>
      </w:r>
      <w:r>
        <w:rPr>
          <w:rFonts w:hint="eastAsia" w:ascii="宋体" w:hAnsi="宋体" w:cs="宋体"/>
          <w:color w:val="FF0000"/>
        </w:rPr>
        <w:t>…………………………………………………………………………（页码）</w:t>
      </w:r>
    </w:p>
    <w:p>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11</w:t>
      </w:r>
      <w:r>
        <w:rPr>
          <w:rFonts w:hint="eastAsia" w:ascii="宋体" w:hAnsi="宋体" w:cs="宋体"/>
          <w:color w:val="FF0000"/>
          <w:sz w:val="24"/>
          <w:lang w:val="zh-CN"/>
        </w:rPr>
        <w:t>）组织实施方案</w:t>
      </w:r>
      <w:r>
        <w:rPr>
          <w:rFonts w:hint="eastAsia" w:ascii="宋体" w:hAnsi="宋体" w:cs="宋体"/>
          <w:color w:val="FF0000"/>
        </w:rPr>
        <w:t>…………………………………………………………………………（页码）</w:t>
      </w:r>
    </w:p>
    <w:p>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12</w:t>
      </w:r>
      <w:r>
        <w:rPr>
          <w:rFonts w:hint="eastAsia" w:ascii="宋体" w:hAnsi="宋体" w:cs="宋体"/>
          <w:color w:val="FF0000"/>
          <w:sz w:val="24"/>
          <w:lang w:val="zh-CN"/>
        </w:rPr>
        <w:t>）售后服务方案</w:t>
      </w:r>
      <w:r>
        <w:rPr>
          <w:rFonts w:hint="eastAsia" w:ascii="宋体" w:hAnsi="宋体" w:cs="宋体"/>
          <w:color w:val="FF0000"/>
        </w:rPr>
        <w:t>…………………………………………………………………………（页码）</w:t>
      </w:r>
    </w:p>
    <w:p>
      <w:pPr>
        <w:pStyle w:val="82"/>
      </w:pPr>
    </w:p>
    <w:p>
      <w:pPr>
        <w:snapToGrid w:val="0"/>
        <w:spacing w:line="360" w:lineRule="auto"/>
        <w:jc w:val="center"/>
        <w:rPr>
          <w:rFonts w:ascii="宋体" w:hAnsi="宋体" w:cs="宋体"/>
          <w:b/>
          <w:kern w:val="0"/>
          <w:sz w:val="32"/>
          <w:szCs w:val="32"/>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rPr>
      </w:pPr>
    </w:p>
    <w:p>
      <w:pPr>
        <w:snapToGrid w:val="0"/>
        <w:spacing w:line="360" w:lineRule="auto"/>
        <w:jc w:val="center"/>
        <w:rPr>
          <w:rFonts w:ascii="宋体" w:hAnsi="宋体" w:cs="宋体"/>
          <w:b/>
          <w:kern w:val="0"/>
          <w:sz w:val="32"/>
          <w:szCs w:val="32"/>
        </w:rPr>
      </w:pPr>
    </w:p>
    <w:p>
      <w:pPr>
        <w:pStyle w:val="82"/>
      </w:pPr>
    </w:p>
    <w:p/>
    <w:p>
      <w:pPr>
        <w:snapToGrid w:val="0"/>
        <w:spacing w:line="360" w:lineRule="auto"/>
        <w:ind w:firstLine="3855" w:firstLineChars="1200"/>
        <w:rPr>
          <w:rFonts w:ascii="宋体" w:hAnsi="宋体" w:cs="宋体"/>
          <w:b/>
          <w:kern w:val="0"/>
          <w:sz w:val="32"/>
          <w:szCs w:val="32"/>
        </w:rPr>
      </w:pPr>
    </w:p>
    <w:p>
      <w:pPr>
        <w:snapToGrid w:val="0"/>
        <w:spacing w:line="360" w:lineRule="auto"/>
        <w:ind w:firstLine="3855" w:firstLineChars="1200"/>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napToGrid w:val="0"/>
        <w:spacing w:line="360" w:lineRule="auto"/>
        <w:ind w:firstLine="3855" w:firstLineChars="120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pPr>
        <w:snapToGrid w:val="0"/>
        <w:spacing w:line="360" w:lineRule="auto"/>
        <w:rPr>
          <w:rFonts w:ascii="宋体" w:hAnsi="宋体" w:cs="宋体"/>
          <w:sz w:val="24"/>
        </w:rPr>
      </w:pPr>
      <w:r>
        <w:rPr>
          <w:rFonts w:hint="eastAsia" w:ascii="宋体" w:hAnsi="宋体" w:cs="宋体"/>
          <w:sz w:val="24"/>
        </w:rPr>
        <w:t>（采购人）、（采购代理机构）：</w:t>
      </w:r>
    </w:p>
    <w:p>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pPr>
        <w:pStyle w:val="82"/>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10</w:t>
      </w:r>
      <w:r>
        <w:rPr>
          <w:rFonts w:hint="eastAsia" w:cs="宋体"/>
          <w:color w:val="FF0000"/>
          <w:lang w:val="zh-CN"/>
        </w:rPr>
        <w:t>技术解决方案</w:t>
      </w:r>
      <w:r>
        <w:rPr>
          <w:rFonts w:hint="eastAsia" w:cs="宋体"/>
          <w:snapToGrid w:val="0"/>
          <w:color w:val="FF0000"/>
          <w:kern w:val="28"/>
        </w:rPr>
        <w:t>（如果有）</w:t>
      </w:r>
      <w:r>
        <w:rPr>
          <w:rFonts w:hint="eastAsia" w:cs="宋体"/>
          <w:color w:val="FF0000"/>
          <w:lang w:val="zh-CN"/>
        </w:rPr>
        <w:t>；</w:t>
      </w:r>
    </w:p>
    <w:p>
      <w:pPr>
        <w:pStyle w:val="82"/>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11</w:t>
      </w:r>
      <w:r>
        <w:rPr>
          <w:rFonts w:hint="eastAsia" w:cs="宋体"/>
          <w:color w:val="FF0000"/>
          <w:lang w:val="zh-CN"/>
        </w:rPr>
        <w:t>组织实施方案</w:t>
      </w:r>
      <w:r>
        <w:rPr>
          <w:rFonts w:hint="eastAsia" w:cs="宋体"/>
          <w:snapToGrid w:val="0"/>
          <w:color w:val="FF0000"/>
          <w:kern w:val="28"/>
        </w:rPr>
        <w:t>（如果有）</w:t>
      </w:r>
      <w:r>
        <w:rPr>
          <w:rFonts w:hint="eastAsia" w:cs="宋体"/>
          <w:color w:val="FF0000"/>
          <w:lang w:val="zh-CN"/>
        </w:rPr>
        <w:t>；</w:t>
      </w:r>
    </w:p>
    <w:p>
      <w:pPr>
        <w:pStyle w:val="82"/>
        <w:ind w:left="420" w:leftChars="200" w:firstLine="480" w:firstLineChars="200"/>
        <w:rPr>
          <w:color w:val="FF0000"/>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12</w:t>
      </w:r>
      <w:r>
        <w:rPr>
          <w:rFonts w:hint="eastAsia" w:cs="宋体"/>
          <w:color w:val="FF0000"/>
          <w:lang w:val="zh-CN"/>
        </w:rPr>
        <w:t>售后服务方案。</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left="420" w:leftChars="200" w:firstLine="4200" w:firstLineChars="1750"/>
        <w:rPr>
          <w:rFonts w:ascii="宋体" w:hAnsi="宋体" w:cs="宋体"/>
          <w:kern w:val="0"/>
          <w:sz w:val="24"/>
          <w:u w:val="single"/>
        </w:rPr>
      </w:pPr>
    </w:p>
    <w:p>
      <w:pPr>
        <w:spacing w:line="360" w:lineRule="auto"/>
        <w:ind w:right="420"/>
        <w:rPr>
          <w:rFonts w:ascii="宋体" w:hAnsi="宋体" w:cs="宋体"/>
          <w:sz w:val="24"/>
        </w:rPr>
      </w:pPr>
      <w:r>
        <w:rPr>
          <w:rFonts w:hint="eastAsia" w:ascii="宋体" w:hAnsi="宋体" w:cs="宋体"/>
          <w:sz w:val="24"/>
        </w:rPr>
        <w:t>注：按本格式和要求提供。</w:t>
      </w:r>
    </w:p>
    <w:p>
      <w:pPr>
        <w:snapToGrid w:val="0"/>
        <w:spacing w:line="360" w:lineRule="auto"/>
        <w:jc w:val="center"/>
        <w:rPr>
          <w:rFonts w:ascii="宋体" w:hAnsi="宋体" w:cs="宋体"/>
          <w:b/>
          <w:kern w:val="0"/>
          <w:sz w:val="32"/>
          <w:szCs w:val="32"/>
        </w:rPr>
      </w:pPr>
    </w:p>
    <w:p>
      <w:pPr>
        <w:snapToGrid w:val="0"/>
        <w:spacing w:line="360" w:lineRule="auto"/>
        <w:rPr>
          <w:rFonts w:ascii="宋体" w:hAnsi="宋体" w:cs="宋体"/>
          <w:sz w:val="24"/>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pStyle w:val="146"/>
        <w:spacing w:line="360" w:lineRule="auto"/>
        <w:rPr>
          <w:rFonts w:hAnsi="宋体"/>
          <w:color w:val="FF0000"/>
          <w:sz w:val="24"/>
        </w:rPr>
      </w:pPr>
    </w:p>
    <w:p>
      <w:pPr>
        <w:pStyle w:val="146"/>
        <w:spacing w:line="360" w:lineRule="auto"/>
        <w:rPr>
          <w:rFonts w:hAnsi="宋体" w:cs="宋体"/>
          <w:bCs/>
          <w:color w:val="FF0000"/>
          <w:sz w:val="24"/>
        </w:rPr>
      </w:pPr>
      <w:r>
        <w:rPr>
          <w:rFonts w:hint="eastAsia" w:hAnsi="宋体"/>
          <w:color w:val="FF0000"/>
          <w:sz w:val="24"/>
        </w:rPr>
        <w:t>委托代理人和法定代表人</w:t>
      </w:r>
      <w:r>
        <w:rPr>
          <w:rFonts w:hint="eastAsia" w:hAnsi="宋体" w:cs="宋体"/>
          <w:color w:val="FF0000"/>
          <w:kern w:val="0"/>
          <w:sz w:val="24"/>
        </w:rPr>
        <w:t>（负责人）</w:t>
      </w:r>
      <w:r>
        <w:rPr>
          <w:rFonts w:hint="eastAsia" w:hAnsi="宋体" w:cs="宋体"/>
          <w:bCs/>
          <w:color w:val="FF0000"/>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FF0000"/>
                <w:sz w:val="24"/>
              </w:rPr>
            </w:pPr>
            <w:r>
              <w:rPr>
                <w:rFonts w:hint="eastAsia" w:hAnsi="宋体" w:cs="宋体"/>
                <w:bCs/>
                <w:color w:val="FF0000"/>
                <w:sz w:val="24"/>
              </w:rPr>
              <w:t>正面：                                 反面：</w:t>
            </w: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r>
              <w:rPr>
                <w:rFonts w:hint="eastAsia" w:hAnsi="宋体" w:cs="宋体"/>
                <w:bCs/>
                <w:color w:val="FF0000"/>
                <w:sz w:val="24"/>
              </w:rPr>
              <w:t>正面：                                 反面：</w:t>
            </w:r>
          </w:p>
          <w:p>
            <w:pPr>
              <w:pStyle w:val="146"/>
              <w:adjustRightInd w:val="0"/>
              <w:spacing w:line="360" w:lineRule="auto"/>
              <w:rPr>
                <w:rFonts w:hAnsi="宋体" w:cs="宋体"/>
                <w:bCs/>
                <w:color w:val="FF0000"/>
                <w:sz w:val="24"/>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sz w:val="24"/>
        </w:rPr>
      </w:pPr>
    </w:p>
    <w:p>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rPr>
          <w:rFonts w:ascii="宋体" w:hAnsi="宋体" w:cs="宋体"/>
        </w:rPr>
      </w:pP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81"/>
        </w:rPr>
      </w:pPr>
      <w:r>
        <w:rPr>
          <w:rStyle w:val="81"/>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pPr>
        <w:pStyle w:val="82"/>
        <w:ind w:firstLine="5040" w:firstLineChars="2100"/>
      </w:pPr>
      <w:r>
        <w:rPr>
          <w:rFonts w:hint="eastAsia"/>
        </w:rPr>
        <w:t>法定代表人（负责人） (签名)：</w:t>
      </w:r>
    </w:p>
    <w:p>
      <w:pPr>
        <w:snapToGrid w:val="0"/>
        <w:spacing w:line="360" w:lineRule="auto"/>
        <w:ind w:firstLine="5040" w:firstLineChars="2100"/>
        <w:rPr>
          <w:rFonts w:ascii="宋体" w:hAnsi="宋体" w:cs="宋体"/>
          <w:kern w:val="0"/>
          <w:sz w:val="24"/>
          <w:lang w:val="zh-CN"/>
        </w:rPr>
      </w:pP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pPr>
        <w:pStyle w:val="146"/>
        <w:spacing w:line="360" w:lineRule="auto"/>
        <w:rPr>
          <w:rFonts w:hAnsi="宋体"/>
          <w:color w:val="FF0000"/>
          <w:sz w:val="24"/>
        </w:rPr>
      </w:pPr>
    </w:p>
    <w:p>
      <w:pPr>
        <w:pStyle w:val="146"/>
        <w:spacing w:line="360" w:lineRule="auto"/>
        <w:rPr>
          <w:rFonts w:hAnsi="宋体" w:cs="宋体"/>
          <w:bCs/>
          <w:color w:val="FF0000"/>
          <w:sz w:val="24"/>
        </w:rPr>
      </w:pPr>
      <w:r>
        <w:rPr>
          <w:rFonts w:hint="eastAsia" w:hAnsi="宋体"/>
          <w:color w:val="FF0000"/>
          <w:sz w:val="24"/>
        </w:rPr>
        <w:t>委托代理人和联合体牵头单位法定代表人</w:t>
      </w:r>
      <w:r>
        <w:rPr>
          <w:rFonts w:hint="eastAsia" w:hAnsi="宋体" w:cs="宋体"/>
          <w:color w:val="FF0000"/>
          <w:kern w:val="0"/>
          <w:sz w:val="24"/>
        </w:rPr>
        <w:t>（负责人）</w:t>
      </w:r>
      <w:r>
        <w:rPr>
          <w:rFonts w:hint="eastAsia" w:hAnsi="宋体" w:cs="宋体"/>
          <w:bCs/>
          <w:color w:val="FF0000"/>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FF0000"/>
                <w:sz w:val="24"/>
              </w:rPr>
            </w:pPr>
            <w:r>
              <w:rPr>
                <w:rFonts w:hint="eastAsia" w:hAnsi="宋体" w:cs="宋体"/>
                <w:bCs/>
                <w:color w:val="FF0000"/>
                <w:sz w:val="24"/>
              </w:rPr>
              <w:t>正面：                                 反面：</w:t>
            </w: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p>
          <w:p>
            <w:pPr>
              <w:pStyle w:val="146"/>
              <w:adjustRightInd w:val="0"/>
              <w:spacing w:line="360" w:lineRule="auto"/>
              <w:rPr>
                <w:rFonts w:hAnsi="宋体" w:cs="宋体"/>
                <w:bCs/>
                <w:color w:val="FF0000"/>
                <w:sz w:val="24"/>
              </w:rPr>
            </w:pPr>
            <w:r>
              <w:rPr>
                <w:rFonts w:hint="eastAsia" w:hAnsi="宋体" w:cs="宋体"/>
                <w:bCs/>
                <w:color w:val="FF0000"/>
                <w:sz w:val="24"/>
              </w:rPr>
              <w:t>正面：                                 反面：</w:t>
            </w:r>
          </w:p>
          <w:p>
            <w:pPr>
              <w:pStyle w:val="146"/>
              <w:adjustRightInd w:val="0"/>
              <w:spacing w:line="360" w:lineRule="auto"/>
              <w:rPr>
                <w:rFonts w:hAnsi="宋体" w:cs="宋体"/>
                <w:bCs/>
                <w:color w:val="FF0000"/>
                <w:sz w:val="24"/>
              </w:rPr>
            </w:pPr>
          </w:p>
        </w:tc>
      </w:tr>
    </w:tbl>
    <w:p>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pPr>
        <w:pStyle w:val="146"/>
        <w:spacing w:line="360" w:lineRule="auto"/>
        <w:rPr>
          <w:rFonts w:hAnsi="宋体" w:cs="宋体"/>
          <w:bCs/>
          <w:sz w:val="24"/>
        </w:rPr>
      </w:pPr>
    </w:p>
    <w:p>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pPr>
        <w:snapToGrid w:val="0"/>
        <w:spacing w:line="276" w:lineRule="auto"/>
        <w:ind w:firstLine="960" w:firstLineChars="400"/>
        <w:rPr>
          <w:rFonts w:ascii="宋体" w:hAnsi="宋体"/>
          <w:color w:val="FF0000"/>
          <w:sz w:val="24"/>
          <w:u w:val="single"/>
        </w:rPr>
      </w:pPr>
    </w:p>
    <w:p>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pPr>
        <w:snapToGrid w:val="0"/>
        <w:spacing w:line="276" w:lineRule="auto"/>
        <w:rPr>
          <w:rFonts w:ascii="宋体" w:hAnsi="宋体"/>
          <w:color w:val="FF0000"/>
          <w:sz w:val="24"/>
        </w:rPr>
      </w:pPr>
    </w:p>
    <w:p>
      <w:pPr>
        <w:snapToGrid w:val="0"/>
        <w:spacing w:line="276" w:lineRule="auto"/>
        <w:rPr>
          <w:rFonts w:ascii="宋体" w:hAnsi="宋体"/>
          <w:color w:val="FF0000"/>
          <w:sz w:val="24"/>
        </w:rPr>
      </w:pPr>
      <w:r>
        <w:rPr>
          <w:rFonts w:hint="eastAsia" w:ascii="宋体" w:hAnsi="宋体"/>
          <w:color w:val="FF0000"/>
          <w:sz w:val="24"/>
        </w:rPr>
        <w:t xml:space="preserve">                        </w:t>
      </w:r>
    </w:p>
    <w:p>
      <w:pPr>
        <w:snapToGrid w:val="0"/>
        <w:spacing w:line="276" w:lineRule="auto"/>
        <w:rPr>
          <w:rFonts w:ascii="宋体" w:hAnsi="宋体"/>
          <w:color w:val="FF0000"/>
          <w:sz w:val="24"/>
        </w:rPr>
      </w:pPr>
    </w:p>
    <w:p>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投标人名称(公章)：                              </w:t>
      </w:r>
    </w:p>
    <w:p>
      <w:pPr>
        <w:pStyle w:val="146"/>
        <w:spacing w:line="360" w:lineRule="auto"/>
        <w:rPr>
          <w:rFonts w:hAnsi="宋体" w:cs="宋体"/>
          <w:bCs/>
          <w:color w:val="FF0000"/>
          <w:sz w:val="24"/>
        </w:rPr>
      </w:pPr>
      <w:r>
        <w:rPr>
          <w:rFonts w:hint="eastAsia" w:hAnsi="宋体" w:cs="宋体"/>
          <w:color w:val="FF0000"/>
          <w:kern w:val="0"/>
          <w:sz w:val="24"/>
          <w:lang w:val="zh-CN"/>
        </w:rPr>
        <w:t xml:space="preserve">                               日期：  年  月  日</w:t>
      </w:r>
    </w:p>
    <w:p>
      <w:pPr>
        <w:pStyle w:val="146"/>
        <w:spacing w:line="360" w:lineRule="auto"/>
        <w:rPr>
          <w:rFonts w:hAnsi="宋体" w:cs="宋体"/>
          <w:bCs/>
          <w:color w:val="FF0000"/>
          <w:sz w:val="24"/>
        </w:rPr>
      </w:pPr>
    </w:p>
    <w:p>
      <w:pPr>
        <w:pStyle w:val="146"/>
        <w:spacing w:line="360" w:lineRule="auto"/>
        <w:rPr>
          <w:rFonts w:hAnsi="宋体" w:cs="宋体"/>
          <w:bCs/>
          <w:color w:val="FF0000"/>
          <w:sz w:val="24"/>
        </w:rPr>
      </w:pPr>
      <w:r>
        <w:rPr>
          <w:rFonts w:hint="eastAsia" w:hAnsi="宋体"/>
          <w:color w:val="FF0000"/>
          <w:sz w:val="24"/>
        </w:rPr>
        <w:t>法定代表人</w:t>
      </w:r>
      <w:r>
        <w:rPr>
          <w:rFonts w:hint="eastAsia" w:hAnsi="宋体" w:cs="宋体"/>
          <w:color w:val="FF0000"/>
          <w:kern w:val="0"/>
          <w:sz w:val="24"/>
        </w:rPr>
        <w:t>（负责人）</w:t>
      </w:r>
      <w:r>
        <w:rPr>
          <w:rFonts w:hint="eastAsia" w:hAnsi="宋体" w:cs="宋体"/>
          <w:bCs/>
          <w:color w:val="FF0000"/>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FF0000"/>
                <w:sz w:val="24"/>
              </w:rPr>
            </w:pPr>
            <w:r>
              <w:rPr>
                <w:rFonts w:hint="eastAsia" w:hAnsi="宋体" w:cs="宋体"/>
                <w:bCs/>
                <w:color w:val="FF0000"/>
                <w:sz w:val="24"/>
              </w:rPr>
              <w:t>正面：                                 反面：</w:t>
            </w:r>
          </w:p>
          <w:p>
            <w:pPr>
              <w:pStyle w:val="146"/>
              <w:adjustRightInd w:val="0"/>
              <w:spacing w:line="360" w:lineRule="auto"/>
              <w:rPr>
                <w:rFonts w:hAnsi="宋体" w:cs="宋体"/>
                <w:bCs/>
                <w:color w:val="FF0000"/>
                <w:sz w:val="24"/>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pPr>
        <w:widowControl/>
        <w:spacing w:line="360" w:lineRule="auto"/>
        <w:ind w:firstLine="120" w:firstLineChars="50"/>
        <w:jc w:val="left"/>
        <w:rPr>
          <w:rFonts w:ascii="宋体" w:hAnsi="宋体" w:cs="宋体"/>
          <w:sz w:val="24"/>
        </w:rPr>
      </w:pPr>
      <w:bookmarkStart w:id="433" w:name="_Hlk101169080"/>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bookmarkEnd w:id="433"/>
    <w:p>
      <w:pPr>
        <w:snapToGrid w:val="0"/>
        <w:spacing w:line="360" w:lineRule="auto"/>
        <w:rPr>
          <w:rFonts w:ascii="宋体" w:hAnsi="宋体" w:cs="宋体"/>
          <w:kern w:val="0"/>
          <w:sz w:val="24"/>
        </w:rPr>
      </w:pPr>
    </w:p>
    <w:p>
      <w:pPr>
        <w:jc w:val="center"/>
        <w:rPr>
          <w:rFonts w:ascii="宋体" w:hAnsi="宋体" w:cs="宋体"/>
          <w:b/>
          <w:kern w:val="0"/>
          <w:sz w:val="32"/>
          <w:szCs w:val="32"/>
        </w:rPr>
      </w:pPr>
    </w:p>
    <w:p>
      <w:pPr>
        <w:pStyle w:val="82"/>
      </w:pPr>
    </w:p>
    <w:p/>
    <w:p>
      <w:pPr>
        <w:pStyle w:val="82"/>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四、符合性审查资料</w:t>
      </w:r>
    </w:p>
    <w:p>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pPr>
              <w:snapToGrid w:val="0"/>
              <w:spacing w:line="240" w:lineRule="atLeast"/>
              <w:jc w:val="center"/>
              <w:rPr>
                <w:rFonts w:ascii="宋体" w:hAnsi="宋体" w:cs="宋体"/>
                <w:b/>
                <w:sz w:val="24"/>
              </w:rPr>
            </w:pPr>
            <w:r>
              <w:rPr>
                <w:rFonts w:hint="eastAsia" w:ascii="宋体" w:hAnsi="宋体" w:cs="宋体"/>
                <w:b/>
                <w:sz w:val="24"/>
              </w:rPr>
              <w:t>投标文件中的</w:t>
            </w:r>
          </w:p>
          <w:p>
            <w:pPr>
              <w:snapToGrid w:val="0"/>
              <w:spacing w:line="240" w:lineRule="atLeast"/>
              <w:jc w:val="center"/>
              <w:rPr>
                <w:rFonts w:ascii="宋体" w:hAnsi="宋体" w:cs="宋体"/>
                <w:b/>
                <w:sz w:val="24"/>
              </w:rPr>
            </w:pPr>
            <w:r>
              <w:rPr>
                <w:rFonts w:hint="eastAsia" w:ascii="宋体" w:hAnsi="宋体" w:cs="宋体"/>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1</w:t>
            </w:r>
          </w:p>
        </w:tc>
        <w:tc>
          <w:tcPr>
            <w:tcW w:w="4991" w:type="dxa"/>
            <w:vAlign w:val="center"/>
          </w:tcPr>
          <w:p>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pPr>
              <w:rPr>
                <w:rFonts w:ascii="宋体" w:hAnsi="宋体" w:cs="宋体"/>
                <w:sz w:val="24"/>
              </w:rPr>
            </w:pPr>
          </w:p>
          <w:p>
            <w:pPr>
              <w:rPr>
                <w:rFonts w:ascii="宋体" w:hAnsi="宋体" w:cs="宋体"/>
                <w:sz w:val="24"/>
              </w:rPr>
            </w:pPr>
            <w:r>
              <w:rPr>
                <w:rFonts w:hint="eastAsia" w:ascii="宋体" w:hAnsi="宋体" w:cs="宋体"/>
                <w:sz w:val="24"/>
              </w:rPr>
              <w:t>见投标文件</w:t>
            </w:r>
          </w:p>
          <w:p>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2</w:t>
            </w:r>
          </w:p>
        </w:tc>
        <w:tc>
          <w:tcPr>
            <w:tcW w:w="4991" w:type="dxa"/>
            <w:vAlign w:val="center"/>
          </w:tcPr>
          <w:p>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pPr>
              <w:rPr>
                <w:rFonts w:ascii="宋体" w:hAnsi="宋体" w:cs="宋体"/>
                <w:sz w:val="24"/>
              </w:rPr>
            </w:pPr>
            <w:r>
              <w:rPr>
                <w:rFonts w:hint="eastAsia" w:ascii="宋体" w:hAnsi="宋体" w:cs="宋体"/>
                <w:sz w:val="24"/>
              </w:rPr>
              <w:t>投标函</w:t>
            </w:r>
          </w:p>
        </w:tc>
        <w:tc>
          <w:tcPr>
            <w:tcW w:w="1418" w:type="dxa"/>
            <w:vAlign w:val="center"/>
          </w:tcPr>
          <w:p>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3</w:t>
            </w:r>
          </w:p>
        </w:tc>
        <w:tc>
          <w:tcPr>
            <w:tcW w:w="4991" w:type="dxa"/>
            <w:vAlign w:val="center"/>
          </w:tcPr>
          <w:p>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 xml:space="preserve">            </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jc w:val="center"/>
        <w:rPr>
          <w:rFonts w:ascii="宋体" w:hAnsi="宋体" w:cs="宋体"/>
        </w:rPr>
      </w:pPr>
      <w:r>
        <w:rPr>
          <w:rFonts w:hint="eastAsia" w:ascii="宋体" w:hAnsi="宋体" w:cs="宋体"/>
          <w:b/>
          <w:kern w:val="0"/>
          <w:sz w:val="32"/>
          <w:szCs w:val="32"/>
        </w:rPr>
        <w:t>五、评标标准相应的商务技术资料</w:t>
      </w:r>
    </w:p>
    <w:p>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sz w:val="24"/>
              </w:rPr>
            </w:pPr>
            <w:r>
              <w:rPr>
                <w:rFonts w:hint="eastAsia" w:ascii="宋体" w:hAnsi="宋体" w:cs="宋体"/>
                <w:b/>
                <w:bCs/>
                <w:sz w:val="24"/>
              </w:rPr>
              <w:t>序号</w:t>
            </w:r>
          </w:p>
        </w:tc>
        <w:tc>
          <w:tcPr>
            <w:tcW w:w="3683" w:type="dxa"/>
          </w:tcPr>
          <w:p>
            <w:pPr>
              <w:jc w:val="center"/>
              <w:rPr>
                <w:rFonts w:ascii="宋体" w:hAnsi="宋体" w:cs="宋体"/>
                <w:b/>
                <w:bCs/>
                <w:sz w:val="24"/>
              </w:rPr>
            </w:pPr>
            <w:r>
              <w:rPr>
                <w:rFonts w:hint="eastAsia" w:ascii="宋体" w:hAnsi="宋体" w:cs="宋体"/>
                <w:b/>
                <w:bCs/>
                <w:sz w:val="24"/>
              </w:rPr>
              <w:t>招标文件章节及具体内容</w:t>
            </w:r>
          </w:p>
        </w:tc>
        <w:tc>
          <w:tcPr>
            <w:tcW w:w="3546" w:type="dxa"/>
          </w:tcPr>
          <w:p>
            <w:pPr>
              <w:jc w:val="center"/>
              <w:rPr>
                <w:rFonts w:ascii="宋体" w:hAnsi="宋体" w:cs="宋体"/>
                <w:b/>
                <w:bCs/>
                <w:sz w:val="24"/>
              </w:rPr>
            </w:pPr>
            <w:r>
              <w:rPr>
                <w:rFonts w:hint="eastAsia" w:ascii="宋体" w:hAnsi="宋体" w:cs="宋体"/>
                <w:b/>
                <w:bCs/>
                <w:sz w:val="24"/>
              </w:rPr>
              <w:t>投标文件章节及具体内容</w:t>
            </w:r>
          </w:p>
        </w:tc>
        <w:tc>
          <w:tcPr>
            <w:tcW w:w="1276" w:type="dxa"/>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1</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2</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bl>
    <w:p>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pPr>
        <w:spacing w:line="360" w:lineRule="auto"/>
        <w:ind w:firstLine="3600" w:firstLineChars="150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jc w:val="center"/>
        <w:rPr>
          <w:rFonts w:ascii="宋体" w:hAnsi="宋体" w:cs="宋体"/>
          <w:b/>
          <w:kern w:val="0"/>
          <w:sz w:val="32"/>
          <w:szCs w:val="32"/>
        </w:rPr>
      </w:pPr>
    </w:p>
    <w:p>
      <w:pPr>
        <w:spacing w:line="360" w:lineRule="auto"/>
        <w:ind w:right="420"/>
        <w:rPr>
          <w:rFonts w:ascii="宋体" w:hAnsi="宋体" w:cs="宋体"/>
          <w:sz w:val="24"/>
        </w:rPr>
      </w:pPr>
      <w:r>
        <w:rPr>
          <w:rFonts w:hint="eastAsia" w:ascii="宋体" w:hAnsi="宋体" w:cs="宋体"/>
          <w:sz w:val="24"/>
        </w:rPr>
        <w:t>注：按本格式和要求提供。</w:t>
      </w: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widowControl/>
        <w:adjustRightInd/>
        <w:jc w:val="left"/>
        <w:rPr>
          <w:rFonts w:ascii="宋体" w:hAnsi="宋体" w:cs="宋体"/>
          <w:b/>
          <w:bCs/>
          <w:sz w:val="32"/>
          <w:szCs w:val="32"/>
        </w:rPr>
      </w:pPr>
    </w:p>
    <w:p>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pPr>
        <w:snapToGrid w:val="0"/>
        <w:spacing w:line="360" w:lineRule="auto"/>
        <w:rPr>
          <w:rFonts w:ascii="宋体" w:hAnsi="宋体" w:cs="宋体"/>
          <w:sz w:val="24"/>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left="4620" w:leftChars="2200"/>
        <w:rPr>
          <w:rFonts w:ascii="宋体" w:hAnsi="宋体" w:cs="宋体"/>
          <w:sz w:val="24"/>
        </w:rPr>
      </w:pP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ind w:firstLine="1911" w:firstLineChars="595"/>
        <w:jc w:val="center"/>
        <w:rPr>
          <w:rFonts w:ascii="宋体" w:hAnsi="宋体" w:cs="宋体"/>
          <w:b/>
          <w:bCs/>
          <w:sz w:val="32"/>
          <w:szCs w:val="32"/>
        </w:rPr>
      </w:pPr>
    </w:p>
    <w:p>
      <w:pPr>
        <w:ind w:firstLine="1911" w:firstLineChars="595"/>
        <w:jc w:val="center"/>
        <w:rPr>
          <w:rFonts w:ascii="宋体" w:hAnsi="宋体" w:cs="宋体"/>
          <w:b/>
          <w:bCs/>
          <w:sz w:val="32"/>
          <w:szCs w:val="32"/>
        </w:rPr>
      </w:pPr>
    </w:p>
    <w:p>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kern w:val="0"/>
          <w:sz w:val="24"/>
        </w:rPr>
      </w:pPr>
    </w:p>
    <w:p>
      <w:pPr>
        <w:spacing w:line="360" w:lineRule="auto"/>
        <w:ind w:firstLine="3600" w:firstLineChars="1500"/>
        <w:rPr>
          <w:rFonts w:ascii="宋体" w:hAnsi="宋体" w:cs="宋体"/>
          <w:sz w:val="24"/>
        </w:rPr>
      </w:pPr>
      <w:r>
        <w:rPr>
          <w:rFonts w:hint="eastAsia" w:ascii="宋体" w:hAnsi="宋体" w:cs="宋体"/>
          <w:sz w:val="24"/>
        </w:rPr>
        <w:t>投标人名称（公章）：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十、技术解决方案</w:t>
      </w:r>
    </w:p>
    <w:p>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pPr>
        <w:spacing w:line="360" w:lineRule="auto"/>
        <w:jc w:val="center"/>
        <w:rPr>
          <w:rFonts w:cs="仿宋_GB2312" w:asciiTheme="minorEastAsia" w:hAnsiTheme="minorEastAsia" w:eastAsiaTheme="minorEastAsia"/>
          <w:color w:val="FF0000"/>
          <w:sz w:val="24"/>
        </w:rPr>
      </w:pPr>
    </w:p>
    <w:p>
      <w:pPr>
        <w:autoSpaceDE w:val="0"/>
        <w:autoSpaceDN w:val="0"/>
        <w:spacing w:line="360" w:lineRule="auto"/>
        <w:rPr>
          <w:rFonts w:cs="仿宋_GB2312" w:asciiTheme="minorEastAsia" w:hAnsiTheme="minorEastAsia" w:eastAsiaTheme="minorEastAsia"/>
          <w:color w:val="FF0000"/>
          <w:kern w:val="0"/>
          <w:sz w:val="24"/>
        </w:rPr>
      </w:pPr>
    </w:p>
    <w:p>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pPr>
        <w:spacing w:line="360" w:lineRule="auto"/>
        <w:jc w:val="center"/>
        <w:rPr>
          <w:rFonts w:cs="仿宋_GB2312" w:asciiTheme="minorEastAsia" w:hAnsiTheme="minorEastAsia" w:eastAsiaTheme="minorEastAsia"/>
          <w:b/>
          <w:bCs/>
          <w:color w:val="FF0000"/>
          <w:sz w:val="32"/>
          <w:szCs w:val="32"/>
        </w:rPr>
      </w:pPr>
    </w:p>
    <w:p>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十一、组织实施方案</w:t>
      </w:r>
    </w:p>
    <w:p>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pPr>
        <w:spacing w:line="360" w:lineRule="auto"/>
        <w:jc w:val="center"/>
        <w:rPr>
          <w:rFonts w:cs="仿宋_GB2312" w:asciiTheme="minorEastAsia" w:hAnsiTheme="minorEastAsia" w:eastAsiaTheme="minorEastAsia"/>
          <w:color w:val="FF0000"/>
          <w:sz w:val="24"/>
        </w:rPr>
      </w:pPr>
    </w:p>
    <w:p>
      <w:pPr>
        <w:autoSpaceDE w:val="0"/>
        <w:autoSpaceDN w:val="0"/>
        <w:spacing w:line="360" w:lineRule="auto"/>
        <w:rPr>
          <w:rFonts w:cs="仿宋_GB2312" w:asciiTheme="minorEastAsia" w:hAnsiTheme="minorEastAsia" w:eastAsiaTheme="minorEastAsia"/>
          <w:color w:val="FF0000"/>
          <w:kern w:val="0"/>
          <w:sz w:val="24"/>
        </w:rPr>
      </w:pPr>
    </w:p>
    <w:p>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pPr>
        <w:spacing w:line="360" w:lineRule="auto"/>
        <w:jc w:val="center"/>
        <w:rPr>
          <w:rFonts w:cs="仿宋_GB2312" w:asciiTheme="minorEastAsia" w:hAnsiTheme="minorEastAsia" w:eastAsiaTheme="minorEastAsia"/>
          <w:b/>
          <w:bCs/>
          <w:color w:val="FF0000"/>
          <w:sz w:val="32"/>
          <w:szCs w:val="32"/>
        </w:rPr>
      </w:pPr>
    </w:p>
    <w:p>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十二、售后服务方案</w:t>
      </w:r>
    </w:p>
    <w:p>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pPr>
        <w:spacing w:line="360" w:lineRule="auto"/>
        <w:jc w:val="center"/>
        <w:rPr>
          <w:rFonts w:cs="仿宋_GB2312" w:asciiTheme="minorEastAsia" w:hAnsiTheme="minorEastAsia" w:eastAsiaTheme="minorEastAsia"/>
          <w:color w:val="FF0000"/>
          <w:sz w:val="24"/>
        </w:rPr>
      </w:pPr>
    </w:p>
    <w:p>
      <w:pPr>
        <w:autoSpaceDE w:val="0"/>
        <w:autoSpaceDN w:val="0"/>
        <w:spacing w:line="360" w:lineRule="auto"/>
        <w:rPr>
          <w:rFonts w:cs="仿宋_GB2312" w:asciiTheme="minorEastAsia" w:hAnsiTheme="minorEastAsia" w:eastAsiaTheme="minorEastAsia"/>
          <w:color w:val="FF0000"/>
          <w:kern w:val="0"/>
          <w:sz w:val="24"/>
        </w:rPr>
      </w:pPr>
    </w:p>
    <w:p>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pPr>
        <w:spacing w:line="360" w:lineRule="auto"/>
        <w:jc w:val="center"/>
        <w:rPr>
          <w:rFonts w:ascii="宋体" w:hAnsi="宋体" w:cs="宋体"/>
          <w:b/>
          <w:bCs/>
          <w:sz w:val="24"/>
        </w:rPr>
      </w:pPr>
    </w:p>
    <w:p>
      <w:pPr>
        <w:pStyle w:val="3"/>
        <w:rPr>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rPr>
          <w:rFonts w:ascii="宋体" w:hAnsi="宋体" w:cs="宋体"/>
          <w:b/>
          <w:kern w:val="0"/>
          <w:sz w:val="36"/>
          <w:szCs w:val="36"/>
        </w:rPr>
      </w:pPr>
    </w:p>
    <w:p>
      <w:pPr>
        <w:snapToGrid w:val="0"/>
        <w:spacing w:line="360" w:lineRule="auto"/>
        <w:rPr>
          <w:rFonts w:ascii="宋体" w:hAnsi="宋体" w:cs="宋体"/>
          <w:sz w:val="24"/>
        </w:rPr>
      </w:pPr>
      <w:r>
        <w:rPr>
          <w:rFonts w:hint="eastAsia" w:ascii="宋体" w:hAnsi="宋体" w:cs="宋体"/>
          <w:sz w:val="24"/>
        </w:rPr>
        <w:t>（1）开标一览表（报价表）………………………………………………………（页码）</w:t>
      </w:r>
    </w:p>
    <w:p>
      <w:pPr>
        <w:snapToGrid w:val="0"/>
        <w:spacing w:line="360" w:lineRule="auto"/>
        <w:rPr>
          <w:rFonts w:ascii="宋体" w:hAnsi="宋体" w:cs="宋体"/>
          <w:sz w:val="24"/>
        </w:rPr>
      </w:pPr>
      <w:r>
        <w:rPr>
          <w:rFonts w:hint="eastAsia" w:ascii="宋体" w:hAnsi="宋体" w:cs="宋体"/>
          <w:sz w:val="24"/>
        </w:rPr>
        <w:t>（2）中小企业声明函………………………………………………………………（页码）</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pPr>
        <w:pStyle w:val="82"/>
        <w:jc w:val="center"/>
        <w:rPr>
          <w:b/>
          <w:sz w:val="32"/>
          <w:szCs w:val="32"/>
        </w:rPr>
      </w:pPr>
      <w:bookmarkStart w:id="434" w:name="_Toc176185127"/>
      <w:r>
        <w:rPr>
          <w:rFonts w:hint="eastAsia"/>
          <w:b/>
          <w:sz w:val="32"/>
          <w:szCs w:val="32"/>
        </w:rPr>
        <w:t>一、开标一览表（报价表）</w:t>
      </w:r>
      <w:bookmarkEnd w:id="434"/>
    </w:p>
    <w:p>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pPr>
              <w:spacing w:line="360" w:lineRule="auto"/>
              <w:jc w:val="center"/>
              <w:rPr>
                <w:rFonts w:ascii="宋体" w:hAnsi="宋体" w:cs="宋体"/>
                <w:b/>
                <w:sz w:val="24"/>
              </w:rPr>
            </w:pPr>
            <w:r>
              <w:rPr>
                <w:rFonts w:hint="eastAsia" w:ascii="宋体" w:hAnsi="宋体" w:cs="宋体"/>
                <w:b/>
                <w:sz w:val="24"/>
              </w:rPr>
              <w:t>名称</w:t>
            </w:r>
          </w:p>
        </w:tc>
        <w:tc>
          <w:tcPr>
            <w:tcW w:w="1843" w:type="dxa"/>
            <w:vAlign w:val="center"/>
          </w:tcPr>
          <w:p>
            <w:pPr>
              <w:spacing w:line="360" w:lineRule="auto"/>
              <w:jc w:val="center"/>
              <w:rPr>
                <w:rFonts w:ascii="宋体" w:hAnsi="宋体" w:cs="宋体"/>
                <w:b/>
                <w:sz w:val="24"/>
              </w:rPr>
            </w:pPr>
            <w:r>
              <w:rPr>
                <w:rFonts w:hint="eastAsia" w:ascii="宋体" w:hAnsi="宋体" w:cs="宋体"/>
                <w:b/>
                <w:sz w:val="24"/>
              </w:rPr>
              <w:t>生产厂家、</w:t>
            </w:r>
          </w:p>
          <w:p>
            <w:pPr>
              <w:spacing w:line="360" w:lineRule="auto"/>
              <w:jc w:val="center"/>
              <w:rPr>
                <w:rFonts w:ascii="宋体" w:hAnsi="宋体" w:cs="宋体"/>
                <w:b/>
                <w:sz w:val="24"/>
              </w:rPr>
            </w:pPr>
            <w:r>
              <w:rPr>
                <w:rFonts w:hint="eastAsia" w:ascii="宋体" w:hAnsi="宋体" w:cs="宋体"/>
                <w:b/>
                <w:sz w:val="24"/>
              </w:rPr>
              <w:t>品牌（如果有）</w:t>
            </w:r>
          </w:p>
        </w:tc>
        <w:tc>
          <w:tcPr>
            <w:tcW w:w="3118" w:type="dxa"/>
            <w:vAlign w:val="center"/>
          </w:tcPr>
          <w:p>
            <w:pPr>
              <w:spacing w:line="360" w:lineRule="auto"/>
              <w:jc w:val="center"/>
              <w:rPr>
                <w:rFonts w:ascii="宋体" w:hAnsi="宋体" w:cs="宋体"/>
                <w:b/>
                <w:sz w:val="24"/>
              </w:rPr>
            </w:pPr>
            <w:r>
              <w:rPr>
                <w:rFonts w:hint="eastAsia" w:ascii="宋体" w:hAnsi="宋体" w:cs="宋体"/>
                <w:b/>
                <w:sz w:val="24"/>
              </w:rPr>
              <w:t>规格型号</w:t>
            </w:r>
          </w:p>
        </w:tc>
        <w:tc>
          <w:tcPr>
            <w:tcW w:w="993" w:type="dxa"/>
            <w:vAlign w:val="center"/>
          </w:tcPr>
          <w:p>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备注（如果有）</w:t>
            </w:r>
          </w:p>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pPr>
              <w:snapToGrid w:val="0"/>
              <w:spacing w:line="360" w:lineRule="auto"/>
              <w:jc w:val="center"/>
              <w:rPr>
                <w:rFonts w:ascii="宋体" w:hAnsi="宋体" w:cs="宋体"/>
                <w:sz w:val="24"/>
              </w:rPr>
            </w:pP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sz w:val="24"/>
              </w:rPr>
            </w:pPr>
          </w:p>
        </w:tc>
        <w:tc>
          <w:tcPr>
            <w:tcW w:w="1417" w:type="dxa"/>
            <w:vAlign w:val="center"/>
          </w:tcPr>
          <w:p>
            <w:pPr>
              <w:snapToGrid w:val="0"/>
              <w:spacing w:line="360" w:lineRule="auto"/>
              <w:jc w:val="center"/>
              <w:rPr>
                <w:rFonts w:ascii="宋体" w:hAnsi="宋体" w:cs="宋体"/>
                <w:sz w:val="24"/>
              </w:rPr>
            </w:pP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sz w:val="24"/>
              </w:rPr>
            </w:pPr>
          </w:p>
        </w:tc>
        <w:tc>
          <w:tcPr>
            <w:tcW w:w="1417" w:type="dxa"/>
            <w:vAlign w:val="center"/>
          </w:tcPr>
          <w:p>
            <w:pPr>
              <w:snapToGrid w:val="0"/>
              <w:spacing w:line="360" w:lineRule="auto"/>
              <w:jc w:val="center"/>
              <w:rPr>
                <w:rFonts w:ascii="宋体" w:hAnsi="宋体" w:cs="宋体"/>
                <w:sz w:val="24"/>
              </w:rPr>
            </w:pPr>
          </w:p>
        </w:tc>
        <w:tc>
          <w:tcPr>
            <w:tcW w:w="1843" w:type="dxa"/>
            <w:vAlign w:val="center"/>
          </w:tcPr>
          <w:p>
            <w:pPr>
              <w:snapToGrid w:val="0"/>
              <w:spacing w:line="360" w:lineRule="auto"/>
              <w:jc w:val="center"/>
              <w:rPr>
                <w:rFonts w:ascii="宋体" w:hAnsi="宋体" w:cs="宋体"/>
                <w:sz w:val="24"/>
              </w:rPr>
            </w:pPr>
          </w:p>
        </w:tc>
        <w:tc>
          <w:tcPr>
            <w:tcW w:w="3118" w:type="dxa"/>
            <w:vAlign w:val="center"/>
          </w:tcPr>
          <w:p>
            <w:pPr>
              <w:snapToGrid w:val="0"/>
              <w:spacing w:line="360" w:lineRule="auto"/>
              <w:jc w:val="center"/>
              <w:rPr>
                <w:rFonts w:ascii="宋体" w:hAnsi="宋体" w:cs="宋体"/>
                <w:sz w:val="24"/>
              </w:rPr>
            </w:pPr>
          </w:p>
        </w:tc>
        <w:tc>
          <w:tcPr>
            <w:tcW w:w="993" w:type="dxa"/>
            <w:vAlign w:val="center"/>
          </w:tcPr>
          <w:p>
            <w:pPr>
              <w:snapToGrid w:val="0"/>
              <w:spacing w:line="360" w:lineRule="auto"/>
              <w:jc w:val="center"/>
              <w:rPr>
                <w:rFonts w:ascii="宋体" w:hAnsi="宋体" w:cs="宋体"/>
                <w:sz w:val="24"/>
              </w:rPr>
            </w:pPr>
          </w:p>
        </w:tc>
        <w:tc>
          <w:tcPr>
            <w:tcW w:w="1559" w:type="dxa"/>
            <w:vAlign w:val="center"/>
          </w:tcPr>
          <w:p>
            <w:pPr>
              <w:spacing w:line="360" w:lineRule="auto"/>
              <w:jc w:val="center"/>
              <w:rPr>
                <w:rFonts w:ascii="宋体" w:hAnsi="宋体" w:cs="宋体"/>
                <w:sz w:val="24"/>
              </w:rPr>
            </w:pPr>
          </w:p>
        </w:tc>
        <w:tc>
          <w:tcPr>
            <w:tcW w:w="1984" w:type="dxa"/>
            <w:vAlign w:val="center"/>
          </w:tcPr>
          <w:p>
            <w:pPr>
              <w:spacing w:line="360" w:lineRule="auto"/>
              <w:jc w:val="center"/>
              <w:rPr>
                <w:rFonts w:ascii="宋体" w:hAnsi="宋体" w:cs="宋体"/>
                <w:sz w:val="24"/>
              </w:rPr>
            </w:pPr>
          </w:p>
        </w:tc>
        <w:tc>
          <w:tcPr>
            <w:tcW w:w="3119"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sz w:val="24"/>
              </w:rPr>
            </w:pPr>
            <w:r>
              <w:rPr>
                <w:rFonts w:hint="eastAsia" w:ascii="宋体" w:hAnsi="宋体" w:cs="宋体"/>
                <w:b/>
                <w:sz w:val="24"/>
              </w:rPr>
              <w:t>投标报价（小写）</w:t>
            </w:r>
          </w:p>
        </w:tc>
        <w:tc>
          <w:tcPr>
            <w:tcW w:w="7655" w:type="dxa"/>
            <w:gridSpan w:val="4"/>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sz w:val="24"/>
              </w:rPr>
            </w:pPr>
            <w:r>
              <w:rPr>
                <w:rFonts w:hint="eastAsia" w:ascii="宋体" w:hAnsi="宋体" w:cs="宋体"/>
                <w:b/>
                <w:sz w:val="24"/>
              </w:rPr>
              <w:t>投标报价（大写）</w:t>
            </w:r>
          </w:p>
        </w:tc>
        <w:tc>
          <w:tcPr>
            <w:tcW w:w="7655" w:type="dxa"/>
            <w:gridSpan w:val="4"/>
            <w:vAlign w:val="center"/>
          </w:tcPr>
          <w:p>
            <w:pPr>
              <w:spacing w:line="360" w:lineRule="auto"/>
              <w:jc w:val="center"/>
              <w:rPr>
                <w:rFonts w:ascii="宋体" w:hAnsi="宋体" w:cs="宋体"/>
                <w:sz w:val="24"/>
              </w:rPr>
            </w:pPr>
          </w:p>
        </w:tc>
      </w:tr>
    </w:tbl>
    <w:p>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autoSpaceDE w:val="0"/>
        <w:autoSpaceDN w:val="0"/>
        <w:spacing w:line="360" w:lineRule="auto"/>
        <w:ind w:left="2"/>
        <w:jc w:val="left"/>
        <w:rPr>
          <w:rFonts w:ascii="宋体" w:hAnsi="宋体" w:cs="宋体"/>
          <w:kern w:val="0"/>
          <w:sz w:val="24"/>
          <w:lang w:val="zh-CN"/>
        </w:rPr>
      </w:pPr>
    </w:p>
    <w:p>
      <w:pPr>
        <w:spacing w:line="360" w:lineRule="auto"/>
        <w:ind w:firstLine="6240" w:firstLineChars="2600"/>
        <w:rPr>
          <w:rFonts w:ascii="宋体" w:hAnsi="宋体" w:cs="宋体"/>
          <w:sz w:val="24"/>
        </w:rPr>
      </w:pPr>
      <w:r>
        <w:rPr>
          <w:rFonts w:hint="eastAsia" w:ascii="宋体" w:hAnsi="宋体" w:cs="宋体"/>
          <w:sz w:val="24"/>
        </w:rPr>
        <w:t>投标人名称（公章）：</w:t>
      </w:r>
    </w:p>
    <w:p>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firstLine="482" w:firstLineChars="200"/>
        <w:rPr>
          <w:rFonts w:ascii="宋体" w:hAnsi="宋体" w:cs="宋体"/>
          <w:b/>
          <w:kern w:val="0"/>
          <w:sz w:val="24"/>
        </w:rPr>
      </w:pPr>
    </w:p>
    <w:p>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pPr>
    </w:p>
    <w:p>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pPr>
        <w:pStyle w:val="82"/>
        <w:jc w:val="center"/>
        <w:rPr>
          <w:b/>
          <w:sz w:val="32"/>
          <w:szCs w:val="32"/>
        </w:rPr>
      </w:pPr>
      <w:bookmarkStart w:id="435" w:name="_Toc176185128"/>
      <w:r>
        <w:rPr>
          <w:rFonts w:hint="eastAsia"/>
          <w:b/>
          <w:kern w:val="2"/>
          <w:sz w:val="32"/>
          <w:szCs w:val="32"/>
        </w:rPr>
        <w:t>二、</w:t>
      </w:r>
      <w:r>
        <w:rPr>
          <w:rFonts w:hint="eastAsia"/>
          <w:b/>
          <w:sz w:val="32"/>
          <w:szCs w:val="32"/>
        </w:rPr>
        <w:t>中小企业声明函</w:t>
      </w:r>
      <w:bookmarkStart w:id="436" w:name="_Hlk101259491"/>
      <w:r>
        <w:rPr>
          <w:rFonts w:hint="eastAsia"/>
          <w:b/>
          <w:sz w:val="32"/>
          <w:szCs w:val="32"/>
        </w:rPr>
        <w:t>（如果有）</w:t>
      </w:r>
      <w:bookmarkEnd w:id="435"/>
      <w:bookmarkEnd w:id="436"/>
    </w:p>
    <w:p>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pPr>
        <w:pStyle w:val="690"/>
        <w:keepNext w:val="0"/>
        <w:pageBreakBefore w:val="0"/>
        <w:tabs>
          <w:tab w:val="clear" w:pos="720"/>
        </w:tabs>
        <w:snapToGrid w:val="0"/>
        <w:spacing w:before="120" w:after="120"/>
        <w:ind w:firstLine="643"/>
        <w:outlineLvl w:val="9"/>
        <w:rPr>
          <w:rFonts w:ascii="宋体" w:hAnsi="宋体" w:eastAsia="宋体" w:cs="宋体"/>
          <w:b w:val="0"/>
          <w:sz w:val="32"/>
          <w:szCs w:val="32"/>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firstLine="3614" w:firstLineChars="1000"/>
        <w:rPr>
          <w:rFonts w:ascii="宋体" w:hAnsi="宋体" w:cs="宋体"/>
          <w:b/>
          <w:kern w:val="0"/>
          <w:sz w:val="36"/>
          <w:szCs w:val="36"/>
        </w:rPr>
      </w:pPr>
    </w:p>
    <w:p>
      <w:pPr>
        <w:spacing w:line="360" w:lineRule="auto"/>
        <w:ind w:right="420"/>
        <w:rPr>
          <w:rFonts w:ascii="宋体" w:hAnsi="宋体" w:cs="宋体"/>
          <w:b/>
          <w:kern w:val="0"/>
          <w:sz w:val="36"/>
          <w:szCs w:val="36"/>
        </w:rPr>
      </w:pPr>
    </w:p>
    <w:p>
      <w:pPr>
        <w:pStyle w:val="82"/>
        <w:jc w:val="center"/>
        <w:rPr>
          <w:b/>
          <w:sz w:val="36"/>
          <w:szCs w:val="36"/>
        </w:rPr>
      </w:pPr>
      <w:bookmarkStart w:id="437" w:name="_Toc465665161"/>
      <w:r>
        <w:rPr>
          <w:rFonts w:hint="eastAsia"/>
          <w:b/>
          <w:sz w:val="36"/>
          <w:szCs w:val="36"/>
        </w:rPr>
        <w:t>附件</w:t>
      </w:r>
      <w:bookmarkEnd w:id="437"/>
    </w:p>
    <w:p>
      <w:pPr>
        <w:spacing w:line="360" w:lineRule="auto"/>
        <w:rPr>
          <w:rFonts w:ascii="宋体" w:hAnsi="宋体" w:cs="宋体"/>
          <w:b/>
          <w:spacing w:val="6"/>
          <w:sz w:val="32"/>
          <w:szCs w:val="32"/>
        </w:rPr>
      </w:pPr>
      <w:r>
        <w:rPr>
          <w:rFonts w:hint="eastAsia" w:ascii="宋体" w:hAnsi="宋体" w:cs="宋体"/>
          <w:b/>
          <w:spacing w:val="6"/>
          <w:sz w:val="32"/>
          <w:szCs w:val="32"/>
        </w:rPr>
        <w:t>附件1：</w:t>
      </w:r>
    </w:p>
    <w:p>
      <w:pPr>
        <w:spacing w:line="360" w:lineRule="auto"/>
        <w:jc w:val="center"/>
        <w:rPr>
          <w:rFonts w:ascii="宋体" w:hAnsi="宋体" w:cs="宋体"/>
          <w:b/>
          <w:spacing w:val="6"/>
          <w:sz w:val="32"/>
          <w:szCs w:val="32"/>
        </w:rPr>
      </w:pPr>
      <w:bookmarkStart w:id="438" w:name="OLE_LINK14"/>
      <w:bookmarkStart w:id="439" w:name="OLE_LINK13"/>
      <w:r>
        <w:rPr>
          <w:rFonts w:hint="eastAsia" w:ascii="宋体" w:hAnsi="宋体" w:cs="宋体"/>
          <w:b/>
          <w:spacing w:val="6"/>
          <w:sz w:val="32"/>
          <w:szCs w:val="32"/>
        </w:rPr>
        <w:t>残疾人福利性单位声明函</w:t>
      </w:r>
    </w:p>
    <w:bookmarkEnd w:id="438"/>
    <w:bookmarkEnd w:id="439"/>
    <w:p>
      <w:pPr>
        <w:spacing w:line="360" w:lineRule="auto"/>
        <w:rPr>
          <w:rFonts w:ascii="宋体" w:hAnsi="宋体" w:cs="宋体"/>
          <w:b/>
          <w:spacing w:val="6"/>
          <w:sz w:val="30"/>
          <w:szCs w:val="30"/>
        </w:rPr>
      </w:pPr>
    </w:p>
    <w:p>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pacing w:line="360" w:lineRule="auto"/>
        <w:ind w:firstLine="480" w:firstLineChars="200"/>
        <w:rPr>
          <w:rFonts w:ascii="宋体" w:hAnsi="宋体" w:cs="宋体"/>
          <w:sz w:val="24"/>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pPr>
        <w:spacing w:line="360" w:lineRule="auto"/>
        <w:jc w:val="center"/>
        <w:rPr>
          <w:rFonts w:ascii="宋体" w:hAnsi="宋体" w:cs="宋体"/>
          <w:b/>
          <w:sz w:val="24"/>
        </w:rPr>
      </w:pPr>
    </w:p>
    <w:p>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pPr>
        <w:spacing w:line="360" w:lineRule="auto"/>
        <w:rPr>
          <w:rFonts w:ascii="宋体" w:hAnsi="宋体" w:cs="宋体"/>
          <w:sz w:val="24"/>
        </w:rPr>
      </w:pPr>
      <w:r>
        <w:rPr>
          <w:rFonts w:hint="eastAsia" w:ascii="宋体" w:hAnsi="宋体" w:cs="宋体"/>
          <w:sz w:val="24"/>
        </w:rPr>
        <w:t>一、投诉相关主体基本情况</w:t>
      </w:r>
    </w:p>
    <w:p>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被投诉人2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二、投诉项目基本情况</w:t>
      </w:r>
    </w:p>
    <w:p>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三、质疑基本情况</w:t>
      </w:r>
    </w:p>
    <w:p>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pPr>
        <w:spacing w:line="360" w:lineRule="auto"/>
        <w:rPr>
          <w:rFonts w:ascii="宋体" w:hAnsi="宋体" w:cs="宋体"/>
          <w:sz w:val="24"/>
        </w:rPr>
      </w:pPr>
      <w:r>
        <w:rPr>
          <w:rFonts w:hint="eastAsia" w:ascii="宋体" w:hAnsi="宋体" w:cs="宋体"/>
          <w:sz w:val="24"/>
        </w:rPr>
        <w:t>四、投诉事项具体内容</w:t>
      </w:r>
    </w:p>
    <w:p>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投诉事项2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五、与投诉事项相关的投诉请求</w:t>
      </w:r>
    </w:p>
    <w:p>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投诉书制作说明：</w:t>
      </w:r>
    </w:p>
    <w:p>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pPr>
        <w:autoSpaceDE w:val="0"/>
        <w:autoSpaceDN w:val="0"/>
        <w:jc w:val="left"/>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pPr>
        <w:spacing w:line="360" w:lineRule="auto"/>
        <w:rPr>
          <w:rFonts w:ascii="宋体" w:hAnsi="宋体" w:cs="宋体"/>
          <w:sz w:val="24"/>
          <w:u w:val="single"/>
        </w:rPr>
      </w:pPr>
    </w:p>
    <w:p>
      <w:pPr>
        <w:spacing w:line="360" w:lineRule="auto"/>
        <w:rPr>
          <w:rFonts w:ascii="宋体" w:hAnsi="宋体" w:cs="宋体"/>
          <w:sz w:val="24"/>
        </w:rPr>
      </w:pPr>
      <w:r>
        <w:rPr>
          <w:rFonts w:hint="eastAsia" w:ascii="宋体" w:hAnsi="宋体" w:cs="宋体"/>
          <w:sz w:val="24"/>
          <w:u w:val="single"/>
        </w:rPr>
        <w:t>（采购人）、（采购代理机构）：</w:t>
      </w:r>
    </w:p>
    <w:p>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sz w:val="24"/>
        </w:rPr>
      </w:pPr>
      <w:r>
        <w:rPr>
          <w:rFonts w:hint="eastAsia" w:ascii="宋体" w:hAnsi="宋体" w:cs="宋体"/>
          <w:sz w:val="24"/>
        </w:rPr>
        <w:t>特此说明。</w:t>
      </w:r>
    </w:p>
    <w:p>
      <w:pPr>
        <w:spacing w:line="360" w:lineRule="auto"/>
        <w:ind w:firstLine="494"/>
        <w:rPr>
          <w:rFonts w:ascii="宋体" w:hAnsi="宋体" w:cs="宋体"/>
          <w:sz w:val="24"/>
        </w:rPr>
      </w:pPr>
    </w:p>
    <w:p>
      <w:pPr>
        <w:spacing w:line="360" w:lineRule="auto"/>
        <w:rPr>
          <w:rFonts w:ascii="宋体" w:hAnsi="宋体" w:cs="宋体"/>
          <w:sz w:val="24"/>
        </w:rPr>
      </w:pPr>
    </w:p>
    <w:p>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pPr>
        <w:ind w:right="1440" w:firstLine="494"/>
        <w:jc w:val="center"/>
        <w:rPr>
          <w:rFonts w:ascii="宋体" w:hAnsi="宋体" w:cs="宋体"/>
          <w:sz w:val="24"/>
        </w:rPr>
      </w:pPr>
      <w:r>
        <w:rPr>
          <w:rFonts w:hint="eastAsia" w:ascii="宋体" w:hAnsi="宋体" w:cs="宋体"/>
          <w:sz w:val="24"/>
        </w:rPr>
        <w:t xml:space="preserve">                              日期：       年     月     日</w:t>
      </w:r>
    </w:p>
    <w:p>
      <w:pPr>
        <w:rPr>
          <w:rFonts w:ascii="宋体" w:hAnsi="宋体" w:cs="宋体"/>
          <w:sz w:val="24"/>
        </w:rPr>
      </w:pPr>
      <w:r>
        <w:rPr>
          <w:rFonts w:hint="eastAsia" w:ascii="宋体" w:hAnsi="宋体" w:cs="宋体"/>
          <w:b/>
          <w:bCs/>
          <w:sz w:val="24"/>
        </w:rPr>
        <w:t>附：</w:t>
      </w:r>
    </w:p>
    <w:p>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rPr>
          <w:rFonts w:ascii="宋体" w:hAnsi="宋体" w:cs="宋体"/>
          <w:b/>
          <w:spacing w:val="6"/>
          <w:sz w:val="32"/>
          <w:szCs w:val="32"/>
        </w:rPr>
      </w:pPr>
    </w:p>
    <w:p>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pPr>
        <w:snapToGrid w:val="0"/>
        <w:spacing w:line="360" w:lineRule="auto"/>
        <w:ind w:firstLine="576"/>
        <w:rPr>
          <w:rFonts w:ascii="宋体" w:hAnsi="宋体" w:cs="宋体"/>
          <w:kern w:val="0"/>
          <w:sz w:val="24"/>
          <w:lang w:val="zh-CN"/>
        </w:rPr>
      </w:pPr>
      <w:bookmarkStart w:id="440"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440"/>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81"/>
        </w:rPr>
      </w:pPr>
      <w:r>
        <w:rPr>
          <w:rStyle w:val="81"/>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pPr>
        <w:spacing w:line="360" w:lineRule="auto"/>
        <w:ind w:right="420"/>
        <w:rPr>
          <w:rFonts w:ascii="宋体" w:hAnsi="宋体" w:cs="宋体"/>
          <w:sz w:val="24"/>
        </w:rPr>
      </w:pPr>
      <w:r>
        <w:rPr>
          <w:rFonts w:hint="eastAsia" w:ascii="宋体" w:hAnsi="宋体" w:cs="宋体"/>
          <w:sz w:val="24"/>
        </w:rPr>
        <w:t>注：按本格式和要求提供。</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rPr>
          <w:rFonts w:ascii="宋体" w:hAnsi="宋体" w:cs="宋体"/>
          <w:b/>
          <w:spacing w:val="6"/>
          <w:sz w:val="32"/>
          <w:szCs w:val="32"/>
        </w:rPr>
      </w:pPr>
    </w:p>
    <w:p>
      <w:pPr>
        <w:autoSpaceDE w:val="0"/>
        <w:autoSpaceDN w:val="0"/>
        <w:rPr>
          <w:rFonts w:ascii="宋体" w:hAnsi="宋体" w:cs="宋体"/>
          <w:b/>
          <w:spacing w:val="6"/>
          <w:sz w:val="32"/>
          <w:szCs w:val="32"/>
        </w:rPr>
      </w:pPr>
    </w:p>
    <w:p>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附件5：分包意向协议</w:t>
      </w:r>
    </w:p>
    <w:p>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pPr>
        <w:pStyle w:val="82"/>
      </w:pPr>
      <w:r>
        <w:rPr>
          <w:rFonts w:hint="eastAsia"/>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……）提供的货物全部由小微企业制造，</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41"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441"/>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投标人名称(公章)：</w:t>
      </w:r>
    </w:p>
    <w:p>
      <w:pPr>
        <w:snapToGrid w:val="0"/>
        <w:spacing w:line="360" w:lineRule="auto"/>
        <w:rPr>
          <w:rStyle w:val="81"/>
        </w:rPr>
      </w:pPr>
      <w:r>
        <w:rPr>
          <w:rStyle w:val="81"/>
          <w:rFonts w:hint="eastAsia"/>
        </w:rPr>
        <w:t xml:space="preserve">                                              法定代表人（负责人） (签名)：</w:t>
      </w:r>
    </w:p>
    <w:p>
      <w:pPr>
        <w:snapToGrid w:val="0"/>
        <w:spacing w:line="360" w:lineRule="auto"/>
        <w:ind w:right="480"/>
        <w:rPr>
          <w:rFonts w:ascii="宋体" w:hAnsi="宋体"/>
          <w:sz w:val="24"/>
        </w:rPr>
      </w:pPr>
      <w:r>
        <w:rPr>
          <w:rFonts w:hint="eastAsia" w:ascii="宋体" w:hAnsi="宋体" w:cs="宋体"/>
          <w:kern w:val="0"/>
          <w:sz w:val="24"/>
        </w:rPr>
        <w:t xml:space="preserve">                                              </w:t>
      </w:r>
      <w:r>
        <w:rPr>
          <w:rFonts w:hint="eastAsia" w:ascii="宋体" w:hAnsi="宋体" w:cs="宋体"/>
          <w:kern w:val="0"/>
          <w:sz w:val="24"/>
          <w:lang w:val="zh-CN"/>
        </w:rPr>
        <w:t>分包供应商名称(公章)：</w:t>
      </w:r>
    </w:p>
    <w:p>
      <w:pPr>
        <w:pStyle w:val="82"/>
        <w:ind w:firstLine="5520" w:firstLineChars="2300"/>
        <w:jc w:val="both"/>
      </w:pPr>
      <w:r>
        <w:rPr>
          <w:rStyle w:val="81"/>
          <w:rFonts w:hint="eastAsia"/>
        </w:rPr>
        <w:t>法定代表人（负责人） (签名)：</w:t>
      </w:r>
    </w:p>
    <w:p>
      <w:pPr>
        <w:snapToGrid w:val="0"/>
        <w:spacing w:line="360" w:lineRule="auto"/>
        <w:ind w:firstLine="5760" w:firstLineChars="2400"/>
        <w:rPr>
          <w:rFonts w:ascii="宋体" w:hAnsi="宋体" w:cs="宋体"/>
        </w:rPr>
      </w:pPr>
      <w:r>
        <w:rPr>
          <w:rFonts w:hint="eastAsia" w:ascii="宋体" w:hAnsi="宋体" w:cs="宋体"/>
          <w:kern w:val="0"/>
          <w:sz w:val="24"/>
        </w:rPr>
        <w:t>……</w:t>
      </w:r>
    </w:p>
    <w:p>
      <w:pPr>
        <w:spacing w:line="360" w:lineRule="auto"/>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pacing w:line="360" w:lineRule="auto"/>
        <w:ind w:right="420"/>
        <w:rPr>
          <w:rFonts w:ascii="宋体" w:hAnsi="宋体" w:cs="宋体"/>
          <w:sz w:val="24"/>
        </w:rPr>
      </w:pPr>
      <w:r>
        <w:rPr>
          <w:rFonts w:hint="eastAsia" w:ascii="宋体" w:hAnsi="宋体" w:cs="宋体"/>
          <w:sz w:val="24"/>
        </w:rPr>
        <w:t>注：按本格式和要求提供。</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widowControl/>
        <w:adjustRightInd/>
        <w:jc w:val="left"/>
        <w:rPr>
          <w:rFonts w:ascii="宋体" w:hAnsi="宋体" w:cs="宋体"/>
          <w:b/>
          <w:kern w:val="0"/>
          <w:sz w:val="32"/>
          <w:szCs w:val="32"/>
        </w:rPr>
      </w:pPr>
    </w:p>
    <w:p>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附件6：中小企业声明函</w:t>
      </w:r>
    </w:p>
    <w:p>
      <w:pPr>
        <w:spacing w:line="360" w:lineRule="auto"/>
        <w:jc w:val="center"/>
        <w:rPr>
          <w:rFonts w:ascii="宋体" w:hAnsi="宋体" w:cs="宋体"/>
          <w:sz w:val="24"/>
          <w:u w:val="single"/>
        </w:rPr>
      </w:pPr>
    </w:p>
    <w:p>
      <w:pPr>
        <w:spacing w:line="360" w:lineRule="auto"/>
        <w:jc w:val="center"/>
        <w:rPr>
          <w:rFonts w:ascii="宋体" w:hAnsi="宋体" w:cs="宋体"/>
          <w:b/>
          <w:sz w:val="32"/>
          <w:szCs w:val="32"/>
        </w:rPr>
      </w:pPr>
      <w:r>
        <w:rPr>
          <w:rFonts w:hint="eastAsia" w:ascii="宋体" w:hAnsi="宋体" w:cs="宋体"/>
          <w:b/>
          <w:sz w:val="32"/>
          <w:szCs w:val="32"/>
        </w:rPr>
        <w:t>中小企业声明函（货物）</w:t>
      </w:r>
    </w:p>
    <w:p>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pacing w:line="360" w:lineRule="auto"/>
        <w:ind w:right="420" w:firstLine="480" w:firstLineChars="200"/>
        <w:rPr>
          <w:rFonts w:ascii="宋体" w:hAnsi="宋体" w:cs="宋体"/>
          <w:sz w:val="24"/>
        </w:rPr>
      </w:pPr>
      <w:r>
        <w:rPr>
          <w:rFonts w:hint="eastAsia" w:ascii="宋体" w:hAnsi="宋体" w:cs="宋体"/>
          <w:sz w:val="24"/>
        </w:rPr>
        <w:t>注：</w:t>
      </w:r>
    </w:p>
    <w:p>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rPr>
          <w:rFonts w:ascii="宋体" w:hAnsi="宋体" w:cs="宋体"/>
          <w:b/>
          <w:sz w:val="32"/>
          <w:szCs w:val="32"/>
        </w:rPr>
      </w:pPr>
    </w:p>
    <w:p>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Book Antiqua">
    <w:altName w:val="Segoe Print"/>
    <w:panose1 w:val="02040602050305030304"/>
    <w:charset w:val="00"/>
    <w:family w:val="roman"/>
    <w:pitch w:val="default"/>
    <w:sig w:usb0="00000000" w:usb1="00000000" w:usb2="00000000" w:usb3="00000000" w:csb0="0000009F" w:csb1="0000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p/>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bookmarkStart w:id="442" w:name="_Toc164085800"/>
    <w:bookmarkStart w:id="443" w:name="_Toc36110187"/>
    <w:bookmarkStart w:id="444" w:name="_Toc91899912"/>
    <w:bookmarkStart w:id="445" w:name="_Toc131845147"/>
    <w:r>
      <w:rPr>
        <w:rFonts w:hint="eastAsia" w:ascii="仿宋_GB2312" w:eastAsia="仿宋_GB2312"/>
        <w:kern w:val="0"/>
        <w:sz w:val="21"/>
        <w:szCs w:val="21"/>
      </w:rPr>
      <w:t xml:space="preserve"> 页</w:t>
    </w:r>
    <w:bookmarkEnd w:id="442"/>
    <w:bookmarkEnd w:id="443"/>
    <w:bookmarkEnd w:id="444"/>
    <w:bookmarkEnd w:id="445"/>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2"/>
      </w:rPr>
    </w:pPr>
    <w:r>
      <w:fldChar w:fldCharType="begin"/>
    </w:r>
    <w:r>
      <w:rPr>
        <w:rStyle w:val="72"/>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78F73"/>
    <w:multiLevelType w:val="singleLevel"/>
    <w:tmpl w:val="EA378F73"/>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WYxY2Y2NjljNmNjYTdiY2UyZDkxZTA2YWE5YjE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5E1"/>
    <w:rsid w:val="00036C29"/>
    <w:rsid w:val="00037B93"/>
    <w:rsid w:val="00040447"/>
    <w:rsid w:val="00040494"/>
    <w:rsid w:val="00040B70"/>
    <w:rsid w:val="00042441"/>
    <w:rsid w:val="00042533"/>
    <w:rsid w:val="00042DBB"/>
    <w:rsid w:val="00042E65"/>
    <w:rsid w:val="0004347C"/>
    <w:rsid w:val="00043907"/>
    <w:rsid w:val="00044F48"/>
    <w:rsid w:val="00045432"/>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2CFD"/>
    <w:rsid w:val="00063C38"/>
    <w:rsid w:val="00063E1E"/>
    <w:rsid w:val="00064278"/>
    <w:rsid w:val="000646CA"/>
    <w:rsid w:val="00066380"/>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99D"/>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2E5"/>
    <w:rsid w:val="000C5374"/>
    <w:rsid w:val="000C555D"/>
    <w:rsid w:val="000C5710"/>
    <w:rsid w:val="000C5EC0"/>
    <w:rsid w:val="000C6162"/>
    <w:rsid w:val="000C64CC"/>
    <w:rsid w:val="000C6688"/>
    <w:rsid w:val="000C692E"/>
    <w:rsid w:val="000C6B28"/>
    <w:rsid w:val="000C725C"/>
    <w:rsid w:val="000C78DB"/>
    <w:rsid w:val="000C7B4D"/>
    <w:rsid w:val="000C7BEB"/>
    <w:rsid w:val="000D0124"/>
    <w:rsid w:val="000D0326"/>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06F7"/>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0305"/>
    <w:rsid w:val="00131C2D"/>
    <w:rsid w:val="0013202C"/>
    <w:rsid w:val="00132704"/>
    <w:rsid w:val="00132CBF"/>
    <w:rsid w:val="00133707"/>
    <w:rsid w:val="00133742"/>
    <w:rsid w:val="00133B70"/>
    <w:rsid w:val="00133E97"/>
    <w:rsid w:val="001350F7"/>
    <w:rsid w:val="001355F2"/>
    <w:rsid w:val="00135769"/>
    <w:rsid w:val="00135BE9"/>
    <w:rsid w:val="00135CD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3C3"/>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4C0"/>
    <w:rsid w:val="00176AA6"/>
    <w:rsid w:val="00176EBA"/>
    <w:rsid w:val="00177063"/>
    <w:rsid w:val="00177400"/>
    <w:rsid w:val="00180A47"/>
    <w:rsid w:val="001816F1"/>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D5D"/>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565"/>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A01"/>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711"/>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8D8"/>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D7FF1"/>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475D"/>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A44"/>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48F"/>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6B76"/>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4628"/>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199"/>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32E"/>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2A"/>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1C"/>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B7D44"/>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247"/>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2D8A"/>
    <w:rsid w:val="0050434C"/>
    <w:rsid w:val="0050537D"/>
    <w:rsid w:val="005056FB"/>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83E"/>
    <w:rsid w:val="00524A6A"/>
    <w:rsid w:val="005256D6"/>
    <w:rsid w:val="00525AD8"/>
    <w:rsid w:val="00526429"/>
    <w:rsid w:val="005266C1"/>
    <w:rsid w:val="005267F4"/>
    <w:rsid w:val="00526966"/>
    <w:rsid w:val="005269D3"/>
    <w:rsid w:val="00527317"/>
    <w:rsid w:val="00527C5E"/>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26BD"/>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515"/>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2B30"/>
    <w:rsid w:val="0057345D"/>
    <w:rsid w:val="0057347D"/>
    <w:rsid w:val="00573560"/>
    <w:rsid w:val="005738BB"/>
    <w:rsid w:val="00573973"/>
    <w:rsid w:val="00574E7B"/>
    <w:rsid w:val="00574F36"/>
    <w:rsid w:val="0057516C"/>
    <w:rsid w:val="00575D4C"/>
    <w:rsid w:val="00576B5C"/>
    <w:rsid w:val="005770CC"/>
    <w:rsid w:val="00577455"/>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1AF8"/>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1DB9"/>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2CD"/>
    <w:rsid w:val="006043D9"/>
    <w:rsid w:val="00605217"/>
    <w:rsid w:val="006054A5"/>
    <w:rsid w:val="006059E4"/>
    <w:rsid w:val="00605D60"/>
    <w:rsid w:val="006062A0"/>
    <w:rsid w:val="00606CE0"/>
    <w:rsid w:val="00607015"/>
    <w:rsid w:val="00607261"/>
    <w:rsid w:val="0060746E"/>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04"/>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C82"/>
    <w:rsid w:val="00644E2E"/>
    <w:rsid w:val="00645A3A"/>
    <w:rsid w:val="00645B87"/>
    <w:rsid w:val="00645CB4"/>
    <w:rsid w:val="00646084"/>
    <w:rsid w:val="006468ED"/>
    <w:rsid w:val="006472CD"/>
    <w:rsid w:val="0064758A"/>
    <w:rsid w:val="00647664"/>
    <w:rsid w:val="00650401"/>
    <w:rsid w:val="0065046C"/>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A78"/>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AB2"/>
    <w:rsid w:val="00696C79"/>
    <w:rsid w:val="00697068"/>
    <w:rsid w:val="006977DE"/>
    <w:rsid w:val="00697D5F"/>
    <w:rsid w:val="006A035B"/>
    <w:rsid w:val="006A0582"/>
    <w:rsid w:val="006A060C"/>
    <w:rsid w:val="006A06F8"/>
    <w:rsid w:val="006A071C"/>
    <w:rsid w:val="006A0ABB"/>
    <w:rsid w:val="006A0DC7"/>
    <w:rsid w:val="006A150D"/>
    <w:rsid w:val="006A1B00"/>
    <w:rsid w:val="006A1D07"/>
    <w:rsid w:val="006A1E80"/>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75A"/>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5CDF"/>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3B7"/>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9CA"/>
    <w:rsid w:val="00775526"/>
    <w:rsid w:val="00775651"/>
    <w:rsid w:val="00775F3F"/>
    <w:rsid w:val="0077710B"/>
    <w:rsid w:val="0077765A"/>
    <w:rsid w:val="007778AE"/>
    <w:rsid w:val="00780032"/>
    <w:rsid w:val="00780636"/>
    <w:rsid w:val="00780E86"/>
    <w:rsid w:val="0078108C"/>
    <w:rsid w:val="00781727"/>
    <w:rsid w:val="007823E8"/>
    <w:rsid w:val="00782CF3"/>
    <w:rsid w:val="0078321A"/>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EDF"/>
    <w:rsid w:val="007C10E4"/>
    <w:rsid w:val="007C17B4"/>
    <w:rsid w:val="007C20F8"/>
    <w:rsid w:val="007C21C5"/>
    <w:rsid w:val="007C2229"/>
    <w:rsid w:val="007C2313"/>
    <w:rsid w:val="007C24E0"/>
    <w:rsid w:val="007C2D47"/>
    <w:rsid w:val="007C30E9"/>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A96"/>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0CD"/>
    <w:rsid w:val="0080348B"/>
    <w:rsid w:val="00803D82"/>
    <w:rsid w:val="00803D98"/>
    <w:rsid w:val="008043FC"/>
    <w:rsid w:val="008052CE"/>
    <w:rsid w:val="0080548A"/>
    <w:rsid w:val="008058D0"/>
    <w:rsid w:val="00806A4C"/>
    <w:rsid w:val="0080705B"/>
    <w:rsid w:val="0080712F"/>
    <w:rsid w:val="0080723C"/>
    <w:rsid w:val="00807748"/>
    <w:rsid w:val="00807934"/>
    <w:rsid w:val="00807F71"/>
    <w:rsid w:val="00807FFB"/>
    <w:rsid w:val="0081000F"/>
    <w:rsid w:val="00810FE5"/>
    <w:rsid w:val="00811E76"/>
    <w:rsid w:val="00812657"/>
    <w:rsid w:val="00812A1A"/>
    <w:rsid w:val="00812DB4"/>
    <w:rsid w:val="00812DFF"/>
    <w:rsid w:val="00812FA8"/>
    <w:rsid w:val="00813237"/>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E53"/>
    <w:rsid w:val="0082303D"/>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AE6"/>
    <w:rsid w:val="00897BFA"/>
    <w:rsid w:val="00897D19"/>
    <w:rsid w:val="008A0044"/>
    <w:rsid w:val="008A0156"/>
    <w:rsid w:val="008A0BFE"/>
    <w:rsid w:val="008A12C2"/>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66C"/>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27D"/>
    <w:rsid w:val="008C5371"/>
    <w:rsid w:val="008C603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8BC"/>
    <w:rsid w:val="008E3A5C"/>
    <w:rsid w:val="008E3A9A"/>
    <w:rsid w:val="008E429E"/>
    <w:rsid w:val="008E4B9A"/>
    <w:rsid w:val="008E58A3"/>
    <w:rsid w:val="008E5938"/>
    <w:rsid w:val="008E6109"/>
    <w:rsid w:val="008E6395"/>
    <w:rsid w:val="008E6A39"/>
    <w:rsid w:val="008E76BB"/>
    <w:rsid w:val="008E7BC7"/>
    <w:rsid w:val="008F09D3"/>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BAD"/>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02C"/>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25"/>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DA5"/>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A82"/>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0B13"/>
    <w:rsid w:val="009C0B7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280A"/>
    <w:rsid w:val="009E38D1"/>
    <w:rsid w:val="009E3DF1"/>
    <w:rsid w:val="009E40FF"/>
    <w:rsid w:val="009E47DD"/>
    <w:rsid w:val="009E48DE"/>
    <w:rsid w:val="009E514A"/>
    <w:rsid w:val="009E5177"/>
    <w:rsid w:val="009E5701"/>
    <w:rsid w:val="009E5711"/>
    <w:rsid w:val="009E6215"/>
    <w:rsid w:val="009E758E"/>
    <w:rsid w:val="009E7737"/>
    <w:rsid w:val="009E7BC5"/>
    <w:rsid w:val="009E7BFB"/>
    <w:rsid w:val="009E7D6B"/>
    <w:rsid w:val="009E7E81"/>
    <w:rsid w:val="009F020A"/>
    <w:rsid w:val="009F02B9"/>
    <w:rsid w:val="009F05AD"/>
    <w:rsid w:val="009F0659"/>
    <w:rsid w:val="009F1109"/>
    <w:rsid w:val="009F143E"/>
    <w:rsid w:val="009F1DE8"/>
    <w:rsid w:val="009F1EDF"/>
    <w:rsid w:val="009F2186"/>
    <w:rsid w:val="009F227C"/>
    <w:rsid w:val="009F28DC"/>
    <w:rsid w:val="009F2E2B"/>
    <w:rsid w:val="009F2EDB"/>
    <w:rsid w:val="009F33DC"/>
    <w:rsid w:val="009F3572"/>
    <w:rsid w:val="009F3B27"/>
    <w:rsid w:val="009F448D"/>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19C"/>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61B"/>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C4"/>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7F9"/>
    <w:rsid w:val="00B038F1"/>
    <w:rsid w:val="00B0392E"/>
    <w:rsid w:val="00B03C1B"/>
    <w:rsid w:val="00B0430C"/>
    <w:rsid w:val="00B04678"/>
    <w:rsid w:val="00B047C9"/>
    <w:rsid w:val="00B04A04"/>
    <w:rsid w:val="00B04B78"/>
    <w:rsid w:val="00B04C37"/>
    <w:rsid w:val="00B04F00"/>
    <w:rsid w:val="00B05107"/>
    <w:rsid w:val="00B056EE"/>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50E"/>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1F7"/>
    <w:rsid w:val="00B7764D"/>
    <w:rsid w:val="00B77BB2"/>
    <w:rsid w:val="00B8003B"/>
    <w:rsid w:val="00B804F8"/>
    <w:rsid w:val="00B8095A"/>
    <w:rsid w:val="00B81274"/>
    <w:rsid w:val="00B815D3"/>
    <w:rsid w:val="00B81721"/>
    <w:rsid w:val="00B81742"/>
    <w:rsid w:val="00B817B5"/>
    <w:rsid w:val="00B81BC5"/>
    <w:rsid w:val="00B823A6"/>
    <w:rsid w:val="00B829C4"/>
    <w:rsid w:val="00B82D28"/>
    <w:rsid w:val="00B83295"/>
    <w:rsid w:val="00B83E76"/>
    <w:rsid w:val="00B83FA0"/>
    <w:rsid w:val="00B84156"/>
    <w:rsid w:val="00B841D5"/>
    <w:rsid w:val="00B846E6"/>
    <w:rsid w:val="00B847E5"/>
    <w:rsid w:val="00B8537B"/>
    <w:rsid w:val="00B85586"/>
    <w:rsid w:val="00B859FB"/>
    <w:rsid w:val="00B86119"/>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1912"/>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380A"/>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833"/>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661"/>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AA8"/>
    <w:rsid w:val="00C83C1C"/>
    <w:rsid w:val="00C84085"/>
    <w:rsid w:val="00C852DC"/>
    <w:rsid w:val="00C854A8"/>
    <w:rsid w:val="00C85677"/>
    <w:rsid w:val="00C85E17"/>
    <w:rsid w:val="00C85F6A"/>
    <w:rsid w:val="00C86061"/>
    <w:rsid w:val="00C861FF"/>
    <w:rsid w:val="00C868A7"/>
    <w:rsid w:val="00C86ABA"/>
    <w:rsid w:val="00C86BF7"/>
    <w:rsid w:val="00C87164"/>
    <w:rsid w:val="00C8786A"/>
    <w:rsid w:val="00C87BBA"/>
    <w:rsid w:val="00C87BD0"/>
    <w:rsid w:val="00C90381"/>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0D9"/>
    <w:rsid w:val="00C95853"/>
    <w:rsid w:val="00C95C2F"/>
    <w:rsid w:val="00C95F87"/>
    <w:rsid w:val="00C96035"/>
    <w:rsid w:val="00C960DB"/>
    <w:rsid w:val="00C968EF"/>
    <w:rsid w:val="00C972CE"/>
    <w:rsid w:val="00C97F6B"/>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4EE"/>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D62"/>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B8D"/>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181"/>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C25"/>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36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32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1B92"/>
    <w:rsid w:val="00DC32FC"/>
    <w:rsid w:val="00DC347D"/>
    <w:rsid w:val="00DC3D53"/>
    <w:rsid w:val="00DC3D89"/>
    <w:rsid w:val="00DC4567"/>
    <w:rsid w:val="00DC4D6C"/>
    <w:rsid w:val="00DC4F47"/>
    <w:rsid w:val="00DC501D"/>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30B"/>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6DF"/>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2F0"/>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35"/>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055"/>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8F7"/>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1A4"/>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B14"/>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BF5"/>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E40"/>
    <w:rsid w:val="00F51A82"/>
    <w:rsid w:val="00F51B78"/>
    <w:rsid w:val="00F51BDD"/>
    <w:rsid w:val="00F52065"/>
    <w:rsid w:val="00F521CE"/>
    <w:rsid w:val="00F5253E"/>
    <w:rsid w:val="00F5254B"/>
    <w:rsid w:val="00F52CB7"/>
    <w:rsid w:val="00F53034"/>
    <w:rsid w:val="00F5309E"/>
    <w:rsid w:val="00F5364F"/>
    <w:rsid w:val="00F53A44"/>
    <w:rsid w:val="00F54E5E"/>
    <w:rsid w:val="00F551DB"/>
    <w:rsid w:val="00F553E7"/>
    <w:rsid w:val="00F55810"/>
    <w:rsid w:val="00F559BE"/>
    <w:rsid w:val="00F55D76"/>
    <w:rsid w:val="00F56C40"/>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1687"/>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372314"/>
    <w:rsid w:val="02503D32"/>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B35BB4"/>
    <w:rsid w:val="04F66F48"/>
    <w:rsid w:val="05251E14"/>
    <w:rsid w:val="05A16594"/>
    <w:rsid w:val="05A7762D"/>
    <w:rsid w:val="05DB75D6"/>
    <w:rsid w:val="060E5941"/>
    <w:rsid w:val="06110FAF"/>
    <w:rsid w:val="06493CA7"/>
    <w:rsid w:val="065A6178"/>
    <w:rsid w:val="066F1CF3"/>
    <w:rsid w:val="06930BB8"/>
    <w:rsid w:val="07245D42"/>
    <w:rsid w:val="07264C62"/>
    <w:rsid w:val="0779354C"/>
    <w:rsid w:val="07FA27BB"/>
    <w:rsid w:val="08061376"/>
    <w:rsid w:val="08452D77"/>
    <w:rsid w:val="0861742E"/>
    <w:rsid w:val="086401F8"/>
    <w:rsid w:val="08716E9D"/>
    <w:rsid w:val="08751CAA"/>
    <w:rsid w:val="087A54E0"/>
    <w:rsid w:val="087E4C40"/>
    <w:rsid w:val="088434C2"/>
    <w:rsid w:val="08A871D0"/>
    <w:rsid w:val="08D66AD6"/>
    <w:rsid w:val="08DA33A3"/>
    <w:rsid w:val="08E80F13"/>
    <w:rsid w:val="09335624"/>
    <w:rsid w:val="0944690F"/>
    <w:rsid w:val="09535675"/>
    <w:rsid w:val="095F057D"/>
    <w:rsid w:val="09642282"/>
    <w:rsid w:val="09733572"/>
    <w:rsid w:val="09772C16"/>
    <w:rsid w:val="098353B5"/>
    <w:rsid w:val="09A70D9B"/>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B0590"/>
    <w:rsid w:val="0C5C1171"/>
    <w:rsid w:val="0C5E1CBC"/>
    <w:rsid w:val="0C615B50"/>
    <w:rsid w:val="0C8445DA"/>
    <w:rsid w:val="0C87121B"/>
    <w:rsid w:val="0CB47CA0"/>
    <w:rsid w:val="0CC007F7"/>
    <w:rsid w:val="0CC617AC"/>
    <w:rsid w:val="0CE618DF"/>
    <w:rsid w:val="0CFE707A"/>
    <w:rsid w:val="0D063BDA"/>
    <w:rsid w:val="0D08375F"/>
    <w:rsid w:val="0D184CFB"/>
    <w:rsid w:val="0D274B5A"/>
    <w:rsid w:val="0D3E06D5"/>
    <w:rsid w:val="0D4A7419"/>
    <w:rsid w:val="0D827401"/>
    <w:rsid w:val="0D84094E"/>
    <w:rsid w:val="0D8A00E9"/>
    <w:rsid w:val="0D8D589E"/>
    <w:rsid w:val="0DA01C73"/>
    <w:rsid w:val="0DD63300"/>
    <w:rsid w:val="0DF50604"/>
    <w:rsid w:val="0DF702FE"/>
    <w:rsid w:val="0E060E51"/>
    <w:rsid w:val="0E5604B2"/>
    <w:rsid w:val="0E6D5D79"/>
    <w:rsid w:val="0E9D0089"/>
    <w:rsid w:val="0EB54D78"/>
    <w:rsid w:val="0EB803EE"/>
    <w:rsid w:val="0EF94D4B"/>
    <w:rsid w:val="0F1D46D8"/>
    <w:rsid w:val="0F4958DC"/>
    <w:rsid w:val="0F515DF7"/>
    <w:rsid w:val="0F596BA8"/>
    <w:rsid w:val="0F6248D2"/>
    <w:rsid w:val="0F693536"/>
    <w:rsid w:val="0F7B0511"/>
    <w:rsid w:val="0F7B76D9"/>
    <w:rsid w:val="0F816ACD"/>
    <w:rsid w:val="0F9832DB"/>
    <w:rsid w:val="0FBF3FD2"/>
    <w:rsid w:val="0FBF7FF3"/>
    <w:rsid w:val="0FD1203C"/>
    <w:rsid w:val="10646583"/>
    <w:rsid w:val="107D4B15"/>
    <w:rsid w:val="108A3C80"/>
    <w:rsid w:val="10C2608D"/>
    <w:rsid w:val="10C26171"/>
    <w:rsid w:val="10F33360"/>
    <w:rsid w:val="10FC16EA"/>
    <w:rsid w:val="110F1D40"/>
    <w:rsid w:val="11266F33"/>
    <w:rsid w:val="118963A1"/>
    <w:rsid w:val="11C6522A"/>
    <w:rsid w:val="11E104CC"/>
    <w:rsid w:val="11E20309"/>
    <w:rsid w:val="12255233"/>
    <w:rsid w:val="12530213"/>
    <w:rsid w:val="1254484A"/>
    <w:rsid w:val="127723A9"/>
    <w:rsid w:val="12862074"/>
    <w:rsid w:val="12883966"/>
    <w:rsid w:val="129E45B4"/>
    <w:rsid w:val="12D81596"/>
    <w:rsid w:val="13072A44"/>
    <w:rsid w:val="131A6E9B"/>
    <w:rsid w:val="135F4BE2"/>
    <w:rsid w:val="139B1A0A"/>
    <w:rsid w:val="139D25C7"/>
    <w:rsid w:val="13BF3CE4"/>
    <w:rsid w:val="141008D8"/>
    <w:rsid w:val="14125FE6"/>
    <w:rsid w:val="14646327"/>
    <w:rsid w:val="146D271E"/>
    <w:rsid w:val="14982588"/>
    <w:rsid w:val="149A5AD9"/>
    <w:rsid w:val="14A7619D"/>
    <w:rsid w:val="15000947"/>
    <w:rsid w:val="150536C3"/>
    <w:rsid w:val="150C1963"/>
    <w:rsid w:val="150F4DF1"/>
    <w:rsid w:val="151447A0"/>
    <w:rsid w:val="154A6454"/>
    <w:rsid w:val="15762120"/>
    <w:rsid w:val="16A8729C"/>
    <w:rsid w:val="16B33777"/>
    <w:rsid w:val="16BC70A7"/>
    <w:rsid w:val="16C6339E"/>
    <w:rsid w:val="172F2D79"/>
    <w:rsid w:val="17557BEF"/>
    <w:rsid w:val="179C0A16"/>
    <w:rsid w:val="17D349C1"/>
    <w:rsid w:val="1801470C"/>
    <w:rsid w:val="18244F26"/>
    <w:rsid w:val="1830729E"/>
    <w:rsid w:val="183A54FD"/>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B807CF"/>
    <w:rsid w:val="1DC357BA"/>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0BD7F29"/>
    <w:rsid w:val="20DE4E3A"/>
    <w:rsid w:val="211116EB"/>
    <w:rsid w:val="216133FC"/>
    <w:rsid w:val="21AB5AD8"/>
    <w:rsid w:val="21D56769"/>
    <w:rsid w:val="21E52EF3"/>
    <w:rsid w:val="21ED2946"/>
    <w:rsid w:val="21FB5D7B"/>
    <w:rsid w:val="22015E94"/>
    <w:rsid w:val="220B1C3D"/>
    <w:rsid w:val="220C5EAF"/>
    <w:rsid w:val="221D1D20"/>
    <w:rsid w:val="22334A87"/>
    <w:rsid w:val="229D6DB5"/>
    <w:rsid w:val="22A84CC4"/>
    <w:rsid w:val="22BE6801"/>
    <w:rsid w:val="233500BF"/>
    <w:rsid w:val="23377FF7"/>
    <w:rsid w:val="236B425F"/>
    <w:rsid w:val="23836192"/>
    <w:rsid w:val="23901F29"/>
    <w:rsid w:val="239C0061"/>
    <w:rsid w:val="23B908A4"/>
    <w:rsid w:val="23C26D42"/>
    <w:rsid w:val="23E95BEF"/>
    <w:rsid w:val="23FD0064"/>
    <w:rsid w:val="245375B0"/>
    <w:rsid w:val="24642C0A"/>
    <w:rsid w:val="24B22173"/>
    <w:rsid w:val="24B95AD9"/>
    <w:rsid w:val="24BE24DA"/>
    <w:rsid w:val="24CF5825"/>
    <w:rsid w:val="24D663E6"/>
    <w:rsid w:val="24D77F2B"/>
    <w:rsid w:val="25373A30"/>
    <w:rsid w:val="258B00E2"/>
    <w:rsid w:val="25A917A6"/>
    <w:rsid w:val="25BE27CC"/>
    <w:rsid w:val="25D172F8"/>
    <w:rsid w:val="25F74A5C"/>
    <w:rsid w:val="2628662C"/>
    <w:rsid w:val="262D45DE"/>
    <w:rsid w:val="26871DC8"/>
    <w:rsid w:val="268B3FFE"/>
    <w:rsid w:val="269404CF"/>
    <w:rsid w:val="26A53EF9"/>
    <w:rsid w:val="26A94201"/>
    <w:rsid w:val="26AC274F"/>
    <w:rsid w:val="27044A29"/>
    <w:rsid w:val="271D34C8"/>
    <w:rsid w:val="275B0FEC"/>
    <w:rsid w:val="276142BF"/>
    <w:rsid w:val="27783712"/>
    <w:rsid w:val="277A20DA"/>
    <w:rsid w:val="278414A7"/>
    <w:rsid w:val="27907362"/>
    <w:rsid w:val="27A965F8"/>
    <w:rsid w:val="28026ECF"/>
    <w:rsid w:val="28333E1D"/>
    <w:rsid w:val="28454BD6"/>
    <w:rsid w:val="28455253"/>
    <w:rsid w:val="28551971"/>
    <w:rsid w:val="285B1C53"/>
    <w:rsid w:val="2877414E"/>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0756A"/>
    <w:rsid w:val="2BC37CFD"/>
    <w:rsid w:val="2BCC24B9"/>
    <w:rsid w:val="2BD35FB2"/>
    <w:rsid w:val="2BD5237F"/>
    <w:rsid w:val="2BE536CE"/>
    <w:rsid w:val="2BE758D9"/>
    <w:rsid w:val="2BF346BB"/>
    <w:rsid w:val="2C09049E"/>
    <w:rsid w:val="2C0A653C"/>
    <w:rsid w:val="2C191F85"/>
    <w:rsid w:val="2CE82D6F"/>
    <w:rsid w:val="2D343236"/>
    <w:rsid w:val="2D4F478D"/>
    <w:rsid w:val="2D575011"/>
    <w:rsid w:val="2DD15014"/>
    <w:rsid w:val="2DF72DE4"/>
    <w:rsid w:val="2E0220AF"/>
    <w:rsid w:val="2E4B082A"/>
    <w:rsid w:val="2E5D4E86"/>
    <w:rsid w:val="2E5D790B"/>
    <w:rsid w:val="2E9A3C18"/>
    <w:rsid w:val="2EBB0FEE"/>
    <w:rsid w:val="2EC63002"/>
    <w:rsid w:val="2EFB774D"/>
    <w:rsid w:val="2F0A6B38"/>
    <w:rsid w:val="2F946CCB"/>
    <w:rsid w:val="2FD25781"/>
    <w:rsid w:val="2FDC745C"/>
    <w:rsid w:val="2FFD7934"/>
    <w:rsid w:val="30733ACD"/>
    <w:rsid w:val="308C3862"/>
    <w:rsid w:val="309379D8"/>
    <w:rsid w:val="30A270F7"/>
    <w:rsid w:val="30DF1478"/>
    <w:rsid w:val="30EC586F"/>
    <w:rsid w:val="31592A40"/>
    <w:rsid w:val="319941E5"/>
    <w:rsid w:val="319C6071"/>
    <w:rsid w:val="31AC537E"/>
    <w:rsid w:val="31E3679B"/>
    <w:rsid w:val="31E732FD"/>
    <w:rsid w:val="31ED0993"/>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70E02"/>
    <w:rsid w:val="354D7158"/>
    <w:rsid w:val="358D5588"/>
    <w:rsid w:val="35D06B4E"/>
    <w:rsid w:val="35F1149A"/>
    <w:rsid w:val="363A3B40"/>
    <w:rsid w:val="365302AE"/>
    <w:rsid w:val="36607A0A"/>
    <w:rsid w:val="366E227C"/>
    <w:rsid w:val="366F2E0D"/>
    <w:rsid w:val="367B6A5C"/>
    <w:rsid w:val="36A74ADA"/>
    <w:rsid w:val="36AD60D5"/>
    <w:rsid w:val="36B224F9"/>
    <w:rsid w:val="36EC0CC9"/>
    <w:rsid w:val="36EC6637"/>
    <w:rsid w:val="37103E31"/>
    <w:rsid w:val="373F410B"/>
    <w:rsid w:val="37AE073F"/>
    <w:rsid w:val="37EE7094"/>
    <w:rsid w:val="38296C89"/>
    <w:rsid w:val="383002EB"/>
    <w:rsid w:val="38586797"/>
    <w:rsid w:val="385D15DF"/>
    <w:rsid w:val="38BC0149"/>
    <w:rsid w:val="38D87D1C"/>
    <w:rsid w:val="39636459"/>
    <w:rsid w:val="396B7F6C"/>
    <w:rsid w:val="396E1053"/>
    <w:rsid w:val="39B417A9"/>
    <w:rsid w:val="39FC5695"/>
    <w:rsid w:val="3A006D8E"/>
    <w:rsid w:val="3A3651E5"/>
    <w:rsid w:val="3A652E89"/>
    <w:rsid w:val="3A744481"/>
    <w:rsid w:val="3A8C7BEF"/>
    <w:rsid w:val="3A906246"/>
    <w:rsid w:val="3ACE7FFB"/>
    <w:rsid w:val="3B2349B7"/>
    <w:rsid w:val="3B616CFF"/>
    <w:rsid w:val="3B6259F6"/>
    <w:rsid w:val="3B976654"/>
    <w:rsid w:val="3BC01EFC"/>
    <w:rsid w:val="3BCA786A"/>
    <w:rsid w:val="3BD31E2F"/>
    <w:rsid w:val="3BF15831"/>
    <w:rsid w:val="3C105946"/>
    <w:rsid w:val="3C415D6A"/>
    <w:rsid w:val="3C471448"/>
    <w:rsid w:val="3C5F759A"/>
    <w:rsid w:val="3C6C525A"/>
    <w:rsid w:val="3CCE23CB"/>
    <w:rsid w:val="3CD17D17"/>
    <w:rsid w:val="3D31661F"/>
    <w:rsid w:val="3D3C7F39"/>
    <w:rsid w:val="3D440F09"/>
    <w:rsid w:val="3D4504A0"/>
    <w:rsid w:val="3D8734BB"/>
    <w:rsid w:val="3D9A11D4"/>
    <w:rsid w:val="3DA16D89"/>
    <w:rsid w:val="3DA364BE"/>
    <w:rsid w:val="3DE041CB"/>
    <w:rsid w:val="3E0D48F6"/>
    <w:rsid w:val="3E1868B4"/>
    <w:rsid w:val="3E1C72D0"/>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DA2168"/>
    <w:rsid w:val="42E1381E"/>
    <w:rsid w:val="42ED6459"/>
    <w:rsid w:val="42FE58DD"/>
    <w:rsid w:val="43174B3D"/>
    <w:rsid w:val="434B790E"/>
    <w:rsid w:val="4360274F"/>
    <w:rsid w:val="43977AB6"/>
    <w:rsid w:val="43A3342B"/>
    <w:rsid w:val="43C77C27"/>
    <w:rsid w:val="43DE09EE"/>
    <w:rsid w:val="44002FAD"/>
    <w:rsid w:val="449101DD"/>
    <w:rsid w:val="44DE1391"/>
    <w:rsid w:val="45192C6B"/>
    <w:rsid w:val="451B225C"/>
    <w:rsid w:val="452410C9"/>
    <w:rsid w:val="45317DFB"/>
    <w:rsid w:val="456D3CE4"/>
    <w:rsid w:val="4579042C"/>
    <w:rsid w:val="457F0571"/>
    <w:rsid w:val="45851176"/>
    <w:rsid w:val="45A23E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6007AA"/>
    <w:rsid w:val="4AB82D0F"/>
    <w:rsid w:val="4AEB7664"/>
    <w:rsid w:val="4AFD7C19"/>
    <w:rsid w:val="4B0567D1"/>
    <w:rsid w:val="4B236AAE"/>
    <w:rsid w:val="4B3311B3"/>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A07E10"/>
    <w:rsid w:val="4EB9370F"/>
    <w:rsid w:val="4EC569ED"/>
    <w:rsid w:val="4ED50EA1"/>
    <w:rsid w:val="4EEC050C"/>
    <w:rsid w:val="4F104EC3"/>
    <w:rsid w:val="4F47354A"/>
    <w:rsid w:val="4F911C54"/>
    <w:rsid w:val="4FE625E0"/>
    <w:rsid w:val="5021480F"/>
    <w:rsid w:val="50640BF4"/>
    <w:rsid w:val="50962ECB"/>
    <w:rsid w:val="50A42E38"/>
    <w:rsid w:val="50A4577F"/>
    <w:rsid w:val="50B73D1F"/>
    <w:rsid w:val="50BD5BC9"/>
    <w:rsid w:val="50C11EEE"/>
    <w:rsid w:val="50C504A2"/>
    <w:rsid w:val="50E97CFC"/>
    <w:rsid w:val="50FA4028"/>
    <w:rsid w:val="510D65B7"/>
    <w:rsid w:val="511157AB"/>
    <w:rsid w:val="5142540C"/>
    <w:rsid w:val="518832C8"/>
    <w:rsid w:val="519D3C50"/>
    <w:rsid w:val="51A0432A"/>
    <w:rsid w:val="51A86090"/>
    <w:rsid w:val="51B7396D"/>
    <w:rsid w:val="522E4CC3"/>
    <w:rsid w:val="5244713B"/>
    <w:rsid w:val="52615633"/>
    <w:rsid w:val="5268443A"/>
    <w:rsid w:val="52691F60"/>
    <w:rsid w:val="526F4DE4"/>
    <w:rsid w:val="52977FD4"/>
    <w:rsid w:val="52A25790"/>
    <w:rsid w:val="52A96B6F"/>
    <w:rsid w:val="52B45975"/>
    <w:rsid w:val="52D94AA4"/>
    <w:rsid w:val="52EA3A62"/>
    <w:rsid w:val="52F50BB8"/>
    <w:rsid w:val="53097272"/>
    <w:rsid w:val="53147E67"/>
    <w:rsid w:val="53544462"/>
    <w:rsid w:val="5397158E"/>
    <w:rsid w:val="53990805"/>
    <w:rsid w:val="53A62E65"/>
    <w:rsid w:val="54013861"/>
    <w:rsid w:val="54153F94"/>
    <w:rsid w:val="542356B1"/>
    <w:rsid w:val="54487265"/>
    <w:rsid w:val="544D6070"/>
    <w:rsid w:val="54605E1E"/>
    <w:rsid w:val="54856BA7"/>
    <w:rsid w:val="54894FA5"/>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0736EB"/>
    <w:rsid w:val="58917D2F"/>
    <w:rsid w:val="5894085C"/>
    <w:rsid w:val="58AE4F0C"/>
    <w:rsid w:val="58B85899"/>
    <w:rsid w:val="58E363A9"/>
    <w:rsid w:val="59166304"/>
    <w:rsid w:val="5925341C"/>
    <w:rsid w:val="595E1678"/>
    <w:rsid w:val="596D5BD4"/>
    <w:rsid w:val="597E3DD8"/>
    <w:rsid w:val="59BB7545"/>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6879E4"/>
    <w:rsid w:val="5D891B7B"/>
    <w:rsid w:val="5DAA7FFC"/>
    <w:rsid w:val="5DAD38EE"/>
    <w:rsid w:val="5DB41369"/>
    <w:rsid w:val="5DE80B25"/>
    <w:rsid w:val="5E006862"/>
    <w:rsid w:val="5E0207B9"/>
    <w:rsid w:val="5E1834A1"/>
    <w:rsid w:val="5E186263"/>
    <w:rsid w:val="5E261785"/>
    <w:rsid w:val="5E4A7017"/>
    <w:rsid w:val="5E552BBA"/>
    <w:rsid w:val="5E611C10"/>
    <w:rsid w:val="5E7A0F3F"/>
    <w:rsid w:val="5E8A398A"/>
    <w:rsid w:val="5EFC7377"/>
    <w:rsid w:val="5F06174D"/>
    <w:rsid w:val="5F103E8F"/>
    <w:rsid w:val="5F3A3602"/>
    <w:rsid w:val="5F45733B"/>
    <w:rsid w:val="5F6277C6"/>
    <w:rsid w:val="5F6D0B1D"/>
    <w:rsid w:val="5F897F38"/>
    <w:rsid w:val="5F8D0B82"/>
    <w:rsid w:val="5FCC5339"/>
    <w:rsid w:val="5FE34A5B"/>
    <w:rsid w:val="5FFC117B"/>
    <w:rsid w:val="5FFE1E36"/>
    <w:rsid w:val="60232584"/>
    <w:rsid w:val="607330CE"/>
    <w:rsid w:val="60825176"/>
    <w:rsid w:val="609F2AC4"/>
    <w:rsid w:val="60FA2EE8"/>
    <w:rsid w:val="61054A27"/>
    <w:rsid w:val="610A52BC"/>
    <w:rsid w:val="611D2366"/>
    <w:rsid w:val="612B1454"/>
    <w:rsid w:val="61377DF9"/>
    <w:rsid w:val="613E45A3"/>
    <w:rsid w:val="61421856"/>
    <w:rsid w:val="615227C4"/>
    <w:rsid w:val="61654E3F"/>
    <w:rsid w:val="6182292A"/>
    <w:rsid w:val="619F7F92"/>
    <w:rsid w:val="61F94C26"/>
    <w:rsid w:val="62000E56"/>
    <w:rsid w:val="624F3E49"/>
    <w:rsid w:val="62632286"/>
    <w:rsid w:val="62885958"/>
    <w:rsid w:val="62D76283"/>
    <w:rsid w:val="62F40B65"/>
    <w:rsid w:val="62FC2CFE"/>
    <w:rsid w:val="63024505"/>
    <w:rsid w:val="63273E9D"/>
    <w:rsid w:val="634D6247"/>
    <w:rsid w:val="635600A5"/>
    <w:rsid w:val="635B1DB5"/>
    <w:rsid w:val="63711FED"/>
    <w:rsid w:val="63880DDC"/>
    <w:rsid w:val="638D750D"/>
    <w:rsid w:val="63AC6CC0"/>
    <w:rsid w:val="64055776"/>
    <w:rsid w:val="64240056"/>
    <w:rsid w:val="643E143A"/>
    <w:rsid w:val="64491666"/>
    <w:rsid w:val="646B23B4"/>
    <w:rsid w:val="648B6EEF"/>
    <w:rsid w:val="648C045C"/>
    <w:rsid w:val="64C158BF"/>
    <w:rsid w:val="64CE2EAA"/>
    <w:rsid w:val="653C3090"/>
    <w:rsid w:val="65854376"/>
    <w:rsid w:val="658767BE"/>
    <w:rsid w:val="65892531"/>
    <w:rsid w:val="65D8322D"/>
    <w:rsid w:val="66195831"/>
    <w:rsid w:val="662918B0"/>
    <w:rsid w:val="662E75B1"/>
    <w:rsid w:val="66342C2E"/>
    <w:rsid w:val="663E784C"/>
    <w:rsid w:val="664F1741"/>
    <w:rsid w:val="668B6A45"/>
    <w:rsid w:val="66D406CF"/>
    <w:rsid w:val="672F3F24"/>
    <w:rsid w:val="673E055F"/>
    <w:rsid w:val="67551CE3"/>
    <w:rsid w:val="67A22552"/>
    <w:rsid w:val="67B22DCC"/>
    <w:rsid w:val="67BE71AA"/>
    <w:rsid w:val="67D90273"/>
    <w:rsid w:val="67DE5875"/>
    <w:rsid w:val="67E55852"/>
    <w:rsid w:val="67EB1AB4"/>
    <w:rsid w:val="67FA1285"/>
    <w:rsid w:val="68551F4F"/>
    <w:rsid w:val="685A5307"/>
    <w:rsid w:val="687C10C9"/>
    <w:rsid w:val="68840C16"/>
    <w:rsid w:val="68876EFB"/>
    <w:rsid w:val="68884654"/>
    <w:rsid w:val="689F444F"/>
    <w:rsid w:val="68B96DBB"/>
    <w:rsid w:val="68CA2805"/>
    <w:rsid w:val="68D669B3"/>
    <w:rsid w:val="68E937A3"/>
    <w:rsid w:val="693E15D3"/>
    <w:rsid w:val="69627681"/>
    <w:rsid w:val="6977531D"/>
    <w:rsid w:val="69CC2BFF"/>
    <w:rsid w:val="69F71B66"/>
    <w:rsid w:val="69FD55B8"/>
    <w:rsid w:val="6A0B1C62"/>
    <w:rsid w:val="6A2406C8"/>
    <w:rsid w:val="6ADE0BD1"/>
    <w:rsid w:val="6AE96859"/>
    <w:rsid w:val="6B147746"/>
    <w:rsid w:val="6B1E5F5B"/>
    <w:rsid w:val="6B24787C"/>
    <w:rsid w:val="6B573233"/>
    <w:rsid w:val="6B5B6274"/>
    <w:rsid w:val="6B935D53"/>
    <w:rsid w:val="6C196F71"/>
    <w:rsid w:val="6C226FCB"/>
    <w:rsid w:val="6C31226F"/>
    <w:rsid w:val="6C552F0B"/>
    <w:rsid w:val="6C8C67B7"/>
    <w:rsid w:val="6C9D744C"/>
    <w:rsid w:val="6CFD5230"/>
    <w:rsid w:val="6D12171A"/>
    <w:rsid w:val="6D167928"/>
    <w:rsid w:val="6D1C273C"/>
    <w:rsid w:val="6D26299B"/>
    <w:rsid w:val="6D4772EC"/>
    <w:rsid w:val="6D4B504E"/>
    <w:rsid w:val="6D9078AF"/>
    <w:rsid w:val="6DA238EB"/>
    <w:rsid w:val="6DAA3FEF"/>
    <w:rsid w:val="6DC0172B"/>
    <w:rsid w:val="6DCB690C"/>
    <w:rsid w:val="6DD41A5B"/>
    <w:rsid w:val="6DF43C2E"/>
    <w:rsid w:val="6DF51CA3"/>
    <w:rsid w:val="6E8335BD"/>
    <w:rsid w:val="6E8E12EF"/>
    <w:rsid w:val="6E972936"/>
    <w:rsid w:val="6EA051D3"/>
    <w:rsid w:val="6ED446C5"/>
    <w:rsid w:val="6F2A7D94"/>
    <w:rsid w:val="6F8331F1"/>
    <w:rsid w:val="6FAE1A09"/>
    <w:rsid w:val="6FBF0969"/>
    <w:rsid w:val="6FD75BF8"/>
    <w:rsid w:val="705D17D6"/>
    <w:rsid w:val="707723D0"/>
    <w:rsid w:val="70F5661B"/>
    <w:rsid w:val="71360107"/>
    <w:rsid w:val="713B688E"/>
    <w:rsid w:val="71CF796A"/>
    <w:rsid w:val="71D43752"/>
    <w:rsid w:val="71F1796A"/>
    <w:rsid w:val="72154626"/>
    <w:rsid w:val="72262B5D"/>
    <w:rsid w:val="72283FF7"/>
    <w:rsid w:val="722E7212"/>
    <w:rsid w:val="723A0474"/>
    <w:rsid w:val="725923E4"/>
    <w:rsid w:val="72864BF7"/>
    <w:rsid w:val="729023FC"/>
    <w:rsid w:val="730074EB"/>
    <w:rsid w:val="73C0646E"/>
    <w:rsid w:val="742222F5"/>
    <w:rsid w:val="74476126"/>
    <w:rsid w:val="74706664"/>
    <w:rsid w:val="747F3682"/>
    <w:rsid w:val="749C4185"/>
    <w:rsid w:val="75067759"/>
    <w:rsid w:val="75216216"/>
    <w:rsid w:val="752E6DCD"/>
    <w:rsid w:val="7551380D"/>
    <w:rsid w:val="75600BE5"/>
    <w:rsid w:val="7564475C"/>
    <w:rsid w:val="7583797F"/>
    <w:rsid w:val="75D20F1D"/>
    <w:rsid w:val="75DA2C18"/>
    <w:rsid w:val="75F54412"/>
    <w:rsid w:val="761D08E0"/>
    <w:rsid w:val="765D347C"/>
    <w:rsid w:val="76826699"/>
    <w:rsid w:val="76A50F09"/>
    <w:rsid w:val="76C87133"/>
    <w:rsid w:val="76CD08D5"/>
    <w:rsid w:val="76DB4B92"/>
    <w:rsid w:val="77052AA4"/>
    <w:rsid w:val="77136511"/>
    <w:rsid w:val="77340A39"/>
    <w:rsid w:val="77351FD0"/>
    <w:rsid w:val="77472422"/>
    <w:rsid w:val="777F31F2"/>
    <w:rsid w:val="77D1700D"/>
    <w:rsid w:val="77EC04CC"/>
    <w:rsid w:val="786A5D9D"/>
    <w:rsid w:val="78775729"/>
    <w:rsid w:val="78A42DB0"/>
    <w:rsid w:val="78A656AB"/>
    <w:rsid w:val="78B2245C"/>
    <w:rsid w:val="78E172CC"/>
    <w:rsid w:val="78EA1D1F"/>
    <w:rsid w:val="7904172F"/>
    <w:rsid w:val="790F7E27"/>
    <w:rsid w:val="792A231A"/>
    <w:rsid w:val="79316829"/>
    <w:rsid w:val="79644FDB"/>
    <w:rsid w:val="79763B38"/>
    <w:rsid w:val="797E66A9"/>
    <w:rsid w:val="798518A4"/>
    <w:rsid w:val="79A97383"/>
    <w:rsid w:val="79E06865"/>
    <w:rsid w:val="79E27E8B"/>
    <w:rsid w:val="79F850CE"/>
    <w:rsid w:val="79FD443C"/>
    <w:rsid w:val="7A1B7E60"/>
    <w:rsid w:val="7A1D1975"/>
    <w:rsid w:val="7A3E5150"/>
    <w:rsid w:val="7A4670D6"/>
    <w:rsid w:val="7A534B63"/>
    <w:rsid w:val="7A615382"/>
    <w:rsid w:val="7A6624B5"/>
    <w:rsid w:val="7A67303B"/>
    <w:rsid w:val="7AAB1D04"/>
    <w:rsid w:val="7ABA4368"/>
    <w:rsid w:val="7AD05746"/>
    <w:rsid w:val="7B257FFD"/>
    <w:rsid w:val="7B343476"/>
    <w:rsid w:val="7B5A2978"/>
    <w:rsid w:val="7B5A7E4C"/>
    <w:rsid w:val="7B667AF9"/>
    <w:rsid w:val="7B7468F8"/>
    <w:rsid w:val="7BEE0103"/>
    <w:rsid w:val="7C0A0FE4"/>
    <w:rsid w:val="7C254906"/>
    <w:rsid w:val="7C4B59F8"/>
    <w:rsid w:val="7C590818"/>
    <w:rsid w:val="7C7C10F6"/>
    <w:rsid w:val="7C853BEA"/>
    <w:rsid w:val="7C881368"/>
    <w:rsid w:val="7CE27788"/>
    <w:rsid w:val="7D0C32F1"/>
    <w:rsid w:val="7D0F408D"/>
    <w:rsid w:val="7D380577"/>
    <w:rsid w:val="7D491C6C"/>
    <w:rsid w:val="7D5429C0"/>
    <w:rsid w:val="7D6E6D43"/>
    <w:rsid w:val="7DB57A34"/>
    <w:rsid w:val="7DE60973"/>
    <w:rsid w:val="7DEF0916"/>
    <w:rsid w:val="7DFA111A"/>
    <w:rsid w:val="7DFF7C0C"/>
    <w:rsid w:val="7E1E5218"/>
    <w:rsid w:val="7E9A4E1F"/>
    <w:rsid w:val="7EA7723A"/>
    <w:rsid w:val="7EF56FBB"/>
    <w:rsid w:val="7F0768EB"/>
    <w:rsid w:val="7F143BEC"/>
    <w:rsid w:val="7F194FA7"/>
    <w:rsid w:val="7F715AF2"/>
    <w:rsid w:val="7F78365F"/>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2"/>
    <w:qFormat/>
    <w:uiPriority w:val="99"/>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99"/>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next w:val="1"/>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表格文字1151"/>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100</Pages>
  <Words>58748</Words>
  <Characters>62898</Characters>
  <Lines>519</Lines>
  <Paragraphs>146</Paragraphs>
  <TotalTime>14</TotalTime>
  <ScaleCrop>false</ScaleCrop>
  <LinksUpToDate>false</LinksUpToDate>
  <CharactersWithSpaces>69420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2025-07-28T08:07:00Z</dcterms:created>
  <dc:creator>北海市政府采购中心</dc:creator>
  <cp:lastModifiedBy>lenovo</cp:lastModifiedBy>
  <cp:lastPrinted>2025-10-13T07:51:00Z</cp:lastPrinted>
  <dcterms:modified xsi:type="dcterms:W3CDTF">2025-10-14T02:04:51Z</dcterms:modified>
  <dc:title>北海市政府采购中心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72DDF3B010BD441C89A7DF57D6768B26</vt:lpwstr>
  </property>
  <property fmtid="{D5CDD505-2E9C-101B-9397-08002B2CF9AE}" pid="5" name="KSOTemplateDocerSaveRecord">
    <vt:lpwstr>eyJoZGlkIjoiMDk1NDFlMDFlYjE5YmRmMzE1YzZiNjJiNjk4MWUyZmEiLCJ1c2VySWQiOiIxMzkyNzAyMTY2In0=</vt:lpwstr>
  </property>
</Properties>
</file>