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3FA8F">
      <w:pPr>
        <w:spacing w:line="360" w:lineRule="auto"/>
        <w:jc w:val="center"/>
        <w:rPr>
          <w:rFonts w:ascii="宋体" w:hAnsi="宋体" w:cs="宋体"/>
          <w:b/>
          <w:color w:val="000000" w:themeColor="text1"/>
          <w:sz w:val="24"/>
          <w14:textFill>
            <w14:solidFill>
              <w14:schemeClr w14:val="tx1"/>
            </w14:solidFill>
          </w14:textFill>
        </w:rPr>
      </w:pPr>
    </w:p>
    <w:p w14:paraId="454B061C">
      <w:pPr>
        <w:spacing w:line="360" w:lineRule="auto"/>
        <w:jc w:val="center"/>
        <w:rPr>
          <w:rFonts w:ascii="宋体" w:hAnsi="宋体" w:cs="宋体"/>
          <w:b/>
          <w:color w:val="000000" w:themeColor="text1"/>
          <w:sz w:val="24"/>
          <w14:textFill>
            <w14:solidFill>
              <w14:schemeClr w14:val="tx1"/>
            </w14:solidFill>
          </w14:textFill>
        </w:rPr>
      </w:pPr>
    </w:p>
    <w:p w14:paraId="19B77ABF">
      <w:pPr>
        <w:adjustRightInd/>
        <w:spacing w:line="360" w:lineRule="auto"/>
        <w:jc w:val="center"/>
        <w:rPr>
          <w:rFonts w:ascii="宋体" w:hAnsi="宋体" w:cs="宋体"/>
          <w:b/>
          <w:color w:val="000000" w:themeColor="text1"/>
          <w:sz w:val="44"/>
          <w:szCs w:val="44"/>
          <w14:textFill>
            <w14:solidFill>
              <w14:schemeClr w14:val="tx1"/>
            </w14:solidFill>
          </w14:textFill>
        </w:rPr>
      </w:pPr>
    </w:p>
    <w:p w14:paraId="7110F1A0">
      <w:pPr>
        <w:spacing w:line="360" w:lineRule="auto"/>
        <w:jc w:val="center"/>
        <w:rPr>
          <w:rFonts w:ascii="宋体" w:hAnsi="宋体" w:cs="宋体"/>
          <w:b/>
          <w:color w:val="000000" w:themeColor="text1"/>
          <w:sz w:val="44"/>
          <w:szCs w:val="44"/>
          <w14:textFill>
            <w14:solidFill>
              <w14:schemeClr w14:val="tx1"/>
            </w14:solidFill>
          </w14:textFill>
        </w:rPr>
      </w:pPr>
    </w:p>
    <w:p w14:paraId="56A3EBB9">
      <w:pPr>
        <w:adjustRightInd/>
        <w:spacing w:line="360" w:lineRule="auto"/>
        <w:jc w:val="center"/>
        <w:rPr>
          <w:rFonts w:ascii="宋体" w:hAnsi="宋体" w:cs="宋体"/>
          <w:b/>
          <w:color w:val="000000" w:themeColor="text1"/>
          <w:sz w:val="48"/>
          <w:szCs w:val="48"/>
          <w14:textFill>
            <w14:solidFill>
              <w14:schemeClr w14:val="tx1"/>
            </w14:solidFill>
          </w14:textFill>
        </w:rPr>
      </w:pPr>
    </w:p>
    <w:p w14:paraId="6026368B">
      <w:pPr>
        <w:adjustRightInd/>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来宾市行政中心卫生保洁、保安服务招标文件</w:t>
      </w:r>
    </w:p>
    <w:p w14:paraId="7C9F7686">
      <w:pPr>
        <w:adjustRightInd/>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（电子招投标）</w:t>
      </w:r>
    </w:p>
    <w:p w14:paraId="4646025A">
      <w:pPr>
        <w:snapToGrid w:val="0"/>
        <w:spacing w:line="36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编号：LBZC2025-G3-990131-CGZX</w:t>
      </w:r>
    </w:p>
    <w:p w14:paraId="5B707679">
      <w:pPr>
        <w:adjustRightInd/>
        <w:spacing w:line="360" w:lineRule="auto"/>
        <w:rPr>
          <w:rFonts w:ascii="宋体" w:hAnsi="宋体" w:cs="宋体"/>
          <w:color w:val="000000" w:themeColor="text1"/>
          <w:sz w:val="28"/>
          <w:szCs w:val="20"/>
          <w14:textFill>
            <w14:solidFill>
              <w14:schemeClr w14:val="tx1"/>
            </w14:solidFill>
          </w14:textFill>
        </w:rPr>
      </w:pPr>
    </w:p>
    <w:p w14:paraId="2A2D2267">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w:t>
      </w:r>
    </w:p>
    <w:p w14:paraId="05AC7635">
      <w:pPr>
        <w:spacing w:line="360" w:lineRule="auto"/>
        <w:jc w:val="center"/>
        <w:rPr>
          <w:rFonts w:ascii="宋体" w:hAnsi="宋体" w:cs="宋体"/>
          <w:b/>
          <w:color w:val="000000" w:themeColor="text1"/>
          <w:sz w:val="44"/>
          <w:szCs w:val="44"/>
          <w14:textFill>
            <w14:solidFill>
              <w14:schemeClr w14:val="tx1"/>
            </w14:solidFill>
          </w14:textFill>
        </w:rPr>
      </w:pPr>
    </w:p>
    <w:p w14:paraId="63C58B10">
      <w:pPr>
        <w:spacing w:line="360" w:lineRule="auto"/>
        <w:jc w:val="center"/>
        <w:rPr>
          <w:rFonts w:ascii="宋体" w:hAnsi="宋体" w:cs="宋体"/>
          <w:color w:val="000000" w:themeColor="text1"/>
          <w:sz w:val="24"/>
          <w14:textFill>
            <w14:solidFill>
              <w14:schemeClr w14:val="tx1"/>
            </w14:solidFill>
          </w14:textFill>
        </w:rPr>
      </w:pPr>
    </w:p>
    <w:p w14:paraId="179689E3">
      <w:pPr>
        <w:spacing w:line="360" w:lineRule="auto"/>
        <w:jc w:val="center"/>
        <w:rPr>
          <w:rFonts w:ascii="宋体" w:hAnsi="宋体" w:cs="宋体"/>
          <w:color w:val="000000" w:themeColor="text1"/>
          <w:sz w:val="24"/>
          <w14:textFill>
            <w14:solidFill>
              <w14:schemeClr w14:val="tx1"/>
            </w14:solidFill>
          </w14:textFill>
        </w:rPr>
      </w:pPr>
    </w:p>
    <w:p w14:paraId="4E49C774">
      <w:pPr>
        <w:spacing w:line="360" w:lineRule="auto"/>
        <w:rPr>
          <w:rFonts w:ascii="宋体" w:hAnsi="宋体" w:cs="宋体"/>
          <w:color w:val="000000" w:themeColor="text1"/>
          <w:sz w:val="32"/>
          <w:szCs w:val="32"/>
          <w14:textFill>
            <w14:solidFill>
              <w14:schemeClr w14:val="tx1"/>
            </w14:solidFill>
          </w14:textFill>
        </w:rPr>
      </w:pPr>
    </w:p>
    <w:p w14:paraId="0BEDB473">
      <w:pPr>
        <w:snapToGrid w:val="0"/>
        <w:spacing w:line="360" w:lineRule="auto"/>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来宾市机关事务管理中心</w:t>
      </w:r>
    </w:p>
    <w:p w14:paraId="146ADF46">
      <w:pPr>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北海市政府采购中心</w:t>
      </w:r>
    </w:p>
    <w:p w14:paraId="58DAC6D9">
      <w:pPr>
        <w:snapToGrid w:val="0"/>
        <w:spacing w:line="360" w:lineRule="auto"/>
        <w:jc w:val="center"/>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二〇二五年</w:t>
      </w:r>
      <w:r>
        <w:rPr>
          <w:rFonts w:hint="eastAsia" w:ascii="宋体" w:hAnsi="宋体" w:cs="宋体"/>
          <w:bCs/>
          <w:color w:val="000000" w:themeColor="text1"/>
          <w:sz w:val="32"/>
          <w:szCs w:val="32"/>
          <w:lang w:val="en-US" w:eastAsia="zh-CN"/>
          <w14:textFill>
            <w14:solidFill>
              <w14:schemeClr w14:val="tx1"/>
            </w14:solidFill>
          </w14:textFill>
        </w:rPr>
        <w:t>九</w:t>
      </w:r>
      <w:r>
        <w:rPr>
          <w:rFonts w:hint="eastAsia" w:ascii="宋体" w:hAnsi="宋体" w:cs="宋体"/>
          <w:bCs/>
          <w:color w:val="000000" w:themeColor="text1"/>
          <w:sz w:val="32"/>
          <w:szCs w:val="32"/>
          <w:lang w:eastAsia="zh-CN"/>
          <w14:textFill>
            <w14:solidFill>
              <w14:schemeClr w14:val="tx1"/>
            </w14:solidFill>
          </w14:textFill>
        </w:rPr>
        <w:t>月</w:t>
      </w:r>
      <w:r>
        <w:rPr>
          <w:rFonts w:hint="eastAsia" w:ascii="宋体" w:hAnsi="宋体" w:cs="宋体"/>
          <w:bCs/>
          <w:color w:val="000000" w:themeColor="text1"/>
          <w:sz w:val="32"/>
          <w:szCs w:val="32"/>
          <w:lang w:val="en-US" w:eastAsia="zh-CN"/>
          <w14:textFill>
            <w14:solidFill>
              <w14:schemeClr w14:val="tx1"/>
            </w14:solidFill>
          </w14:textFill>
        </w:rPr>
        <w:t>十六</w:t>
      </w:r>
      <w:r>
        <w:rPr>
          <w:rFonts w:hint="eastAsia" w:ascii="宋体" w:hAnsi="宋体" w:cs="宋体"/>
          <w:bCs/>
          <w:color w:val="000000" w:themeColor="text1"/>
          <w:sz w:val="32"/>
          <w:szCs w:val="32"/>
          <w:lang w:eastAsia="zh-CN"/>
          <w14:textFill>
            <w14:solidFill>
              <w14:schemeClr w14:val="tx1"/>
            </w14:solidFill>
          </w14:textFill>
        </w:rPr>
        <w:t>日</w:t>
      </w:r>
    </w:p>
    <w:p w14:paraId="79D941C5">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0" w:name="_Hlt67893495"/>
      <w:bookmarkEnd w:id="0"/>
    </w:p>
    <w:p w14:paraId="66789FCB">
      <w:pPr>
        <w:pStyle w:val="634"/>
        <w:outlineLvl w:val="9"/>
        <w:rPr>
          <w:color w:val="000000" w:themeColor="text1"/>
          <w14:textFill>
            <w14:solidFill>
              <w14:schemeClr w14:val="tx1"/>
            </w14:solidFill>
          </w14:textFill>
        </w:rPr>
      </w:pPr>
    </w:p>
    <w:p w14:paraId="75492557">
      <w:pPr>
        <w:spacing w:line="360" w:lineRule="auto"/>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p>
    <w:p w14:paraId="7A53B7E4">
      <w:pPr>
        <w:spacing w:line="360" w:lineRule="auto"/>
        <w:rPr>
          <w:rFonts w:ascii="宋体" w:hAnsi="宋体" w:cs="宋体"/>
          <w:color w:val="000000" w:themeColor="text1"/>
          <w:sz w:val="32"/>
          <w:szCs w:val="32"/>
          <w14:textFill>
            <w14:solidFill>
              <w14:schemeClr w14:val="tx1"/>
            </w14:solidFill>
          </w14:textFill>
        </w:rPr>
      </w:pPr>
    </w:p>
    <w:p w14:paraId="02616D1A">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bookmarkStart w:id="1" w:name="_Hlt91233176"/>
      <w:bookmarkEnd w:id="1"/>
      <w:bookmarkStart w:id="2" w:name="_Toc91899869"/>
      <w:r>
        <w:rPr>
          <w:rFonts w:cs="宋体" w:asciiTheme="minorEastAsia" w:hAnsiTheme="minorEastAsia" w:eastAsiaTheme="minorEastAsia"/>
          <w:color w:val="000000" w:themeColor="text1"/>
          <w:sz w:val="32"/>
          <w:szCs w:val="32"/>
          <w14:textFill>
            <w14:solidFill>
              <w14:schemeClr w14:val="tx1"/>
            </w14:solidFill>
          </w14:textFill>
        </w:rPr>
        <w:fldChar w:fldCharType="begin"/>
      </w:r>
      <w:r>
        <w:rPr>
          <w:rFonts w:cs="宋体" w:asciiTheme="minorEastAsia" w:hAnsiTheme="minorEastAsia" w:eastAsiaTheme="minorEastAsia"/>
          <w:color w:val="000000" w:themeColor="text1"/>
          <w:sz w:val="32"/>
          <w:szCs w:val="32"/>
          <w14:textFill>
            <w14:solidFill>
              <w14:schemeClr w14:val="tx1"/>
            </w14:solidFill>
          </w14:textFill>
        </w:rPr>
        <w:instrText xml:space="preserve"> TOC \o "1-1" \h \z \u </w:instrText>
      </w:r>
      <w:r>
        <w:rPr>
          <w:rFonts w:cs="宋体" w:asciiTheme="minorEastAsia" w:hAnsiTheme="minorEastAsia" w:eastAsiaTheme="minorEastAsia"/>
          <w:color w:val="000000" w:themeColor="text1"/>
          <w:sz w:val="32"/>
          <w:szCs w:val="32"/>
          <w14:textFill>
            <w14:solidFill>
              <w14:schemeClr w14:val="tx1"/>
            </w14:solidFill>
          </w14:textFill>
        </w:rPr>
        <w:fldChar w:fldCharType="separate"/>
      </w:r>
      <w:r>
        <w:fldChar w:fldCharType="begin"/>
      </w:r>
      <w:r>
        <w:instrText xml:space="preserve"> HYPERLINK \l "_Toc176368902" </w:instrText>
      </w:r>
      <w:r>
        <w:fldChar w:fldCharType="separate"/>
      </w:r>
      <w:r>
        <w:rPr>
          <w:rStyle w:val="76"/>
          <w:rFonts w:hint="eastAsia" w:cs="宋体" w:asciiTheme="minorEastAsia" w:hAnsiTheme="minorEastAsia" w:eastAsiaTheme="minorEastAsia"/>
          <w:color w:val="000000" w:themeColor="text1"/>
          <w:sz w:val="32"/>
          <w:szCs w:val="32"/>
          <w14:textFill>
            <w14:solidFill>
              <w14:schemeClr w14:val="tx1"/>
            </w14:solidFill>
          </w14:textFill>
        </w:rPr>
        <w:t>第一部分</w:t>
      </w:r>
      <w:r>
        <w:rPr>
          <w:rStyle w:val="76"/>
          <w:rFonts w:cs="宋体" w:asciiTheme="minorEastAsia" w:hAnsiTheme="minorEastAsia" w:eastAsiaTheme="minorEastAsia"/>
          <w:color w:val="000000" w:themeColor="text1"/>
          <w:sz w:val="32"/>
          <w:szCs w:val="32"/>
          <w14:textFill>
            <w14:solidFill>
              <w14:schemeClr w14:val="tx1"/>
            </w14:solidFill>
          </w14:textFill>
        </w:rPr>
        <w:t xml:space="preserve"> </w:t>
      </w:r>
      <w:r>
        <w:rPr>
          <w:rStyle w:val="76"/>
          <w:rFonts w:hint="eastAsia" w:cs="宋体" w:asciiTheme="minorEastAsia" w:hAnsiTheme="minorEastAsia" w:eastAsiaTheme="minorEastAsia"/>
          <w:color w:val="000000" w:themeColor="text1"/>
          <w:sz w:val="32"/>
          <w:szCs w:val="32"/>
          <w14:textFill>
            <w14:solidFill>
              <w14:schemeClr w14:val="tx1"/>
            </w14:solidFill>
          </w14:textFill>
        </w:rPr>
        <w:t>招标公告</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_Toc176368902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3</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52EAFAD9">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"_Toc176368903" </w:instrText>
      </w:r>
      <w:r>
        <w:fldChar w:fldCharType="separate"/>
      </w:r>
      <w:r>
        <w:rPr>
          <w:rStyle w:val="76"/>
          <w:rFonts w:hint="eastAsia" w:cs="宋体" w:asciiTheme="minorEastAsia" w:hAnsiTheme="minorEastAsia" w:eastAsiaTheme="minorEastAsia"/>
          <w:color w:val="000000" w:themeColor="text1"/>
          <w:sz w:val="32"/>
          <w:szCs w:val="32"/>
          <w14:textFill>
            <w14:solidFill>
              <w14:schemeClr w14:val="tx1"/>
            </w14:solidFill>
          </w14:textFill>
        </w:rPr>
        <w:t>第二部分</w:t>
      </w:r>
      <w:r>
        <w:rPr>
          <w:rStyle w:val="76"/>
          <w:rFonts w:cs="宋体" w:asciiTheme="minorEastAsia" w:hAnsiTheme="minorEastAsia" w:eastAsiaTheme="minorEastAsia"/>
          <w:color w:val="000000" w:themeColor="text1"/>
          <w:sz w:val="32"/>
          <w:szCs w:val="32"/>
          <w14:textFill>
            <w14:solidFill>
              <w14:schemeClr w14:val="tx1"/>
            </w14:solidFill>
          </w14:textFill>
        </w:rPr>
        <w:t xml:space="preserve"> </w:t>
      </w:r>
      <w:r>
        <w:rPr>
          <w:rStyle w:val="76"/>
          <w:rFonts w:hint="eastAsia" w:cs="宋体" w:asciiTheme="minorEastAsia" w:hAnsiTheme="minorEastAsia" w:eastAsiaTheme="minorEastAsia"/>
          <w:color w:val="000000" w:themeColor="text1"/>
          <w:sz w:val="32"/>
          <w:szCs w:val="32"/>
          <w14:textFill>
            <w14:solidFill>
              <w14:schemeClr w14:val="tx1"/>
            </w14:solidFill>
          </w14:textFill>
        </w:rPr>
        <w:t>投标人须知</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_Toc176368903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7</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6BA52886">
      <w:pPr>
        <w:pStyle w:val="42"/>
        <w:tabs>
          <w:tab w:val="right" w:leader="dot" w:pos="9060"/>
        </w:tabs>
        <w:spacing w:line="360" w:lineRule="auto"/>
        <w:rPr>
          <w:rFonts w:asciiTheme="minorEastAsia" w:hAnsiTheme="minorEastAsia" w:eastAsiaTheme="minorEastAsia"/>
          <w:color w:val="000000" w:themeColor="text1"/>
          <w:sz w:val="32"/>
          <w:szCs w:val="32"/>
          <w14:textFill>
            <w14:solidFill>
              <w14:schemeClr w14:val="tx1"/>
            </w14:solidFill>
          </w14:textFill>
        </w:rPr>
      </w:pPr>
      <w:r>
        <w:fldChar w:fldCharType="begin"/>
      </w:r>
      <w:r>
        <w:instrText xml:space="preserve"> HYPERLINK \l "_Toc176368904" </w:instrText>
      </w:r>
      <w:r>
        <w:fldChar w:fldCharType="separate"/>
      </w:r>
      <w:r>
        <w:rPr>
          <w:rStyle w:val="76"/>
          <w:rFonts w:hint="eastAsia" w:cs="宋体" w:asciiTheme="minorEastAsia" w:hAnsiTheme="minorEastAsia" w:eastAsiaTheme="minorEastAsia"/>
          <w:color w:val="000000" w:themeColor="text1"/>
          <w:sz w:val="32"/>
          <w:szCs w:val="32"/>
          <w14:textFill>
            <w14:solidFill>
              <w14:schemeClr w14:val="tx1"/>
            </w14:solidFill>
          </w14:textFill>
        </w:rPr>
        <w:t>第三部分</w:t>
      </w:r>
      <w:r>
        <w:rPr>
          <w:rStyle w:val="76"/>
          <w:rFonts w:cs="宋体" w:asciiTheme="minorEastAsia" w:hAnsiTheme="minorEastAsia" w:eastAsiaTheme="minorEastAsia"/>
          <w:color w:val="000000" w:themeColor="text1"/>
          <w:sz w:val="32"/>
          <w:szCs w:val="32"/>
          <w14:textFill>
            <w14:solidFill>
              <w14:schemeClr w14:val="tx1"/>
            </w14:solidFill>
          </w14:textFill>
        </w:rPr>
        <w:t xml:space="preserve"> </w:t>
      </w:r>
      <w:r>
        <w:rPr>
          <w:rStyle w:val="76"/>
          <w:rFonts w:hint="eastAsia" w:cs="宋体" w:asciiTheme="minorEastAsia" w:hAnsiTheme="minorEastAsia" w:eastAsiaTheme="minorEastAsia"/>
          <w:color w:val="000000" w:themeColor="text1"/>
          <w:sz w:val="32"/>
          <w:szCs w:val="32"/>
          <w14:textFill>
            <w14:solidFill>
              <w14:schemeClr w14:val="tx1"/>
            </w14:solidFill>
          </w14:textFill>
        </w:rPr>
        <w:t>采购需求</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2</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olor w:val="000000" w:themeColor="text1"/>
          <w:sz w:val="32"/>
          <w:szCs w:val="32"/>
          <w14:textFill>
            <w14:solidFill>
              <w14:schemeClr w14:val="tx1"/>
            </w14:solidFill>
          </w14:textFill>
        </w:rPr>
        <w:t>8</w:t>
      </w:r>
    </w:p>
    <w:p w14:paraId="384B3E40">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"_Toc176368905" </w:instrText>
      </w:r>
      <w:r>
        <w:fldChar w:fldCharType="separate"/>
      </w:r>
      <w:r>
        <w:rPr>
          <w:rStyle w:val="76"/>
          <w:rFonts w:hint="eastAsia" w:cs="宋体" w:asciiTheme="minorEastAsia" w:hAnsiTheme="minorEastAsia" w:eastAsiaTheme="minorEastAsia"/>
          <w:color w:val="000000" w:themeColor="text1"/>
          <w:sz w:val="32"/>
          <w:szCs w:val="32"/>
          <w14:textFill>
            <w14:solidFill>
              <w14:schemeClr w14:val="tx1"/>
            </w14:solidFill>
          </w14:textFill>
        </w:rPr>
        <w:t>第四部分</w:t>
      </w:r>
      <w:r>
        <w:rPr>
          <w:rStyle w:val="76"/>
          <w:rFonts w:cs="宋体" w:asciiTheme="minorEastAsia" w:hAnsiTheme="minorEastAsia" w:eastAsiaTheme="minorEastAsia"/>
          <w:color w:val="000000" w:themeColor="text1"/>
          <w:sz w:val="32"/>
          <w:szCs w:val="32"/>
          <w14:textFill>
            <w14:solidFill>
              <w14:schemeClr w14:val="tx1"/>
            </w14:solidFill>
          </w14:textFill>
        </w:rPr>
        <w:t xml:space="preserve"> </w:t>
      </w:r>
      <w:r>
        <w:rPr>
          <w:rStyle w:val="76"/>
          <w:rFonts w:hint="eastAsia" w:cs="宋体" w:asciiTheme="minorEastAsia" w:hAnsiTheme="minorEastAsia" w:eastAsiaTheme="minorEastAsia"/>
          <w:color w:val="000000" w:themeColor="text1"/>
          <w:sz w:val="32"/>
          <w:szCs w:val="32"/>
          <w14:textFill>
            <w14:solidFill>
              <w14:schemeClr w14:val="tx1"/>
            </w14:solidFill>
          </w14:textFill>
        </w:rPr>
        <w:t>评标办法</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3</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olor w:val="000000" w:themeColor="text1"/>
          <w:sz w:val="32"/>
          <w:szCs w:val="32"/>
          <w14:textFill>
            <w14:solidFill>
              <w14:schemeClr w14:val="tx1"/>
            </w14:solidFill>
          </w14:textFill>
        </w:rPr>
        <w:t>5</w:t>
      </w:r>
    </w:p>
    <w:p w14:paraId="225DABF6">
      <w:pPr>
        <w:pStyle w:val="42"/>
        <w:tabs>
          <w:tab w:val="right" w:leader="dot" w:pos="9060"/>
        </w:tabs>
        <w:spacing w:line="360" w:lineRule="auto"/>
        <w:rPr>
          <w:rFonts w:asciiTheme="minorEastAsia" w:hAnsiTheme="minorEastAsia" w:eastAsiaTheme="minorEastAsia"/>
          <w:color w:val="000000" w:themeColor="text1"/>
          <w:sz w:val="32"/>
          <w:szCs w:val="32"/>
          <w14:textFill>
            <w14:solidFill>
              <w14:schemeClr w14:val="tx1"/>
            </w14:solidFill>
          </w14:textFill>
        </w:rPr>
      </w:pPr>
      <w:r>
        <w:fldChar w:fldCharType="begin"/>
      </w:r>
      <w:r>
        <w:instrText xml:space="preserve"> HYPERLINK \l "_Toc176368906" </w:instrText>
      </w:r>
      <w:r>
        <w:fldChar w:fldCharType="separate"/>
      </w:r>
      <w:r>
        <w:rPr>
          <w:rStyle w:val="76"/>
          <w:rFonts w:hint="eastAsia" w:cs="宋体" w:asciiTheme="minorEastAsia" w:hAnsiTheme="minorEastAsia" w:eastAsiaTheme="minorEastAsia"/>
          <w:color w:val="000000" w:themeColor="text1"/>
          <w:sz w:val="32"/>
          <w:szCs w:val="32"/>
          <w14:textFill>
            <w14:solidFill>
              <w14:schemeClr w14:val="tx1"/>
            </w14:solidFill>
          </w14:textFill>
        </w:rPr>
        <w:t>第五部分</w:t>
      </w:r>
      <w:r>
        <w:rPr>
          <w:rStyle w:val="76"/>
          <w:rFonts w:cs="宋体" w:asciiTheme="minorEastAsia" w:hAnsiTheme="minorEastAsia" w:eastAsiaTheme="minorEastAsia"/>
          <w:color w:val="000000" w:themeColor="text1"/>
          <w:sz w:val="32"/>
          <w:szCs w:val="32"/>
          <w14:textFill>
            <w14:solidFill>
              <w14:schemeClr w14:val="tx1"/>
            </w14:solidFill>
          </w14:textFill>
        </w:rPr>
        <w:t xml:space="preserve"> </w:t>
      </w:r>
      <w:r>
        <w:rPr>
          <w:rStyle w:val="76"/>
          <w:rFonts w:hint="eastAsia" w:cs="宋体" w:asciiTheme="minorEastAsia" w:hAnsiTheme="minorEastAsia" w:eastAsiaTheme="minorEastAsia"/>
          <w:color w:val="000000" w:themeColor="text1"/>
          <w:sz w:val="32"/>
          <w:szCs w:val="32"/>
          <w14:textFill>
            <w14:solidFill>
              <w14:schemeClr w14:val="tx1"/>
            </w14:solidFill>
          </w14:textFill>
        </w:rPr>
        <w:t>拟签订的合同文本</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4</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olor w:val="000000" w:themeColor="text1"/>
          <w:sz w:val="32"/>
          <w:szCs w:val="32"/>
          <w14:textFill>
            <w14:solidFill>
              <w14:schemeClr w14:val="tx1"/>
            </w14:solidFill>
          </w14:textFill>
        </w:rPr>
        <w:t>3</w:t>
      </w:r>
    </w:p>
    <w:p w14:paraId="3F16F440">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"_Toc176368907" </w:instrText>
      </w:r>
      <w:r>
        <w:fldChar w:fldCharType="separate"/>
      </w:r>
      <w:r>
        <w:rPr>
          <w:rStyle w:val="76"/>
          <w:rFonts w:hint="eastAsia" w:cs="宋体" w:asciiTheme="minorEastAsia" w:hAnsiTheme="minorEastAsia" w:eastAsiaTheme="minorEastAsia"/>
          <w:color w:val="000000" w:themeColor="text1"/>
          <w:sz w:val="32"/>
          <w:szCs w:val="32"/>
          <w14:textFill>
            <w14:solidFill>
              <w14:schemeClr w14:val="tx1"/>
            </w14:solidFill>
          </w14:textFill>
        </w:rPr>
        <w:t>第六部分</w:t>
      </w:r>
      <w:r>
        <w:rPr>
          <w:rStyle w:val="76"/>
          <w:rFonts w:cs="宋体" w:asciiTheme="minorEastAsia" w:hAnsiTheme="minorEastAsia" w:eastAsiaTheme="minorEastAsia"/>
          <w:color w:val="000000" w:themeColor="text1"/>
          <w:sz w:val="32"/>
          <w:szCs w:val="32"/>
          <w14:textFill>
            <w14:solidFill>
              <w14:schemeClr w14:val="tx1"/>
            </w14:solidFill>
          </w14:textFill>
        </w:rPr>
        <w:t xml:space="preserve"> </w:t>
      </w:r>
      <w:r>
        <w:rPr>
          <w:rStyle w:val="76"/>
          <w:rFonts w:hint="eastAsia" w:cs="宋体" w:asciiTheme="minorEastAsia" w:hAnsiTheme="minorEastAsia" w:eastAsiaTheme="minorEastAsia"/>
          <w:color w:val="000000" w:themeColor="text1"/>
          <w:sz w:val="32"/>
          <w:szCs w:val="32"/>
          <w14:textFill>
            <w14:solidFill>
              <w14:schemeClr w14:val="tx1"/>
            </w14:solidFill>
          </w14:textFill>
        </w:rPr>
        <w:t>应提交的有关格式范例</w:t>
      </w:r>
      <w:r>
        <w:rPr>
          <w:rFonts w:asciiTheme="minorEastAsia" w:hAnsiTheme="minorEastAsia" w:eastAsiaTheme="minorEastAsia"/>
          <w:color w:val="000000" w:themeColor="text1"/>
          <w:sz w:val="32"/>
          <w:szCs w:val="32"/>
          <w14:textFill>
            <w14:solidFill>
              <w14:schemeClr w14:val="tx1"/>
            </w14:solidFill>
          </w14:textFill>
        </w:rPr>
        <w:tab/>
      </w:r>
      <w:r>
        <w:rPr>
          <w:rFonts w:hint="eastAsia" w:asciiTheme="minorEastAsia" w:hAnsiTheme="minorEastAsia" w:eastAsiaTheme="minorEastAsia"/>
          <w:color w:val="000000" w:themeColor="text1"/>
          <w:sz w:val="32"/>
          <w:szCs w:val="32"/>
          <w14:textFill>
            <w14:solidFill>
              <w14:schemeClr w14:val="tx1"/>
            </w14:solidFill>
          </w14:textFill>
        </w:rPr>
        <w:t>5</w:t>
      </w:r>
      <w:r>
        <w:rPr>
          <w:rFonts w:hint="eastAsia" w:asciiTheme="minorEastAsia" w:hAnsiTheme="minorEastAsia" w:eastAsia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olor w:val="000000" w:themeColor="text1"/>
          <w:sz w:val="32"/>
          <w:szCs w:val="32"/>
          <w14:textFill>
            <w14:solidFill>
              <w14:schemeClr w14:val="tx1"/>
            </w14:solidFill>
          </w14:textFill>
        </w:rPr>
        <w:t>4</w:t>
      </w:r>
    </w:p>
    <w:p w14:paraId="77FF5079">
      <w:pPr>
        <w:spacing w:line="360" w:lineRule="auto"/>
        <w:ind w:firstLine="732" w:firstLineChars="229"/>
        <w:rPr>
          <w:rFonts w:ascii="宋体" w:hAnsi="宋体" w:cs="宋体"/>
          <w:color w:val="000000" w:themeColor="text1"/>
          <w:sz w:val="24"/>
          <w14:textFill>
            <w14:solidFill>
              <w14:schemeClr w14:val="tx1"/>
            </w14:solidFill>
          </w14:textFill>
        </w:rPr>
      </w:pPr>
      <w:r>
        <w:rPr>
          <w:rFonts w:cs="宋体" w:asciiTheme="minorEastAsia" w:hAnsiTheme="minorEastAsia" w:eastAsiaTheme="minorEastAsia"/>
          <w:color w:val="000000" w:themeColor="text1"/>
          <w:sz w:val="32"/>
          <w:szCs w:val="32"/>
          <w14:textFill>
            <w14:solidFill>
              <w14:schemeClr w14:val="tx1"/>
            </w14:solidFill>
          </w14:textFill>
        </w:rPr>
        <w:fldChar w:fldCharType="end"/>
      </w:r>
    </w:p>
    <w:p w14:paraId="1501F1DD">
      <w:pPr>
        <w:spacing w:line="360" w:lineRule="auto"/>
        <w:ind w:firstLine="549" w:firstLineChars="229"/>
        <w:rPr>
          <w:rFonts w:ascii="宋体" w:hAnsi="宋体" w:cs="宋体"/>
          <w:color w:val="000000" w:themeColor="text1"/>
          <w:sz w:val="24"/>
          <w14:textFill>
            <w14:solidFill>
              <w14:schemeClr w14:val="tx1"/>
            </w14:solidFill>
          </w14:textFill>
        </w:rPr>
      </w:pPr>
    </w:p>
    <w:p w14:paraId="03D5BD6C">
      <w:pPr>
        <w:spacing w:line="360" w:lineRule="auto"/>
        <w:ind w:firstLine="549" w:firstLineChars="229"/>
        <w:rPr>
          <w:rFonts w:ascii="宋体" w:hAnsi="宋体" w:cs="宋体"/>
          <w:color w:val="000000" w:themeColor="text1"/>
          <w:sz w:val="24"/>
          <w14:textFill>
            <w14:solidFill>
              <w14:schemeClr w14:val="tx1"/>
            </w14:solidFill>
          </w14:textFill>
        </w:rPr>
      </w:pPr>
    </w:p>
    <w:p w14:paraId="3EDC5B81">
      <w:pPr>
        <w:spacing w:line="360" w:lineRule="auto"/>
        <w:ind w:firstLine="549" w:firstLineChars="229"/>
        <w:rPr>
          <w:rFonts w:ascii="宋体" w:hAnsi="宋体" w:cs="宋体"/>
          <w:color w:val="000000" w:themeColor="text1"/>
          <w:sz w:val="24"/>
          <w14:textFill>
            <w14:solidFill>
              <w14:schemeClr w14:val="tx1"/>
            </w14:solidFill>
          </w14:textFill>
        </w:rPr>
      </w:pPr>
    </w:p>
    <w:p w14:paraId="7DD051E0">
      <w:pPr>
        <w:spacing w:line="360" w:lineRule="auto"/>
        <w:ind w:firstLine="549" w:firstLineChars="229"/>
        <w:rPr>
          <w:rFonts w:ascii="宋体" w:hAnsi="宋体" w:cs="宋体"/>
          <w:color w:val="000000" w:themeColor="text1"/>
          <w:sz w:val="24"/>
          <w14:textFill>
            <w14:solidFill>
              <w14:schemeClr w14:val="tx1"/>
            </w14:solidFill>
          </w14:textFill>
        </w:rPr>
      </w:pPr>
    </w:p>
    <w:p w14:paraId="69C706A9">
      <w:pPr>
        <w:spacing w:line="360" w:lineRule="auto"/>
        <w:ind w:firstLine="549" w:firstLineChars="229"/>
        <w:rPr>
          <w:rFonts w:ascii="宋体" w:hAnsi="宋体" w:cs="宋体"/>
          <w:color w:val="000000" w:themeColor="text1"/>
          <w:sz w:val="24"/>
          <w14:textFill>
            <w14:solidFill>
              <w14:schemeClr w14:val="tx1"/>
            </w14:solidFill>
          </w14:textFill>
        </w:rPr>
      </w:pPr>
    </w:p>
    <w:p w14:paraId="2D31D8CE">
      <w:pPr>
        <w:spacing w:line="360" w:lineRule="auto"/>
        <w:ind w:firstLine="549" w:firstLineChars="229"/>
        <w:rPr>
          <w:rFonts w:ascii="宋体" w:hAnsi="宋体" w:cs="宋体"/>
          <w:color w:val="000000" w:themeColor="text1"/>
          <w:sz w:val="24"/>
          <w14:textFill>
            <w14:solidFill>
              <w14:schemeClr w14:val="tx1"/>
            </w14:solidFill>
          </w14:textFill>
        </w:rPr>
      </w:pPr>
    </w:p>
    <w:p w14:paraId="6741B4E1">
      <w:pPr>
        <w:spacing w:line="360" w:lineRule="auto"/>
        <w:ind w:firstLine="549" w:firstLineChars="229"/>
        <w:rPr>
          <w:rFonts w:ascii="宋体" w:hAnsi="宋体" w:cs="宋体"/>
          <w:color w:val="000000" w:themeColor="text1"/>
          <w:sz w:val="24"/>
          <w14:textFill>
            <w14:solidFill>
              <w14:schemeClr w14:val="tx1"/>
            </w14:solidFill>
          </w14:textFill>
        </w:rPr>
      </w:pPr>
    </w:p>
    <w:p w14:paraId="58EAEE38">
      <w:pPr>
        <w:spacing w:line="360" w:lineRule="auto"/>
        <w:ind w:firstLine="549" w:firstLineChars="229"/>
        <w:rPr>
          <w:rFonts w:ascii="宋体" w:hAnsi="宋体" w:cs="宋体"/>
          <w:color w:val="000000" w:themeColor="text1"/>
          <w:sz w:val="24"/>
          <w14:textFill>
            <w14:solidFill>
              <w14:schemeClr w14:val="tx1"/>
            </w14:solidFill>
          </w14:textFill>
        </w:rPr>
      </w:pPr>
    </w:p>
    <w:p w14:paraId="25A42FA4">
      <w:pPr>
        <w:spacing w:line="360" w:lineRule="auto"/>
        <w:ind w:firstLine="549" w:firstLineChars="229"/>
        <w:rPr>
          <w:rFonts w:ascii="宋体" w:hAnsi="宋体" w:cs="宋体"/>
          <w:color w:val="000000" w:themeColor="text1"/>
          <w:sz w:val="24"/>
          <w14:textFill>
            <w14:solidFill>
              <w14:schemeClr w14:val="tx1"/>
            </w14:solidFill>
          </w14:textFill>
        </w:rPr>
      </w:pPr>
    </w:p>
    <w:p w14:paraId="4AFD0A39">
      <w:pPr>
        <w:spacing w:line="360" w:lineRule="auto"/>
        <w:ind w:firstLine="549" w:firstLineChars="229"/>
        <w:rPr>
          <w:rFonts w:ascii="宋体" w:hAnsi="宋体" w:cs="宋体"/>
          <w:color w:val="000000" w:themeColor="text1"/>
          <w:sz w:val="24"/>
          <w14:textFill>
            <w14:solidFill>
              <w14:schemeClr w14:val="tx1"/>
            </w14:solidFill>
          </w14:textFill>
        </w:rPr>
      </w:pPr>
    </w:p>
    <w:p w14:paraId="2A404BD0">
      <w:pPr>
        <w:spacing w:line="360" w:lineRule="auto"/>
        <w:ind w:firstLine="549" w:firstLineChars="229"/>
        <w:rPr>
          <w:rFonts w:ascii="宋体" w:hAnsi="宋体" w:cs="宋体"/>
          <w:color w:val="000000" w:themeColor="text1"/>
          <w:sz w:val="24"/>
          <w14:textFill>
            <w14:solidFill>
              <w14:schemeClr w14:val="tx1"/>
            </w14:solidFill>
          </w14:textFill>
        </w:rPr>
      </w:pPr>
    </w:p>
    <w:p w14:paraId="45648409">
      <w:pPr>
        <w:spacing w:line="360" w:lineRule="auto"/>
        <w:ind w:firstLine="549" w:firstLineChars="229"/>
        <w:rPr>
          <w:rFonts w:ascii="宋体" w:hAnsi="宋体" w:cs="宋体"/>
          <w:color w:val="000000" w:themeColor="text1"/>
          <w:sz w:val="24"/>
          <w14:textFill>
            <w14:solidFill>
              <w14:schemeClr w14:val="tx1"/>
            </w14:solidFill>
          </w14:textFill>
        </w:rPr>
      </w:pPr>
    </w:p>
    <w:p w14:paraId="160278FE">
      <w:pPr>
        <w:spacing w:line="360" w:lineRule="auto"/>
        <w:rPr>
          <w:rFonts w:ascii="宋体" w:hAnsi="宋体" w:cs="宋体"/>
          <w:color w:val="000000" w:themeColor="text1"/>
          <w:sz w:val="24"/>
          <w14:textFill>
            <w14:solidFill>
              <w14:schemeClr w14:val="tx1"/>
            </w14:solidFill>
          </w14:textFill>
        </w:rPr>
      </w:pPr>
    </w:p>
    <w:p w14:paraId="3A05AFE6">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bookmarkStart w:id="3" w:name="第一部分"/>
      <w:r>
        <w:rPr>
          <w:rFonts w:hint="eastAsia" w:ascii="宋体" w:hAnsi="宋体" w:cs="宋体"/>
          <w:b/>
          <w:color w:val="000000" w:themeColor="text1"/>
          <w:sz w:val="36"/>
          <w:szCs w:val="36"/>
          <w14:textFill>
            <w14:solidFill>
              <w14:schemeClr w14:val="tx1"/>
            </w14:solidFill>
          </w14:textFill>
        </w:rPr>
        <w:br w:type="page"/>
      </w:r>
      <w:bookmarkEnd w:id="2"/>
      <w:bookmarkEnd w:id="3"/>
      <w:bookmarkStart w:id="4" w:name="_Hlt74729822"/>
      <w:bookmarkEnd w:id="4"/>
      <w:bookmarkStart w:id="5" w:name="_Hlt74649545"/>
      <w:bookmarkEnd w:id="5"/>
      <w:bookmarkStart w:id="6" w:name="_Hlt74707423"/>
      <w:bookmarkEnd w:id="6"/>
      <w:bookmarkStart w:id="7" w:name="_Hlt74728647"/>
      <w:bookmarkEnd w:id="7"/>
      <w:bookmarkStart w:id="8" w:name="_Toc176368902"/>
      <w:bookmarkStart w:id="9" w:name="第二部分"/>
      <w:bookmarkStart w:id="10" w:name="_Toc91899870"/>
      <w:bookmarkStart w:id="11" w:name="_Toc91899871"/>
      <w:r>
        <w:rPr>
          <w:rFonts w:hint="eastAsia" w:ascii="宋体" w:hAnsi="宋体" w:cs="宋体"/>
          <w:b/>
          <w:color w:val="000000" w:themeColor="text1"/>
          <w:sz w:val="36"/>
          <w:szCs w:val="20"/>
          <w14:textFill>
            <w14:solidFill>
              <w14:schemeClr w14:val="tx1"/>
            </w14:solidFill>
          </w14:textFill>
        </w:rPr>
        <w:t>第一部分 招标公告</w:t>
      </w:r>
      <w:bookmarkEnd w:id="8"/>
    </w:p>
    <w:p w14:paraId="34A91D9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14:paraId="746D65D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来宾市行政中心卫生保洁、保安服务</w:t>
      </w:r>
      <w:r>
        <w:rPr>
          <w:rFonts w:hint="eastAsia" w:ascii="宋体" w:hAnsi="宋体" w:cs="宋体"/>
          <w:color w:val="000000" w:themeColor="text1"/>
          <w:sz w:val="24"/>
          <w14:textFill>
            <w14:solidFill>
              <w14:schemeClr w14:val="tx1"/>
            </w14:solidFill>
          </w14:textFill>
        </w:rPr>
        <w:t>招标项目的潜在投标人应在广西政府采购云平台（https://www.gcy.zfcg.gxzf.gov.cn/）获取（下载）招标文件，并于2025年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lang w:eastAsia="zh-CN"/>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cs="宋体"/>
          <w:color w:val="000000" w:themeColor="text1"/>
          <w:sz w:val="24"/>
          <w:lang w:eastAsia="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9点00分00秒</w:t>
      </w:r>
      <w:r>
        <w:rPr>
          <w:rFonts w:hint="eastAsia" w:ascii="宋体" w:hAnsi="宋体" w:cs="宋体"/>
          <w:bCs/>
          <w:color w:val="000000" w:themeColor="text1"/>
          <w:sz w:val="24"/>
          <w14:textFill>
            <w14:solidFill>
              <w14:schemeClr w14:val="tx1"/>
            </w14:solidFill>
          </w14:textFill>
        </w:rPr>
        <w:t>（北京时间）前</w:t>
      </w:r>
      <w:r>
        <w:rPr>
          <w:rFonts w:hint="eastAsia" w:ascii="宋体" w:hAnsi="宋体" w:cs="宋体"/>
          <w:color w:val="000000" w:themeColor="text1"/>
          <w:sz w:val="24"/>
          <w14:textFill>
            <w14:solidFill>
              <w14:schemeClr w14:val="tx1"/>
            </w14:solidFill>
          </w14:textFill>
        </w:rPr>
        <w:t>递交（上传）投标文件。</w:t>
      </w:r>
    </w:p>
    <w:p w14:paraId="08D4DB9A">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一、项目基本情况                                            </w:t>
      </w:r>
    </w:p>
    <w:p w14:paraId="34CA44B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项目编号：LBZC2025-G3-990131-CGZX</w:t>
      </w:r>
    </w:p>
    <w:p w14:paraId="642C0485">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项目名称：来宾市行政中心卫生保洁、保安服务   </w:t>
      </w:r>
    </w:p>
    <w:p w14:paraId="41CCA001">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预算金额（元）：4,920,000.00</w:t>
      </w:r>
    </w:p>
    <w:p w14:paraId="5056F9E5">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最高限价（元）：</w:t>
      </w:r>
    </w:p>
    <w:p w14:paraId="57E64710">
      <w:pPr>
        <w:pStyle w:val="5"/>
        <w:spacing w:line="360" w:lineRule="auto"/>
        <w:ind w:firstLine="480"/>
        <w:rPr>
          <w:rFonts w:hAnsi="宋体" w:cs="宋体"/>
          <w:bCs/>
          <w:snapToGrid/>
          <w:color w:val="000000" w:themeColor="text1"/>
          <w:kern w:val="2"/>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简要规格描述或项目基本概况介绍、用途：</w:t>
      </w:r>
      <w:r>
        <w:rPr>
          <w:rFonts w:hint="eastAsia" w:hAnsi="宋体" w:cs="宋体"/>
          <w:bCs/>
          <w:snapToGrid/>
          <w:color w:val="000000" w:themeColor="text1"/>
          <w:kern w:val="2"/>
          <w:sz w:val="24"/>
          <w:szCs w:val="24"/>
          <w14:textFill>
            <w14:solidFill>
              <w14:schemeClr w14:val="tx1"/>
            </w14:solidFill>
          </w14:textFill>
        </w:rPr>
        <w:t>本项目采购主要内容有：</w:t>
      </w:r>
      <w:r>
        <w:rPr>
          <w:rFonts w:hint="eastAsia" w:hAnsi="宋体" w:cs="宋体"/>
          <w:b/>
          <w:snapToGrid/>
          <w:color w:val="000000" w:themeColor="text1"/>
          <w:kern w:val="2"/>
          <w:sz w:val="24"/>
          <w:szCs w:val="24"/>
          <w14:textFill>
            <w14:solidFill>
              <w14:schemeClr w14:val="tx1"/>
            </w14:solidFill>
          </w14:textFill>
        </w:rPr>
        <w:t>一是</w:t>
      </w:r>
      <w:r>
        <w:rPr>
          <w:rFonts w:hint="eastAsia" w:hAnsi="宋体" w:cs="宋体"/>
          <w:bCs/>
          <w:snapToGrid/>
          <w:color w:val="000000" w:themeColor="text1"/>
          <w:kern w:val="2"/>
          <w:sz w:val="24"/>
          <w:szCs w:val="24"/>
          <w14:textFill>
            <w14:solidFill>
              <w14:schemeClr w14:val="tx1"/>
            </w14:solidFill>
          </w14:textFill>
        </w:rPr>
        <w:t xml:space="preserve">来宾市行政中心卫生保洁服务，配备保洁员不少于22 人（含保洁主管1人），负责市行政中心公共环境卫生工作，包括规划红线内的一切设施设备、主副楼及广场全部内外公共区域、附属设施设备的卫生保洁、消杀服务工作； 2.负责来宾市行政中心广场喷泉池、沟渠、排污管道的清洗和疏通；化粪池清理，垃圾收集、清运，“四害灭杀”等工作； </w:t>
      </w:r>
      <w:r>
        <w:rPr>
          <w:rFonts w:hint="eastAsia" w:hAnsi="宋体" w:cs="宋体"/>
          <w:b/>
          <w:snapToGrid/>
          <w:color w:val="000000" w:themeColor="text1"/>
          <w:kern w:val="2"/>
          <w:sz w:val="24"/>
          <w:szCs w:val="24"/>
          <w14:textFill>
            <w14:solidFill>
              <w14:schemeClr w14:val="tx1"/>
            </w14:solidFill>
          </w14:textFill>
        </w:rPr>
        <w:t>二是</w:t>
      </w:r>
      <w:r>
        <w:rPr>
          <w:rFonts w:hint="eastAsia" w:hAnsi="宋体" w:cs="宋体"/>
          <w:bCs/>
          <w:snapToGrid/>
          <w:color w:val="000000" w:themeColor="text1"/>
          <w:kern w:val="2"/>
          <w:sz w:val="24"/>
          <w:szCs w:val="24"/>
          <w14:textFill>
            <w14:solidFill>
              <w14:schemeClr w14:val="tx1"/>
            </w14:solidFill>
          </w14:textFill>
        </w:rPr>
        <w:t>来宾市行政中心保安服务，配置保安人员不少于74人(含项目经理1人、保安队长2人、协助派出所红线内警务执勤室工作人员6人)。负责市行政中心安保服务。具体如下： 1.负责驻市行政中心区域内人身财产安全及行政中心所有办公设备、水电设施、消防设施等设施设备财产安全； 2.负责市行政中心广场、行政中心主副楼及周围停车及车辆通行秩序的管理；市行政中心电动车、摩托车棚车位的管理，防盗防抢防破坏等安全管理工作； 3.负责市行政中心日常及重大会议、活动期间现场秩序维护及安全保卫工作； 4.负责市行政中心人员出入秩序管理，以及配合相关部门做好辖区内的秩序维护和社会治安管理服务。</w:t>
      </w:r>
      <w:r>
        <w:rPr>
          <w:rFonts w:hint="eastAsia" w:asciiTheme="minorEastAsia" w:hAnsiTheme="minorEastAsia" w:eastAsiaTheme="minorEastAsia"/>
          <w:snapToGrid/>
          <w:color w:val="000000" w:themeColor="text1"/>
          <w:kern w:val="2"/>
          <w:sz w:val="24"/>
          <w:szCs w:val="24"/>
          <w14:textFill>
            <w14:solidFill>
              <w14:schemeClr w14:val="tx1"/>
            </w14:solidFill>
          </w14:textFill>
        </w:rPr>
        <w:t>详细内容以招标文件第三部分采购需求为准。</w:t>
      </w:r>
    </w:p>
    <w:p w14:paraId="4F77299C">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合同履约期限：</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自中标单位正式入驻之日起24个月。</w:t>
      </w:r>
    </w:p>
    <w:p w14:paraId="657E61D9">
      <w:pPr>
        <w:pStyle w:val="5"/>
        <w:spacing w:line="360" w:lineRule="auto"/>
        <w:ind w:firstLine="480"/>
        <w:rPr>
          <w:rFonts w:hAnsi="宋体" w:cs="宋体"/>
          <w:color w:val="000000" w:themeColor="text1"/>
          <w14:textFill>
            <w14:solidFill>
              <w14:schemeClr w14:val="tx1"/>
            </w14:solidFill>
          </w14:textFill>
        </w:rPr>
      </w:pPr>
      <w:r>
        <w:rPr>
          <w:rFonts w:hint="eastAsia" w:hAnsi="宋体" w:cs="宋体"/>
          <w:color w:val="000000" w:themeColor="text1"/>
          <w:sz w:val="24"/>
          <w14:textFill>
            <w14:solidFill>
              <w14:schemeClr w14:val="tx1"/>
            </w14:solidFill>
          </w14:textFill>
        </w:rPr>
        <w:t>本项目是否接受联合体投标：</w:t>
      </w:r>
      <w:r>
        <w:rPr>
          <w:rFonts w:hAnsi="宋体" w:cs="宋体"/>
          <w:color w:val="000000" w:themeColor="text1"/>
          <w:kern w:val="0"/>
          <w:sz w:val="24"/>
          <w14:textFill>
            <w14:solidFill>
              <w14:schemeClr w14:val="tx1"/>
            </w14:solidFill>
          </w14:textFill>
        </w:rPr>
        <w:t xml:space="preserve"> </w:t>
      </w:r>
      <w:sdt>
        <w:sdtPr>
          <w:rPr>
            <w:rFonts w:hAnsi="宋体" w:cs="宋体"/>
            <w:color w:val="000000" w:themeColor="text1"/>
            <w:kern w:val="0"/>
            <w:sz w:val="24"/>
            <w14:textFill>
              <w14:solidFill>
                <w14:schemeClr w14:val="tx1"/>
              </w14:solidFill>
            </w14:textFill>
          </w:rPr>
          <w:id w:val="-441836950"/>
          <w14:checkbox>
            <w14:checked w14:val="0"/>
            <w14:checkedState w14:val="00FE" w14:font="Wingdings"/>
            <w14:uncheckedState w14:val="2610" w14:font="MS Gothic"/>
          </w14:checkbox>
        </w:sdtPr>
        <w:sdtEndPr>
          <w:rPr>
            <w:rFonts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hAnsi="宋体" w:cs="宋体"/>
          <w:color w:val="000000" w:themeColor="text1"/>
          <w:sz w:val="24"/>
          <w14:textFill>
            <w14:solidFill>
              <w14:schemeClr w14:val="tx1"/>
            </w14:solidFill>
          </w14:textFill>
        </w:rPr>
        <w:t>是；</w:t>
      </w:r>
      <w:sdt>
        <w:sdtPr>
          <w:rPr>
            <w:rFonts w:hAnsi="宋体" w:cs="宋体"/>
            <w:color w:val="000000" w:themeColor="text1"/>
            <w:kern w:val="0"/>
            <w:sz w:val="24"/>
            <w14:textFill>
              <w14:solidFill>
                <w14:schemeClr w14:val="tx1"/>
              </w14:solidFill>
            </w14:textFill>
          </w:rPr>
          <w:id w:val="-1591624199"/>
          <w14:checkbox>
            <w14:checked w14:val="1"/>
            <w14:checkedState w14:val="00FE" w14:font="Wingdings"/>
            <w14:uncheckedState w14:val="2610" w14:font="MS Gothic"/>
          </w14:checkbox>
        </w:sdtPr>
        <w:sdtEndPr>
          <w:rPr>
            <w:rFonts w:hAnsi="宋体" w:cs="宋体"/>
            <w:color w:val="000000" w:themeColor="text1"/>
            <w:kern w:val="0"/>
            <w:sz w:val="24"/>
            <w14:textFill>
              <w14:solidFill>
                <w14:schemeClr w14:val="tx1"/>
              </w14:solidFill>
            </w14:textFill>
          </w:rPr>
        </w:sdtEndPr>
        <w:sdtContent>
          <w:r>
            <w:rPr>
              <w:rFonts w:hAnsi="宋体" w:cs="宋体"/>
              <w:color w:val="000000" w:themeColor="text1"/>
              <w:kern w:val="0"/>
              <w:sz w:val="24"/>
              <w14:textFill>
                <w14:solidFill>
                  <w14:schemeClr w14:val="tx1"/>
                </w14:solidFill>
              </w14:textFill>
            </w:rPr>
            <w:sym w:font="Wingdings" w:char="F0FE"/>
          </w:r>
        </w:sdtContent>
      </w:sdt>
      <w:r>
        <w:rPr>
          <w:rFonts w:hint="eastAsia" w:hAnsi="宋体" w:cs="宋体"/>
          <w:color w:val="000000" w:themeColor="text1"/>
          <w:sz w:val="24"/>
          <w14:textFill>
            <w14:solidFill>
              <w14:schemeClr w14:val="tx1"/>
            </w14:solidFill>
          </w14:textFill>
        </w:rPr>
        <w:t>否</w:t>
      </w:r>
      <w:r>
        <w:rPr>
          <w:rFonts w:hint="eastAsia" w:hAnsi="宋体" w:cs="宋体"/>
          <w:color w:val="000000" w:themeColor="text1"/>
          <w:kern w:val="0"/>
          <w:sz w:val="24"/>
          <w14:textFill>
            <w14:solidFill>
              <w14:schemeClr w14:val="tx1"/>
            </w14:solidFill>
          </w14:textFill>
        </w:rPr>
        <w:t>。</w:t>
      </w:r>
    </w:p>
    <w:p w14:paraId="08A0DC0B">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二、申请人的资格要求：</w:t>
      </w:r>
    </w:p>
    <w:p w14:paraId="04926003">
      <w:pPr>
        <w:spacing w:line="360" w:lineRule="auto"/>
        <w:ind w:firstLine="48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58991261">
      <w:pPr>
        <w:spacing w:line="360" w:lineRule="auto"/>
        <w:ind w:firstLine="480" w:firstLineChars="20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2.落实政府采购政策需满足的资格要求：本项目专门面向中小企业采购，监狱企业、残疾人福利性单位视同小型和微型企业。供应商须为中小微企业或监狱企业、残疾人福利性单位。</w:t>
      </w:r>
    </w:p>
    <w:p w14:paraId="7D213BA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3.本项目的特定资格要求：无；</w:t>
      </w:r>
    </w:p>
    <w:p w14:paraId="5025CD8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9C027CA">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三、获取招标文件 </w:t>
      </w:r>
    </w:p>
    <w:p w14:paraId="55DC783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2025年</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16</w:t>
      </w:r>
      <w:r>
        <w:rPr>
          <w:rFonts w:hint="eastAsia" w:ascii="宋体" w:hAnsi="宋体" w:cs="宋体"/>
          <w:color w:val="000000" w:themeColor="text1"/>
          <w:sz w:val="24"/>
          <w:u w:val="single"/>
          <w:lang w:eastAsia="zh-CN"/>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至2025年</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23</w:t>
      </w:r>
      <w:r>
        <w:rPr>
          <w:rFonts w:hint="eastAsia" w:ascii="宋体" w:hAnsi="宋体" w:cs="宋体"/>
          <w:color w:val="000000" w:themeColor="text1"/>
          <w:sz w:val="24"/>
          <w:u w:val="single"/>
          <w:lang w:eastAsia="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，每天上午00:00至12:00 ，下午12:00至23:59（北京时间，法定节假日除外）</w:t>
      </w:r>
    </w:p>
    <w:p w14:paraId="0A22693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地点（网址）：广西政府采购云平台（https://www.gcy.zfcg.gxzf.gov.cn/） </w:t>
      </w:r>
    </w:p>
    <w:p w14:paraId="5FD8CD5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方式：供应商登录广西政府采购云平台（https://www.gcy.zfcg.gxzf.gov.cn/）在线申请获取采购文件（进入“项目采购”应用，在获取采购文件菜单中选择项目，申请获取采购文件）。 </w:t>
      </w:r>
    </w:p>
    <w:p w14:paraId="404CB18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售价（元）：0</w:t>
      </w:r>
      <w:r>
        <w:rPr>
          <w:rFonts w:hint="eastAsia" w:ascii="宋体" w:hAnsi="宋体" w:cs="宋体"/>
          <w:color w:val="000000" w:themeColor="text1"/>
          <w:sz w:val="24"/>
          <w14:textFill>
            <w14:solidFill>
              <w14:schemeClr w14:val="tx1"/>
            </w14:solidFill>
          </w14:textFill>
        </w:rPr>
        <w:tab/>
      </w:r>
    </w:p>
    <w:p w14:paraId="323FBE98">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四、提交投标文件截止时间、开标时间和地点</w:t>
      </w:r>
    </w:p>
    <w:p w14:paraId="04436D9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提交投标文件截止时间：</w:t>
      </w:r>
      <w:r>
        <w:rPr>
          <w:rFonts w:hint="eastAsia" w:ascii="宋体" w:hAnsi="宋体" w:cs="宋体"/>
          <w:color w:val="000000" w:themeColor="text1"/>
          <w:sz w:val="24"/>
          <w:u w:val="single"/>
          <w14:textFill>
            <w14:solidFill>
              <w14:schemeClr w14:val="tx1"/>
            </w14:solidFill>
          </w14:textFill>
        </w:rPr>
        <w:t xml:space="preserve"> 2025年</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13</w:t>
      </w:r>
      <w:r>
        <w:rPr>
          <w:rFonts w:hint="eastAsia" w:ascii="宋体" w:hAnsi="宋体" w:cs="宋体"/>
          <w:color w:val="000000" w:themeColor="text1"/>
          <w:sz w:val="24"/>
          <w:u w:val="single"/>
          <w:lang w:eastAsia="zh-CN"/>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9点00分00秒</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（北京时间）</w:t>
      </w:r>
    </w:p>
    <w:p w14:paraId="6506357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投标地点（网址）：广西政府采购云平台（https://www.gcy.zfcg.gxzf.gov.cn/） </w:t>
      </w:r>
    </w:p>
    <w:p w14:paraId="1FA34AE8">
      <w:pPr>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w:t>
      </w:r>
      <w:r>
        <w:rPr>
          <w:rFonts w:hint="eastAsia" w:ascii="宋体" w:hAnsi="宋体" w:cs="宋体"/>
          <w:color w:val="000000" w:themeColor="text1"/>
          <w:sz w:val="24"/>
          <w:u w:val="single"/>
          <w14:textFill>
            <w14:solidFill>
              <w14:schemeClr w14:val="tx1"/>
            </w14:solidFill>
          </w14:textFill>
        </w:rPr>
        <w:t>2025年</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13</w:t>
      </w:r>
      <w:r>
        <w:rPr>
          <w:rFonts w:hint="eastAsia" w:ascii="宋体" w:hAnsi="宋体" w:cs="宋体"/>
          <w:color w:val="000000" w:themeColor="text1"/>
          <w:sz w:val="24"/>
          <w:u w:val="single"/>
          <w:lang w:eastAsia="zh-CN"/>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9点00分00秒</w:t>
      </w:r>
      <w:r>
        <w:rPr>
          <w:rFonts w:hint="eastAsia" w:ascii="宋体" w:hAnsi="宋体" w:cs="宋体"/>
          <w:bCs/>
          <w:color w:val="000000" w:themeColor="text1"/>
          <w:sz w:val="24"/>
          <w:u w:val="single"/>
          <w14:textFill>
            <w14:solidFill>
              <w14:schemeClr w14:val="tx1"/>
            </w14:solidFill>
          </w14:textFill>
        </w:rPr>
        <w:t xml:space="preserve">  </w:t>
      </w:r>
    </w:p>
    <w:p w14:paraId="3458BB5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开标地点（网址）：广西政府采购云平台（https://www.gcy.zfcg.gxzf.gov.cn/）</w:t>
      </w:r>
    </w:p>
    <w:p w14:paraId="774F7C0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五、公告期限 </w:t>
      </w:r>
    </w:p>
    <w:p w14:paraId="4B4617B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73FD1967">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六、其他补充事宜</w:t>
      </w:r>
    </w:p>
    <w:p w14:paraId="7B08BB3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1.投标保证金：不收取投标保证金。</w:t>
      </w:r>
    </w:p>
    <w:p w14:paraId="159A65F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本项目专门面向中小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6C6AA668">
      <w:pPr>
        <w:spacing w:line="360" w:lineRule="auto"/>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6495D30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4.网上公告媒体查询：中国政府采购网、广西政府采购网、全国公共资源交易平台（广西•北海）、北海市人民政府网-北海市政府采购中心网站。</w:t>
      </w:r>
    </w:p>
    <w:p w14:paraId="28CEDBF5">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8CC710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1BC46CB">
      <w:pPr>
        <w:spacing w:line="360" w:lineRule="auto"/>
        <w:ind w:firstLine="480" w:firstLineChars="200"/>
        <w:rPr>
          <w:rFonts w:ascii="宋体" w:hAnsi="宋体" w:cs="宋体"/>
          <w:sz w:val="24"/>
        </w:rPr>
      </w:pPr>
      <w:r>
        <w:rPr>
          <w:rFonts w:hint="eastAsia" w:ascii="宋体" w:hAnsi="宋体" w:cs="宋体"/>
          <w:sz w:val="24"/>
        </w:rPr>
        <w:t>7.本项目采用远程异地评标。</w:t>
      </w:r>
    </w:p>
    <w:p w14:paraId="75ACCFA0">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七、对本次采购提出询问，请按以下方式联系</w:t>
      </w:r>
    </w:p>
    <w:p w14:paraId="3EB680A7">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0BBB4257">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称：来宾市机关事务管理中心</w:t>
      </w:r>
    </w:p>
    <w:p w14:paraId="7FB097C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址：来宾市人民路1号    </w:t>
      </w:r>
    </w:p>
    <w:p w14:paraId="78D6BE05">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项目联系人：陈柯霖</w:t>
      </w:r>
      <w:r>
        <w:rPr>
          <w:rFonts w:hint="eastAsia" w:ascii="宋体" w:hAnsi="宋体" w:cs="宋体"/>
          <w:color w:val="000000" w:themeColor="text1"/>
          <w:sz w:val="24"/>
          <w14:textFill>
            <w14:solidFill>
              <w14:schemeClr w14:val="tx1"/>
            </w14:solidFill>
          </w14:textFill>
        </w:rPr>
        <w:tab/>
      </w:r>
    </w:p>
    <w:p w14:paraId="314FD7E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w:t>
      </w:r>
      <w:r>
        <w:rPr>
          <w:rFonts w:hint="eastAsia" w:ascii="宋体" w:hAnsi="宋体" w:cs="宋体"/>
          <w:color w:val="000000" w:themeColor="text1"/>
          <w:sz w:val="24"/>
          <w:lang w:eastAsia="zh-CN"/>
          <w14:textFill>
            <w14:solidFill>
              <w14:schemeClr w14:val="tx1"/>
            </w14:solidFill>
          </w14:textFill>
        </w:rPr>
        <w:t>0772-4236332</w:t>
      </w:r>
      <w:r>
        <w:rPr>
          <w:rFonts w:hint="eastAsia" w:ascii="宋体" w:hAnsi="宋体" w:cs="宋体"/>
          <w:color w:val="000000" w:themeColor="text1"/>
          <w:sz w:val="24"/>
          <w14:textFill>
            <w14:solidFill>
              <w14:schemeClr w14:val="tx1"/>
            </w14:solidFill>
          </w14:textFill>
        </w:rPr>
        <w:t xml:space="preserve"> </w:t>
      </w:r>
    </w:p>
    <w:p w14:paraId="15A2CC7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657A432C">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称：北海市政府采购中心</w:t>
      </w:r>
    </w:p>
    <w:p w14:paraId="1ADE12BC">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址：北海市海城区陈文村北路7号市直机关第三办公区2号楼一层</w:t>
      </w:r>
    </w:p>
    <w:p w14:paraId="1D636E8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 张文敏</w:t>
      </w:r>
    </w:p>
    <w:p w14:paraId="5FC720C5">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项目联系方式（询问）：0779-3056122</w:t>
      </w:r>
    </w:p>
    <w:p w14:paraId="2450946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26C4E098">
      <w:pPr>
        <w:widowControl/>
        <w:adjustRightInd/>
        <w:jc w:val="left"/>
        <w:rPr>
          <w:rFonts w:ascii="宋体" w:hAnsi="宋体" w:cs="宋体"/>
          <w:b/>
          <w:color w:val="000000" w:themeColor="text1"/>
          <w:sz w:val="36"/>
          <w:szCs w:val="20"/>
          <w14:textFill>
            <w14:solidFill>
              <w14:schemeClr w14:val="tx1"/>
            </w14:solidFill>
          </w14:textFill>
        </w:rPr>
      </w:pPr>
      <w:r>
        <w:rPr>
          <w:rFonts w:ascii="宋体" w:hAnsi="宋体" w:cs="宋体"/>
          <w:b/>
          <w:color w:val="000000" w:themeColor="text1"/>
          <w:sz w:val="36"/>
          <w:szCs w:val="20"/>
          <w14:textFill>
            <w14:solidFill>
              <w14:schemeClr w14:val="tx1"/>
            </w14:solidFill>
          </w14:textFill>
        </w:rPr>
        <w:br w:type="page"/>
      </w:r>
    </w:p>
    <w:p w14:paraId="7B86C40E">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bookmarkStart w:id="12" w:name="_Toc176368903"/>
      <w:r>
        <w:rPr>
          <w:rFonts w:hint="eastAsia" w:ascii="宋体" w:hAnsi="宋体" w:cs="宋体"/>
          <w:b/>
          <w:color w:val="000000" w:themeColor="text1"/>
          <w:sz w:val="36"/>
          <w:szCs w:val="20"/>
          <w14:textFill>
            <w14:solidFill>
              <w14:schemeClr w14:val="tx1"/>
            </w14:solidFill>
          </w14:textFill>
        </w:rPr>
        <w:t>第二部分</w:t>
      </w:r>
      <w:bookmarkEnd w:id="9"/>
      <w:r>
        <w:rPr>
          <w:rFonts w:hint="eastAsia" w:ascii="宋体" w:hAnsi="宋体" w:cs="宋体"/>
          <w:b/>
          <w:color w:val="000000" w:themeColor="text1"/>
          <w:sz w:val="36"/>
          <w:szCs w:val="20"/>
          <w14:textFill>
            <w14:solidFill>
              <w14:schemeClr w14:val="tx1"/>
            </w14:solidFill>
          </w14:textFill>
        </w:rPr>
        <w:t xml:space="preserve"> 投标人须知</w:t>
      </w:r>
      <w:bookmarkEnd w:id="10"/>
      <w:bookmarkEnd w:id="12"/>
    </w:p>
    <w:p w14:paraId="2189CD01">
      <w:pPr>
        <w:adjustRightInd/>
        <w:spacing w:line="360" w:lineRule="auto"/>
        <w:ind w:firstLine="3845" w:firstLineChars="1197"/>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629"/>
        <w:gridCol w:w="1843"/>
        <w:gridCol w:w="7056"/>
      </w:tblGrid>
      <w:tr w14:paraId="64CEA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16636DDC">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9A523E3">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事项</w:t>
            </w:r>
          </w:p>
        </w:tc>
        <w:tc>
          <w:tcPr>
            <w:tcW w:w="7056" w:type="dxa"/>
            <w:tcBorders>
              <w:top w:val="single" w:color="000000" w:sz="8" w:space="0"/>
              <w:left w:val="single" w:color="000000" w:sz="2" w:space="0"/>
              <w:bottom w:val="single" w:color="000000" w:sz="8" w:space="0"/>
              <w:right w:val="single" w:color="000000" w:sz="8" w:space="0"/>
            </w:tcBorders>
            <w:vAlign w:val="center"/>
          </w:tcPr>
          <w:p w14:paraId="503E913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本项目的特别规定</w:t>
            </w:r>
          </w:p>
        </w:tc>
      </w:tr>
      <w:tr w14:paraId="20F76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62825DFD">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FA97251">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项目属性</w:t>
            </w:r>
          </w:p>
        </w:tc>
        <w:tc>
          <w:tcPr>
            <w:tcW w:w="7056" w:type="dxa"/>
            <w:tcBorders>
              <w:top w:val="single" w:color="000000" w:sz="8" w:space="0"/>
              <w:left w:val="single" w:color="000000" w:sz="2" w:space="0"/>
              <w:bottom w:val="single" w:color="000000" w:sz="8" w:space="0"/>
              <w:right w:val="single" w:color="000000" w:sz="8" w:space="0"/>
            </w:tcBorders>
            <w:vAlign w:val="center"/>
          </w:tcPr>
          <w:p w14:paraId="00936E47">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服务类。</w:t>
            </w:r>
          </w:p>
        </w:tc>
      </w:tr>
      <w:tr w14:paraId="33B2C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53" w:hRule="atLeast"/>
        </w:trPr>
        <w:tc>
          <w:tcPr>
            <w:tcW w:w="629" w:type="dxa"/>
            <w:tcBorders>
              <w:top w:val="single" w:color="auto" w:sz="4" w:space="0"/>
              <w:left w:val="single" w:color="auto" w:sz="4" w:space="0"/>
              <w:bottom w:val="single" w:color="auto" w:sz="4" w:space="0"/>
              <w:right w:val="single" w:color="auto" w:sz="4" w:space="0"/>
            </w:tcBorders>
          </w:tcPr>
          <w:p w14:paraId="302C2C2E">
            <w:pPr>
              <w:snapToGrid w:val="0"/>
              <w:spacing w:line="360" w:lineRule="auto"/>
              <w:jc w:val="center"/>
              <w:rPr>
                <w:rFonts w:ascii="宋体" w:hAnsi="宋体" w:cs="宋体"/>
                <w:color w:val="000000" w:themeColor="text1"/>
                <w:sz w:val="24"/>
                <w14:textFill>
                  <w14:solidFill>
                    <w14:schemeClr w14:val="tx1"/>
                  </w14:solidFill>
                </w14:textFill>
              </w:rPr>
            </w:pPr>
          </w:p>
          <w:p w14:paraId="7886A28D">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2C874BB">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采购标的及其对应的中小企业划分标准所属行业</w:t>
            </w:r>
          </w:p>
        </w:tc>
        <w:tc>
          <w:tcPr>
            <w:tcW w:w="7056" w:type="dxa"/>
            <w:tcBorders>
              <w:top w:val="single" w:color="000000" w:sz="8" w:space="0"/>
              <w:left w:val="single" w:color="000000" w:sz="2" w:space="0"/>
              <w:bottom w:val="single" w:color="000000" w:sz="8" w:space="0"/>
              <w:right w:val="single" w:color="000000" w:sz="8" w:space="0"/>
            </w:tcBorders>
            <w:vAlign w:val="center"/>
          </w:tcPr>
          <w:p w14:paraId="54CF1EDB">
            <w:pPr>
              <w:snapToGrid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（1）标的：</w:t>
            </w:r>
            <w:r>
              <w:rPr>
                <w:rFonts w:hint="eastAsia" w:ascii="宋体" w:hAnsi="宋体" w:cs="宋体"/>
                <w:color w:val="000000" w:themeColor="text1"/>
                <w:kern w:val="0"/>
                <w:sz w:val="24"/>
                <w:u w:val="single"/>
                <w14:textFill>
                  <w14:solidFill>
                    <w14:schemeClr w14:val="tx1"/>
                  </w14:solidFill>
                </w14:textFill>
              </w:rPr>
              <w:t xml:space="preserve">来宾市行政中心卫生保洁、保安服务 </w:t>
            </w:r>
            <w:r>
              <w:rPr>
                <w:rFonts w:hint="eastAsia" w:ascii="宋体" w:hAnsi="宋体" w:cs="宋体"/>
                <w:color w:val="000000" w:themeColor="text1"/>
                <w:kern w:val="0"/>
                <w:sz w:val="24"/>
                <w14:textFill>
                  <w14:solidFill>
                    <w14:schemeClr w14:val="tx1"/>
                  </w14:solidFill>
                </w14:textFill>
              </w:rPr>
              <w:t>，属于</w:t>
            </w:r>
            <w:r>
              <w:rPr>
                <w:rFonts w:hint="eastAsia" w:ascii="宋体" w:hAnsi="宋体" w:cs="宋体"/>
                <w:color w:val="000000" w:themeColor="text1"/>
                <w:kern w:val="0"/>
                <w:sz w:val="24"/>
                <w:u w:val="single"/>
                <w14:textFill>
                  <w14:solidFill>
                    <w14:schemeClr w14:val="tx1"/>
                  </w14:solidFill>
                </w14:textFill>
              </w:rPr>
              <w:t>物业管理</w:t>
            </w:r>
            <w:r>
              <w:rPr>
                <w:rFonts w:hint="eastAsia" w:ascii="宋体" w:hAnsi="宋体" w:cs="宋体"/>
                <w:color w:val="000000" w:themeColor="text1"/>
                <w:kern w:val="0"/>
                <w:sz w:val="24"/>
                <w14:textFill>
                  <w14:solidFill>
                    <w14:schemeClr w14:val="tx1"/>
                  </w14:solidFill>
                </w14:textFill>
              </w:rPr>
              <w:t>行业；</w:t>
            </w:r>
          </w:p>
        </w:tc>
      </w:tr>
      <w:tr w14:paraId="7E091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tcPr>
          <w:p w14:paraId="107056E3">
            <w:pPr>
              <w:snapToGrid w:val="0"/>
              <w:spacing w:line="360" w:lineRule="auto"/>
              <w:jc w:val="center"/>
              <w:rPr>
                <w:rFonts w:ascii="宋体" w:hAnsi="宋体" w:cs="宋体"/>
                <w:color w:val="000000" w:themeColor="text1"/>
                <w:sz w:val="24"/>
                <w14:textFill>
                  <w14:solidFill>
                    <w14:schemeClr w14:val="tx1"/>
                  </w14:solidFill>
                </w14:textFill>
              </w:rPr>
            </w:pPr>
          </w:p>
          <w:p w14:paraId="21402249">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DE3A204">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是否允许采购进口产品</w:t>
            </w:r>
          </w:p>
        </w:tc>
        <w:tc>
          <w:tcPr>
            <w:tcW w:w="7056" w:type="dxa"/>
            <w:tcBorders>
              <w:top w:val="single" w:color="000000" w:sz="8" w:space="0"/>
              <w:left w:val="single" w:color="000000" w:sz="2" w:space="0"/>
              <w:bottom w:val="single" w:color="000000" w:sz="8" w:space="0"/>
              <w:right w:val="single" w:color="000000" w:sz="8" w:space="0"/>
            </w:tcBorders>
            <w:vAlign w:val="center"/>
          </w:tcPr>
          <w:p w14:paraId="3B14926F">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本项目不允许采购进口产品。</w:t>
            </w:r>
          </w:p>
          <w:p w14:paraId="0DEBED0D">
            <w:pPr>
              <w:spacing w:line="360" w:lineRule="auto"/>
              <w:rPr>
                <w:rFonts w:ascii="宋体" w:hAnsi="宋体" w:cs="宋体"/>
                <w:color w:val="000000" w:themeColor="text1"/>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可以就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采购进口产品。</w:t>
            </w:r>
          </w:p>
        </w:tc>
      </w:tr>
      <w:tr w14:paraId="631D1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0CA6F63B">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A16CAE8">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分包</w:t>
            </w:r>
          </w:p>
        </w:tc>
        <w:tc>
          <w:tcPr>
            <w:tcW w:w="7056" w:type="dxa"/>
            <w:tcBorders>
              <w:top w:val="single" w:color="000000" w:sz="8" w:space="0"/>
              <w:left w:val="single" w:color="000000" w:sz="2" w:space="0"/>
              <w:bottom w:val="single" w:color="000000" w:sz="8" w:space="0"/>
              <w:right w:val="single" w:color="000000" w:sz="8" w:space="0"/>
            </w:tcBorders>
            <w:vAlign w:val="center"/>
          </w:tcPr>
          <w:p w14:paraId="60C37204">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7286927"/>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A</w:t>
            </w:r>
            <w:r>
              <w:rPr>
                <w:rFonts w:hint="eastAsia" w:ascii="宋体" w:hAnsi="宋体" w:cs="宋体"/>
                <w:color w:val="000000" w:themeColor="text1"/>
                <w:sz w:val="24"/>
                <w14:textFill>
                  <w14:solidFill>
                    <w14:schemeClr w14:val="tx1"/>
                  </w14:solidFill>
                </w14:textFill>
              </w:rPr>
              <w:t>同意将非主体、非关键性的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工作分包。</w:t>
            </w:r>
          </w:p>
          <w:p w14:paraId="56B2B917">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7633135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 xml:space="preserve"> B</w:t>
            </w:r>
            <w:r>
              <w:rPr>
                <w:rFonts w:hint="eastAsia" w:ascii="宋体" w:hAnsi="宋体" w:cs="宋体"/>
                <w:color w:val="000000" w:themeColor="text1"/>
                <w:sz w:val="24"/>
                <w14:textFill>
                  <w14:solidFill>
                    <w14:schemeClr w14:val="tx1"/>
                  </w14:solidFill>
                </w14:textFill>
              </w:rPr>
              <w:t>不同意分包。</w:t>
            </w:r>
          </w:p>
          <w:p w14:paraId="0465B01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注：不得限制大中型企业向小微企业合理分包。</w:t>
            </w:r>
          </w:p>
        </w:tc>
      </w:tr>
      <w:tr w14:paraId="36679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tcPr>
          <w:p w14:paraId="722368B7">
            <w:pPr>
              <w:snapToGrid w:val="0"/>
              <w:spacing w:line="360" w:lineRule="auto"/>
              <w:jc w:val="center"/>
              <w:rPr>
                <w:rFonts w:ascii="宋体" w:hAnsi="宋体" w:cs="宋体"/>
                <w:color w:val="000000" w:themeColor="text1"/>
                <w:sz w:val="24"/>
                <w14:textFill>
                  <w14:solidFill>
                    <w14:schemeClr w14:val="tx1"/>
                  </w14:solidFill>
                </w14:textFill>
              </w:rPr>
            </w:pPr>
          </w:p>
          <w:p w14:paraId="311034B9">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F4F933E">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开标前答疑会或现场考察</w:t>
            </w:r>
          </w:p>
        </w:tc>
        <w:tc>
          <w:tcPr>
            <w:tcW w:w="7056" w:type="dxa"/>
            <w:tcBorders>
              <w:top w:val="single" w:color="000000" w:sz="8" w:space="0"/>
              <w:left w:val="single" w:color="000000" w:sz="2" w:space="0"/>
              <w:bottom w:val="single" w:color="000000" w:sz="8" w:space="0"/>
              <w:right w:val="single" w:color="000000" w:sz="8" w:space="0"/>
            </w:tcBorders>
            <w:vAlign w:val="center"/>
          </w:tcPr>
          <w:p w14:paraId="336C6D2D">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不组织。</w:t>
            </w:r>
          </w:p>
          <w:p w14:paraId="789E4B10">
            <w:pPr>
              <w:spacing w:line="360" w:lineRule="auto"/>
              <w:rPr>
                <w:rFonts w:ascii="宋体" w:hAnsi="宋体" w:cs="宋体"/>
                <w:color w:val="000000" w:themeColor="text1"/>
                <w:sz w:val="24"/>
                <w:szCs w:val="20"/>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B组织，</w:t>
            </w: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0"/>
                <w14:textFill>
                  <w14:solidFill>
                    <w14:schemeClr w14:val="tx1"/>
                  </w14:solidFill>
                </w14:textFill>
              </w:rPr>
              <w:t>。</w:t>
            </w:r>
          </w:p>
        </w:tc>
      </w:tr>
      <w:tr w14:paraId="4E6EE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tcPr>
          <w:p w14:paraId="77948A9A">
            <w:pPr>
              <w:snapToGrid w:val="0"/>
              <w:spacing w:line="360" w:lineRule="auto"/>
              <w:jc w:val="center"/>
              <w:rPr>
                <w:rFonts w:ascii="宋体" w:hAnsi="宋体" w:cs="宋体"/>
                <w:color w:val="000000" w:themeColor="text1"/>
                <w:sz w:val="24"/>
                <w14:textFill>
                  <w14:solidFill>
                    <w14:schemeClr w14:val="tx1"/>
                  </w14:solidFill>
                </w14:textFill>
              </w:rPr>
            </w:pPr>
          </w:p>
          <w:p w14:paraId="39ADA3B8">
            <w:pPr>
              <w:snapToGrid w:val="0"/>
              <w:spacing w:line="360" w:lineRule="auto"/>
              <w:jc w:val="center"/>
              <w:rPr>
                <w:rFonts w:ascii="宋体" w:hAnsi="宋体" w:cs="宋体"/>
                <w:color w:val="000000" w:themeColor="text1"/>
                <w:sz w:val="24"/>
                <w14:textFill>
                  <w14:solidFill>
                    <w14:schemeClr w14:val="tx1"/>
                  </w14:solidFill>
                </w14:textFill>
              </w:rPr>
            </w:pPr>
          </w:p>
          <w:p w14:paraId="167DDC5F">
            <w:pPr>
              <w:snapToGrid w:val="0"/>
              <w:spacing w:line="360" w:lineRule="auto"/>
              <w:jc w:val="center"/>
              <w:rPr>
                <w:rFonts w:ascii="宋体" w:hAnsi="宋体" w:cs="宋体"/>
                <w:color w:val="000000" w:themeColor="text1"/>
                <w:sz w:val="24"/>
                <w14:textFill>
                  <w14:solidFill>
                    <w14:schemeClr w14:val="tx1"/>
                  </w14:solidFill>
                </w14:textFill>
              </w:rPr>
            </w:pPr>
          </w:p>
          <w:p w14:paraId="1B5DB3AF">
            <w:pPr>
              <w:snapToGrid w:val="0"/>
              <w:spacing w:line="360" w:lineRule="auto"/>
              <w:jc w:val="center"/>
              <w:rPr>
                <w:rFonts w:ascii="宋体" w:hAnsi="宋体" w:cs="宋体"/>
                <w:color w:val="000000" w:themeColor="text1"/>
                <w:sz w:val="24"/>
                <w14:textFill>
                  <w14:solidFill>
                    <w14:schemeClr w14:val="tx1"/>
                  </w14:solidFill>
                </w14:textFill>
              </w:rPr>
            </w:pPr>
          </w:p>
          <w:p w14:paraId="36560A6F">
            <w:pPr>
              <w:snapToGrid w:val="0"/>
              <w:spacing w:line="360" w:lineRule="auto"/>
              <w:jc w:val="center"/>
              <w:rPr>
                <w:rFonts w:ascii="宋体" w:hAnsi="宋体" w:cs="宋体"/>
                <w:color w:val="000000" w:themeColor="text1"/>
                <w:sz w:val="24"/>
                <w14:textFill>
                  <w14:solidFill>
                    <w14:schemeClr w14:val="tx1"/>
                  </w14:solidFill>
                </w14:textFill>
              </w:rPr>
            </w:pPr>
          </w:p>
          <w:p w14:paraId="7B823F1B">
            <w:pPr>
              <w:snapToGrid w:val="0"/>
              <w:spacing w:line="360" w:lineRule="auto"/>
              <w:jc w:val="center"/>
              <w:rPr>
                <w:rFonts w:ascii="宋体" w:hAnsi="宋体" w:cs="宋体"/>
                <w:color w:val="000000" w:themeColor="text1"/>
                <w:sz w:val="24"/>
                <w14:textFill>
                  <w14:solidFill>
                    <w14:schemeClr w14:val="tx1"/>
                  </w14:solidFill>
                </w14:textFill>
              </w:rPr>
            </w:pPr>
          </w:p>
          <w:p w14:paraId="0DCEFB05">
            <w:pPr>
              <w:snapToGrid w:val="0"/>
              <w:spacing w:line="360" w:lineRule="auto"/>
              <w:jc w:val="center"/>
              <w:rPr>
                <w:rFonts w:ascii="宋体" w:hAnsi="宋体" w:cs="宋体"/>
                <w:color w:val="000000" w:themeColor="text1"/>
                <w:sz w:val="24"/>
                <w14:textFill>
                  <w14:solidFill>
                    <w14:schemeClr w14:val="tx1"/>
                  </w14:solidFill>
                </w14:textFill>
              </w:rPr>
            </w:pPr>
          </w:p>
          <w:p w14:paraId="478CA366">
            <w:pPr>
              <w:snapToGrid w:val="0"/>
              <w:spacing w:line="360" w:lineRule="auto"/>
              <w:jc w:val="center"/>
              <w:rPr>
                <w:rFonts w:ascii="宋体" w:hAnsi="宋体" w:cs="宋体"/>
                <w:color w:val="000000" w:themeColor="text1"/>
                <w:sz w:val="24"/>
                <w14:textFill>
                  <w14:solidFill>
                    <w14:schemeClr w14:val="tx1"/>
                  </w14:solidFill>
                </w14:textFill>
              </w:rPr>
            </w:pPr>
          </w:p>
          <w:p w14:paraId="51575F63">
            <w:pPr>
              <w:snapToGrid w:val="0"/>
              <w:spacing w:line="360" w:lineRule="auto"/>
              <w:jc w:val="center"/>
              <w:rPr>
                <w:rFonts w:ascii="宋体" w:hAnsi="宋体" w:cs="宋体"/>
                <w:color w:val="000000" w:themeColor="text1"/>
                <w:sz w:val="24"/>
                <w14:textFill>
                  <w14:solidFill>
                    <w14:schemeClr w14:val="tx1"/>
                  </w14:solidFill>
                </w14:textFill>
              </w:rPr>
            </w:pPr>
          </w:p>
          <w:p w14:paraId="19E6E1BF">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3A4AB98">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样品提供</w:t>
            </w:r>
          </w:p>
        </w:tc>
        <w:tc>
          <w:tcPr>
            <w:tcW w:w="7056" w:type="dxa"/>
            <w:tcBorders>
              <w:top w:val="single" w:color="000000" w:sz="8" w:space="0"/>
              <w:left w:val="single" w:color="000000" w:sz="2" w:space="0"/>
              <w:bottom w:val="single" w:color="000000" w:sz="8" w:space="0"/>
              <w:right w:val="single" w:color="000000" w:sz="8" w:space="0"/>
            </w:tcBorders>
            <w:vAlign w:val="center"/>
          </w:tcPr>
          <w:p w14:paraId="6CD08C1A">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不要求提供。</w:t>
            </w:r>
          </w:p>
          <w:p w14:paraId="78CA066C">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B要求提供，</w:t>
            </w:r>
          </w:p>
          <w:p w14:paraId="05FCD5BA">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snapToGrid w:val="0"/>
                <w:color w:val="000000" w:themeColor="text1"/>
                <w:kern w:val="28"/>
                <w:sz w:val="24"/>
                <w14:textFill>
                  <w14:solidFill>
                    <w14:schemeClr w14:val="tx1"/>
                  </w14:solidFill>
                </w14:textFill>
              </w:rPr>
              <w:t>样品：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66B35C8">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snapToGrid w:val="0"/>
                <w:color w:val="000000" w:themeColor="text1"/>
                <w:kern w:val="28"/>
                <w:sz w:val="24"/>
                <w14:textFill>
                  <w14:solidFill>
                    <w14:schemeClr w14:val="tx1"/>
                  </w14:solidFill>
                </w14:textFill>
              </w:rPr>
              <w:t>样品制作的标准和要求：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11983982">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（3）样品的评审方法以及评审标准</w:t>
            </w:r>
            <w:r>
              <w:rPr>
                <w:rFonts w:hint="eastAsia" w:ascii="宋体" w:hAnsi="宋体" w:cs="宋体"/>
                <w:snapToGrid w:val="0"/>
                <w:color w:val="000000" w:themeColor="text1"/>
                <w:kern w:val="28"/>
                <w:sz w:val="24"/>
                <w14:textFill>
                  <w14:solidFill>
                    <w14:schemeClr w14:val="tx1"/>
                  </w14:solidFill>
                </w14:textFill>
              </w:rPr>
              <w:t>：详见</w:t>
            </w:r>
            <w:r>
              <w:rPr>
                <w:rFonts w:hint="eastAsia" w:ascii="宋体" w:hAnsi="宋体" w:cs="宋体"/>
                <w:color w:val="000000" w:themeColor="text1"/>
                <w:sz w:val="24"/>
                <w:u w:val="single"/>
                <w14:textFill>
                  <w14:solidFill>
                    <w14:schemeClr w14:val="tx1"/>
                  </w14:solidFill>
                </w14:textFill>
              </w:rPr>
              <w:t>评标办法</w:t>
            </w:r>
            <w:r>
              <w:rPr>
                <w:rFonts w:hint="eastAsia" w:ascii="宋体" w:hAnsi="宋体" w:cs="宋体"/>
                <w:color w:val="000000" w:themeColor="text1"/>
                <w:kern w:val="0"/>
                <w:sz w:val="24"/>
                <w14:textFill>
                  <w14:solidFill>
                    <w14:schemeClr w14:val="tx1"/>
                  </w14:solidFill>
                </w14:textFill>
              </w:rPr>
              <w:t>；</w:t>
            </w:r>
          </w:p>
          <w:p w14:paraId="763F4DF4">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（4）是否需要随样品提交检测报告：</w:t>
            </w:r>
            <w:sdt>
              <w:sdtPr>
                <w:rPr>
                  <w:rFonts w:hint="eastAsia" w:ascii="宋体" w:hAnsi="宋体" w:cs="宋体"/>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否；</w:t>
            </w:r>
            <w:sdt>
              <w:sdtPr>
                <w:rPr>
                  <w:rFonts w:hint="eastAsia" w:ascii="宋体" w:hAnsi="宋体" w:cs="宋体"/>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是，检测机构的要求</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；检测内容</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54FD156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（5）提供样品的时间：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28"/>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。请投标人在上述时间内提供样品并按规定位置安装完毕。超过截止时间的，采购人或采购代理机构将不予接收，并将清场并封闭样品现场。</w:t>
            </w:r>
          </w:p>
          <w:p w14:paraId="1DB1A6F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A5E112E">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（7）制作、运输、安装和保管样品所发生的一切费用由投标人自理。</w:t>
            </w:r>
          </w:p>
        </w:tc>
      </w:tr>
      <w:tr w14:paraId="43895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tcPr>
          <w:p w14:paraId="64FEE986">
            <w:pPr>
              <w:snapToGrid w:val="0"/>
              <w:spacing w:line="360" w:lineRule="auto"/>
              <w:jc w:val="center"/>
              <w:rPr>
                <w:rFonts w:ascii="宋体" w:hAnsi="宋体" w:cs="宋体"/>
                <w:color w:val="000000" w:themeColor="text1"/>
                <w:sz w:val="24"/>
                <w14:textFill>
                  <w14:solidFill>
                    <w14:schemeClr w14:val="tx1"/>
                  </w14:solidFill>
                </w14:textFill>
              </w:rPr>
            </w:pPr>
          </w:p>
          <w:p w14:paraId="75F1CF88">
            <w:pPr>
              <w:snapToGrid w:val="0"/>
              <w:spacing w:line="360" w:lineRule="auto"/>
              <w:jc w:val="center"/>
              <w:rPr>
                <w:rFonts w:ascii="宋体" w:hAnsi="宋体" w:cs="宋体"/>
                <w:color w:val="000000" w:themeColor="text1"/>
                <w:sz w:val="24"/>
                <w14:textFill>
                  <w14:solidFill>
                    <w14:schemeClr w14:val="tx1"/>
                  </w14:solidFill>
                </w14:textFill>
              </w:rPr>
            </w:pPr>
          </w:p>
          <w:p w14:paraId="3EA96F0B">
            <w:pPr>
              <w:snapToGrid w:val="0"/>
              <w:spacing w:line="360" w:lineRule="auto"/>
              <w:jc w:val="center"/>
              <w:rPr>
                <w:rFonts w:ascii="宋体" w:hAnsi="宋体" w:cs="宋体"/>
                <w:color w:val="000000" w:themeColor="text1"/>
                <w:sz w:val="24"/>
                <w14:textFill>
                  <w14:solidFill>
                    <w14:schemeClr w14:val="tx1"/>
                  </w14:solidFill>
                </w14:textFill>
              </w:rPr>
            </w:pPr>
          </w:p>
          <w:p w14:paraId="62A608ED">
            <w:pPr>
              <w:snapToGrid w:val="0"/>
              <w:spacing w:line="360" w:lineRule="auto"/>
              <w:jc w:val="center"/>
              <w:rPr>
                <w:rFonts w:ascii="宋体" w:hAnsi="宋体" w:cs="宋体"/>
                <w:color w:val="000000" w:themeColor="text1"/>
                <w:sz w:val="24"/>
                <w14:textFill>
                  <w14:solidFill>
                    <w14:schemeClr w14:val="tx1"/>
                  </w14:solidFill>
                </w14:textFill>
              </w:rPr>
            </w:pPr>
          </w:p>
          <w:p w14:paraId="21BB7374">
            <w:pPr>
              <w:snapToGrid w:val="0"/>
              <w:spacing w:line="360" w:lineRule="auto"/>
              <w:jc w:val="center"/>
              <w:rPr>
                <w:rFonts w:ascii="宋体" w:hAnsi="宋体" w:cs="宋体"/>
                <w:color w:val="000000" w:themeColor="text1"/>
                <w:sz w:val="24"/>
                <w14:textFill>
                  <w14:solidFill>
                    <w14:schemeClr w14:val="tx1"/>
                  </w14:solidFill>
                </w14:textFill>
              </w:rPr>
            </w:pPr>
          </w:p>
          <w:p w14:paraId="5D3A838E">
            <w:pPr>
              <w:snapToGrid w:val="0"/>
              <w:spacing w:line="360" w:lineRule="auto"/>
              <w:jc w:val="center"/>
              <w:rPr>
                <w:rFonts w:ascii="宋体" w:hAnsi="宋体" w:cs="宋体"/>
                <w:color w:val="000000" w:themeColor="text1"/>
                <w:sz w:val="24"/>
                <w14:textFill>
                  <w14:solidFill>
                    <w14:schemeClr w14:val="tx1"/>
                  </w14:solidFill>
                </w14:textFill>
              </w:rPr>
            </w:pPr>
          </w:p>
          <w:p w14:paraId="64FCF6D0">
            <w:pPr>
              <w:snapToGrid w:val="0"/>
              <w:spacing w:line="360" w:lineRule="auto"/>
              <w:jc w:val="center"/>
              <w:rPr>
                <w:rFonts w:ascii="宋体" w:hAnsi="宋体" w:cs="宋体"/>
                <w:color w:val="000000" w:themeColor="text1"/>
                <w:sz w:val="24"/>
                <w14:textFill>
                  <w14:solidFill>
                    <w14:schemeClr w14:val="tx1"/>
                  </w14:solidFill>
                </w14:textFill>
              </w:rPr>
            </w:pPr>
          </w:p>
          <w:p w14:paraId="6F4F0AA1">
            <w:pPr>
              <w:snapToGrid w:val="0"/>
              <w:spacing w:line="360" w:lineRule="auto"/>
              <w:jc w:val="center"/>
              <w:rPr>
                <w:rFonts w:ascii="宋体" w:hAnsi="宋体" w:cs="宋体"/>
                <w:color w:val="000000" w:themeColor="text1"/>
                <w:sz w:val="24"/>
                <w14:textFill>
                  <w14:solidFill>
                    <w14:schemeClr w14:val="tx1"/>
                  </w14:solidFill>
                </w14:textFill>
              </w:rPr>
            </w:pPr>
          </w:p>
          <w:p w14:paraId="12D6EDC8">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75D830E">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方案讲解演示</w:t>
            </w:r>
          </w:p>
        </w:tc>
        <w:tc>
          <w:tcPr>
            <w:tcW w:w="7056" w:type="dxa"/>
            <w:tcBorders>
              <w:top w:val="single" w:color="000000" w:sz="8" w:space="0"/>
              <w:left w:val="single" w:color="000000" w:sz="2" w:space="0"/>
              <w:bottom w:val="single" w:color="000000" w:sz="8" w:space="0"/>
              <w:right w:val="single" w:color="000000" w:sz="8" w:space="0"/>
            </w:tcBorders>
            <w:vAlign w:val="center"/>
          </w:tcPr>
          <w:p w14:paraId="268A329B">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不组织。</w:t>
            </w:r>
          </w:p>
          <w:p w14:paraId="073A90D8">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B组织。</w:t>
            </w:r>
          </w:p>
          <w:p w14:paraId="1B522F30">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（1）在评标时安排每个投标人进行方案讲解演示。每个投标人时间不超过</w:t>
            </w:r>
            <w:r>
              <w:rPr>
                <w:rFonts w:hint="eastAsia" w:ascii="宋体" w:hAnsi="宋体" w:cs="宋体"/>
                <w:color w:val="000000" w:themeColor="text1"/>
                <w:kern w:val="0"/>
                <w:sz w:val="24"/>
                <w:u w:val="single"/>
                <w14:textFill>
                  <w14:solidFill>
                    <w14:schemeClr w14:val="tx1"/>
                  </w14:solidFill>
                </w14:textFill>
              </w:rPr>
              <w:t>20（编制时可根据项目情况进行调整）</w:t>
            </w:r>
            <w:r>
              <w:rPr>
                <w:rFonts w:hint="eastAsia" w:ascii="宋体" w:hAnsi="宋体" w:cs="宋体"/>
                <w:color w:val="000000" w:themeColor="text1"/>
                <w:kern w:val="0"/>
                <w:sz w:val="24"/>
                <w14:textFill>
                  <w14:solidFill>
                    <w14:schemeClr w14:val="tx1"/>
                  </w14:solidFill>
                </w14:textFill>
              </w:rPr>
              <w:t>分钟，讲解次序以投标文件解密时间先后次序为准，讲解演示人员不超过</w:t>
            </w:r>
            <w:r>
              <w:rPr>
                <w:rFonts w:hint="eastAsia" w:ascii="宋体" w:hAnsi="宋体" w:cs="宋体"/>
                <w:color w:val="000000" w:themeColor="text1"/>
                <w:kern w:val="0"/>
                <w:sz w:val="24"/>
                <w:u w:val="single"/>
                <w14:textFill>
                  <w14:solidFill>
                    <w14:schemeClr w14:val="tx1"/>
                  </w14:solidFill>
                </w14:textFill>
              </w:rPr>
              <w:t>3（编制时可根据项目情况进行调整）</w:t>
            </w:r>
            <w:r>
              <w:rPr>
                <w:rFonts w:hint="eastAsia" w:ascii="宋体" w:hAnsi="宋体" w:cs="宋体"/>
                <w:color w:val="000000" w:themeColor="text1"/>
                <w:kern w:val="0"/>
                <w:sz w:val="24"/>
                <w14:textFill>
                  <w14:solidFill>
                    <w14:schemeClr w14:val="tx1"/>
                  </w14:solidFill>
                </w14:textFill>
              </w:rPr>
              <w:t>人。讲解演示结束后按要求解答评标委员会提问。</w:t>
            </w:r>
          </w:p>
          <w:p w14:paraId="366B526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（2）方案讲解演示可选择以下其中一种方式：</w:t>
            </w:r>
          </w:p>
          <w:p w14:paraId="681FA39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方式一：广西政府采购云平台在线讲解演示。广西政府采购云平台在线讲解需投标人根据广西政府采购云平台操作要求做好准备工作，提前完善软硬件配置环境。</w:t>
            </w:r>
          </w:p>
          <w:p w14:paraId="02215F8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方式二：评审现场讲解演示。现场讲解地点为</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5C7A8693">
            <w:pPr>
              <w:snapToGrid w:val="0"/>
              <w:spacing w:line="360" w:lineRule="auto"/>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注：因投标人自身原因导致无法演示或者演示效果不理想的，责任自负。因平台原因导致本项目方案讲解演示环节无法顺利开展，按照相关规定执行。</w:t>
            </w:r>
          </w:p>
        </w:tc>
      </w:tr>
      <w:tr w14:paraId="0BEFD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restart"/>
            <w:tcBorders>
              <w:top w:val="single" w:color="auto" w:sz="4" w:space="0"/>
              <w:left w:val="single" w:color="auto" w:sz="4" w:space="0"/>
              <w:right w:val="single" w:color="auto" w:sz="4" w:space="0"/>
            </w:tcBorders>
          </w:tcPr>
          <w:p w14:paraId="3679188E">
            <w:pPr>
              <w:snapToGrid w:val="0"/>
              <w:spacing w:line="360" w:lineRule="auto"/>
              <w:jc w:val="center"/>
              <w:rPr>
                <w:rFonts w:ascii="宋体" w:hAnsi="宋体" w:cs="宋体"/>
                <w:color w:val="000000" w:themeColor="text1"/>
                <w:sz w:val="24"/>
                <w14:textFill>
                  <w14:solidFill>
                    <w14:schemeClr w14:val="tx1"/>
                  </w14:solidFill>
                </w14:textFill>
              </w:rPr>
            </w:pPr>
          </w:p>
          <w:p w14:paraId="2AAF25E8">
            <w:pPr>
              <w:snapToGrid w:val="0"/>
              <w:spacing w:line="360" w:lineRule="auto"/>
              <w:jc w:val="center"/>
              <w:rPr>
                <w:rFonts w:ascii="宋体" w:hAnsi="宋体" w:cs="宋体"/>
                <w:color w:val="000000" w:themeColor="text1"/>
                <w:sz w:val="24"/>
                <w14:textFill>
                  <w14:solidFill>
                    <w14:schemeClr w14:val="tx1"/>
                  </w14:solidFill>
                </w14:textFill>
              </w:rPr>
            </w:pPr>
          </w:p>
          <w:p w14:paraId="5AD2C662">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08E58DC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投标人应当提供的资格、资信证明文件</w:t>
            </w:r>
          </w:p>
        </w:tc>
        <w:tc>
          <w:tcPr>
            <w:tcW w:w="7056" w:type="dxa"/>
            <w:tcBorders>
              <w:top w:val="single" w:color="000000" w:sz="8" w:space="0"/>
              <w:left w:val="single" w:color="000000" w:sz="2" w:space="0"/>
              <w:bottom w:val="single" w:color="auto" w:sz="4" w:space="0"/>
              <w:right w:val="single" w:color="000000" w:sz="8" w:space="0"/>
            </w:tcBorders>
            <w:vAlign w:val="center"/>
          </w:tcPr>
          <w:p w14:paraId="1296EE4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（1）资格证明文件：见招标文件第二部分11.1。</w:t>
            </w:r>
          </w:p>
          <w:p w14:paraId="3CC57B40">
            <w:pPr>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投标人未提供有效的资格证明文件的，视为投标人不具备招标文件中规定的资格要求，投标无效。</w:t>
            </w:r>
          </w:p>
        </w:tc>
      </w:tr>
      <w:tr w14:paraId="7F6D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continue"/>
            <w:tcBorders>
              <w:left w:val="single" w:color="auto" w:sz="4" w:space="0"/>
              <w:bottom w:val="single" w:color="auto" w:sz="4" w:space="0"/>
              <w:right w:val="single" w:color="auto" w:sz="4" w:space="0"/>
            </w:tcBorders>
          </w:tcPr>
          <w:p w14:paraId="1A8D1F4D">
            <w:pPr>
              <w:snapToGrid w:val="0"/>
              <w:spacing w:line="360" w:lineRule="auto"/>
              <w:jc w:val="center"/>
              <w:rPr>
                <w:rFonts w:ascii="宋体" w:hAnsi="宋体" w:cs="宋体"/>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5D0F9FE6">
            <w:pPr>
              <w:snapToGrid w:val="0"/>
              <w:spacing w:line="360" w:lineRule="auto"/>
              <w:jc w:val="center"/>
              <w:rPr>
                <w:rFonts w:ascii="宋体" w:hAnsi="宋体" w:cs="宋体"/>
                <w:b/>
                <w:color w:val="000000" w:themeColor="text1"/>
                <w:sz w:val="24"/>
                <w14:textFill>
                  <w14:solidFill>
                    <w14:schemeClr w14:val="tx1"/>
                  </w14:solidFill>
                </w14:textFill>
              </w:rPr>
            </w:pPr>
          </w:p>
        </w:tc>
        <w:tc>
          <w:tcPr>
            <w:tcW w:w="7056" w:type="dxa"/>
            <w:tcBorders>
              <w:top w:val="single" w:color="auto" w:sz="4" w:space="0"/>
              <w:left w:val="single" w:color="000000" w:sz="2" w:space="0"/>
              <w:bottom w:val="single" w:color="000000" w:sz="8" w:space="0"/>
              <w:right w:val="single" w:color="000000" w:sz="8" w:space="0"/>
            </w:tcBorders>
            <w:vAlign w:val="center"/>
          </w:tcPr>
          <w:p w14:paraId="24E21A2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（2）资信证明文件：根据招标文件第四部分评标标准提供。</w:t>
            </w:r>
          </w:p>
        </w:tc>
      </w:tr>
      <w:tr w14:paraId="552D0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tcPr>
          <w:p w14:paraId="21141D21">
            <w:pPr>
              <w:snapToGrid w:val="0"/>
              <w:spacing w:line="360" w:lineRule="auto"/>
              <w:jc w:val="center"/>
              <w:rPr>
                <w:rFonts w:ascii="宋体" w:hAnsi="宋体" w:cs="宋体"/>
                <w:color w:val="000000" w:themeColor="text1"/>
                <w:sz w:val="24"/>
                <w14:textFill>
                  <w14:solidFill>
                    <w14:schemeClr w14:val="tx1"/>
                  </w14:solidFill>
                </w14:textFill>
              </w:rPr>
            </w:pPr>
          </w:p>
          <w:p w14:paraId="2DCB2D6F">
            <w:pPr>
              <w:snapToGrid w:val="0"/>
              <w:spacing w:line="360" w:lineRule="auto"/>
              <w:jc w:val="center"/>
              <w:rPr>
                <w:rFonts w:ascii="宋体" w:hAnsi="宋体" w:cs="宋体"/>
                <w:color w:val="000000" w:themeColor="text1"/>
                <w:sz w:val="24"/>
                <w14:textFill>
                  <w14:solidFill>
                    <w14:schemeClr w14:val="tx1"/>
                  </w14:solidFill>
                </w14:textFill>
              </w:rPr>
            </w:pPr>
          </w:p>
          <w:p w14:paraId="3901D786">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BF281EE">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节能产品、环境标志产品</w:t>
            </w:r>
          </w:p>
        </w:tc>
        <w:tc>
          <w:tcPr>
            <w:tcW w:w="7056" w:type="dxa"/>
            <w:tcBorders>
              <w:top w:val="single" w:color="000000" w:sz="8" w:space="0"/>
              <w:left w:val="single" w:color="000000" w:sz="2" w:space="0"/>
              <w:bottom w:val="single" w:color="000000" w:sz="8" w:space="0"/>
              <w:right w:val="single" w:color="000000" w:sz="8" w:space="0"/>
            </w:tcBorders>
            <w:vAlign w:val="center"/>
          </w:tcPr>
          <w:p w14:paraId="65CBA06A">
            <w:pPr>
              <w:snapToGrid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7393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tcPr>
          <w:p w14:paraId="2C8173D1">
            <w:pPr>
              <w:snapToGrid w:val="0"/>
              <w:spacing w:line="360" w:lineRule="auto"/>
              <w:jc w:val="center"/>
              <w:rPr>
                <w:rFonts w:ascii="宋体" w:hAnsi="宋体" w:cs="宋体"/>
                <w:color w:val="000000" w:themeColor="text1"/>
                <w:sz w:val="24"/>
                <w14:textFill>
                  <w14:solidFill>
                    <w14:schemeClr w14:val="tx1"/>
                  </w14:solidFill>
                </w14:textFill>
              </w:rPr>
            </w:pPr>
          </w:p>
          <w:p w14:paraId="3FFFC945">
            <w:pPr>
              <w:snapToGrid w:val="0"/>
              <w:spacing w:line="360" w:lineRule="auto"/>
              <w:jc w:val="center"/>
              <w:rPr>
                <w:rFonts w:ascii="宋体" w:hAnsi="宋体" w:cs="宋体"/>
                <w:color w:val="000000" w:themeColor="text1"/>
                <w:sz w:val="24"/>
                <w14:textFill>
                  <w14:solidFill>
                    <w14:schemeClr w14:val="tx1"/>
                  </w14:solidFill>
                </w14:textFill>
              </w:rPr>
            </w:pPr>
          </w:p>
          <w:p w14:paraId="06CE3D8D">
            <w:pPr>
              <w:snapToGrid w:val="0"/>
              <w:spacing w:line="360" w:lineRule="auto"/>
              <w:jc w:val="center"/>
              <w:rPr>
                <w:rFonts w:ascii="宋体" w:hAnsi="宋体" w:cs="宋体"/>
                <w:color w:val="000000" w:themeColor="text1"/>
                <w:sz w:val="24"/>
                <w14:textFill>
                  <w14:solidFill>
                    <w14:schemeClr w14:val="tx1"/>
                  </w14:solidFill>
                </w14:textFill>
              </w:rPr>
            </w:pPr>
          </w:p>
          <w:p w14:paraId="35FF337C">
            <w:pPr>
              <w:snapToGrid w:val="0"/>
              <w:spacing w:line="360" w:lineRule="auto"/>
              <w:jc w:val="center"/>
              <w:rPr>
                <w:rFonts w:ascii="宋体" w:hAnsi="宋体" w:cs="宋体"/>
                <w:color w:val="000000" w:themeColor="text1"/>
                <w:sz w:val="24"/>
                <w14:textFill>
                  <w14:solidFill>
                    <w14:schemeClr w14:val="tx1"/>
                  </w14:solidFill>
                </w14:textFill>
              </w:rPr>
            </w:pPr>
          </w:p>
          <w:p w14:paraId="3956A4A3">
            <w:pPr>
              <w:snapToGrid w:val="0"/>
              <w:spacing w:line="360" w:lineRule="auto"/>
              <w:jc w:val="center"/>
              <w:rPr>
                <w:rFonts w:ascii="宋体" w:hAnsi="宋体" w:cs="宋体"/>
                <w:color w:val="000000" w:themeColor="text1"/>
                <w:sz w:val="24"/>
                <w14:textFill>
                  <w14:solidFill>
                    <w14:schemeClr w14:val="tx1"/>
                  </w14:solidFill>
                </w14:textFill>
              </w:rPr>
            </w:pPr>
          </w:p>
          <w:p w14:paraId="158DAB0A">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BE5D067">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报价要求</w:t>
            </w:r>
          </w:p>
        </w:tc>
        <w:tc>
          <w:tcPr>
            <w:tcW w:w="7056" w:type="dxa"/>
            <w:tcBorders>
              <w:top w:val="single" w:color="000000" w:sz="8" w:space="0"/>
              <w:left w:val="single" w:color="000000" w:sz="2" w:space="0"/>
              <w:bottom w:val="single" w:color="000000" w:sz="8" w:space="0"/>
              <w:right w:val="single" w:color="000000" w:sz="8" w:space="0"/>
            </w:tcBorders>
            <w:vAlign w:val="center"/>
          </w:tcPr>
          <w:p w14:paraId="49E6F6DA">
            <w:pPr>
              <w:snapToGrid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有关本项目实施所需的所有费用（含税费）均计入报价。</w:t>
            </w:r>
            <w:r>
              <w:rPr>
                <w:rFonts w:hint="eastAsia" w:ascii="宋体" w:hAnsi="宋体" w:cs="宋体"/>
                <w:bCs/>
                <w:color w:val="000000" w:themeColor="text1"/>
                <w:kern w:val="0"/>
                <w:sz w:val="24"/>
                <w:lang w:val="zh-CN"/>
                <w14:textFill>
                  <w14:solidFill>
                    <w14:schemeClr w14:val="tx1"/>
                  </w14:solidFill>
                </w14:textFill>
              </w:rPr>
              <w:t>投标文件</w:t>
            </w:r>
            <w:r>
              <w:rPr>
                <w:rFonts w:hint="eastAsia" w:ascii="宋体" w:hAnsi="宋体" w:cs="宋体"/>
                <w:bCs/>
                <w:color w:val="000000" w:themeColor="text1"/>
                <w:sz w:val="24"/>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lang w:val="zh-CN"/>
                <w14:textFill>
                  <w14:solidFill>
                    <w14:schemeClr w14:val="tx1"/>
                  </w14:solidFill>
                </w14:textFill>
              </w:rPr>
              <w:t>投标文件中价格全部采用人民币报价。招标文件未列明，而投标人认为必需的费用也需列入报价。提醒：验收时检测费用由采购人承担，不包含在投标总价中。</w:t>
            </w:r>
          </w:p>
          <w:p w14:paraId="6E4355F5">
            <w:pPr>
              <w:snapToGrid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投标报价出现下列情形的，投标无效：</w:t>
            </w:r>
          </w:p>
          <w:p w14:paraId="2138313D">
            <w:pPr>
              <w:snapToGrid w:val="0"/>
              <w:spacing w:line="360" w:lineRule="auto"/>
              <w:ind w:firstLine="240"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投标文件出现不是唯一的、有选择性投标报价的；</w:t>
            </w:r>
          </w:p>
          <w:p w14:paraId="35BE1FBB">
            <w:pPr>
              <w:snapToGrid w:val="0"/>
              <w:spacing w:line="360" w:lineRule="auto"/>
              <w:ind w:firstLine="240"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投标报价超过招标文件中规定的预算金额或者最高限价的;</w:t>
            </w:r>
          </w:p>
          <w:p w14:paraId="6B154AD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000000" w:themeColor="text1"/>
                <w:sz w:val="24"/>
                <w:szCs w:val="21"/>
                <w14:textFill>
                  <w14:solidFill>
                    <w14:schemeClr w14:val="tx1"/>
                  </w14:solidFill>
                </w14:textFill>
              </w:rPr>
              <w:t>;</w:t>
            </w:r>
          </w:p>
          <w:p w14:paraId="4F7FC287">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投标人对根据修正原则修正后的报价不确认的</w:t>
            </w:r>
            <w:r>
              <w:rPr>
                <w:rFonts w:hint="eastAsia" w:ascii="宋体" w:hAnsi="宋体" w:cs="宋体"/>
                <w:color w:val="000000" w:themeColor="text1"/>
                <w:sz w:val="24"/>
                <w14:textFill>
                  <w14:solidFill>
                    <w14:schemeClr w14:val="tx1"/>
                  </w14:solidFill>
                </w14:textFill>
              </w:rPr>
              <w:t>。</w:t>
            </w:r>
          </w:p>
        </w:tc>
      </w:tr>
      <w:tr w14:paraId="0F3E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right w:val="single" w:color="000000" w:sz="2" w:space="0"/>
            </w:tcBorders>
          </w:tcPr>
          <w:p w14:paraId="3B2B72D1">
            <w:pPr>
              <w:snapToGrid w:val="0"/>
              <w:spacing w:line="360" w:lineRule="auto"/>
              <w:jc w:val="center"/>
              <w:rPr>
                <w:rFonts w:ascii="宋体" w:hAnsi="宋体" w:cs="宋体"/>
                <w:color w:val="000000" w:themeColor="text1"/>
                <w:sz w:val="24"/>
                <w14:textFill>
                  <w14:solidFill>
                    <w14:schemeClr w14:val="tx1"/>
                  </w14:solidFill>
                </w14:textFill>
              </w:rPr>
            </w:pPr>
          </w:p>
          <w:p w14:paraId="12B11861">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559D4E67">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中小企业信用融资</w:t>
            </w:r>
          </w:p>
        </w:tc>
        <w:tc>
          <w:tcPr>
            <w:tcW w:w="7056" w:type="dxa"/>
            <w:tcBorders>
              <w:top w:val="single" w:color="000000" w:sz="8" w:space="0"/>
              <w:left w:val="single" w:color="000000" w:sz="2" w:space="0"/>
              <w:right w:val="single" w:color="000000" w:sz="8" w:space="0"/>
            </w:tcBorders>
            <w:vAlign w:val="center"/>
          </w:tcPr>
          <w:p w14:paraId="0539EACB">
            <w:pPr>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B7E80C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供应商中标后也可在“广西政府采购云”平台申请政采贷：操作路径：登录广西政府采购云平台-金融服务中心-【融资服务】，可在热门申请中选择产品直接申请。</w:t>
            </w:r>
          </w:p>
        </w:tc>
      </w:tr>
      <w:tr w14:paraId="3A69C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tcPr>
          <w:p w14:paraId="0B3C5397">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7A165DD">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备份投标文件送达地点和签收人员 </w:t>
            </w:r>
          </w:p>
        </w:tc>
        <w:tc>
          <w:tcPr>
            <w:tcW w:w="7056" w:type="dxa"/>
            <w:tcBorders>
              <w:top w:val="single" w:color="000000" w:sz="8" w:space="0"/>
              <w:left w:val="single" w:color="000000" w:sz="2" w:space="0"/>
              <w:bottom w:val="single" w:color="000000" w:sz="8" w:space="0"/>
              <w:right w:val="single" w:color="000000" w:sz="8" w:space="0"/>
            </w:tcBorders>
            <w:vAlign w:val="center"/>
          </w:tcPr>
          <w:p w14:paraId="5DAC48C3">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不接受。</w:t>
            </w:r>
          </w:p>
          <w:p w14:paraId="08FA28FC">
            <w:pPr>
              <w:pStyle w:val="32"/>
              <w:spacing w:line="360" w:lineRule="auto"/>
              <w:rPr>
                <w:rFonts w:hAnsi="宋体" w:cs="宋体"/>
                <w:color w:val="000000" w:themeColor="text1"/>
                <w:kern w:val="28"/>
                <w:sz w:val="24"/>
                <w14:textFill>
                  <w14:solidFill>
                    <w14:schemeClr w14:val="tx1"/>
                  </w14:solidFill>
                </w14:textFill>
              </w:rPr>
            </w:pPr>
            <w:sdt>
              <w:sdtPr>
                <w:rPr>
                  <w:rFonts w:hint="eastAsia" w:hAnsi="宋体" w:cs="宋体"/>
                  <w:color w:val="000000" w:themeColor="text1"/>
                  <w:kern w:val="0"/>
                  <w:sz w:val="24"/>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hAnsi="宋体" w:cs="宋体"/>
                <w:color w:val="000000" w:themeColor="text1"/>
                <w:kern w:val="0"/>
                <w:sz w:val="24"/>
                <w14:textFill>
                  <w14:solidFill>
                    <w14:schemeClr w14:val="tx1"/>
                  </w14:solidFill>
                </w14:textFill>
              </w:rPr>
              <w:t>B</w:t>
            </w:r>
            <w:r>
              <w:rPr>
                <w:rFonts w:hint="eastAsia" w:hAnsi="宋体" w:cs="宋体"/>
                <w:color w:val="000000" w:themeColor="text1"/>
                <w:sz w:val="24"/>
                <w14:textFill>
                  <w14:solidFill>
                    <w14:schemeClr w14:val="tx1"/>
                  </w14:solidFill>
                </w14:textFill>
              </w:rPr>
              <w:t>接受</w:t>
            </w:r>
            <w:r>
              <w:rPr>
                <w:rFonts w:hint="eastAsia" w:hAnsi="宋体" w:cs="宋体"/>
                <w:color w:val="000000" w:themeColor="text1"/>
                <w:kern w:val="0"/>
                <w:sz w:val="24"/>
                <w14:textFill>
                  <w14:solidFill>
                    <w14:schemeClr w14:val="tx1"/>
                  </w14:solidFill>
                </w14:textFill>
              </w:rPr>
              <w:t>：</w:t>
            </w:r>
            <w:r>
              <w:rPr>
                <w:rFonts w:hint="eastAsia" w:hAnsi="宋体" w:cs="宋体"/>
                <w:color w:val="000000" w:themeColor="text1"/>
                <w:kern w:val="28"/>
                <w:sz w:val="24"/>
                <w14:textFill>
                  <w14:solidFill>
                    <w14:schemeClr w14:val="tx1"/>
                  </w14:solidFill>
                </w14:textFill>
              </w:rPr>
              <w:t>备份投标文件送达地点：</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kern w:val="28"/>
                <w:sz w:val="24"/>
                <w14:textFill>
                  <w14:solidFill>
                    <w14:schemeClr w14:val="tx1"/>
                  </w14:solidFill>
                </w14:textFill>
              </w:rPr>
              <w:t>；备份投标文件签收人员联系电话：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w:t>
            </w:r>
            <w:r>
              <w:rPr>
                <w:rFonts w:hint="eastAsia" w:hAnsi="宋体" w:cs="宋体"/>
                <w:b/>
                <w:color w:val="000000" w:themeColor="text1"/>
                <w:sz w:val="24"/>
                <w14:textFill>
                  <w14:solidFill>
                    <w14:schemeClr w14:val="tx1"/>
                  </w14:solidFill>
                </w14:textFill>
              </w:rPr>
              <w:t>采购人、采购代理机构不强制或变相强制投标人提交备份投标文件。</w:t>
            </w:r>
          </w:p>
        </w:tc>
      </w:tr>
      <w:tr w14:paraId="4113A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restart"/>
            <w:tcBorders>
              <w:top w:val="single" w:color="auto" w:sz="4" w:space="0"/>
              <w:left w:val="single" w:color="000000" w:sz="8" w:space="0"/>
              <w:right w:val="single" w:color="000000" w:sz="2" w:space="0"/>
            </w:tcBorders>
          </w:tcPr>
          <w:p w14:paraId="096C7206">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843" w:type="dxa"/>
            <w:vMerge w:val="restart"/>
            <w:tcBorders>
              <w:top w:val="single" w:color="000000" w:sz="8" w:space="0"/>
              <w:left w:val="single" w:color="000000" w:sz="2" w:space="0"/>
              <w:right w:val="single" w:color="000000" w:sz="8" w:space="0"/>
            </w:tcBorders>
            <w:vAlign w:val="center"/>
          </w:tcPr>
          <w:p w14:paraId="0BA7A0FC">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特别说明</w:t>
            </w:r>
          </w:p>
        </w:tc>
        <w:tc>
          <w:tcPr>
            <w:tcW w:w="7056" w:type="dxa"/>
            <w:tcBorders>
              <w:top w:val="single" w:color="000000" w:sz="8" w:space="0"/>
              <w:left w:val="single" w:color="000000" w:sz="2" w:space="0"/>
              <w:bottom w:val="single" w:color="000000" w:sz="8" w:space="0"/>
              <w:right w:val="single" w:color="000000" w:sz="8" w:space="0"/>
            </w:tcBorders>
            <w:vAlign w:val="center"/>
          </w:tcPr>
          <w:p w14:paraId="2A8D4243">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联合体投标的，联合体各方分别提供与联合体协议中规定的分工内容相应的业绩证明材料，业绩数量以提供材料较少的一方为准。</w:t>
            </w:r>
          </w:p>
        </w:tc>
      </w:tr>
      <w:tr w14:paraId="51427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continue"/>
            <w:tcBorders>
              <w:left w:val="single" w:color="000000" w:sz="8" w:space="0"/>
              <w:bottom w:val="single" w:color="auto" w:sz="4" w:space="0"/>
              <w:right w:val="single" w:color="000000" w:sz="2" w:space="0"/>
            </w:tcBorders>
          </w:tcPr>
          <w:p w14:paraId="734E96F8">
            <w:pPr>
              <w:snapToGrid w:val="0"/>
              <w:spacing w:line="360" w:lineRule="auto"/>
              <w:jc w:val="center"/>
              <w:rPr>
                <w:rFonts w:ascii="宋体" w:hAnsi="宋体" w:cs="宋体"/>
                <w:color w:val="000000" w:themeColor="text1"/>
                <w:sz w:val="24"/>
                <w14:textFill>
                  <w14:solidFill>
                    <w14:schemeClr w14:val="tx1"/>
                  </w14:solidFill>
                </w14:textFill>
              </w:rPr>
            </w:pPr>
          </w:p>
        </w:tc>
        <w:tc>
          <w:tcPr>
            <w:tcW w:w="1843" w:type="dxa"/>
            <w:vMerge w:val="continue"/>
            <w:tcBorders>
              <w:left w:val="single" w:color="000000" w:sz="2" w:space="0"/>
              <w:bottom w:val="single" w:color="auto" w:sz="4" w:space="0"/>
              <w:right w:val="single" w:color="000000" w:sz="8" w:space="0"/>
            </w:tcBorders>
            <w:vAlign w:val="center"/>
          </w:tcPr>
          <w:p w14:paraId="1A23B01E">
            <w:pPr>
              <w:snapToGrid w:val="0"/>
              <w:spacing w:line="360" w:lineRule="auto"/>
              <w:jc w:val="center"/>
              <w:rPr>
                <w:rFonts w:ascii="宋体" w:hAnsi="宋体" w:cs="宋体"/>
                <w:b/>
                <w:color w:val="000000" w:themeColor="text1"/>
                <w:sz w:val="24"/>
                <w14:textFill>
                  <w14:solidFill>
                    <w14:schemeClr w14:val="tx1"/>
                  </w14:solidFill>
                </w14:textFill>
              </w:rPr>
            </w:pPr>
          </w:p>
        </w:tc>
        <w:tc>
          <w:tcPr>
            <w:tcW w:w="7056" w:type="dxa"/>
            <w:tcBorders>
              <w:top w:val="single" w:color="000000" w:sz="8" w:space="0"/>
              <w:left w:val="single" w:color="000000" w:sz="2" w:space="0"/>
              <w:bottom w:val="single" w:color="auto" w:sz="4" w:space="0"/>
              <w:right w:val="single" w:color="000000" w:sz="8" w:space="0"/>
            </w:tcBorders>
            <w:vAlign w:val="center"/>
          </w:tcPr>
          <w:p w14:paraId="4B37C327">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联合体投标的，联合体各方均需按招标文件第四部分评标标准要求提供资信证明文件，否则视为不符合相关要求。</w:t>
            </w:r>
          </w:p>
          <w:p w14:paraId="478564D9">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Arial"/>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7B8CF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2EAA6B09">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913A55D">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7056" w:type="dxa"/>
            <w:tcBorders>
              <w:top w:val="single" w:color="auto" w:sz="4" w:space="0"/>
              <w:left w:val="single" w:color="auto" w:sz="4" w:space="0"/>
              <w:bottom w:val="single" w:color="auto" w:sz="4" w:space="0"/>
              <w:right w:val="single" w:color="auto" w:sz="4" w:space="0"/>
            </w:tcBorders>
            <w:vAlign w:val="center"/>
          </w:tcPr>
          <w:p w14:paraId="49F06E9A">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本招标文件解释权属采购人及代理机构。</w:t>
            </w:r>
          </w:p>
        </w:tc>
      </w:tr>
    </w:tbl>
    <w:p w14:paraId="04D9C4AF">
      <w:pPr>
        <w:snapToGrid w:val="0"/>
        <w:spacing w:line="360" w:lineRule="auto"/>
        <w:jc w:val="center"/>
        <w:rPr>
          <w:rFonts w:ascii="宋体" w:hAnsi="宋体" w:cs="宋体"/>
          <w:b/>
          <w:color w:val="000000" w:themeColor="text1"/>
          <w:sz w:val="32"/>
          <w:szCs w:val="20"/>
          <w14:textFill>
            <w14:solidFill>
              <w14:schemeClr w14:val="tx1"/>
            </w14:solidFill>
          </w14:textFill>
        </w:rPr>
      </w:pPr>
    </w:p>
    <w:bookmarkEnd w:id="11"/>
    <w:p w14:paraId="15E2B1D7">
      <w:pPr>
        <w:adjustRightInd/>
        <w:spacing w:line="360" w:lineRule="auto"/>
        <w:ind w:firstLine="3845" w:firstLineChars="1197"/>
        <w:outlineLvl w:val="1"/>
        <w:rPr>
          <w:rFonts w:ascii="宋体" w:hAnsi="宋体" w:cs="宋体"/>
          <w:b/>
          <w:color w:val="000000" w:themeColor="text1"/>
          <w:sz w:val="32"/>
          <w:szCs w:val="20"/>
          <w14:textFill>
            <w14:solidFill>
              <w14:schemeClr w14:val="tx1"/>
            </w14:solidFill>
          </w14:textFill>
        </w:rPr>
      </w:pPr>
      <w:bookmarkStart w:id="13" w:name="_Toc164416483"/>
      <w:bookmarkStart w:id="14" w:name="第三部分"/>
      <w:r>
        <w:rPr>
          <w:rFonts w:hint="eastAsia" w:ascii="宋体" w:hAnsi="宋体" w:cs="宋体"/>
          <w:b/>
          <w:color w:val="000000" w:themeColor="text1"/>
          <w:sz w:val="32"/>
          <w:szCs w:val="20"/>
          <w14:textFill>
            <w14:solidFill>
              <w14:schemeClr w14:val="tx1"/>
            </w14:solidFill>
          </w14:textFill>
        </w:rPr>
        <w:t>一、总则</w:t>
      </w:r>
    </w:p>
    <w:p w14:paraId="724DE37D">
      <w:pPr>
        <w:snapToGrid w:val="0"/>
        <w:spacing w:line="360" w:lineRule="auto"/>
        <w:ind w:firstLine="361" w:firstLineChars="15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适用范围</w:t>
      </w:r>
    </w:p>
    <w:p w14:paraId="472CDF5F">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本招标文件适用于该项目的招标、投标、开标、资格审查及信用信息查询、评标、定标、合同、验收等行为（法律、法规另有规定的，从其规定）。</w:t>
      </w:r>
    </w:p>
    <w:p w14:paraId="53F6D773">
      <w:pPr>
        <w:adjustRightInd/>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2.定义</w:t>
      </w:r>
    </w:p>
    <w:p w14:paraId="2C01DF6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“采购人”系指招标公告中载明的本项目的采购人。</w:t>
      </w:r>
    </w:p>
    <w:p w14:paraId="0ED8727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“采购代理机构”系指招标公告中载明的本项目的采购代理机构。</w:t>
      </w:r>
    </w:p>
    <w:p w14:paraId="3163CC0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“投标人”系指是指响应招标、参加投标竞争的法人、其他组织或者自然人。</w:t>
      </w:r>
    </w:p>
    <w:p w14:paraId="3860B00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 “法定代表人（负责人）”系指法人企业的法定负责人，或其他组织为法律、行政法规规定代表单位行使职权的主要负责人，或自然人本人。</w:t>
      </w:r>
    </w:p>
    <w:p w14:paraId="169B468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B76C58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47F6197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2.6“电子交易平台”系指本项目政府采购活动所依托的广西政府采购云平台（https://www.gcy.zfcg.gxzf.gov.cn/）。</w:t>
      </w:r>
    </w:p>
    <w:p w14:paraId="5B99D6A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 “▲” 系指实质性要求条款，“</w:t>
      </w:r>
      <w:r>
        <w:rPr>
          <w:rFonts w:hint="eastAsia" w:ascii="宋体" w:hAnsi="宋体" w:cs="宋体"/>
          <w:color w:val="000000" w:themeColor="text1"/>
          <w:kern w:val="0"/>
          <w:sz w:val="24"/>
          <w14:textFill>
            <w14:solidFill>
              <w14:schemeClr w14:val="tx1"/>
            </w14:solidFill>
          </w14:textFill>
        </w:rPr>
        <w:sym w:font="Wingdings" w:char="F0FE"/>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系指适用本项目的要求，“</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系指不适用本项目的要求。</w:t>
      </w:r>
    </w:p>
    <w:p w14:paraId="54363A89">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采购项目需要落实的政府采购政策</w:t>
      </w:r>
    </w:p>
    <w:p w14:paraId="6052A9A2">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14:textFill>
            <w14:solidFill>
              <w14:schemeClr w14:val="tx1"/>
            </w14:solidFill>
          </w14:textFill>
        </w:rPr>
        <w:t>。</w:t>
      </w:r>
    </w:p>
    <w:p w14:paraId="5852216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支持绿色发展</w:t>
      </w:r>
    </w:p>
    <w:p w14:paraId="2C2A3148">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▲采购人拟采购的产品属于政府强制采购的节能产品品目清单范围的，投标人相应的投标产品未获得国家确定的认证机构出具的、处于有效期之内的节能产品认证证书的，投标无效。</w:t>
      </w:r>
    </w:p>
    <w:p w14:paraId="0BB6523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 修缮、装修类项目采购建材的，采购人应将绿色建筑和绿色建材性能、指标等作为实质性条件纳入招标文件和合同。</w:t>
      </w:r>
    </w:p>
    <w:p w14:paraId="1D83D69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8CCDD60">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3.2.4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8F4338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3.3支持中小企业发展</w:t>
      </w:r>
    </w:p>
    <w:p w14:paraId="639A5DD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8D8DC6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符合中小企业划分标准的个体工商户，在政府采购活动中视同中小企业。</w:t>
      </w:r>
    </w:p>
    <w:p w14:paraId="3C8A3186">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bCs/>
          <w:color w:val="000000" w:themeColor="text1"/>
          <w:sz w:val="24"/>
          <w14:textFill>
            <w14:solidFill>
              <w14:schemeClr w14:val="tx1"/>
            </w14:solidFill>
          </w14:textFill>
        </w:rPr>
        <w:t>3.3.2</w:t>
      </w:r>
      <w:r>
        <w:rPr>
          <w:rFonts w:hint="eastAsia" w:ascii="宋体" w:hAnsi="宋体" w:cs="宋体"/>
          <w:color w:val="000000" w:themeColor="text1"/>
          <w:kern w:val="0"/>
          <w:sz w:val="24"/>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B4CD263">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31B554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3.3.3对于未预留份额专门面向中小企业采购的政府采购项目，以及预留份额政府采购项目中的非预留部分标项，对小型和微型企业的投标报价给予</w:t>
      </w:r>
      <w:r>
        <w:rPr>
          <w:rFonts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%的扣除，用扣除后的价格参与评审。接受大中型企业与小微企业组成联合体或者允许大中型企业向一家或者多家小微企业分包的政府采购项目，对于</w:t>
      </w:r>
      <w:bookmarkStart w:id="15" w:name="_Hlk101132181"/>
      <w:r>
        <w:rPr>
          <w:rFonts w:hint="eastAsia" w:ascii="宋体" w:hAnsi="宋体" w:cs="宋体"/>
          <w:color w:val="000000" w:themeColor="text1"/>
          <w:sz w:val="24"/>
          <w14:textFill>
            <w14:solidFill>
              <w14:schemeClr w14:val="tx1"/>
            </w14:solidFill>
          </w14:textFill>
        </w:rPr>
        <w:t>联合协议或者分包意向协议约定小微企业的合同份额占到合同总金额30%以上的</w:t>
      </w:r>
      <w:bookmarkEnd w:id="15"/>
      <w:r>
        <w:rPr>
          <w:rFonts w:hint="eastAsia" w:ascii="宋体" w:hAnsi="宋体" w:cs="宋体"/>
          <w:color w:val="000000" w:themeColor="text1"/>
          <w:sz w:val="24"/>
          <w14:textFill>
            <w14:solidFill>
              <w14:schemeClr w14:val="tx1"/>
            </w14:solidFill>
          </w14:textFill>
        </w:rPr>
        <w:t>，对联合体或者大中型企业的报价给予</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1052CD3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24521A7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BA3600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FD644B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3.3.7中小企业享受扶持政策获得政府采购合同的，小微企业不得将合同分包给大中型企业，中型企业不得将合同分包给大型企业。</w:t>
      </w:r>
    </w:p>
    <w:p w14:paraId="5549ABA8">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w:t>
      </w:r>
      <w:r>
        <w:rPr>
          <w:rFonts w:hint="eastAsia" w:ascii="宋体" w:hAnsi="宋体" w:cs="宋体"/>
          <w:bCs/>
          <w:color w:val="000000" w:themeColor="text1"/>
          <w:sz w:val="24"/>
          <w14:textFill>
            <w14:solidFill>
              <w14:schemeClr w14:val="tx1"/>
            </w14:solidFill>
          </w14:textFill>
        </w:rPr>
        <w:t>支持创新发展</w:t>
      </w:r>
    </w:p>
    <w:p w14:paraId="045E9EF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 采购人优先采购被认定为首台套产品和“制造精品”的自主创新产品。</w:t>
      </w:r>
    </w:p>
    <w:p w14:paraId="4F3C283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3.4.2首台套产品被纳入《首台套产品推广应用指导目录》之日起</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年内，以及产品核心技术高于国内领先水平，并具有明晰自主知识产权的“制造精品”产品，自认定之日起2年内视同已具备相应销售业绩，参加政府采购活动时业绩分值为满分。</w:t>
      </w:r>
    </w:p>
    <w:p w14:paraId="1FD766D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3.5平等对待内外资企业</w:t>
      </w:r>
    </w:p>
    <w:p w14:paraId="3BCB866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16DB536">
      <w:pPr>
        <w:pStyle w:val="82"/>
        <w:rPr>
          <w:bCs/>
          <w:color w:val="000000" w:themeColor="text1"/>
          <w14:textFill>
            <w14:solidFill>
              <w14:schemeClr w14:val="tx1"/>
            </w14:solidFill>
          </w14:textFill>
        </w:rPr>
      </w:pPr>
      <w:r>
        <w:rPr>
          <w:rFonts w:hint="eastAsia"/>
          <w:color w:val="000000" w:themeColor="text1"/>
          <w14:textFill>
            <w14:solidFill>
              <w14:schemeClr w14:val="tx1"/>
            </w14:solidFill>
          </w14:textFill>
        </w:rPr>
        <w:t>3.6平等对待符合条件的破产重整企业</w:t>
      </w:r>
    </w:p>
    <w:p w14:paraId="77B9C1A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平等对待符合条件的破产重整企业，切实保障企业公平竞争，平等维护企业的合法利益。</w:t>
      </w:r>
    </w:p>
    <w:p w14:paraId="1ED220E2">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 询问、质疑、投诉</w:t>
      </w:r>
    </w:p>
    <w:p w14:paraId="2AE91AE4">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4.1在线询问、质疑、投诉。</w:t>
      </w:r>
    </w:p>
    <w:p w14:paraId="533A3802">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291B1AF2">
      <w:pPr>
        <w:autoSpaceDE w:val="0"/>
        <w:autoSpaceDN w:val="0"/>
        <w:spacing w:line="360" w:lineRule="auto"/>
        <w:ind w:left="479" w:leftChars="228"/>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询问联系部门：北海市政府采购中心采购二科        联系电话：0779-3056122          地址：北海市海城区陈文村北路7号市直机关第三办公区</w:t>
      </w:r>
    </w:p>
    <w:p w14:paraId="199BC553">
      <w:pPr>
        <w:autoSpaceDE w:val="0"/>
        <w:autoSpaceDN w:val="0"/>
        <w:spacing w:line="360" w:lineRule="auto"/>
        <w:ind w:left="479" w:leftChars="228"/>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质疑联系部门：北海市政府采购中心监督科        联系电话：0779-3960826           地址：北海市海城区陈文村北路7号市直机关第三办公区</w:t>
      </w:r>
    </w:p>
    <w:p w14:paraId="43EFE44C">
      <w:pPr>
        <w:autoSpaceDE w:val="0"/>
        <w:autoSpaceDN w:val="0"/>
        <w:spacing w:line="360" w:lineRule="auto"/>
        <w:ind w:firstLine="480" w:firstLineChars="200"/>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投诉联系部门：来宾市财政局         联系电话：</w:t>
      </w:r>
      <w:r>
        <w:rPr>
          <w:rFonts w:hint="eastAsia" w:ascii="宋体" w:hAnsi="宋体"/>
          <w:color w:val="000000" w:themeColor="text1"/>
          <w:kern w:val="0"/>
          <w:sz w:val="24"/>
          <w:szCs w:val="20"/>
          <w:lang w:eastAsia="zh-CN"/>
          <w14:textFill>
            <w14:solidFill>
              <w14:schemeClr w14:val="tx1"/>
            </w14:solidFill>
          </w14:textFill>
        </w:rPr>
        <w:t>0772-6015268</w:t>
      </w:r>
      <w:r>
        <w:rPr>
          <w:rFonts w:hint="eastAsia" w:ascii="宋体" w:hAnsi="宋体"/>
          <w:color w:val="000000" w:themeColor="text1"/>
          <w:kern w:val="0"/>
          <w:sz w:val="24"/>
          <w:szCs w:val="20"/>
          <w14:textFill>
            <w14:solidFill>
              <w14:schemeClr w14:val="tx1"/>
            </w14:solidFill>
          </w14:textFill>
        </w:rPr>
        <w:t xml:space="preserve">        </w:t>
      </w:r>
    </w:p>
    <w:p w14:paraId="098AC4AB">
      <w:pPr>
        <w:autoSpaceDE w:val="0"/>
        <w:autoSpaceDN w:val="0"/>
        <w:spacing w:line="360" w:lineRule="auto"/>
        <w:ind w:firstLine="480" w:firstLineChars="200"/>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地址：来宾市兴宾区盘古大道69号 7-12</w:t>
      </w:r>
    </w:p>
    <w:p w14:paraId="4056C3D3">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4.2供应商询问</w:t>
      </w:r>
    </w:p>
    <w:p w14:paraId="458B36CB">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2CD0642">
      <w:pPr>
        <w:autoSpaceDE w:val="0"/>
        <w:autoSpaceDN w:val="0"/>
        <w:spacing w:line="360" w:lineRule="auto"/>
        <w:ind w:firstLine="240"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4.3供应商质疑</w:t>
      </w:r>
    </w:p>
    <w:p w14:paraId="13EE0B35">
      <w:pPr>
        <w:pStyle w:val="32"/>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.1提出质疑的供应商应当是参与所质疑项目采购活动的供应商。潜在供应商已依法获取其可质疑的招标文件的，可以对该文件提出质疑。</w:t>
      </w:r>
    </w:p>
    <w:p w14:paraId="7E40C153">
      <w:pPr>
        <w:pStyle w:val="32"/>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7AAFC30">
      <w:pPr>
        <w:pStyle w:val="5"/>
        <w:spacing w:line="360" w:lineRule="auto"/>
        <w:ind w:firstLine="480" w:firstLineChars="200"/>
        <w:rPr>
          <w:rFonts w:hAnsi="宋体" w:cs="宋体"/>
          <w:snapToGrid/>
          <w:color w:val="000000" w:themeColor="text1"/>
          <w:kern w:val="2"/>
          <w:sz w:val="24"/>
          <w14:textFill>
            <w14:solidFill>
              <w14:schemeClr w14:val="tx1"/>
            </w14:solidFill>
          </w14:textFill>
        </w:rPr>
      </w:pPr>
      <w:r>
        <w:rPr>
          <w:rFonts w:hint="eastAsia" w:hAnsi="宋体" w:cs="宋体"/>
          <w:snapToGrid/>
          <w:color w:val="000000" w:themeColor="text1"/>
          <w:kern w:val="2"/>
          <w:sz w:val="24"/>
          <w14:textFill>
            <w14:solidFill>
              <w14:schemeClr w14:val="tx1"/>
            </w14:solidFill>
          </w14:textFill>
        </w:rPr>
        <w:t>4.3.2.1对招标文件提出质疑的，质疑期限为供应商获得招标文件之日或者招标文件公告期限届满之日起计算。</w:t>
      </w:r>
    </w:p>
    <w:p w14:paraId="24F3A3C6">
      <w:pPr>
        <w:pStyle w:val="32"/>
        <w:spacing w:line="360" w:lineRule="auto"/>
        <w:ind w:left="479" w:leftChars="228"/>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4.3.2.2对采购过程提出质疑的，质疑期限为各采购程序环节结束之日起计算。</w:t>
      </w:r>
    </w:p>
    <w:p w14:paraId="41A6A00C">
      <w:pPr>
        <w:pStyle w:val="32"/>
        <w:spacing w:line="360" w:lineRule="auto"/>
        <w:ind w:left="479" w:leftChars="228"/>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4.3.2.3对采购结果提出质疑的，质疑期限自采购结果公告期限届满之日起计算。</w:t>
      </w:r>
    </w:p>
    <w:p w14:paraId="562308DC">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w:t>
      </w:r>
      <w:r>
        <w:rPr>
          <w:rFonts w:hint="eastAsia" w:hAnsi="宋体" w:cs="宋体"/>
          <w:color w:val="000000" w:themeColor="text1"/>
          <w:sz w:val="24"/>
          <w14:textFill>
            <w14:solidFill>
              <w14:schemeClr w14:val="tx1"/>
            </w14:solidFill>
          </w14:textFill>
        </w:rPr>
        <w:t>供应商提出质疑应当提交质疑函和必要的证明材料。质疑函应当包括下列内容：</w:t>
      </w:r>
    </w:p>
    <w:p w14:paraId="3D31058E">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4.3.3.1供应商的姓名或者名称、地址、邮编、联系人及联系电话；</w:t>
      </w:r>
    </w:p>
    <w:p w14:paraId="55E06F01">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4.3.3.2质疑项目的名称、编号；</w:t>
      </w:r>
    </w:p>
    <w:p w14:paraId="16CC4674">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4.3.3.3具体、明确的质疑事项和与质疑事项相关的请求；</w:t>
      </w:r>
    </w:p>
    <w:p w14:paraId="367DFBC2">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4.3.3.4事实依据；</w:t>
      </w:r>
    </w:p>
    <w:p w14:paraId="3E3FF623">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4.3.3.5必要的法律依据；</w:t>
      </w:r>
    </w:p>
    <w:p w14:paraId="2A1EF19B">
      <w:pPr>
        <w:pStyle w:val="32"/>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4.3.3.6提出质疑的日期。</w:t>
      </w:r>
    </w:p>
    <w:p w14:paraId="57B4049D">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31888FD3">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质疑函范本及制作说明详见附件2。</w:t>
      </w:r>
    </w:p>
    <w:p w14:paraId="2E2957D0">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4.3.4对同一采购程序环节的质疑，供应商须在法定质疑期内一次性提出。</w:t>
      </w:r>
    </w:p>
    <w:p w14:paraId="572107A8">
      <w:pPr>
        <w:pStyle w:val="886"/>
        <w:shd w:val="clear" w:color="auto" w:fill="FFFFFF"/>
        <w:snapToGrid w:val="0"/>
        <w:spacing w:before="0" w:beforeAutospacing="0" w:after="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047CAC18">
      <w:pPr>
        <w:pStyle w:val="32"/>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4.3.6根据采购人与采购代理机构签订的采购委托协议，质疑答复责任主体如下：</w:t>
      </w:r>
      <w:r>
        <w:rPr>
          <w:rFonts w:asciiTheme="minorEastAsia" w:hAnsiTheme="minorEastAsia" w:eastAsiaTheme="minorEastAsia"/>
          <w:color w:val="000000" w:themeColor="text1"/>
          <w:sz w:val="24"/>
          <w14:textFill>
            <w14:solidFill>
              <w14:schemeClr w14:val="tx1"/>
            </w14:solidFill>
          </w14:textFill>
        </w:rPr>
        <w:t xml:space="preserve"> </w:t>
      </w:r>
    </w:p>
    <w:p w14:paraId="250F82BA">
      <w:pPr>
        <w:widowControl/>
        <w:adjustRightInd/>
        <w:spacing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FBA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428FAEC1">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64200494">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74CC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4193172B">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7F6CCE7">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AC68E2E">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5DEA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211451">
            <w:pPr>
              <w:widowControl/>
              <w:adjustRightInd/>
              <w:spacing w:line="360" w:lineRule="auto"/>
              <w:jc w:val="left"/>
              <w:rPr>
                <w:rFonts w:asciiTheme="minorEastAsia" w:hAnsiTheme="minorEastAsia" w:eastAsiaTheme="minorEastAsia"/>
                <w:color w:val="000000" w:themeColor="text1"/>
                <w:sz w:val="24"/>
                <w:szCs w:val="20"/>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5922E042">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9A14B35">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3B8D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31171FD">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67C37E0">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22EFE8B">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2270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CC1CE5">
            <w:pPr>
              <w:widowControl/>
              <w:adjustRightInd/>
              <w:spacing w:line="360" w:lineRule="auto"/>
              <w:jc w:val="left"/>
              <w:rPr>
                <w:rFonts w:asciiTheme="minorEastAsia" w:hAnsiTheme="minorEastAsia" w:eastAsiaTheme="minorEastAsia"/>
                <w:color w:val="000000" w:themeColor="text1"/>
                <w:sz w:val="24"/>
                <w:szCs w:val="20"/>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14:paraId="686D4F15">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A9195AA">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09C1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34B4DB32">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536B597E">
            <w:pPr>
              <w:pStyle w:val="32"/>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D694E95">
            <w:pPr>
              <w:pStyle w:val="32"/>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62D27F04">
      <w:pPr>
        <w:pStyle w:val="886"/>
        <w:shd w:val="clear" w:color="auto" w:fill="FFFFFF"/>
        <w:snapToGrid w:val="0"/>
        <w:spacing w:before="0" w:beforeAutospacing="0" w:after="0" w:afterAutospacing="0" w:line="360" w:lineRule="auto"/>
        <w:ind w:firstLine="480" w:firstLineChars="2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注：</w:t>
      </w:r>
      <w:r>
        <w:rPr>
          <w:rFonts w:hint="eastAsia" w:asciiTheme="minorEastAsia" w:hAnsiTheme="minorEastAsia" w:eastAsiaTheme="minorEastAsia"/>
          <w:color w:val="000000" w:themeColor="text1"/>
          <w14:textFill>
            <w14:solidFill>
              <w14:schemeClr w14:val="tx1"/>
            </w14:solidFill>
          </w14:textFill>
        </w:rPr>
        <w:t>采购人或代理机构或应当协助质疑答复责任主体及时答复</w:t>
      </w:r>
      <w:r>
        <w:rPr>
          <w:rFonts w:hint="eastAsia"/>
          <w:color w:val="000000" w:themeColor="text1"/>
          <w14:textFill>
            <w14:solidFill>
              <w14:schemeClr w14:val="tx1"/>
            </w14:solidFill>
          </w14:textFill>
        </w:rPr>
        <w:t>供应商的书面质疑。</w:t>
      </w:r>
    </w:p>
    <w:p w14:paraId="27F0035E">
      <w:pPr>
        <w:pStyle w:val="886"/>
        <w:shd w:val="clear" w:color="auto" w:fill="FFFFFF"/>
        <w:snapToGrid w:val="0"/>
        <w:spacing w:before="0" w:beforeAutospacing="0" w:after="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.7询问或者质疑事项可能影响采购结果的，采购人应当暂停签订合同，已经签订合同的，应当中止履行合同。</w:t>
      </w:r>
    </w:p>
    <w:p w14:paraId="7EA04EDD">
      <w:pPr>
        <w:pStyle w:val="886"/>
        <w:shd w:val="clear" w:color="auto" w:fill="FFFFFF"/>
        <w:snapToGrid w:val="0"/>
        <w:spacing w:after="240" w:afterAutospacing="0" w:line="360" w:lineRule="auto"/>
        <w:ind w:firstLine="480" w:firstLineChars="2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4.4供应商投诉</w:t>
      </w:r>
    </w:p>
    <w:p w14:paraId="0AB26FB1">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00212952">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w:t>
      </w:r>
      <w:r>
        <w:rPr>
          <w:rFonts w:hint="eastAsia"/>
          <w:color w:val="000000" w:themeColor="text1"/>
          <w:lang w:val="zh-CN"/>
          <w14:textFill>
            <w14:solidFill>
              <w14:schemeClr w14:val="tx1"/>
            </w14:solidFill>
          </w14:textFill>
        </w:rPr>
        <w:t>2</w:t>
      </w:r>
      <w:r>
        <w:rPr>
          <w:rFonts w:hint="eastAsia"/>
          <w:color w:val="000000" w:themeColor="text1"/>
          <w14:textFill>
            <w14:solidFill>
              <w14:schemeClr w14:val="tx1"/>
            </w14:solidFill>
          </w14:textFill>
        </w:rPr>
        <w:t>供应商投诉的事项不得超出已质疑事项的范围，基于质疑答复内容提出的投诉事项除外。</w:t>
      </w:r>
    </w:p>
    <w:p w14:paraId="5BB96F7B">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4.4.3供应商投诉应当有明确的请求和必要的证明材料。</w:t>
      </w:r>
    </w:p>
    <w:p w14:paraId="43E9815C">
      <w:pPr>
        <w:pStyle w:val="886"/>
        <w:shd w:val="clear" w:color="auto" w:fill="FFFFFF"/>
        <w:snapToGrid w:val="0"/>
        <w:spacing w:after="240" w:afterAutospacing="0" w:line="360" w:lineRule="auto"/>
        <w:ind w:firstLine="480" w:firstLineChars="2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4.4.4以联合体形式参加政府采购活动的，其投诉应当由组成联合体的所有供应商共同提出。</w:t>
      </w:r>
    </w:p>
    <w:p w14:paraId="7F0FCC0D">
      <w:pPr>
        <w:pStyle w:val="886"/>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p>
    <w:p w14:paraId="5B65B9AB">
      <w:pPr>
        <w:pStyle w:val="128"/>
        <w:snapToGrid w:val="0"/>
        <w:spacing w:before="0"/>
        <w:ind w:firstLine="360"/>
        <w:rPr>
          <w:rFonts w:ascii="宋体" w:hAnsi="宋体" w:cs="宋体"/>
          <w:color w:val="000000" w:themeColor="text1"/>
          <w:sz w:val="18"/>
          <w:szCs w:val="18"/>
          <w14:textFill>
            <w14:solidFill>
              <w14:schemeClr w14:val="tx1"/>
            </w14:solidFill>
          </w14:textFill>
        </w:rPr>
      </w:pPr>
    </w:p>
    <w:p w14:paraId="301D6BAD">
      <w:pPr>
        <w:adjustRightInd/>
        <w:spacing w:line="360" w:lineRule="auto"/>
        <w:jc w:val="center"/>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二、招标文件的构成、澄清、修改</w:t>
      </w:r>
    </w:p>
    <w:p w14:paraId="51CC628B">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5．招标文件的构成</w:t>
      </w:r>
    </w:p>
    <w:p w14:paraId="4B6F1CB5">
      <w:pPr>
        <w:pStyle w:val="32"/>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 招标文件包括下列文件及附件：</w:t>
      </w:r>
    </w:p>
    <w:p w14:paraId="73E987F1">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5.1.1招标公告；</w:t>
      </w:r>
    </w:p>
    <w:p w14:paraId="7B0392D0">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5.1.2投标人须知；</w:t>
      </w:r>
    </w:p>
    <w:p w14:paraId="45E0331D">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5.1.3采购需求；</w:t>
      </w:r>
    </w:p>
    <w:p w14:paraId="3A582EC6">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5.1.4评标办法；</w:t>
      </w:r>
    </w:p>
    <w:p w14:paraId="0BEB6896">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5.1.5拟签订的合同文本；</w:t>
      </w:r>
    </w:p>
    <w:p w14:paraId="0C635C90">
      <w:pPr>
        <w:pStyle w:val="32"/>
        <w:tabs>
          <w:tab w:val="left" w:pos="840"/>
        </w:tabs>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5.1.6</w:t>
      </w:r>
      <w:r>
        <w:rPr>
          <w:rFonts w:hint="eastAsia" w:hAnsi="宋体" w:cs="宋体"/>
          <w:color w:val="000000" w:themeColor="text1"/>
          <w:sz w:val="24"/>
          <w:szCs w:val="24"/>
          <w14:textFill>
            <w14:solidFill>
              <w14:schemeClr w14:val="tx1"/>
            </w14:solidFill>
          </w14:textFill>
        </w:rPr>
        <w:t>应提交的有关格式范例。</w:t>
      </w:r>
    </w:p>
    <w:p w14:paraId="0ADE783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5.2与本项目有关的</w:t>
      </w:r>
      <w:r>
        <w:rPr>
          <w:rFonts w:hint="eastAsia" w:ascii="宋体" w:hAnsi="宋体" w:cs="宋体"/>
          <w:bCs/>
          <w:color w:val="000000" w:themeColor="text1"/>
          <w:sz w:val="24"/>
          <w14:textFill>
            <w14:solidFill>
              <w14:schemeClr w14:val="tx1"/>
            </w14:solidFill>
          </w14:textFill>
        </w:rPr>
        <w:t>澄清或者修改的内容为招标文件的组成部分</w:t>
      </w:r>
      <w:r>
        <w:rPr>
          <w:rFonts w:hint="eastAsia" w:ascii="宋体" w:hAnsi="宋体" w:cs="宋体"/>
          <w:color w:val="000000" w:themeColor="text1"/>
          <w:sz w:val="24"/>
          <w14:textFill>
            <w14:solidFill>
              <w14:schemeClr w14:val="tx1"/>
            </w14:solidFill>
          </w14:textFill>
        </w:rPr>
        <w:t>。</w:t>
      </w:r>
    </w:p>
    <w:p w14:paraId="626FD75A">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6. 招标文件的澄清、修改</w:t>
      </w:r>
    </w:p>
    <w:p w14:paraId="703505A6">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6.1已获取招标文件的潜在投标人，若有问题需要澄清，应于投标截止时间前，以书面形式向采购代理机构提出。</w:t>
      </w:r>
    </w:p>
    <w:p w14:paraId="3AB0E2E7">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D0A7A31">
      <w:pPr>
        <w:pStyle w:val="23"/>
        <w:jc w:val="center"/>
        <w:rPr>
          <w:rFonts w:hAnsi="宋体" w:cs="宋体"/>
          <w:b/>
          <w:color w:val="000000" w:themeColor="text1"/>
          <w:sz w:val="30"/>
          <w:szCs w:val="20"/>
          <w14:textFill>
            <w14:solidFill>
              <w14:schemeClr w14:val="tx1"/>
            </w14:solidFill>
          </w14:textFill>
        </w:rPr>
      </w:pPr>
      <w:r>
        <w:rPr>
          <w:rFonts w:hint="eastAsia" w:hAnsi="宋体" w:cs="宋体"/>
          <w:b/>
          <w:color w:val="000000" w:themeColor="text1"/>
          <w:sz w:val="30"/>
          <w:szCs w:val="20"/>
          <w14:textFill>
            <w14:solidFill>
              <w14:schemeClr w14:val="tx1"/>
            </w14:solidFill>
          </w14:textFill>
        </w:rPr>
        <w:t>三、投标</w:t>
      </w:r>
    </w:p>
    <w:p w14:paraId="1A55E174">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7. 招标文件的获取</w:t>
      </w:r>
    </w:p>
    <w:p w14:paraId="2C99635E">
      <w:pPr>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详见招标公告中获取招标文件的时间期限、地点、方式及招标文件售价。</w:t>
      </w:r>
    </w:p>
    <w:p w14:paraId="53919440">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8.开标前答疑会或现场考察</w:t>
      </w:r>
    </w:p>
    <w:p w14:paraId="1B3C1098">
      <w:pPr>
        <w:pStyle w:val="32"/>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6F3571A6">
      <w:pPr>
        <w:pStyle w:val="32"/>
        <w:spacing w:line="360" w:lineRule="auto"/>
        <w:rPr>
          <w:rFonts w:hAnsi="宋体" w:cs="宋体"/>
          <w:b/>
          <w:color w:val="000000" w:themeColor="text1"/>
          <w:szCs w:val="24"/>
          <w14:textFill>
            <w14:solidFill>
              <w14:schemeClr w14:val="tx1"/>
            </w14:solidFill>
          </w14:textFill>
        </w:rPr>
      </w:pPr>
      <w:r>
        <w:rPr>
          <w:rFonts w:hint="eastAsia" w:hAnsi="宋体" w:cs="宋体"/>
          <w:b/>
          <w:color w:val="000000" w:themeColor="text1"/>
          <w:kern w:val="28"/>
          <w:sz w:val="24"/>
          <w:szCs w:val="24"/>
          <w14:textFill>
            <w14:solidFill>
              <w14:schemeClr w14:val="tx1"/>
            </w14:solidFill>
          </w14:textFill>
        </w:rPr>
        <w:t>9.投标保证金</w:t>
      </w:r>
    </w:p>
    <w:p w14:paraId="629C8D57">
      <w:pPr>
        <w:pStyle w:val="32"/>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本项目不收取投标保证金。</w:t>
      </w:r>
    </w:p>
    <w:p w14:paraId="4B5FEA53">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10. 投标文件的语言</w:t>
      </w:r>
    </w:p>
    <w:p w14:paraId="2CA7A216">
      <w:pPr>
        <w:autoSpaceDE w:val="0"/>
        <w:autoSpaceDN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投标文件及投标人与采购有关的来往通知、函件和文件均应使用中文。</w:t>
      </w:r>
    </w:p>
    <w:p w14:paraId="7600AA2E">
      <w:pPr>
        <w:pStyle w:val="32"/>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11. 投标文件的组成</w:t>
      </w:r>
    </w:p>
    <w:p w14:paraId="04E86F0F">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hint="eastAsia" w:ascii="宋体" w:hAnsi="宋体" w:cs="宋体"/>
          <w:b/>
          <w:color w:val="000000" w:themeColor="text1"/>
          <w:sz w:val="24"/>
          <w14:textFill>
            <w14:solidFill>
              <w14:schemeClr w14:val="tx1"/>
            </w14:solidFill>
          </w14:textFill>
        </w:rPr>
        <w:t>资格文件</w:t>
      </w:r>
      <w:r>
        <w:rPr>
          <w:rFonts w:hint="eastAsia" w:ascii="宋体" w:hAnsi="宋体" w:cs="宋体"/>
          <w:color w:val="000000" w:themeColor="text1"/>
          <w:sz w:val="24"/>
          <w14:textFill>
            <w14:solidFill>
              <w14:schemeClr w14:val="tx1"/>
            </w14:solidFill>
          </w14:textFill>
        </w:rPr>
        <w:t>：</w:t>
      </w:r>
    </w:p>
    <w:p w14:paraId="418E57E3">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11.1.1符合参加政府采购活动应当具备的一般条件的承诺函；</w:t>
      </w:r>
    </w:p>
    <w:p w14:paraId="2EF8B6D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1.1.2</w:t>
      </w:r>
      <w:r>
        <w:rPr>
          <w:rFonts w:hint="eastAsia" w:ascii="宋体" w:hAnsi="宋体" w:cs="宋体"/>
          <w:snapToGrid w:val="0"/>
          <w:color w:val="000000" w:themeColor="text1"/>
          <w:kern w:val="28"/>
          <w:sz w:val="24"/>
          <w:szCs w:val="20"/>
          <w14:textFill>
            <w14:solidFill>
              <w14:schemeClr w14:val="tx1"/>
            </w14:solidFill>
          </w14:textFill>
        </w:rPr>
        <w:t>联合协议（如果有)；</w:t>
      </w:r>
    </w:p>
    <w:p w14:paraId="701CC201">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中小企业声明函；</w:t>
      </w:r>
    </w:p>
    <w:p w14:paraId="4AD4372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05644DE1">
      <w:pPr>
        <w:snapToGrid w:val="0"/>
        <w:spacing w:line="360" w:lineRule="auto"/>
        <w:ind w:firstLine="482" w:firstLineChars="200"/>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11.</w:t>
      </w:r>
      <w:r>
        <w:rPr>
          <w:rFonts w:hint="eastAsia" w:ascii="宋体" w:hAnsi="宋体" w:cs="宋体"/>
          <w:b/>
          <w:color w:val="000000" w:themeColor="text1"/>
          <w:sz w:val="24"/>
          <w14:textFill>
            <w14:solidFill>
              <w14:schemeClr w14:val="tx1"/>
            </w14:solidFill>
          </w14:textFill>
        </w:rPr>
        <w:t>2</w:t>
      </w:r>
      <w:r>
        <w:rPr>
          <w:rFonts w:hint="eastAsia" w:ascii="宋体" w:hAnsi="宋体" w:cs="宋体"/>
          <w:b/>
          <w:color w:val="000000" w:themeColor="text1"/>
          <w:sz w:val="24"/>
          <w:lang w:val="zh-CN"/>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商务技术</w:t>
      </w:r>
      <w:r>
        <w:rPr>
          <w:rFonts w:hint="eastAsia" w:ascii="宋体" w:hAnsi="宋体" w:cs="宋体"/>
          <w:b/>
          <w:color w:val="000000" w:themeColor="text1"/>
          <w:sz w:val="24"/>
          <w:lang w:val="zh-CN"/>
          <w14:textFill>
            <w14:solidFill>
              <w14:schemeClr w14:val="tx1"/>
            </w14:solidFill>
          </w14:textFill>
        </w:rPr>
        <w:t>文件：</w:t>
      </w:r>
    </w:p>
    <w:p w14:paraId="0DDA1B2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11.2.1投标函；</w:t>
      </w:r>
      <w:r>
        <w:rPr>
          <w:rFonts w:hint="eastAsia" w:ascii="宋体" w:hAnsi="宋体" w:cs="宋体"/>
          <w:color w:val="000000" w:themeColor="text1"/>
          <w:sz w:val="24"/>
          <w:lang w:val="zh-CN"/>
          <w14:textFill>
            <w14:solidFill>
              <w14:schemeClr w14:val="tx1"/>
            </w14:solidFill>
          </w14:textFill>
        </w:rPr>
        <w:t xml:space="preserve"> </w:t>
      </w:r>
    </w:p>
    <w:p w14:paraId="11DA2CB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11.2.2授权委托书或法定代表人（单位负责人、自然人本人）身份证明；</w:t>
      </w:r>
    </w:p>
    <w:p w14:paraId="28A4465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4A9A8BDF">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62D2348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p>
    <w:p w14:paraId="2681AC4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p>
    <w:p w14:paraId="742D601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商务技术偏离表；</w:t>
      </w:r>
    </w:p>
    <w:p w14:paraId="06D105EF">
      <w:pPr>
        <w:snapToGrid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政府采购供应商廉洁自律承诺书；</w:t>
      </w:r>
    </w:p>
    <w:p w14:paraId="57043FF7">
      <w:pPr>
        <w:pStyle w:val="8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11.2.9承诺函。</w:t>
      </w:r>
    </w:p>
    <w:p w14:paraId="5CFDD7F7">
      <w:pPr>
        <w:pStyle w:val="82"/>
        <w:rPr>
          <w:rFonts w:hint="eastAsia"/>
        </w:rPr>
      </w:pPr>
      <w:r>
        <w:rPr>
          <w:rFonts w:hint="eastAsia"/>
        </w:rPr>
        <w:t>11.2.10技术解决方案（如果有)。可以是针对本项目的完整技术解决方案和实施方案；详细阐述项目方案的实现思路及关键技术；符合本项目对当前和未来发展的要求；以及对功能设计和实施计划的建议；</w:t>
      </w:r>
    </w:p>
    <w:p w14:paraId="22205A25">
      <w:pPr>
        <w:pStyle w:val="82"/>
        <w:rPr>
          <w:rFonts w:hint="eastAsia"/>
        </w:rPr>
      </w:pPr>
      <w:r>
        <w:rPr>
          <w:rFonts w:hint="eastAsia"/>
        </w:rPr>
        <w:t>11.2.11组织实施方案（如果有)。可以是本项目详细工作实施组织方案，包括(但不限于)以下内容：组织机构、工作时间进度表、工作程序和步骤、管理和协调方法、关键步骤的思路和要点；</w:t>
      </w:r>
    </w:p>
    <w:p w14:paraId="11013594">
      <w:pPr>
        <w:pStyle w:val="82"/>
      </w:pPr>
      <w:r>
        <w:rPr>
          <w:rFonts w:hint="eastAsia"/>
        </w:rPr>
        <w:t>11.2.12售后服务方案（如果有)。可以是项目验收之后的维护方案；针对本项目的</w:t>
      </w:r>
      <w:r>
        <w:rPr>
          <w:rFonts w:hint="eastAsia"/>
          <w:lang w:eastAsia="zh-CN"/>
        </w:rPr>
        <w:t>服务</w:t>
      </w:r>
      <w:r>
        <w:rPr>
          <w:rFonts w:hint="eastAsia"/>
        </w:rPr>
        <w:t>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B4FDE99">
      <w:pPr>
        <w:pStyle w:val="82"/>
        <w:rPr>
          <w:color w:val="000000" w:themeColor="text1"/>
          <w14:textFill>
            <w14:solidFill>
              <w14:schemeClr w14:val="tx1"/>
            </w14:solidFill>
          </w14:textFill>
        </w:rPr>
      </w:pPr>
    </w:p>
    <w:p w14:paraId="0AEB3D38">
      <w:pPr>
        <w:snapToGrid w:val="0"/>
        <w:spacing w:line="360" w:lineRule="auto"/>
        <w:ind w:firstLine="482" w:firstLineChars="200"/>
        <w:rPr>
          <w:rFonts w:ascii="宋体" w:hAnsi="宋体" w:cs="宋体"/>
          <w:b/>
          <w:color w:val="000000" w:themeColor="text1"/>
          <w:sz w:val="24"/>
          <w:u w:val="single"/>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11.</w:t>
      </w:r>
      <w:r>
        <w:rPr>
          <w:rFonts w:hint="eastAsia" w:ascii="宋体" w:hAnsi="宋体" w:cs="宋体"/>
          <w:b/>
          <w:color w:val="000000" w:themeColor="text1"/>
          <w:kern w:val="0"/>
          <w:sz w:val="24"/>
          <w14:textFill>
            <w14:solidFill>
              <w14:schemeClr w14:val="tx1"/>
            </w14:solidFill>
          </w14:textFill>
        </w:rPr>
        <w:t>3</w:t>
      </w:r>
      <w:r>
        <w:rPr>
          <w:rFonts w:hint="eastAsia" w:ascii="宋体" w:hAnsi="宋体" w:cs="宋体"/>
          <w:b/>
          <w:color w:val="000000" w:themeColor="text1"/>
          <w:sz w:val="24"/>
          <w14:textFill>
            <w14:solidFill>
              <w14:schemeClr w14:val="tx1"/>
            </w14:solidFill>
          </w14:textFill>
        </w:rPr>
        <w:t xml:space="preserve">报价文件： </w:t>
      </w:r>
    </w:p>
    <w:p w14:paraId="788EAF3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11.3.1开标一览表（报价表）；</w:t>
      </w:r>
    </w:p>
    <w:p w14:paraId="0686FD24">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28837904">
      <w:pPr>
        <w:spacing w:line="360" w:lineRule="auto"/>
        <w:ind w:firstLine="482"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投标人提供虚假材料投标的，投标无效。</w:t>
      </w:r>
    </w:p>
    <w:p w14:paraId="5C0CC146">
      <w:pPr>
        <w:pStyle w:val="128"/>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12</w:t>
      </w:r>
      <w:r>
        <w:rPr>
          <w:rFonts w:hint="eastAsia" w:ascii="宋体" w:hAnsi="宋体" w:cs="宋体"/>
          <w:b/>
          <w:color w:val="000000" w:themeColor="text1"/>
          <w:kern w:val="0"/>
          <w:szCs w:val="24"/>
          <w:lang w:val="zh-CN"/>
          <w14:textFill>
            <w14:solidFill>
              <w14:schemeClr w14:val="tx1"/>
            </w14:solidFill>
          </w14:textFill>
        </w:rPr>
        <w:t xml:space="preserve">. </w:t>
      </w:r>
      <w:r>
        <w:rPr>
          <w:rFonts w:hint="eastAsia" w:ascii="宋体" w:hAnsi="宋体" w:cs="宋体"/>
          <w:b/>
          <w:color w:val="000000" w:themeColor="text1"/>
          <w:szCs w:val="24"/>
          <w14:textFill>
            <w14:solidFill>
              <w14:schemeClr w14:val="tx1"/>
            </w14:solidFill>
          </w14:textFill>
        </w:rPr>
        <w:t>投标文件的编制</w:t>
      </w:r>
    </w:p>
    <w:p w14:paraId="63305036">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3E8755">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3AC7D75F">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6F371ACC">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13.投标文件的签署、盖章</w:t>
      </w:r>
    </w:p>
    <w:p w14:paraId="5AC5894E">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13.1投标文件按照招标文件第六部分格式要</w:t>
      </w:r>
      <w:r>
        <w:rPr>
          <w:rFonts w:hint="eastAsia" w:ascii="宋体" w:hAnsi="宋体" w:cs="宋体"/>
          <w:color w:val="000000" w:themeColor="text1"/>
          <w14:textFill>
            <w14:solidFill>
              <w14:schemeClr w14:val="tx1"/>
            </w14:solidFill>
          </w14:textFill>
        </w:rPr>
        <w:t>求进行签署、盖章。</w:t>
      </w:r>
    </w:p>
    <w:p w14:paraId="196DCB2E">
      <w:pPr>
        <w:pStyle w:val="128"/>
        <w:snapToGrid w:val="0"/>
        <w:spacing w:before="0"/>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14:textFill>
            <w14:solidFill>
              <w14:schemeClr w14:val="tx1"/>
            </w14:solidFill>
          </w14:textFill>
        </w:rPr>
        <w:t>。</w:t>
      </w:r>
    </w:p>
    <w:p w14:paraId="1B5C9D5A">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13.2为确保网上操作合法、有效和安全，投标人应当在投标截止时间前完成在“广西政府采购云平台”的身份认证，确保在电子投标过程中能够对相关数据电文进行加密和使用电子签名。</w:t>
      </w:r>
    </w:p>
    <w:p w14:paraId="18B780E6">
      <w:pPr>
        <w:pStyle w:val="128"/>
        <w:snapToGrid w:val="0"/>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13.3招标文件对投标文件签署、盖章的要求适用于电子签名、CA签章以及招标文件明确允许的其他方式。</w:t>
      </w:r>
    </w:p>
    <w:p w14:paraId="7717AB6F">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14. 投标文件的提交、补充、修改、撤回</w:t>
      </w:r>
    </w:p>
    <w:p w14:paraId="38405C63">
      <w:pPr>
        <w:pStyle w:val="128"/>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04C1D4D">
      <w:pPr>
        <w:pStyle w:val="128"/>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113B06CC">
      <w:pPr>
        <w:pStyle w:val="128"/>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3547D444">
      <w:pPr>
        <w:pStyle w:val="32"/>
        <w:numPr>
          <w:ilvl w:val="0"/>
          <w:numId w:val="1"/>
        </w:numPr>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备份投标文件</w:t>
      </w:r>
    </w:p>
    <w:p w14:paraId="2088DE32">
      <w:pPr>
        <w:pStyle w:val="32"/>
        <w:spacing w:line="360" w:lineRule="auto"/>
        <w:ind w:firstLine="360" w:firstLineChars="150"/>
        <w:rPr>
          <w:rFonts w:hAnsi="宋体" w:cs="宋体"/>
          <w:b/>
          <w:sz w:val="24"/>
          <w:szCs w:val="24"/>
        </w:rPr>
      </w:pPr>
      <w:r>
        <w:rPr>
          <w:rFonts w:hint="eastAsia" w:hAnsi="宋体" w:cs="宋体"/>
          <w:sz w:val="24"/>
          <w:szCs w:val="24"/>
        </w:rPr>
        <w:t>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5933CC39">
      <w:pPr>
        <w:pStyle w:val="32"/>
        <w:spacing w:line="360" w:lineRule="auto"/>
        <w:ind w:firstLine="480" w:firstLineChars="200"/>
        <w:rPr>
          <w:rFonts w:hAnsi="宋体" w:cs="宋体"/>
          <w:b/>
          <w:sz w:val="24"/>
          <w:szCs w:val="24"/>
        </w:rPr>
      </w:pPr>
      <w:r>
        <w:rPr>
          <w:rFonts w:hint="eastAsia" w:hAnsi="宋体" w:cs="宋体"/>
          <w:sz w:val="24"/>
          <w:szCs w:val="24"/>
        </w:rPr>
        <w:t>15.2备份投标文件须在“</w:t>
      </w:r>
      <w:r>
        <w:rPr>
          <w:rFonts w:hint="eastAsia" w:hAnsi="宋体" w:cs="宋体"/>
          <w:sz w:val="24"/>
        </w:rPr>
        <w:t>广西政府采购云平台</w:t>
      </w:r>
      <w:r>
        <w:rPr>
          <w:rFonts w:hint="eastAsia" w:hAnsi="宋体" w:cs="宋体"/>
          <w:sz w:val="24"/>
          <w:szCs w:val="24"/>
        </w:rPr>
        <w:t>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1E09CF49">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0DB8C2F2">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42EF5529">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5396A705">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16.投标文件的无效处理</w:t>
      </w:r>
    </w:p>
    <w:p w14:paraId="0F9DD520">
      <w:pPr>
        <w:pStyle w:val="24"/>
        <w:spacing w:line="360" w:lineRule="auto"/>
        <w:ind w:firstLine="360" w:firstLineChars="15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有招标文件第四部分</w:t>
      </w:r>
      <w:r>
        <w:rPr>
          <w:rFonts w:cs="宋体"/>
          <w:color w:val="000000" w:themeColor="text1"/>
          <w:szCs w:val="21"/>
          <w14:textFill>
            <w14:solidFill>
              <w14:schemeClr w14:val="tx1"/>
            </w14:solidFill>
          </w14:textFill>
        </w:rPr>
        <w:t>4.2规定</w:t>
      </w:r>
      <w:r>
        <w:rPr>
          <w:rFonts w:hint="eastAsia" w:cs="宋体"/>
          <w:color w:val="000000" w:themeColor="text1"/>
          <w:szCs w:val="21"/>
          <w14:textFill>
            <w14:solidFill>
              <w14:schemeClr w14:val="tx1"/>
            </w14:solidFill>
          </w14:textFill>
        </w:rPr>
        <w:t>的情形之一的，投标无效：</w:t>
      </w:r>
    </w:p>
    <w:p w14:paraId="26CFDB4F">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17.投标有效期</w:t>
      </w:r>
    </w:p>
    <w:p w14:paraId="160CF115">
      <w:pPr>
        <w:spacing w:line="360" w:lineRule="auto"/>
        <w:ind w:firstLine="480"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17.1投标有效期为从提交投标文件的截止之日起60天。▲</w:t>
      </w:r>
      <w:r>
        <w:rPr>
          <w:rFonts w:hint="eastAsia" w:ascii="宋体" w:hAnsi="宋体" w:cs="宋体"/>
          <w:b/>
          <w:color w:val="000000" w:themeColor="text1"/>
          <w:sz w:val="24"/>
          <w:szCs w:val="20"/>
          <w14:textFill>
            <w14:solidFill>
              <w14:schemeClr w14:val="tx1"/>
            </w14:solidFill>
          </w14:textFill>
        </w:rPr>
        <w:t>投标人的投标文件中承</w:t>
      </w:r>
      <w:r>
        <w:rPr>
          <w:rFonts w:hint="eastAsia" w:ascii="宋体" w:hAnsi="宋体" w:cs="宋体"/>
          <w:b/>
          <w:color w:val="000000" w:themeColor="text1"/>
          <w:sz w:val="24"/>
          <w:szCs w:val="21"/>
          <w14:textFill>
            <w14:solidFill>
              <w14:schemeClr w14:val="tx1"/>
            </w14:solidFill>
          </w14:textFill>
        </w:rPr>
        <w:t>诺的投标有效期少于招标文件中载明的投标有效期的，投标无效。</w:t>
      </w:r>
    </w:p>
    <w:p w14:paraId="311D4BE6">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17.2投标文件合格投递后，自投标截止日期起，在投标有效期内有效。</w:t>
      </w:r>
    </w:p>
    <w:p w14:paraId="0125AEFE">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17.3在原定投标有效期满之前，如果出现特殊情况，采购人或采购代理机构可以以书面形式通知</w:t>
      </w:r>
      <w:r>
        <w:rPr>
          <w:rFonts w:hint="eastAsia" w:ascii="宋体" w:hAnsi="宋体" w:cs="宋体"/>
          <w:color w:val="FF0000"/>
        </w:rPr>
        <w:t>所有</w:t>
      </w:r>
      <w:r>
        <w:rPr>
          <w:rFonts w:hint="eastAsia" w:ascii="宋体" w:hAnsi="宋体" w:cs="宋体"/>
          <w:color w:val="000000" w:themeColor="text1"/>
          <w14:textFill>
            <w14:solidFill>
              <w14:schemeClr w14:val="tx1"/>
            </w14:solidFill>
          </w14:textFill>
        </w:rPr>
        <w:t>投标人延长投标有效期。投标人同意延长的，不得要求或被允许修改其投标文件，投标人拒绝延长的，其投标无效。</w:t>
      </w:r>
    </w:p>
    <w:p w14:paraId="53BAD9C4">
      <w:pPr>
        <w:pStyle w:val="128"/>
        <w:spacing w:before="0"/>
        <w:ind w:firstLine="1928" w:firstLineChars="600"/>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四、开标、资格审查与信用信息查询</w:t>
      </w:r>
    </w:p>
    <w:p w14:paraId="06748F0C">
      <w:pPr>
        <w:pStyle w:val="554"/>
        <w:spacing w:before="0" w:line="360" w:lineRule="auto"/>
        <w:ind w:left="0" w:firstLine="241"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18.开标</w:t>
      </w:r>
      <w:r>
        <w:rPr>
          <w:rFonts w:hint="eastAsia" w:ascii="宋体" w:hAnsi="宋体" w:cs="宋体"/>
          <w:color w:val="000000" w:themeColor="text1"/>
          <w:sz w:val="24"/>
          <w14:textFill>
            <w14:solidFill>
              <w14:schemeClr w14:val="tx1"/>
            </w14:solidFill>
          </w14:textFill>
        </w:rPr>
        <w:t xml:space="preserve"> </w:t>
      </w:r>
    </w:p>
    <w:p w14:paraId="57B33727">
      <w:pPr>
        <w:pStyle w:val="554"/>
        <w:spacing w:before="0" w:line="360" w:lineRule="auto"/>
        <w:ind w:left="0"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18.1采购代理机构按照招标文件规定的时间通过电子交易平台组织开标，所有投标人均应当准时在线参加。投标人不足3家的，不得开标。</w:t>
      </w:r>
    </w:p>
    <w:p w14:paraId="5B12867E">
      <w:pPr>
        <w:pStyle w:val="554"/>
        <w:spacing w:before="0" w:line="360" w:lineRule="auto"/>
        <w:ind w:left="0"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74BA466E">
      <w:pPr>
        <w:widowControl/>
        <w:spacing w:line="360" w:lineRule="auto"/>
        <w:jc w:val="left"/>
        <w:rPr>
          <w:rFonts w:ascii="宋体" w:hAnsi="宋体" w:cs="宋体"/>
          <w:b/>
          <w:color w:val="000000" w:themeColor="text1"/>
          <w:sz w:val="24"/>
          <w:szCs w:val="20"/>
          <w14:textFill>
            <w14:solidFill>
              <w14:schemeClr w14:val="tx1"/>
            </w14:solidFill>
          </w14:textFill>
        </w:rPr>
      </w:pPr>
      <w:r>
        <w:rPr>
          <w:rFonts w:hint="eastAsia" w:ascii="宋体" w:hAnsi="宋体" w:cs="宋体"/>
          <w:b/>
          <w:color w:val="000000" w:themeColor="text1"/>
          <w:sz w:val="24"/>
          <w:szCs w:val="20"/>
          <w14:textFill>
            <w14:solidFill>
              <w14:schemeClr w14:val="tx1"/>
            </w14:solidFill>
          </w14:textFill>
        </w:rPr>
        <w:t>　19、资格审查</w:t>
      </w:r>
    </w:p>
    <w:p w14:paraId="47130B21">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19.1</w:t>
      </w:r>
      <w:r>
        <w:rPr>
          <w:rFonts w:hint="eastAsia" w:ascii="宋体" w:hAnsi="宋体" w:cs="宋体"/>
          <w:color w:val="000000" w:themeColor="text1"/>
          <w:sz w:val="24"/>
          <w14:textFill>
            <w14:solidFill>
              <w14:schemeClr w14:val="tx1"/>
            </w14:solidFill>
          </w14:textFill>
        </w:rPr>
        <w:t>采购人或采购代理机构依据法律法规和招标文件的规定，对投标人的资格进行审查。</w:t>
      </w:r>
    </w:p>
    <w:p w14:paraId="7EEF9DF6">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19.2投标人未按照招标文件要求提供与</w:t>
      </w:r>
      <w:r>
        <w:rPr>
          <w:rFonts w:hint="eastAsia" w:ascii="宋体" w:hAnsi="宋体" w:cs="宋体"/>
          <w:color w:val="000000" w:themeColor="text1"/>
          <w14:textFill>
            <w14:solidFill>
              <w14:schemeClr w14:val="tx1"/>
            </w14:solidFill>
          </w14:textFill>
        </w:rPr>
        <w:t>资格条件相应的</w:t>
      </w:r>
      <w:r>
        <w:rPr>
          <w:rFonts w:hint="eastAsia" w:ascii="宋体" w:hAnsi="宋体" w:cs="宋体"/>
          <w:color w:val="000000" w:themeColor="text1"/>
          <w:kern w:val="0"/>
          <w:szCs w:val="24"/>
          <w14:textFill>
            <w14:solidFill>
              <w14:schemeClr w14:val="tx1"/>
            </w14:solidFill>
          </w14:textFill>
        </w:rPr>
        <w:t>有效资格证明材料的，视为</w:t>
      </w:r>
      <w:r>
        <w:rPr>
          <w:rFonts w:hint="eastAsia" w:ascii="宋体" w:hAnsi="宋体" w:cs="宋体"/>
          <w:color w:val="000000" w:themeColor="text1"/>
          <w14:textFill>
            <w14:solidFill>
              <w14:schemeClr w14:val="tx1"/>
            </w14:solidFill>
          </w14:textFill>
        </w:rPr>
        <w:t>投标人不具备招标文件中规定的资格要求，其投标无效。</w:t>
      </w:r>
    </w:p>
    <w:p w14:paraId="1CB7F248">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3对未通过资格审查的投标人，采购人或采购代理机构告知其未通过的原因。</w:t>
      </w:r>
    </w:p>
    <w:p w14:paraId="6C152936">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4合格投标人不足3家的，不再评标。</w:t>
      </w:r>
    </w:p>
    <w:p w14:paraId="204CDDEF">
      <w:pPr>
        <w:pStyle w:val="128"/>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20、信用信息查询</w:t>
      </w:r>
    </w:p>
    <w:p w14:paraId="1D51B013">
      <w:pPr>
        <w:pStyle w:val="128"/>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20.1信用信息查询渠道及截止时间：采购人或采购代理机构将在资格审查时通过“信用中国”网站(www.creditchina.gov.cn)、中国政府采购网(www.ccgp.gov.cn)渠道查询投标人接受资格时的信用记录。</w:t>
      </w:r>
    </w:p>
    <w:p w14:paraId="146BC9F2">
      <w:pPr>
        <w:pStyle w:val="128"/>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20.2信用信息查询记录和证据留存的具体方式：现场查询的投标人的信用记录、查询结果经确认后将与采购文件一起存档。</w:t>
      </w:r>
    </w:p>
    <w:p w14:paraId="6873D87D">
      <w:pPr>
        <w:pStyle w:val="128"/>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28643BFB">
      <w:pPr>
        <w:pStyle w:val="128"/>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14:textFill>
            <w14:solidFill>
              <w14:schemeClr w14:val="tx1"/>
            </w14:solidFill>
          </w14:textFill>
        </w:rPr>
        <w:t>。</w:t>
      </w:r>
    </w:p>
    <w:p w14:paraId="41955CD2">
      <w:pPr>
        <w:pStyle w:val="128"/>
        <w:spacing w:before="0"/>
        <w:ind w:firstLine="0" w:firstLineChars="0"/>
        <w:rPr>
          <w:rFonts w:ascii="宋体" w:hAnsi="宋体" w:cs="宋体"/>
          <w:color w:val="000000" w:themeColor="text1"/>
          <w:kern w:val="0"/>
          <w:szCs w:val="24"/>
          <w14:textFill>
            <w14:solidFill>
              <w14:schemeClr w14:val="tx1"/>
            </w14:solidFill>
          </w14:textFill>
        </w:rPr>
      </w:pPr>
    </w:p>
    <w:p w14:paraId="68A92637">
      <w:pPr>
        <w:snapToGrid w:val="0"/>
        <w:spacing w:line="360" w:lineRule="auto"/>
        <w:jc w:val="center"/>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五、评标</w:t>
      </w:r>
    </w:p>
    <w:p w14:paraId="2835104D">
      <w:pPr>
        <w:spacing w:line="360" w:lineRule="auto"/>
        <w:rPr>
          <w:rFonts w:ascii="宋体" w:hAnsi="宋体" w:cs="宋体"/>
          <w:b/>
          <w:color w:val="000000" w:themeColor="text1"/>
          <w:sz w:val="24"/>
          <w14:textFill>
            <w14:solidFill>
              <w14:schemeClr w14:val="tx1"/>
            </w14:solidFill>
          </w14:textFill>
        </w:rPr>
      </w:pPr>
      <w:bookmarkStart w:id="16" w:name="_Toc91899903"/>
      <w:r>
        <w:rPr>
          <w:rFonts w:hint="eastAsia" w:ascii="宋体" w:hAnsi="宋体" w:cs="宋体"/>
          <w:b/>
          <w:color w:val="000000" w:themeColor="text1"/>
          <w:sz w:val="24"/>
          <w14:textFill>
            <w14:solidFill>
              <w14:schemeClr w14:val="tx1"/>
            </w14:solidFill>
          </w14:textFill>
        </w:rPr>
        <w:t>21.评标</w:t>
      </w:r>
    </w:p>
    <w:p w14:paraId="3E795DF8">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2D9E63AE">
      <w:pPr>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21.2</w:t>
      </w:r>
      <w:r>
        <w:rPr>
          <w:rFonts w:hint="eastAsia" w:cs="宋体" w:asciiTheme="minorEastAsia" w:hAnsiTheme="minorEastAsia" w:eastAsiaTheme="minorEastAsia"/>
          <w:color w:val="000000" w:themeColor="text1"/>
          <w:sz w:val="24"/>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000000" w:themeColor="text1"/>
          <w:sz w:val="24"/>
          <w14:textFill>
            <w14:solidFill>
              <w14:schemeClr w14:val="tx1"/>
            </w14:solidFill>
          </w14:textFill>
        </w:rPr>
        <w:t>详见招标文件第四部分评标办法。</w:t>
      </w:r>
    </w:p>
    <w:p w14:paraId="0EEF861B">
      <w:pPr>
        <w:spacing w:line="360" w:lineRule="auto"/>
        <w:rPr>
          <w:rFonts w:ascii="宋体" w:hAnsi="宋体" w:cs="宋体"/>
          <w:b/>
          <w:color w:val="000000" w:themeColor="text1"/>
          <w:sz w:val="24"/>
          <w14:textFill>
            <w14:solidFill>
              <w14:schemeClr w14:val="tx1"/>
            </w14:solidFill>
          </w14:textFill>
        </w:rPr>
      </w:pPr>
    </w:p>
    <w:p w14:paraId="45678AE4">
      <w:pPr>
        <w:snapToGrid w:val="0"/>
        <w:spacing w:line="360" w:lineRule="auto"/>
        <w:jc w:val="center"/>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六、定 标</w:t>
      </w:r>
    </w:p>
    <w:p w14:paraId="3DFFB29E">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22. 确定中标供应商</w:t>
      </w:r>
    </w:p>
    <w:p w14:paraId="4019506D">
      <w:pPr>
        <w:pStyle w:val="128"/>
        <w:snapToGrid w:val="0"/>
        <w:spacing w:before="0"/>
        <w:ind w:firstLine="480"/>
        <w:rPr>
          <w:rFonts w:ascii="宋体" w:hAnsi="宋体" w:cs="宋体"/>
          <w:b/>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000000" w:themeColor="text1"/>
          <w:szCs w:val="24"/>
          <w:lang w:val="en-US" w:eastAsia="zh-CN"/>
          <w14:textFill>
            <w14:solidFill>
              <w14:schemeClr w14:val="tx1"/>
            </w14:solidFill>
          </w14:textFill>
        </w:rPr>
        <w:t>5</w:t>
      </w:r>
      <w:r>
        <w:rPr>
          <w:rFonts w:hint="eastAsia" w:ascii="宋体" w:hAnsi="宋体" w:cs="宋体"/>
          <w:color w:val="000000" w:themeColor="text1"/>
          <w:szCs w:val="24"/>
          <w14:textFill>
            <w14:solidFill>
              <w14:schemeClr w14:val="tx1"/>
            </w14:solidFill>
          </w14:textFill>
        </w:rPr>
        <w:t>个工作日内在线确定中标供应商。中标通知书和中标结果公告应当在规定时间内同时发出。</w:t>
      </w:r>
    </w:p>
    <w:p w14:paraId="11E848CF">
      <w:pPr>
        <w:pStyle w:val="128"/>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23. 中标通知与中标结果公告</w:t>
      </w:r>
    </w:p>
    <w:p w14:paraId="49B5753D">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29774DA9">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204806C0">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23.3公告期限为1个工作日。</w:t>
      </w:r>
    </w:p>
    <w:p w14:paraId="1C4F462D">
      <w:pPr>
        <w:snapToGrid w:val="0"/>
        <w:spacing w:line="360" w:lineRule="auto"/>
        <w:ind w:left="120" w:leftChars="57" w:firstLine="482" w:firstLineChars="150"/>
        <w:jc w:val="center"/>
        <w:rPr>
          <w:rFonts w:ascii="宋体" w:hAnsi="宋体" w:cs="宋体"/>
          <w:b/>
          <w:color w:val="000000" w:themeColor="text1"/>
          <w:sz w:val="32"/>
          <w14:textFill>
            <w14:solidFill>
              <w14:schemeClr w14:val="tx1"/>
            </w14:solidFill>
          </w14:textFill>
        </w:rPr>
      </w:pPr>
    </w:p>
    <w:p w14:paraId="6EC81201">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七、合同授予</w:t>
      </w:r>
    </w:p>
    <w:p w14:paraId="1EF7392B">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 xml:space="preserve">24. </w:t>
      </w:r>
      <w:r>
        <w:rPr>
          <w:rFonts w:hint="eastAsia" w:cs="宋体"/>
          <w:color w:val="000000" w:themeColor="text1"/>
          <w14:textFill>
            <w14:solidFill>
              <w14:schemeClr w14:val="tx1"/>
            </w14:solidFill>
          </w14:textFill>
        </w:rPr>
        <w:t>合同主要条款详见第五部分拟签订的合同文本。</w:t>
      </w:r>
    </w:p>
    <w:p w14:paraId="257EB8A8">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25. 合同的签订</w:t>
      </w:r>
    </w:p>
    <w:p w14:paraId="673EAE76">
      <w:pPr>
        <w:widowControl/>
        <w:shd w:val="clear" w:color="auto" w:fill="FFFFFF"/>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w:t>
      </w:r>
      <w:r>
        <w:rPr>
          <w:rFonts w:hint="eastAsia" w:ascii="宋体" w:hAnsi="宋体" w:cs="宋体"/>
          <w:color w:val="000000" w:themeColor="text1"/>
          <w:kern w:val="0"/>
          <w:sz w:val="24"/>
          <w14:textFill>
            <w14:solidFill>
              <w14:schemeClr w14:val="tx1"/>
            </w14:solidFill>
          </w14:textFill>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0FCCFB1">
      <w:pPr>
        <w:pStyle w:val="128"/>
        <w:snapToGrid w:val="0"/>
        <w:spacing w:before="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7DE14AB5">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25.3如签订合同并生效后，供应商无故拒绝或延期，除按照合同条款处理外，列入不良行为记录一次，并给予通报。</w:t>
      </w:r>
    </w:p>
    <w:p w14:paraId="4C5F5EA7">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25.4中标供应商拒绝与采购人签订合同的，采购人可以按照评审报告推荐的中标候选人名单排序，确定下一候选人为中标供应商，也可以重新开展政府采购活动。</w:t>
      </w:r>
    </w:p>
    <w:p w14:paraId="2995AAEF">
      <w:pPr>
        <w:pStyle w:val="128"/>
        <w:snapToGrid w:val="0"/>
        <w:spacing w:before="0" w:after="12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25.5采购合同由采购人与中标供应商根据招标文件、投标文件等内容通过政府采购电子交易平台在线签订，自动备案。</w:t>
      </w:r>
    </w:p>
    <w:p w14:paraId="4CA302F3">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25.6政采贷</w:t>
      </w:r>
    </w:p>
    <w:p w14:paraId="1ABBF83F">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C47123A">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7831D5D4">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CBBC594">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649FABD">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（四）贷款发放。贷款金融机构根据贷款协议向供应商发放贷款。</w:t>
      </w:r>
    </w:p>
    <w:p w14:paraId="5943CBDD">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1ED026A6">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（六）业务终止。贷款偿清后，贷款金融机构或北海市小微企业融资担保有限公司及时办理应收账款质押注销登记，业务终止。</w:t>
      </w:r>
    </w:p>
    <w:p w14:paraId="19B693BC">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注：相关合作银行的具体操作流程详见北海市政府采购中心首页“政采贷”板块。</w:t>
      </w:r>
    </w:p>
    <w:p w14:paraId="280ED89A">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5D5B3336">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供应商中标后可在“广西政府采购云”平台申请政采贷：操作路径：登录广西政府采购云平台-金融服务中心-【融资服务】，可在热门申请中选择产品直接申请。详见如下：</w:t>
      </w:r>
    </w:p>
    <w:p w14:paraId="2E2CFE5D">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color w:val="000000" w:themeColor="text1"/>
          <w:sz w:val="24"/>
          <w:szCs w:val="20"/>
          <w14:textFill>
            <w14:solidFill>
              <w14:schemeClr w14:val="tx1"/>
            </w14:solidFill>
          </w14:textFill>
        </w:rPr>
        <w:t>https://jinrong.gcy.zfcg.gxzf.gov.cn/finance/loan/gx</w:t>
      </w:r>
      <w:r>
        <w:rPr>
          <w:rStyle w:val="76"/>
          <w:rFonts w:ascii="宋体" w:hAnsi="宋体" w:eastAsia="宋体" w:cs="Times New Roman"/>
          <w:snapToGrid/>
          <w:color w:val="000000" w:themeColor="text1"/>
          <w:sz w:val="24"/>
          <w:szCs w:val="20"/>
          <w14:textFill>
            <w14:solidFill>
              <w14:schemeClr w14:val="tx1"/>
            </w14:solidFill>
          </w14:textFill>
        </w:rPr>
        <w:fldChar w:fldCharType="end"/>
      </w:r>
      <w:r>
        <w:rPr>
          <w:rFonts w:hint="eastAsia"/>
          <w:color w:val="000000" w:themeColor="text1"/>
          <w14:textFill>
            <w14:solidFill>
              <w14:schemeClr w14:val="tx1"/>
            </w14:solidFill>
          </w14:textFill>
        </w:rPr>
        <w:t>）</w:t>
      </w:r>
    </w:p>
    <w:p w14:paraId="096D55F6">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432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7D3E7C">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银行名称</w:t>
            </w:r>
          </w:p>
        </w:tc>
        <w:tc>
          <w:tcPr>
            <w:tcW w:w="1134" w:type="dxa"/>
            <w:vAlign w:val="center"/>
          </w:tcPr>
          <w:p w14:paraId="4B3B44F4">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c>
          <w:tcPr>
            <w:tcW w:w="1701" w:type="dxa"/>
            <w:vAlign w:val="center"/>
          </w:tcPr>
          <w:p w14:paraId="56880BF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最高授信金额</w:t>
            </w:r>
          </w:p>
        </w:tc>
        <w:tc>
          <w:tcPr>
            <w:tcW w:w="993" w:type="dxa"/>
            <w:vAlign w:val="center"/>
          </w:tcPr>
          <w:p w14:paraId="1CAE1619">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最长授信期限</w:t>
            </w:r>
          </w:p>
        </w:tc>
        <w:tc>
          <w:tcPr>
            <w:tcW w:w="850" w:type="dxa"/>
            <w:vAlign w:val="center"/>
          </w:tcPr>
          <w:p w14:paraId="69C22721">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最低利率</w:t>
            </w:r>
          </w:p>
        </w:tc>
        <w:tc>
          <w:tcPr>
            <w:tcW w:w="3366" w:type="dxa"/>
            <w:vAlign w:val="center"/>
          </w:tcPr>
          <w:p w14:paraId="01878708">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流程简介</w:t>
            </w:r>
          </w:p>
        </w:tc>
      </w:tr>
      <w:tr w14:paraId="1681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E71D4EA">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建设银行</w:t>
            </w:r>
          </w:p>
        </w:tc>
        <w:tc>
          <w:tcPr>
            <w:tcW w:w="1134" w:type="dxa"/>
            <w:vAlign w:val="center"/>
          </w:tcPr>
          <w:p w14:paraId="58822600">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13077729988</w:t>
            </w:r>
          </w:p>
        </w:tc>
        <w:tc>
          <w:tcPr>
            <w:tcW w:w="1701" w:type="dxa"/>
            <w:vAlign w:val="center"/>
          </w:tcPr>
          <w:p w14:paraId="265D8C64">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最高3千万</w:t>
            </w:r>
          </w:p>
        </w:tc>
        <w:tc>
          <w:tcPr>
            <w:tcW w:w="993" w:type="dxa"/>
            <w:vAlign w:val="center"/>
          </w:tcPr>
          <w:p w14:paraId="045CE0A3">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1年</w:t>
            </w:r>
          </w:p>
        </w:tc>
        <w:tc>
          <w:tcPr>
            <w:tcW w:w="850" w:type="dxa"/>
            <w:vAlign w:val="center"/>
          </w:tcPr>
          <w:p w14:paraId="34167582">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366" w:type="dxa"/>
            <w:vAlign w:val="center"/>
          </w:tcPr>
          <w:p w14:paraId="1037D45E">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开设账号，线下提供申请材料，进入贷款审批流程，贷款审批通过后可自主用款，银行官方网银可自主还款。</w:t>
            </w:r>
          </w:p>
        </w:tc>
      </w:tr>
      <w:tr w14:paraId="6701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F9F5C0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中国银行</w:t>
            </w:r>
          </w:p>
        </w:tc>
        <w:tc>
          <w:tcPr>
            <w:tcW w:w="1134" w:type="dxa"/>
            <w:vAlign w:val="center"/>
          </w:tcPr>
          <w:p w14:paraId="1E82B898">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0779-3997084</w:t>
            </w:r>
          </w:p>
        </w:tc>
        <w:tc>
          <w:tcPr>
            <w:tcW w:w="1701" w:type="dxa"/>
            <w:vAlign w:val="center"/>
          </w:tcPr>
          <w:p w14:paraId="2E50093D">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w:t>
            </w:r>
          </w:p>
        </w:tc>
        <w:tc>
          <w:tcPr>
            <w:tcW w:w="993" w:type="dxa"/>
            <w:vAlign w:val="center"/>
          </w:tcPr>
          <w:p w14:paraId="1E664320">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3年</w:t>
            </w:r>
          </w:p>
        </w:tc>
        <w:tc>
          <w:tcPr>
            <w:tcW w:w="850" w:type="dxa"/>
            <w:vAlign w:val="center"/>
          </w:tcPr>
          <w:p w14:paraId="7C731AC2">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1.93%</w:t>
            </w:r>
          </w:p>
        </w:tc>
        <w:tc>
          <w:tcPr>
            <w:tcW w:w="3366" w:type="dxa"/>
            <w:vAlign w:val="center"/>
          </w:tcPr>
          <w:p w14:paraId="1851B963">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在银行开户，线上申请，上传所需材料，等待审批，审批通过后可直接在手机银行提款。</w:t>
            </w:r>
          </w:p>
        </w:tc>
      </w:tr>
      <w:tr w14:paraId="7101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95E834">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兴业银行</w:t>
            </w:r>
          </w:p>
        </w:tc>
        <w:tc>
          <w:tcPr>
            <w:tcW w:w="1134" w:type="dxa"/>
            <w:vAlign w:val="center"/>
          </w:tcPr>
          <w:p w14:paraId="41DD5E8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0779-3158330</w:t>
            </w:r>
          </w:p>
        </w:tc>
        <w:tc>
          <w:tcPr>
            <w:tcW w:w="1701" w:type="dxa"/>
            <w:vAlign w:val="center"/>
          </w:tcPr>
          <w:p w14:paraId="49231DE7">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最高1千万（单笔提款金额达合同金额70%）</w:t>
            </w:r>
          </w:p>
        </w:tc>
        <w:tc>
          <w:tcPr>
            <w:tcW w:w="993" w:type="dxa"/>
            <w:vAlign w:val="center"/>
          </w:tcPr>
          <w:p w14:paraId="5BA4608A">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1年</w:t>
            </w:r>
          </w:p>
        </w:tc>
        <w:tc>
          <w:tcPr>
            <w:tcW w:w="850" w:type="dxa"/>
            <w:vAlign w:val="center"/>
          </w:tcPr>
          <w:p w14:paraId="4B923795">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3.70%</w:t>
            </w:r>
          </w:p>
        </w:tc>
        <w:tc>
          <w:tcPr>
            <w:tcW w:w="3366" w:type="dxa"/>
            <w:vAlign w:val="center"/>
          </w:tcPr>
          <w:p w14:paraId="0DF5B450">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全流程线上，初次申请开立账户，提供营业执照、采购合同、信用材料等，申请复审，签订合同，提交单笔贷款使用需求，贷款到账后受托使用。</w:t>
            </w:r>
          </w:p>
        </w:tc>
      </w:tr>
      <w:tr w14:paraId="1A60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C6B2FC">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工商银行</w:t>
            </w:r>
          </w:p>
        </w:tc>
        <w:tc>
          <w:tcPr>
            <w:tcW w:w="1134" w:type="dxa"/>
            <w:vAlign w:val="center"/>
          </w:tcPr>
          <w:p w14:paraId="57B550B0">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0779-3050645</w:t>
            </w:r>
          </w:p>
        </w:tc>
        <w:tc>
          <w:tcPr>
            <w:tcW w:w="1701" w:type="dxa"/>
            <w:vAlign w:val="center"/>
          </w:tcPr>
          <w:p w14:paraId="18CDB09C">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最高1千万且不超过合同金额70%</w:t>
            </w:r>
          </w:p>
        </w:tc>
        <w:tc>
          <w:tcPr>
            <w:tcW w:w="993" w:type="dxa"/>
            <w:vAlign w:val="center"/>
          </w:tcPr>
          <w:p w14:paraId="06DDF0BA">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货物类1年</w:t>
            </w:r>
          </w:p>
          <w:p w14:paraId="77BACD1D">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服务类3年</w:t>
            </w:r>
          </w:p>
          <w:p w14:paraId="18CA2C21">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工程类5年</w:t>
            </w:r>
          </w:p>
        </w:tc>
        <w:tc>
          <w:tcPr>
            <w:tcW w:w="850" w:type="dxa"/>
            <w:vAlign w:val="center"/>
          </w:tcPr>
          <w:p w14:paraId="2E971BE9">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3.45%</w:t>
            </w:r>
          </w:p>
        </w:tc>
        <w:tc>
          <w:tcPr>
            <w:tcW w:w="3366" w:type="dxa"/>
            <w:vAlign w:val="center"/>
          </w:tcPr>
          <w:p w14:paraId="769FF1A2">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为中征系统白名单企业，提供相关要求材料，内部审批后放款自主借还。</w:t>
            </w:r>
          </w:p>
        </w:tc>
      </w:tr>
      <w:tr w14:paraId="7C46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5FD156">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国民村镇银行</w:t>
            </w:r>
          </w:p>
        </w:tc>
        <w:tc>
          <w:tcPr>
            <w:tcW w:w="1134" w:type="dxa"/>
            <w:vAlign w:val="center"/>
          </w:tcPr>
          <w:p w14:paraId="270321FE">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0779-2668801</w:t>
            </w:r>
          </w:p>
        </w:tc>
        <w:tc>
          <w:tcPr>
            <w:tcW w:w="1701" w:type="dxa"/>
            <w:vAlign w:val="center"/>
          </w:tcPr>
          <w:p w14:paraId="3F7FD97C">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最高500万</w:t>
            </w:r>
          </w:p>
        </w:tc>
        <w:tc>
          <w:tcPr>
            <w:tcW w:w="993" w:type="dxa"/>
            <w:vAlign w:val="center"/>
          </w:tcPr>
          <w:p w14:paraId="61988C83">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5年</w:t>
            </w:r>
          </w:p>
        </w:tc>
        <w:tc>
          <w:tcPr>
            <w:tcW w:w="850" w:type="dxa"/>
            <w:vAlign w:val="center"/>
          </w:tcPr>
          <w:p w14:paraId="3B66B696">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2.80%</w:t>
            </w:r>
          </w:p>
        </w:tc>
        <w:tc>
          <w:tcPr>
            <w:tcW w:w="3366" w:type="dxa"/>
            <w:vAlign w:val="center"/>
          </w:tcPr>
          <w:p w14:paraId="7548DA35">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银行开户，线下申请并提供材料，信用良好企业最快1天获批即可提款</w:t>
            </w:r>
          </w:p>
        </w:tc>
      </w:tr>
      <w:tr w14:paraId="77D2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D885D62">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桂林银行</w:t>
            </w:r>
          </w:p>
        </w:tc>
        <w:tc>
          <w:tcPr>
            <w:tcW w:w="1134" w:type="dxa"/>
            <w:vAlign w:val="center"/>
          </w:tcPr>
          <w:p w14:paraId="42FB0B93">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18577993959</w:t>
            </w:r>
          </w:p>
        </w:tc>
        <w:tc>
          <w:tcPr>
            <w:tcW w:w="1701" w:type="dxa"/>
            <w:vAlign w:val="center"/>
          </w:tcPr>
          <w:p w14:paraId="40B388E6">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最高1千万</w:t>
            </w:r>
          </w:p>
        </w:tc>
        <w:tc>
          <w:tcPr>
            <w:tcW w:w="993" w:type="dxa"/>
            <w:vAlign w:val="center"/>
          </w:tcPr>
          <w:p w14:paraId="12287FB1">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1年</w:t>
            </w:r>
          </w:p>
        </w:tc>
        <w:tc>
          <w:tcPr>
            <w:tcW w:w="850" w:type="dxa"/>
            <w:vAlign w:val="center"/>
          </w:tcPr>
          <w:p w14:paraId="4956AC01">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3.45%</w:t>
            </w:r>
          </w:p>
        </w:tc>
        <w:tc>
          <w:tcPr>
            <w:tcW w:w="3366" w:type="dxa"/>
            <w:vAlign w:val="center"/>
          </w:tcPr>
          <w:p w14:paraId="230B3E43">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线下申请，材料齐全最快1周内即可放款。</w:t>
            </w:r>
          </w:p>
        </w:tc>
      </w:tr>
      <w:tr w14:paraId="1806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2EAA23">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中小微商务服务公司</w:t>
            </w:r>
          </w:p>
        </w:tc>
        <w:tc>
          <w:tcPr>
            <w:tcW w:w="1134" w:type="dxa"/>
            <w:vAlign w:val="center"/>
          </w:tcPr>
          <w:p w14:paraId="671E1342">
            <w:pPr>
              <w:pStyle w:val="82"/>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19907799988</w:t>
            </w:r>
          </w:p>
        </w:tc>
        <w:tc>
          <w:tcPr>
            <w:tcW w:w="1701" w:type="dxa"/>
            <w:vAlign w:val="center"/>
          </w:tcPr>
          <w:p w14:paraId="2AFB0D96">
            <w:pPr>
              <w:pStyle w:val="82"/>
              <w:ind w:firstLine="0"/>
              <w:rPr>
                <w:color w:val="000000" w:themeColor="text1"/>
                <w14:textFill>
                  <w14:solidFill>
                    <w14:schemeClr w14:val="tx1"/>
                  </w14:solidFill>
                </w14:textFill>
              </w:rPr>
            </w:pPr>
          </w:p>
        </w:tc>
        <w:tc>
          <w:tcPr>
            <w:tcW w:w="993" w:type="dxa"/>
            <w:vAlign w:val="center"/>
          </w:tcPr>
          <w:p w14:paraId="52639910">
            <w:pPr>
              <w:pStyle w:val="82"/>
              <w:ind w:firstLine="0"/>
              <w:jc w:val="center"/>
              <w:rPr>
                <w:color w:val="000000" w:themeColor="text1"/>
                <w14:textFill>
                  <w14:solidFill>
                    <w14:schemeClr w14:val="tx1"/>
                  </w14:solidFill>
                </w14:textFill>
              </w:rPr>
            </w:pPr>
          </w:p>
        </w:tc>
        <w:tc>
          <w:tcPr>
            <w:tcW w:w="850" w:type="dxa"/>
            <w:vAlign w:val="center"/>
          </w:tcPr>
          <w:p w14:paraId="59C9BF42">
            <w:pPr>
              <w:pStyle w:val="82"/>
              <w:ind w:firstLine="0"/>
              <w:jc w:val="center"/>
              <w:rPr>
                <w:color w:val="000000" w:themeColor="text1"/>
                <w14:textFill>
                  <w14:solidFill>
                    <w14:schemeClr w14:val="tx1"/>
                  </w14:solidFill>
                </w14:textFill>
              </w:rPr>
            </w:pPr>
          </w:p>
        </w:tc>
        <w:tc>
          <w:tcPr>
            <w:tcW w:w="3366" w:type="dxa"/>
            <w:vAlign w:val="center"/>
          </w:tcPr>
          <w:p w14:paraId="1D7C7B0B">
            <w:pPr>
              <w:pStyle w:val="8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具体业务可电话咨询。</w:t>
            </w:r>
          </w:p>
        </w:tc>
      </w:tr>
    </w:tbl>
    <w:p w14:paraId="5698A370">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426F11B9">
      <w:pPr>
        <w:pStyle w:val="82"/>
        <w:numPr>
          <w:ilvl w:val="0"/>
          <w:numId w:val="2"/>
        </w:numP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履约保证金</w:t>
      </w:r>
    </w:p>
    <w:p w14:paraId="5869A595">
      <w:pPr>
        <w:pStyle w:val="82"/>
        <w:ind w:firstLine="480" w:firstLineChars="200"/>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本项目不收取履约保证金。中标供应商未按合同约定履行合同义务，给采购人造成损失的，按实际损失进行赔偿。</w:t>
      </w:r>
    </w:p>
    <w:p w14:paraId="4CF2AA3C">
      <w:pPr>
        <w:pStyle w:val="82"/>
        <w:numPr>
          <w:ilvl w:val="0"/>
          <w:numId w:val="2"/>
        </w:numPr>
        <w:rPr>
          <w:b/>
          <w:bCs/>
          <w:color w:val="000000" w:themeColor="text1"/>
          <w14:textFill>
            <w14:solidFill>
              <w14:schemeClr w14:val="tx1"/>
            </w14:solidFill>
          </w14:textFill>
        </w:rPr>
      </w:pPr>
      <w:r>
        <w:rPr>
          <w:b/>
          <w:bCs/>
          <w:color w:val="000000" w:themeColor="text1"/>
          <w14:textFill>
            <w14:solidFill>
              <w14:schemeClr w14:val="tx1"/>
            </w14:solidFill>
          </w14:textFill>
        </w:rPr>
        <w:t>预付款</w:t>
      </w:r>
    </w:p>
    <w:p w14:paraId="0FB2A544">
      <w:pPr>
        <w:pStyle w:val="82"/>
        <w:ind w:firstLine="0"/>
        <w:rPr>
          <w:rFonts w:cs="宋体"/>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w:t>
      </w:r>
      <w:r>
        <w:rPr>
          <w:rFonts w:hint="eastAsia" w:cs="宋体"/>
          <w:bCs/>
          <w:color w:val="000000" w:themeColor="text1"/>
          <w14:textFill>
            <w14:solidFill>
              <w14:schemeClr w14:val="tx1"/>
            </w14:solidFill>
          </w14:textFill>
        </w:rPr>
        <w:t xml:space="preserve"> 本项目无预付款。</w:t>
      </w:r>
    </w:p>
    <w:p w14:paraId="605CB8AE">
      <w:pPr>
        <w:pStyle w:val="82"/>
        <w:ind w:firstLine="0"/>
        <w:rPr>
          <w:color w:val="000000" w:themeColor="text1"/>
          <w14:textFill>
            <w14:solidFill>
              <w14:schemeClr w14:val="tx1"/>
            </w14:solidFill>
          </w14:textFill>
        </w:rPr>
      </w:pPr>
    </w:p>
    <w:p w14:paraId="120EB7FB">
      <w:pPr>
        <w:snapToGrid w:val="0"/>
        <w:spacing w:line="360" w:lineRule="auto"/>
        <w:ind w:firstLine="3357" w:firstLineChars="1045"/>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八、电子交易活动的中止</w:t>
      </w:r>
    </w:p>
    <w:p w14:paraId="562470B8">
      <w:pPr>
        <w:pStyle w:val="128"/>
        <w:snapToGrid w:val="0"/>
        <w:spacing w:before="0"/>
        <w:ind w:firstLine="0" w:firstLineChars="0"/>
        <w:rPr>
          <w:rFonts w:ascii="宋体" w:hAnsi="宋体" w:cs="宋体"/>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2</w:t>
      </w:r>
      <w:r>
        <w:rPr>
          <w:rFonts w:ascii="宋体" w:hAnsi="宋体" w:cs="宋体"/>
          <w:b/>
          <w:bCs/>
          <w:color w:val="000000" w:themeColor="text1"/>
          <w:szCs w:val="24"/>
          <w14:textFill>
            <w14:solidFill>
              <w14:schemeClr w14:val="tx1"/>
            </w14:solidFill>
          </w14:textFill>
        </w:rPr>
        <w:t>8</w:t>
      </w:r>
      <w:r>
        <w:rPr>
          <w:rFonts w:hint="eastAsia" w:ascii="宋体" w:hAnsi="宋体" w:cs="宋体"/>
          <w:b/>
          <w:color w:val="000000" w:themeColor="text1"/>
          <w:szCs w:val="24"/>
          <w14:textFill>
            <w14:solidFill>
              <w14:schemeClr w14:val="tx1"/>
            </w14:solidFill>
          </w14:textFill>
        </w:rPr>
        <w:t>. 电子交易活动的中止。</w:t>
      </w:r>
      <w:r>
        <w:rPr>
          <w:rFonts w:hint="eastAsia" w:ascii="宋体" w:hAnsi="宋体" w:cs="宋体"/>
          <w:color w:val="000000" w:themeColor="text1"/>
          <w14:textFill>
            <w14:solidFill>
              <w14:schemeClr w14:val="tx1"/>
            </w14:solidFill>
          </w14:textFill>
        </w:rPr>
        <w:t>采购过程中出现以下情形，导致电子交易平台无法正常运行，或者无法保证电子交易的公平、公正和安全时，采购代理机构可中止电子交易活动：</w:t>
      </w:r>
    </w:p>
    <w:p w14:paraId="790AE0BD">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28.1电子交易平台发生故障而无法登录访问的； </w:t>
      </w:r>
    </w:p>
    <w:p w14:paraId="465CB69C">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28.2电子交易平台应用或数据库出现错误，不能进行正常操作的；</w:t>
      </w:r>
    </w:p>
    <w:p w14:paraId="44D1FA14">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28.3电子交易平台发现严重安全漏洞，有潜在泄密危险的；</w:t>
      </w:r>
    </w:p>
    <w:p w14:paraId="5A6C963C">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28.4病毒发作导致不能进行正常操作的； </w:t>
      </w:r>
    </w:p>
    <w:p w14:paraId="717B3156">
      <w:pPr>
        <w:pStyle w:val="128"/>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28.5其他无法保证电子交易的公平、公正和安全的情况。</w:t>
      </w:r>
    </w:p>
    <w:p w14:paraId="31EA6480">
      <w:pPr>
        <w:pStyle w:val="128"/>
        <w:snapToGrid w:val="0"/>
        <w:spacing w:before="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8BE1228">
      <w:pPr>
        <w:tabs>
          <w:tab w:val="left" w:pos="0"/>
        </w:tabs>
        <w:spacing w:line="360" w:lineRule="auto"/>
        <w:ind w:firstLine="480"/>
        <w:rPr>
          <w:rFonts w:ascii="宋体" w:hAnsi="宋体" w:cs="宋体"/>
          <w:color w:val="000000" w:themeColor="text1"/>
          <w:sz w:val="24"/>
          <w14:textFill>
            <w14:solidFill>
              <w14:schemeClr w14:val="tx1"/>
            </w14:solidFill>
          </w14:textFill>
        </w:rPr>
      </w:pPr>
    </w:p>
    <w:p w14:paraId="23D6FF76">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九、验收</w:t>
      </w:r>
    </w:p>
    <w:p w14:paraId="18D96E4B">
      <w:pPr>
        <w:pStyle w:val="24"/>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30.验收</w:t>
      </w:r>
    </w:p>
    <w:p w14:paraId="5BDC7C37">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DAB9C4">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14:paraId="20950B1E">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777717">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4E21AFA">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0D834C07">
      <w:pPr>
        <w:pStyle w:val="24"/>
        <w:spacing w:line="360" w:lineRule="auto"/>
        <w:ind w:firstLine="0" w:firstLineChars="0"/>
        <w:rPr>
          <w:rFonts w:cs="宋体"/>
          <w:b/>
        </w:rPr>
      </w:pPr>
      <w:r>
        <w:rPr>
          <w:rFonts w:hint="eastAsia" w:cs="宋体"/>
          <w:b/>
        </w:rPr>
        <w:t>31.代理费用的收取标准和方式</w:t>
      </w:r>
    </w:p>
    <w:p w14:paraId="64CAF88A">
      <w:pPr>
        <w:pStyle w:val="2"/>
        <w:ind w:left="433" w:leftChars="202" w:hanging="9" w:hangingChars="4"/>
        <w:rPr>
          <w:rFonts w:ascii="宋体" w:hAnsi="宋体" w:eastAsia="宋体" w:cs="宋体"/>
          <w:b w:val="0"/>
          <w:bCs w:val="0"/>
          <w:color w:val="000000" w:themeColor="text1"/>
          <w:kern w:val="0"/>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14:textFill>
            <w14:solidFill>
              <w14:schemeClr w14:val="tx1"/>
            </w14:solidFill>
          </w14:textFill>
        </w:rPr>
        <w:t>本项目不收取代理服务费。</w:t>
      </w:r>
    </w:p>
    <w:bookmarkEnd w:id="13"/>
    <w:bookmarkEnd w:id="14"/>
    <w:bookmarkEnd w:id="16"/>
    <w:p w14:paraId="4D02D67D">
      <w:pPr>
        <w:snapToGrid w:val="0"/>
        <w:spacing w:line="360" w:lineRule="auto"/>
        <w:ind w:firstLine="723" w:firstLineChars="200"/>
        <w:rPr>
          <w:rFonts w:ascii="宋体" w:hAnsi="宋体" w:cs="宋体"/>
          <w:b/>
          <w:color w:val="000000" w:themeColor="text1"/>
          <w:sz w:val="36"/>
          <w:szCs w:val="36"/>
          <w14:textFill>
            <w14:solidFill>
              <w14:schemeClr w14:val="tx1"/>
            </w14:solidFill>
          </w14:textFill>
        </w:rPr>
      </w:pPr>
      <w:bookmarkStart w:id="17" w:name="_Toc176368904"/>
      <w:bookmarkStart w:id="18" w:name="第四部分"/>
    </w:p>
    <w:p w14:paraId="0F5D7318">
      <w:pPr>
        <w:snapToGrid w:val="0"/>
        <w:spacing w:line="360" w:lineRule="auto"/>
        <w:ind w:firstLine="723" w:firstLineChars="200"/>
        <w:rPr>
          <w:rFonts w:ascii="宋体" w:hAnsi="宋体" w:cs="宋体"/>
          <w:b/>
          <w:color w:val="000000" w:themeColor="text1"/>
          <w:sz w:val="36"/>
          <w:szCs w:val="36"/>
          <w14:textFill>
            <w14:solidFill>
              <w14:schemeClr w14:val="tx1"/>
            </w14:solidFill>
          </w14:textFill>
        </w:rPr>
      </w:pPr>
    </w:p>
    <w:p w14:paraId="406FA353">
      <w:pPr>
        <w:snapToGrid w:val="0"/>
        <w:spacing w:line="360" w:lineRule="auto"/>
        <w:ind w:firstLine="723" w:firstLineChars="200"/>
        <w:rPr>
          <w:rFonts w:ascii="宋体" w:hAnsi="宋体" w:cs="宋体"/>
          <w:b/>
          <w:color w:val="000000" w:themeColor="text1"/>
          <w:sz w:val="36"/>
          <w:szCs w:val="36"/>
          <w14:textFill>
            <w14:solidFill>
              <w14:schemeClr w14:val="tx1"/>
            </w14:solidFill>
          </w14:textFill>
        </w:rPr>
      </w:pPr>
    </w:p>
    <w:p w14:paraId="74CCE741">
      <w:pPr>
        <w:pStyle w:val="23"/>
        <w:rPr>
          <w:rFonts w:ascii="宋体" w:hAnsi="宋体" w:cs="宋体"/>
          <w:b/>
          <w:color w:val="000000" w:themeColor="text1"/>
          <w:sz w:val="36"/>
          <w:szCs w:val="36"/>
          <w14:textFill>
            <w14:solidFill>
              <w14:schemeClr w14:val="tx1"/>
            </w14:solidFill>
          </w14:textFill>
        </w:rPr>
      </w:pPr>
    </w:p>
    <w:p w14:paraId="266C4E8A">
      <w:pPr>
        <w:pStyle w:val="23"/>
        <w:rPr>
          <w:rFonts w:ascii="宋体" w:hAnsi="宋体" w:cs="宋体"/>
          <w:b/>
          <w:color w:val="000000" w:themeColor="text1"/>
          <w:sz w:val="36"/>
          <w:szCs w:val="36"/>
          <w14:textFill>
            <w14:solidFill>
              <w14:schemeClr w14:val="tx1"/>
            </w14:solidFill>
          </w14:textFill>
        </w:rPr>
      </w:pPr>
    </w:p>
    <w:p w14:paraId="5D1478ED">
      <w:pPr>
        <w:snapToGrid w:val="0"/>
        <w:spacing w:line="360" w:lineRule="auto"/>
        <w:ind w:firstLine="723" w:firstLineChars="200"/>
        <w:rPr>
          <w:rFonts w:ascii="宋体" w:hAnsi="宋体" w:cs="宋体"/>
          <w:b/>
          <w:color w:val="000000" w:themeColor="text1"/>
          <w:sz w:val="36"/>
          <w:szCs w:val="36"/>
          <w14:textFill>
            <w14:solidFill>
              <w14:schemeClr w14:val="tx1"/>
            </w14:solidFill>
          </w14:textFill>
        </w:rPr>
      </w:pPr>
    </w:p>
    <w:p w14:paraId="2E4E039E">
      <w:pPr>
        <w:numPr>
          <w:ilvl w:val="0"/>
          <w:numId w:val="3"/>
        </w:num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采购需求</w:t>
      </w:r>
      <w:bookmarkEnd w:id="17"/>
    </w:p>
    <w:p w14:paraId="27515F05">
      <w:pPr>
        <w:spacing w:line="360" w:lineRule="auto"/>
        <w:ind w:firstLine="482" w:firstLineChars="200"/>
        <w:outlineLvl w:val="0"/>
        <w:rPr>
          <w:rFonts w:hint="eastAsia" w:ascii="宋体" w:hAnsi="宋体" w:cs="宋体"/>
          <w:b/>
          <w:color w:val="000000" w:themeColor="text1"/>
          <w:sz w:val="24"/>
          <w14:textFill>
            <w14:solidFill>
              <w14:schemeClr w14:val="tx1"/>
            </w14:solidFill>
          </w14:textFill>
        </w:rPr>
      </w:pPr>
    </w:p>
    <w:p w14:paraId="76DFCBE5">
      <w:pPr>
        <w:numPr>
          <w:ilvl w:val="0"/>
          <w:numId w:val="4"/>
        </w:num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本项目的政府采购预算控制价为人民币4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920,000.00元，高于预算控制价的报价将视为无效投标。</w:t>
      </w:r>
    </w:p>
    <w:p w14:paraId="0A509961">
      <w:pPr>
        <w:numPr>
          <w:ilvl w:val="0"/>
          <w:numId w:val="4"/>
        </w:numPr>
        <w:spacing w:line="360" w:lineRule="auto"/>
        <w:ind w:firstLine="482" w:firstLineChars="200"/>
        <w:outlineLvl w:val="0"/>
        <w:rPr>
          <w:rFonts w:hint="default" w:eastAsia="宋体"/>
          <w:lang w:val="en-US" w:eastAsia="zh-CN"/>
        </w:rPr>
      </w:pPr>
      <w:r>
        <w:rPr>
          <w:rFonts w:hint="eastAsia" w:ascii="宋体" w:hAnsi="宋体" w:cs="宋体"/>
          <w:b/>
          <w:color w:val="000000" w:themeColor="text1"/>
          <w:sz w:val="24"/>
          <w14:textFill>
            <w14:solidFill>
              <w14:schemeClr w14:val="tx1"/>
            </w14:solidFill>
          </w14:textFill>
        </w:rPr>
        <w:t>本部分采购需求内容须全部满足，否则投标无效。</w:t>
      </w:r>
    </w:p>
    <w:p w14:paraId="1940BD4B">
      <w:pPr>
        <w:numPr>
          <w:ilvl w:val="0"/>
          <w:numId w:val="4"/>
        </w:num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服务期限</w:t>
      </w:r>
      <w:r>
        <w:rPr>
          <w:rFonts w:hint="eastAsia" w:ascii="宋体" w:hAnsi="宋体" w:cs="宋体"/>
          <w:b/>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自</w:t>
      </w:r>
      <w:r>
        <w:rPr>
          <w:rFonts w:hint="eastAsia" w:ascii="宋体" w:hAnsi="宋体" w:cs="宋体"/>
          <w:bCs/>
          <w:color w:val="000000" w:themeColor="text1"/>
          <w:sz w:val="24"/>
          <w:lang w:eastAsia="zh-CN"/>
          <w14:textFill>
            <w14:solidFill>
              <w14:schemeClr w14:val="tx1"/>
            </w14:solidFill>
          </w14:textFill>
        </w:rPr>
        <w:t>中标单位正式入驻</w:t>
      </w:r>
      <w:r>
        <w:rPr>
          <w:rFonts w:hint="eastAsia" w:ascii="宋体" w:hAnsi="宋体" w:cs="宋体"/>
          <w:bCs/>
          <w:color w:val="000000" w:themeColor="text1"/>
          <w:sz w:val="24"/>
          <w14:textFill>
            <w14:solidFill>
              <w14:schemeClr w14:val="tx1"/>
            </w14:solidFill>
          </w14:textFill>
        </w:rPr>
        <w:t>之日起24个月。</w:t>
      </w:r>
      <w:r>
        <w:rPr>
          <w:rFonts w:hint="eastAsia" w:ascii="宋体" w:hAnsi="宋体" w:cs="宋体"/>
          <w:bCs/>
          <w:color w:val="000000" w:themeColor="text1"/>
          <w:sz w:val="24"/>
          <w:lang w:eastAsia="zh-CN"/>
          <w14:textFill>
            <w14:solidFill>
              <w14:schemeClr w14:val="tx1"/>
            </w14:solidFill>
          </w14:textFill>
        </w:rPr>
        <w:t>中标单位入驻时间为：</w:t>
      </w:r>
      <w:r>
        <w:rPr>
          <w:rFonts w:hint="eastAsia" w:ascii="宋体" w:hAnsi="宋体" w:cs="宋体"/>
          <w:bCs/>
          <w:color w:val="000000" w:themeColor="text1"/>
          <w:sz w:val="24"/>
          <w:lang w:val="en-US" w:eastAsia="zh-CN"/>
          <w14:textFill>
            <w14:solidFill>
              <w14:schemeClr w14:val="tx1"/>
            </w14:solidFill>
          </w14:textFill>
        </w:rPr>
        <w:t>2025年11月10日。</w:t>
      </w:r>
    </w:p>
    <w:p w14:paraId="29AE33FB">
      <w:pPr>
        <w:numPr>
          <w:ilvl w:val="0"/>
          <w:numId w:val="4"/>
        </w:num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服务</w:t>
      </w:r>
      <w:r>
        <w:rPr>
          <w:rFonts w:hint="eastAsia" w:ascii="宋体" w:hAnsi="宋体" w:cs="宋体"/>
          <w:b/>
          <w:color w:val="000000" w:themeColor="text1"/>
          <w:sz w:val="24"/>
          <w14:textFill>
            <w14:solidFill>
              <w14:schemeClr w14:val="tx1"/>
            </w14:solidFill>
          </w14:textFill>
        </w:rPr>
        <w:t>地点：</w:t>
      </w:r>
      <w:r>
        <w:rPr>
          <w:rFonts w:hint="eastAsia" w:ascii="宋体" w:hAnsi="宋体" w:cs="宋体"/>
          <w:bCs/>
          <w:color w:val="000000" w:themeColor="text1"/>
          <w:sz w:val="24"/>
          <w14:textFill>
            <w14:solidFill>
              <w14:schemeClr w14:val="tx1"/>
            </w14:solidFill>
          </w14:textFill>
        </w:rPr>
        <w:t>来宾市人民路1号。</w:t>
      </w:r>
    </w:p>
    <w:p w14:paraId="17DD6A8B">
      <w:pPr>
        <w:numPr>
          <w:ilvl w:val="0"/>
          <w:numId w:val="4"/>
        </w:num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付款时间和方式：</w:t>
      </w:r>
      <w:r>
        <w:rPr>
          <w:rFonts w:hint="eastAsia" w:ascii="宋体" w:hAnsi="宋体" w:cs="宋体"/>
          <w:bCs/>
          <w:color w:val="000000" w:themeColor="text1"/>
          <w:sz w:val="24"/>
          <w14:textFill>
            <w14:solidFill>
              <w14:schemeClr w14:val="tx1"/>
            </w14:solidFill>
          </w14:textFill>
        </w:rPr>
        <w:t>管理服务费按月支付，中标人于每月20日前向采购人提供本月等额合法正式发票，采购人在收到本月等额合法正式发票10个工作日内向中标人支付当月管理服务费。</w:t>
      </w:r>
    </w:p>
    <w:p w14:paraId="110CD645">
      <w:pPr>
        <w:numPr>
          <w:ilvl w:val="0"/>
          <w:numId w:val="4"/>
        </w:num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来宾市行政中心卫生保洁服务要求</w:t>
      </w:r>
    </w:p>
    <w:p w14:paraId="3A8DF1A8">
      <w:p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（一）项目地址：</w:t>
      </w:r>
      <w:r>
        <w:rPr>
          <w:rFonts w:hint="eastAsia" w:ascii="宋体" w:hAnsi="宋体" w:cs="宋体"/>
          <w:bCs/>
          <w:color w:val="000000" w:themeColor="text1"/>
          <w:sz w:val="24"/>
          <w14:textFill>
            <w14:solidFill>
              <w14:schemeClr w14:val="tx1"/>
            </w14:solidFill>
          </w14:textFill>
        </w:rPr>
        <w:t>来宾市人民路 1 号，物业主楼十二层，附楼六层，建筑面积 59855 平方米，行政中心红线辖区总用地面积86428平方米。</w:t>
      </w:r>
    </w:p>
    <w:p w14:paraId="45CD5D13">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（二）人员配置及服务范围</w:t>
      </w:r>
    </w:p>
    <w:p w14:paraId="2FE76B2B">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1、人员配置：根据项目要求，本项目配备保洁员</w:t>
      </w:r>
      <w:r>
        <w:rPr>
          <w:rFonts w:hint="eastAsia" w:ascii="宋体" w:hAnsi="宋体" w:cs="宋体"/>
          <w:bCs/>
          <w:color w:val="000000" w:themeColor="text1"/>
          <w:sz w:val="24"/>
          <w:lang w:eastAsia="zh-CN"/>
          <w14:textFill>
            <w14:solidFill>
              <w14:schemeClr w14:val="tx1"/>
            </w14:solidFill>
          </w14:textFill>
        </w:rPr>
        <w:t>不少于</w:t>
      </w:r>
      <w:r>
        <w:rPr>
          <w:rFonts w:hint="eastAsia" w:ascii="宋体" w:hAnsi="宋体" w:cs="宋体"/>
          <w:bCs/>
          <w:color w:val="000000" w:themeColor="text1"/>
          <w:sz w:val="24"/>
          <w14:textFill>
            <w14:solidFill>
              <w14:schemeClr w14:val="tx1"/>
            </w14:solidFill>
          </w14:textFill>
        </w:rPr>
        <w:t>22 人（</w:t>
      </w:r>
      <w:r>
        <w:rPr>
          <w:rFonts w:hint="eastAsia" w:ascii="宋体" w:hAnsi="宋体" w:cs="宋体"/>
          <w:bCs/>
          <w:color w:val="000000" w:themeColor="text1"/>
          <w:sz w:val="24"/>
          <w:lang w:eastAsia="zh-CN"/>
          <w14:textFill>
            <w14:solidFill>
              <w14:schemeClr w14:val="tx1"/>
            </w14:solidFill>
          </w14:textFill>
        </w:rPr>
        <w:t>含</w:t>
      </w:r>
      <w:r>
        <w:rPr>
          <w:rFonts w:hint="eastAsia" w:ascii="宋体" w:hAnsi="宋体" w:cs="宋体"/>
          <w:bCs/>
          <w:color w:val="000000" w:themeColor="text1"/>
          <w:sz w:val="24"/>
          <w14:textFill>
            <w14:solidFill>
              <w14:schemeClr w14:val="tx1"/>
            </w14:solidFill>
          </w14:textFill>
        </w:rPr>
        <w:t xml:space="preserve">保洁主管1人）。年龄：18～50岁，身体健康，五官端正。 </w:t>
      </w:r>
    </w:p>
    <w:p w14:paraId="6F04F97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保洁服务范围：来宾市行政中心广场喷泉池、沟渠、排污管道的清洗和疏通；化粪池清理，垃圾收集、清运，“四害灭杀”等；公共环境包括但不限于规划红线内行政广场内的一切设施、行政中心的公共走道、办公走廊、楼梯、大堂、道路、广场、地下停车场、人大及政协附楼、大礼堂、会议中心楼、大楼内男女厕所（132 个）及附属设施的卫生保洁服务。</w:t>
      </w:r>
    </w:p>
    <w:p w14:paraId="15BADF31">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（三）服务要求：</w:t>
      </w:r>
    </w:p>
    <w:p w14:paraId="1FC0181C">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1、公共区域保洁</w:t>
      </w:r>
    </w:p>
    <w:p w14:paraId="0A8285A9">
      <w:pPr>
        <w:spacing w:line="460" w:lineRule="exact"/>
        <w:ind w:firstLine="480" w:firstLineChars="200"/>
        <w:outlineLvl w:val="0"/>
        <w:rPr>
          <w:rFonts w:ascii="宋体" w:hAnsi="宋体" w:cs="宋体"/>
          <w:bCs/>
          <w:color w:val="000000" w:themeColor="text1"/>
          <w:sz w:val="24"/>
          <w14:textFill>
            <w14:solidFill>
              <w14:schemeClr w14:val="tx1"/>
            </w14:solidFill>
          </w14:textFill>
        </w:rPr>
      </w:pPr>
      <w:r>
        <w:rPr>
          <w:rFonts w:hint="eastAsia" w:ascii="Calibri" w:hAnsi="Calibri" w:cs="Calibri"/>
          <w:bCs/>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在公共路面合理设置有关卫生保洁的标示牌，培养人人讲卫生爱卫生的良好习惯；</w:t>
      </w:r>
    </w:p>
    <w:p w14:paraId="27CEE18B">
      <w:pPr>
        <w:spacing w:line="460" w:lineRule="exact"/>
        <w:ind w:firstLine="480" w:firstLineChars="200"/>
        <w:outlineLvl w:val="0"/>
        <w:rPr>
          <w:rFonts w:ascii="宋体" w:hAnsi="宋体" w:cs="宋体"/>
          <w:bCs/>
          <w:color w:val="000000" w:themeColor="text1"/>
          <w:sz w:val="24"/>
          <w14:textFill>
            <w14:solidFill>
              <w14:schemeClr w14:val="tx1"/>
            </w14:solidFill>
          </w14:textFill>
        </w:rPr>
      </w:pPr>
      <w:r>
        <w:rPr>
          <w:rFonts w:hint="eastAsia" w:ascii="Calibri" w:hAnsi="Calibri" w:cs="Calibri"/>
          <w:bCs/>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对公共路面保洁卫生管理采取保洁两班倒，对公共路面、绿化带每天全面清扫2次，上下午各1次，其余时间巡回保洁。做到路面无积水、无淤泥、无垃圾，灰尘较大时应事先洒水再清扫。巡逻的安保人员有责 任协助保洁员一同做好保洁工作和环境管理；</w:t>
      </w:r>
    </w:p>
    <w:p w14:paraId="203F69CF">
      <w:pPr>
        <w:spacing w:line="460" w:lineRule="exact"/>
        <w:ind w:firstLine="480" w:firstLineChars="200"/>
        <w:outlineLvl w:val="0"/>
        <w:rPr>
          <w:rFonts w:ascii="宋体" w:hAnsi="宋体" w:cs="宋体"/>
          <w:bCs/>
          <w:color w:val="000000" w:themeColor="text1"/>
          <w:sz w:val="24"/>
          <w14:textFill>
            <w14:solidFill>
              <w14:schemeClr w14:val="tx1"/>
            </w14:solidFill>
          </w14:textFill>
        </w:rPr>
      </w:pPr>
      <w:r>
        <w:rPr>
          <w:rFonts w:hint="eastAsia" w:ascii="Calibri" w:hAnsi="Calibri" w:cs="Calibri"/>
          <w:bCs/>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视广场路面和地面保洁情况，随时安排人员巡回冲洗路面；</w:t>
      </w:r>
    </w:p>
    <w:p w14:paraId="1DC23719">
      <w:pPr>
        <w:spacing w:line="460" w:lineRule="exact"/>
        <w:ind w:firstLine="480" w:firstLineChars="200"/>
        <w:outlineLvl w:val="0"/>
        <w:rPr>
          <w:rFonts w:ascii="宋体" w:hAnsi="宋体" w:cs="宋体"/>
          <w:bCs/>
          <w:color w:val="000000" w:themeColor="text1"/>
          <w:sz w:val="24"/>
          <w14:textFill>
            <w14:solidFill>
              <w14:schemeClr w14:val="tx1"/>
            </w14:solidFill>
          </w14:textFill>
        </w:rPr>
      </w:pPr>
      <w:r>
        <w:rPr>
          <w:rFonts w:hint="eastAsia" w:ascii="Calibri" w:hAnsi="Calibri" w:cs="Calibri"/>
          <w:bCs/>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室外标识、宣传栏、信报箱等公共设施每周擦拭2次；路灯每周擦拭1次；特殊情况做到及时保洁；</w:t>
      </w:r>
    </w:p>
    <w:p w14:paraId="4A63B93F">
      <w:pPr>
        <w:spacing w:line="460" w:lineRule="exact"/>
        <w:ind w:firstLine="480" w:firstLineChars="200"/>
        <w:outlineLvl w:val="0"/>
        <w:rPr>
          <w:rFonts w:ascii="宋体" w:hAnsi="宋体" w:cs="宋体"/>
          <w:bCs/>
          <w:color w:val="000000" w:themeColor="text1"/>
          <w:sz w:val="24"/>
          <w14:textFill>
            <w14:solidFill>
              <w14:schemeClr w14:val="tx1"/>
            </w14:solidFill>
          </w14:textFill>
        </w:rPr>
      </w:pPr>
      <w:r>
        <w:rPr>
          <w:rFonts w:hint="eastAsia" w:ascii="Calibri" w:hAnsi="Calibri" w:cs="Calibri"/>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下水道、水沟每月清理1次；公共雨、污水管道每半年疏通1次；雨水井、化粪池、污水井每月检查1次，视检查情况及时清掏，保持通畅，无堵塞外溢；化粪池每月检查1次，每年清掏2次，发现异常及时清掏。</w:t>
      </w:r>
    </w:p>
    <w:p w14:paraId="1DD61E2F">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2、公共楼道保洁</w:t>
      </w:r>
    </w:p>
    <w:p w14:paraId="18012510">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了保持生活环境的安静，采用“零干扰”服务的方式进行作业。即清晨清洁、全天保洁的模式。除此之外，要求保洁员和其他员工尽量减少在公共场合走动，以避免影响、干扰职工办公。为了保持办公区域的清洁，保洁员应尽量提前在上班之前及下班后进行保洁工作。除了“零干扰”的服务之外，还要注重员工素质、业务知识、服务意识、安全意识等培训，以便为行政中心提供高效、高质量的保洁服务。</w:t>
      </w:r>
    </w:p>
    <w:p w14:paraId="1D7300C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（1）办公楼各楼层走廊通道上、下午各清扫1次，楼道地板每天湿拖1次，楼梯扶手每天擦拭2次，做到无尘、无垃圾、无蜘蛛网；</w:t>
      </w:r>
    </w:p>
    <w:p w14:paraId="60FF710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（2）楼道灯每月擦拭1次，做到干净明亮；</w:t>
      </w:r>
    </w:p>
    <w:p w14:paraId="2A1B94F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（3）公共玻璃门窗每天擦拭1次，做到无污渍无水迹；</w:t>
      </w:r>
    </w:p>
    <w:p w14:paraId="25EA249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（4）楼道内无乱悬挂、乱贴乱画、乱堆放，无明显暴露垃圾、卫生死角等现象，保证办公区内干净整洁。</w:t>
      </w:r>
    </w:p>
    <w:p w14:paraId="7857A8F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（5）每天早晨和下午分2次重点清理大厅及门厅，平时随时清理，确保大厅及门厅整洁光亮，无任何污渍。</w:t>
      </w:r>
    </w:p>
    <w:p w14:paraId="3EC9644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（6）用扫把清扫大厅及门厅垃圾，用长柄刷沾洗洁精清除地面污迹，后用拖把拖地面，每天循环拖抹、推尘、洗尘。</w:t>
      </w:r>
    </w:p>
    <w:p w14:paraId="2FFA3B0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（7）用干毛巾和不锈钢油轻抹大厅及门厅各种不锈钢制品，包括门柱、镶字、电梯门厅、轿厢等。</w:t>
      </w:r>
    </w:p>
    <w:p w14:paraId="5E95E8B6">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（8）用湿毛巾拧干后，擦抹大厅及门厅窗框、消防栓柜，内墙面等设施。</w:t>
      </w:r>
    </w:p>
    <w:p w14:paraId="3AEF86A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（9）随时清倒垃圾桶，清洗后置于原处。</w:t>
      </w:r>
    </w:p>
    <w:p w14:paraId="6DBCCDB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（10）随时用拖把拖门口台阶，经常保持出入口台阶清洁，每周用洗洁精冲涮1次。 </w:t>
      </w:r>
    </w:p>
    <w:p w14:paraId="6C9BB606">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标准：地面无烟头、纸屑等杂物，无污渍，大理石地面、墙面有光泽，公共设施表面用纸巾擦拭无灰尘、无黑迹。不锈钢表面无污迹。玻璃门无水迹、手迹、污迹。天棚、风口目视无污迹、无灰尘。</w:t>
      </w:r>
    </w:p>
    <w:p w14:paraId="3B91F8F3">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3、公共洗手间保洁 </w:t>
      </w:r>
    </w:p>
    <w:p w14:paraId="1B32C0B2">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（1）作业提示保洁——作业时应做好提示工作，在作业区放置提示牌；</w:t>
      </w:r>
    </w:p>
    <w:p w14:paraId="4CBF296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彻底冲洗——每天冲洗便池4次。以上，对于重点时段、重点区域要增加冲洗频率，确保洗手间无异味，卫生间地面每天冲洗1次以上，冲洗完后要拖扫地面，做到清净、干爽，保洁员应尽量提前在早上上班之前及下班后进行保洁工作；</w:t>
      </w:r>
    </w:p>
    <w:p w14:paraId="419D352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（3）清除污渍——发现污渍要及时清除不拖延；</w:t>
      </w:r>
    </w:p>
    <w:p w14:paraId="31670323">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（4）污物清倒——每天清理收集卫生间的污物，保持纸篓、垃圾桶手纸不超过1/3，并用塑料袋装好清理；</w:t>
      </w:r>
    </w:p>
    <w:p w14:paraId="1A86D30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（5）清洗——每天对卫生间的废纸篓、洗手池进行清洗，保持干净；</w:t>
      </w:r>
    </w:p>
    <w:p w14:paraId="63768F4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（6）擦拭——每天卫生间门窗、天花板、墙壁及窗台擦拭1次，做到无尘、无污渍；</w:t>
      </w:r>
    </w:p>
    <w:p w14:paraId="12BE2B55">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（7）每天对卫生间喷洒2次室内清新剂，上班之前提前燃卫生香；</w:t>
      </w:r>
    </w:p>
    <w:p w14:paraId="4F489465">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（8）定期进行消毒，喷洒除臭剂。注意：擦拭办公桌的毛巾要专用，不准与其他公共擦拭毛巾混用（特别是卫生间用的毛巾禁止混用）。 </w:t>
      </w:r>
    </w:p>
    <w:p w14:paraId="0B53C64F">
      <w:p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4、停车场保洁</w:t>
      </w:r>
    </w:p>
    <w:p w14:paraId="369C12D7">
      <w:pPr>
        <w:spacing w:line="360" w:lineRule="auto"/>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停车场的面积宽、车流量大，垃圾较多。随时保持停车场良好的保洁卫生：</w:t>
      </w:r>
    </w:p>
    <w:p w14:paraId="58B7926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（1）安排保洁员有计划有步骤地对交通标示牌、排水沟、等设施进行定期保洁和巡回保洁；</w:t>
      </w:r>
    </w:p>
    <w:p w14:paraId="6601B2CA">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（2）一旦发现地面有油渍等各种污染，及时处理；</w:t>
      </w:r>
    </w:p>
    <w:p w14:paraId="07415B6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（3）每天清扫1次，每季度冲洗1次，做到无垃圾、无污垢、无淤积，标识牌干净。</w:t>
      </w:r>
    </w:p>
    <w:p w14:paraId="290F7D1A">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5、公共垃圾处理</w:t>
      </w:r>
    </w:p>
    <w:p w14:paraId="722C7B0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垃圾清理的总原则是：“零干扰”、无异味、无污染，公共垃圾要每天2清，或视情况及时清理垃圾以避免影响、干扰职工办公。 </w:t>
      </w:r>
    </w:p>
    <w:p w14:paraId="13560AF8">
      <w:p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绿化垃圾管理要求：</w:t>
      </w:r>
    </w:p>
    <w:p w14:paraId="1D4A069B">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（1）绿地垃圾要及时清扫；</w:t>
      </w:r>
    </w:p>
    <w:p w14:paraId="00FC025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（2）绿化垃圾禁止就地焚烧；</w:t>
      </w:r>
    </w:p>
    <w:p w14:paraId="3EAEF316">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（3）绿化垃圾要集中堆放；</w:t>
      </w:r>
    </w:p>
    <w:p w14:paraId="34C9D1F4">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（4）及时清运。 </w:t>
      </w:r>
    </w:p>
    <w:p w14:paraId="378ACB31">
      <w:p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办公垃圾管理要求：</w:t>
      </w:r>
    </w:p>
    <w:p w14:paraId="783D63B6">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（1）安排专人定时在职工上班之前或下班之后进行清理；</w:t>
      </w:r>
    </w:p>
    <w:p w14:paraId="226E205A">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（2）办公垃圾必须放置垃圾桶内，不得乱扔垃圾；</w:t>
      </w:r>
    </w:p>
    <w:p w14:paraId="649D7E54">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（3）垃圾桶要及时清洗，保持无异味、无污染、无污垢；</w:t>
      </w:r>
    </w:p>
    <w:p w14:paraId="16E474B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（4）办公垃圾要每天1清，不能过夜；</w:t>
      </w:r>
    </w:p>
    <w:p w14:paraId="51E4757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（5）果皮箱、垃圾桶每周清洗1次。 </w:t>
      </w:r>
    </w:p>
    <w:p w14:paraId="3F6C27BF">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6、电梯轿厢、候梯厅保洁 </w:t>
      </w:r>
    </w:p>
    <w:p w14:paraId="50F8114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保洁要点：“清”、“擦”、“拖”、“换”、“洗”。</w:t>
      </w:r>
    </w:p>
    <w:p w14:paraId="3B7B595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（1）每天清理1次烟灰桶垃圾（冲洗外观、擦拭外表、套塑料袋）</w:t>
      </w:r>
    </w:p>
    <w:p w14:paraId="430FCDD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（2）轿厢内壁每天清洁2次，上下午各1次（擦拭）、每周1次的消毒、每月1次轿厢内壁维护保养；</w:t>
      </w:r>
    </w:p>
    <w:p w14:paraId="66D0C76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（3）轿厢地面每天拖拭1次，上下午各 1 次（先湿拖后干拖）；</w:t>
      </w:r>
    </w:p>
    <w:p w14:paraId="5EEFCEA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（4）电梯地垫定期更换、冲洗。</w:t>
      </w:r>
    </w:p>
    <w:p w14:paraId="7D47605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标准：做到地面、内壁无尘、明亮、无污渍；烟灰桶无垃圾、无污渍，烟灰桶干净无异味，视情况做好消毒工作 。</w:t>
      </w:r>
    </w:p>
    <w:p w14:paraId="0A75F831">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7、公共设施、公共标识卫生保洁</w:t>
      </w:r>
    </w:p>
    <w:p w14:paraId="42A79A9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公共设施、公共标示主要指：灯箱、宣传橱窗、消防柜、休闲体育设施公共标示牌、保安岗亭、亮化设施等。</w:t>
      </w:r>
    </w:p>
    <w:p w14:paraId="6FCA38F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上述设施每月擦拭1次，每半年全面清洁1次，做到无严重积尘、无污渍。</w:t>
      </w:r>
    </w:p>
    <w:p w14:paraId="5C27EDAD">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8、会议室、会客室清洁标准</w:t>
      </w:r>
    </w:p>
    <w:p w14:paraId="5AD3B1A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（1）每天在会议结束后及时清理会议室，保证会议室随时能使用，无会时每天打扫1次会议室。</w:t>
      </w:r>
    </w:p>
    <w:p w14:paraId="767D55D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（2）每次会客结束后，及时清理会客室，保证随时能使用。无会客任务时，每天打扫1次。</w:t>
      </w:r>
    </w:p>
    <w:p w14:paraId="6E43245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（3）会议室、会客室的地面和墙面，各种家具用具表面光亮整洁无污渍，房间内无杂物，每月清理2次。</w:t>
      </w:r>
    </w:p>
    <w:p w14:paraId="0FEA19D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（4）会议室、会客室的各种用具用品摆放整齐有序。</w:t>
      </w:r>
    </w:p>
    <w:p w14:paraId="6588FDA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（5）每天用消毒剂消毒1次。</w:t>
      </w:r>
    </w:p>
    <w:p w14:paraId="7ACC7BB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标准：地面无烟头、纸屑等杂物，桌椅无尘、无污渍，大理石地面、墙面有光泽，公共设施表面用纸巾擦拭无灰尘、无黑迹。不锈钢表面无污迹。玻璃门无水迹、手迹、污迹。天棚、风口目视无污迹、无灰尘，设备、 茶具、桌椅摆放整齐。</w:t>
      </w:r>
    </w:p>
    <w:p w14:paraId="76222E5D">
      <w:pPr>
        <w:spacing w:line="360" w:lineRule="auto"/>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（四）保洁工作纪律</w:t>
      </w:r>
    </w:p>
    <w:p w14:paraId="2FF016C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1、保洁员当班时间应着工装，戴工牌、冬夏装不得混穿、衣着整洁、无异味、衣扣无脱落或缺扣；</w:t>
      </w:r>
    </w:p>
    <w:p w14:paraId="7BAF9C75">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2、应做到“微笑服务”，面对服务对象应表现出热情、真诚、友好，做到工作认真、积极主动，情绪稳定；</w:t>
      </w:r>
    </w:p>
    <w:p w14:paraId="4F016A12">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3、上班时间不得玩手机、抽烟、吃东西、看书看报、打盹睡觉、聊天会客、分捡垃圾等工作内容以外的事情。</w:t>
      </w:r>
    </w:p>
    <w:p w14:paraId="7BFFBFC6">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4、保洁员上班过程中须设置“清扫牌”，牌在人在，做好安全提醒；</w:t>
      </w:r>
    </w:p>
    <w:p w14:paraId="0D49347A">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5、有服务对象同时进出电梯，应让服务对象先进、先出，遇到服务对象需帮助时，应积极热情帮助；</w:t>
      </w:r>
    </w:p>
    <w:p w14:paraId="08BECE16">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6、在区域内行走时，不应与服务对象抢道，不穿行在行人之间；</w:t>
      </w:r>
    </w:p>
    <w:p w14:paraId="7DBB55D2">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7、途中遇到领导或领导检查工作时，应礼貌地与领导打招呼；</w:t>
      </w:r>
    </w:p>
    <w:p w14:paraId="3543C8D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8、未经批准不得擅自进入办公区域打扫；获批进入办公区域打扫时不得有窥视文件、不得擅自翻动、搬动任何物品等不良行为；</w:t>
      </w:r>
    </w:p>
    <w:p w14:paraId="2AE87F10">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9、工作中接到服务对象对卫生保洁工作或物业服务的工作投诉，应积极沟通或及时汇报处理，避免与服务对象争辩；</w:t>
      </w:r>
    </w:p>
    <w:p w14:paraId="79DBAFE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10、各不同区域擦拭作业用的毛巾必须严格区分专用，不能混用。</w:t>
      </w:r>
    </w:p>
    <w:p w14:paraId="45C2852A">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11、积极主动与各部门协作，发现问题及时解决、汇报。</w:t>
      </w:r>
    </w:p>
    <w:p w14:paraId="3D5A9A54">
      <w:pPr>
        <w:spacing w:line="360" w:lineRule="auto"/>
        <w:outlineLvl w:val="0"/>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七、来宾市行政中心保安服务</w:t>
      </w:r>
      <w:r>
        <w:rPr>
          <w:rFonts w:hint="eastAsia" w:ascii="宋体" w:hAnsi="宋体" w:cs="宋体"/>
          <w:b/>
          <w:color w:val="000000" w:themeColor="text1"/>
          <w:sz w:val="24"/>
          <w:lang w:eastAsia="zh-CN"/>
          <w14:textFill>
            <w14:solidFill>
              <w14:schemeClr w14:val="tx1"/>
            </w14:solidFill>
          </w14:textFill>
        </w:rPr>
        <w:t>要求</w:t>
      </w:r>
    </w:p>
    <w:p w14:paraId="799365B3">
      <w:p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（一）项目地址：</w:t>
      </w:r>
      <w:r>
        <w:rPr>
          <w:rFonts w:hint="eastAsia" w:ascii="宋体" w:hAnsi="宋体" w:cs="宋体"/>
          <w:bCs/>
          <w:color w:val="000000" w:themeColor="text1"/>
          <w:sz w:val="24"/>
          <w14:textFill>
            <w14:solidFill>
              <w14:schemeClr w14:val="tx1"/>
            </w14:solidFill>
          </w14:textFill>
        </w:rPr>
        <w:t xml:space="preserve">来宾市人民路1号。物业主楼十二层，附楼六层。建筑面积 59855 平方米，行政中心红线辖区总用地面积86428平方米。 </w:t>
      </w:r>
    </w:p>
    <w:p w14:paraId="3FF152A8">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（二）人员配置及服务范围</w:t>
      </w:r>
    </w:p>
    <w:p w14:paraId="5F8E5DF0">
      <w:p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1、人员配置：</w:t>
      </w:r>
      <w:r>
        <w:rPr>
          <w:rFonts w:hint="eastAsia" w:ascii="宋体" w:hAnsi="宋体" w:cs="宋体"/>
          <w:bCs/>
          <w:color w:val="000000" w:themeColor="text1"/>
          <w:sz w:val="24"/>
          <w14:textFill>
            <w14:solidFill>
              <w14:schemeClr w14:val="tx1"/>
            </w14:solidFill>
          </w14:textFill>
        </w:rPr>
        <w:t>本项目要求配备</w:t>
      </w:r>
      <w:r>
        <w:rPr>
          <w:rFonts w:hint="eastAsia" w:ascii="宋体" w:hAnsi="宋体" w:cs="宋体"/>
          <w:bCs/>
          <w:color w:val="000000" w:themeColor="text1"/>
          <w:sz w:val="24"/>
          <w:lang w:eastAsia="zh-CN"/>
          <w14:textFill>
            <w14:solidFill>
              <w14:schemeClr w14:val="tx1"/>
            </w14:solidFill>
          </w14:textFill>
        </w:rPr>
        <w:t>保安人员不少于</w:t>
      </w:r>
      <w:r>
        <w:rPr>
          <w:rFonts w:hint="eastAsia" w:ascii="宋体" w:hAnsi="宋体" w:cs="宋体"/>
          <w:bCs/>
          <w:color w:val="000000" w:themeColor="text1"/>
          <w:sz w:val="24"/>
          <w:lang w:val="en-US" w:eastAsia="zh-CN"/>
          <w14:textFill>
            <w14:solidFill>
              <w14:schemeClr w14:val="tx1"/>
            </w14:solidFill>
          </w14:textFill>
        </w:rPr>
        <w:t>74</w:t>
      </w:r>
      <w:r>
        <w:rPr>
          <w:rFonts w:hint="eastAsia" w:ascii="宋体" w:hAnsi="宋体" w:cs="宋体"/>
          <w:bCs/>
          <w:color w:val="000000" w:themeColor="text1"/>
          <w:sz w:val="24"/>
          <w14:textFill>
            <w14:solidFill>
              <w14:schemeClr w14:val="tx1"/>
            </w14:solidFill>
          </w14:textFill>
        </w:rPr>
        <w:t>人(含项目经理1人、保安队长</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人、协助派出所红线内警务执勤室工作</w:t>
      </w:r>
      <w:r>
        <w:rPr>
          <w:rFonts w:hint="eastAsia" w:ascii="宋体" w:hAnsi="宋体" w:cs="宋体"/>
          <w:bCs/>
          <w:color w:val="000000" w:themeColor="text1"/>
          <w:sz w:val="24"/>
          <w:lang w:eastAsia="zh-CN"/>
          <w14:textFill>
            <w14:solidFill>
              <w14:schemeClr w14:val="tx1"/>
            </w14:solidFill>
          </w14:textFill>
        </w:rPr>
        <w:t>人员</w:t>
      </w:r>
      <w:r>
        <w:rPr>
          <w:rFonts w:hint="eastAsia" w:ascii="宋体" w:hAnsi="宋体" w:cs="宋体"/>
          <w:bCs/>
          <w:color w:val="000000" w:themeColor="text1"/>
          <w:sz w:val="24"/>
          <w14:textFill>
            <w14:solidFill>
              <w14:schemeClr w14:val="tx1"/>
            </w14:solidFill>
          </w14:textFill>
        </w:rPr>
        <w:t>6人)。年龄：18～50岁，身体健康，五官端正。</w:t>
      </w:r>
    </w:p>
    <w:p w14:paraId="2E5F9189">
      <w:pPr>
        <w:spacing w:line="360" w:lineRule="auto"/>
        <w:ind w:firstLine="482"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2、安保服务范围：</w:t>
      </w:r>
      <w:r>
        <w:rPr>
          <w:rFonts w:hint="eastAsia" w:ascii="宋体" w:hAnsi="宋体" w:cs="宋体"/>
          <w:bCs/>
          <w:color w:val="000000" w:themeColor="text1"/>
          <w:sz w:val="24"/>
          <w14:textFill>
            <w14:solidFill>
              <w14:schemeClr w14:val="tx1"/>
            </w14:solidFill>
          </w14:textFill>
        </w:rPr>
        <w:t>来宾市行政中心红线区域内的安全保卫工作，包括但不限于行政中心主楼、人大及政协附楼、大礼堂、会议楼、行政中心广场、室外停车场、地下停车场、电动车充电停车棚、新能源汽车充电桩等公共区域的巡逻检查、安保服务与管理；主楼大堂、附楼门厅及各出入口岗点实行24小时执勤值班，并做好人员来访登记、车辆的出入管理、交通保畅秩序维护等服务与管理工作。</w:t>
      </w:r>
    </w:p>
    <w:p w14:paraId="1FFE2B2B">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（三）服务内容及要求标准</w:t>
      </w:r>
    </w:p>
    <w:p w14:paraId="4549E93C">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1、门卫管理：</w:t>
      </w:r>
    </w:p>
    <w:p w14:paraId="4D7EE4E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（1）要求着装整齐，仪容仪表端正，维持办公楼大门秩序，疏导交通车辆，指引楼内方位；要求在指定范围，指定点站岗，严禁脱岗；做好来访登记工作，对进入办公楼来访人员实行有效引导。</w:t>
      </w:r>
    </w:p>
    <w:p w14:paraId="27B28FE5">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对来访人员进行必要的信息登记和询问，出示身份证或有效证件，填写来访登记表，明确来访人员来意或访问部门，经电话确认方可进入办公区域，视情况指引跟随到访问部门，并在确认来访结束离开时完善来访注销登记归档记录保存；未有提前预约和未联系人接洽、接待的一律禁止进入办公区域，精准识别来访人员，对进入行政中心内送水、装修、维修、废旧回收等人员进行有效管理和引导，严禁推销、闲散及衣冠不整等影响行政中心秩序的人员进入楼内；</w:t>
      </w:r>
    </w:p>
    <w:p w14:paraId="05F9C7EB">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协助公安、信访等部门做好辖区内的社会治安管理，对发生群体上访、闹访人员进行现场秩序维护和疏导劝离，视事态发展情况，如有缠访、闹访的情况第一时间报警并向上汇报，联系警务部门、信访等部门到场并配合相关部门妥善处置。</w:t>
      </w:r>
    </w:p>
    <w:p w14:paraId="719BE4D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（4）门岗值守人员应集中精力，认真负责，做到热情、积极、真诚的服务态度，避免与来访人员争执、谩骂、冲突，不得在岗玩手机、干私活，睡岗、串岗等与工作无关的行为，严禁酒后上岗、无故脱岗。</w:t>
      </w:r>
    </w:p>
    <w:p w14:paraId="3897092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行政中心区域内的物品搬出、拆除相关设备物品必须持行政中心保卫科、服务科或其他有关部门的准许证明，并对物品进行核对后放行准许证明归档保存。对形迹可疑人员、车辆（特别是货车、摩托车、电动车、自行车等）、出入行政中心物品必须询查核对才准放行，如有强行“冲卡”的必须立即报告并做好记录；</w:t>
      </w:r>
    </w:p>
    <w:p w14:paraId="463AB47A">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2、安全巡逻：</w:t>
      </w:r>
    </w:p>
    <w:p w14:paraId="02D3655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24小时定时对行政中心范围内各部位、各设施设备进行巡查并做好登记，每班巡查次数不得少于4次，对规定的巡查点必须按要求进行登记。对下班后的门窗开闭、用水用电的异常情况，及时处置，避免浪费水电资源。巡查必须填写《巡查情况记录表》，记录表必须归档保存。视情况配合相关部门对行政中心范围内的供电、供水、建筑、消防、停车、等设施设备进行巡检，发现应及时采取补救措施，消除安全隐患，并按规定逐级上报。</w:t>
      </w:r>
    </w:p>
    <w:p w14:paraId="5E3F6B8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（2）安全防控采用固定岗、巡逻岗， 统筹安排“徒步”巡查时间，徒步巡查周期，根据办公楼的建筑功能布局，合理制定室内外保安员巡查路线。安保人员必须熟悉管辖区域的基本情况(包括房屋结构、人员构成)、队伍情况（包括本班队员姓名、素质、配备情况）、设备配置情况（包括基础设施、消防设施、安防监控设施）。</w:t>
      </w:r>
    </w:p>
    <w:p w14:paraId="4199769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（3）根据情况对行政广场范围内的人员进行安全提醒、文明提示， 对周末、节假日人多时加强巡查次数。对岗位的检查当班记录、文明礼貌、仪容仪表、值班纪律，每次必须作检查记录，发现问题立即当面纠正；值大夜班时必须每隔半小时与各岗位通话1次，提醒队员认真履职。</w:t>
      </w:r>
    </w:p>
    <w:p w14:paraId="3DDE3290">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（4）加强节假日的巡逻，做好防盗、防火、防自然灾害等工作；如遇突发性治安、消防事件时，应根据实际情况，及时向物业 公司上级、行政中心安全保卫部门报告和报警。熟悉辖区内治安环境情况，掌握使用治安、消防的报警电 话和消防设备，配合好各部门做好如马拉松比赛、国庆升旗仪式、三月三等大型赛事活动或各类型会议的安全保障管理工作。</w:t>
      </w:r>
    </w:p>
    <w:p w14:paraId="69F5CD0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制止和劝阻项目内一切违法违纪和不文明行为；发现干扰行政中心工作秩序者和其他不安全隐患时要及时处理和报告；发生突发事件，应在第一时间报告有关部门并保护现场，启动应急预案，听从安排和指挥；</w:t>
      </w:r>
    </w:p>
    <w:p w14:paraId="1D8A10C8">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值勤中要做到三勤：勤问、勤巡、勤观察；勤问：巡逻时发现可疑人员或可疑情况要及时查问，弄清情况；勤巡：巡逻人员在项目内至少两个小时巡逻1次，对各重点部位巡查每小时不少于1次；勤观察：对重点防范目标要勤观察，检查发现问题要及时处理和向上级领导汇报；巡逻人员必须保持高度警惕，危险时刻挺身而出，勇于同违法、违规、违纪人员做斗争发现问题及时采取措施加以制止或处理，及时报警和向上汇报。</w:t>
      </w:r>
    </w:p>
    <w:p w14:paraId="1CC51981">
      <w:pPr>
        <w:spacing w:line="360" w:lineRule="auto"/>
        <w:ind w:firstLine="482"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（四）保安人员管理要求</w:t>
      </w:r>
    </w:p>
    <w:p w14:paraId="3B75A9C5">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1、按要求须制订内部《保安人员管理制度》，各部各岗位必须严格执行；</w:t>
      </w:r>
    </w:p>
    <w:p w14:paraId="6C3E1EA5">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2、安保人员管理实行准军事化，统一着装，配备对讲机、记录仪、盾牌、警棍、手持金属探测器等安防设备。依法、文明值勤，礼貌待人。 </w:t>
      </w:r>
    </w:p>
    <w:p w14:paraId="50524B06">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3、根据行政中心安保需求及国家规范标准在物业管理区域设置警戒线和警示标志；</w:t>
      </w:r>
    </w:p>
    <w:p w14:paraId="4F4A9B0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4、保障关键出入口24小时值勤；</w:t>
      </w:r>
    </w:p>
    <w:p w14:paraId="5735C030">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5、对物业管理区域进行安全巡查，每日巡查不少于4次，重点部位每班每小时巡查至少1次，及时发现和处置可疑情况；</w:t>
      </w:r>
    </w:p>
    <w:p w14:paraId="4B991750">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6、对消防、公共安全、公共卫生等方面的突发事件有应急预案，遇突发事件及时报告和有效控制事态的发展，积极协助有关部门处置；</w:t>
      </w:r>
    </w:p>
    <w:p w14:paraId="0B7982E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7、组建消防组，配合当地消防队工作；消防组定期演练（每年2次），常态化开展消防宣传学习；</w:t>
      </w:r>
    </w:p>
    <w:p w14:paraId="658B43D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8、服务期内无重大治安、消防责任事故的发生；</w:t>
      </w:r>
    </w:p>
    <w:p w14:paraId="5FEF8603">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9、对火灾、入室撬窃、电梯困人、刑事、交通事故等突发事件实行紧急处理方案；</w:t>
      </w:r>
    </w:p>
    <w:p w14:paraId="5434C609">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10、对项目公共区域水电设施、水池、设备房、天台、建筑、国旗护栏等危险隐患部位，设置安全提醒警示标志；</w:t>
      </w:r>
    </w:p>
    <w:p w14:paraId="45932772">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11、阳台、护栏上严禁堆放的物品；</w:t>
      </w:r>
    </w:p>
    <w:p w14:paraId="7D404CE2">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12、安全隐患地带，设置明显标志，及时采取有效措施；</w:t>
      </w:r>
    </w:p>
    <w:p w14:paraId="5910CD3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13、认真做好区域内晚上定时清场登记工作，杜绝无关人员逗留；</w:t>
      </w:r>
    </w:p>
    <w:p w14:paraId="3BCCFCB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14、根据突发事件情况（火警、盗警、意外事故等）及时采取有效措施排除处理，及时向有关部门报告。</w:t>
      </w:r>
    </w:p>
    <w:p w14:paraId="010B47FA">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15、对区域内发生案件要注意保护好现场，不得让无关人员进入现场，第一时间报警同时向上汇报，对受害人及时报警救助，对知情人做好信息登记；</w:t>
      </w:r>
    </w:p>
    <w:p w14:paraId="0E2AF31B">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16、严格遵守上下班时间、做好值班记录、做到仪容严整，文明执勤。上班时间不得擅离职守，不得与他人闲谈，不准看书看报或与做值班无关的事情；</w:t>
      </w:r>
    </w:p>
    <w:p w14:paraId="474799D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17、当班安保员要认真作好记录，交班时认真介绍本班情况，对所配备警器物品如数向下班交清楚。</w:t>
      </w:r>
    </w:p>
    <w:p w14:paraId="7C191A1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18、协助配合有关部门处理与治安有关的事件，做好社会治安综合治理。</w:t>
      </w:r>
    </w:p>
    <w:p w14:paraId="658FD478">
      <w:pPr>
        <w:spacing w:line="360" w:lineRule="auto"/>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（五）办公楼安全管理 </w:t>
      </w:r>
    </w:p>
    <w:p w14:paraId="2DF8C990">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1、每天对办公楼巡查3次以上，特别是下班和晚上时间定时对楼内的门窗、重点要害部位、重点防火部位的安全情况进行巡查、检查，发现问题及时处置和报告；</w:t>
      </w:r>
    </w:p>
    <w:p w14:paraId="33770AA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2、按时开、关办公楼大门，同时注意做好几点工作：</w:t>
      </w:r>
    </w:p>
    <w:p w14:paraId="7FB0B193">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（1）每天夜间关闭大楼前，要彻底清理楼内的人员和限制人员进入楼内（清场时先关闭办公楼大门，然后逐层仔细检查包括厕所等可以躲藏人员的每一个角落，每个办公室、机房等）；</w:t>
      </w:r>
    </w:p>
    <w:p w14:paraId="2BEE2CF5">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（2）检查每个房间的门窗是否关好；</w:t>
      </w:r>
    </w:p>
    <w:p w14:paraId="1694F6F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（3）关门后，配合监控等“技防”设备每隔一定时间要进入楼馆内进行巡查；</w:t>
      </w:r>
    </w:p>
    <w:p w14:paraId="129D0C9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（4）上班开门时，合理把握好开关出入口门的时间，既要确保职工能按时进入办公室工作，也要避免因开门时间过早，在工作人员到来之前这段时间大楼内出现管理上的“空档”而发生安全事故；</w:t>
      </w:r>
    </w:p>
    <w:p w14:paraId="6D0DF80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（5）下班后注意检查各办公室是否关好门窗和水电；</w:t>
      </w:r>
    </w:p>
    <w:p w14:paraId="464D97B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（6）对清场发现滞留在办公楼内的人员，必须认真核实其身份，必要时检查其随身携带的物品，发现可疑情况及时报告保卫部门。</w:t>
      </w:r>
    </w:p>
    <w:p w14:paraId="2F4FDAD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3、巡检消防设备，发现问题及时报修，确保能正常使用；</w:t>
      </w:r>
    </w:p>
    <w:p w14:paraId="3877C912">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4、制止违规用电和违规使用明火行为，以防引发安全事故；</w:t>
      </w:r>
    </w:p>
    <w:p w14:paraId="79356332">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5、发生火灾事故要配合有关部门扑救火灾和组织人员疏散。</w:t>
      </w:r>
    </w:p>
    <w:p w14:paraId="30B63F88">
      <w:pPr>
        <w:spacing w:line="360" w:lineRule="auto"/>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（六）车辆管理 </w:t>
      </w:r>
    </w:p>
    <w:p w14:paraId="099C32E1">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根据国家法律和行政中心有关规定对行政中心范围内的机动车和非机动车车辆实行出入管理，包括但不限于社会车辆、公务车、职工车辆、行政中心范围内车辆车位管理，引导车辆按分类规定停车位有序停放。</w:t>
      </w:r>
    </w:p>
    <w:p w14:paraId="090241E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2、禁止将车辆随意停放在公共交通、绿化地、人行道、消防通道、固定车位等，及时登记联系引导车辆有序停放。</w:t>
      </w:r>
    </w:p>
    <w:p w14:paraId="78E812C3">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3、加强人员值守，合理引导车辆通行安全，避免发生因逆行或其他原因导致的交通事故，及时纠正机动车辆和非机动车辆乱停乱放和超速、逆行等不文明行为，确保交通顺畅。</w:t>
      </w:r>
    </w:p>
    <w:p w14:paraId="307E8CED">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4、禁止载有易燃、易爆、有毒、有害及其他污染物品的车辆进入行政中心区 域，引导好因工作需要大型汽车进入行政中心区域有序停放。</w:t>
      </w:r>
    </w:p>
    <w:p w14:paraId="4B3EC0BF">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5、做好车辆防灾、防火、防盗巡逻管理，提醒车主关好车窗车门，贵重物品不得留放车内等工作，发现异常情况及时处置汇报；</w:t>
      </w:r>
    </w:p>
    <w:p w14:paraId="03CCD6F7">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6、禁止社会车辆在行政中心区域内长期停放；</w:t>
      </w:r>
    </w:p>
    <w:p w14:paraId="2203634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7、管理好非机动车（电动车、自行车）、摩托车，引导车辆按专用停车位有序停放；</w:t>
      </w:r>
    </w:p>
    <w:p w14:paraId="2D68721C">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8、非机动车、电动车、摩托车严禁进入行政中心地下车库；</w:t>
      </w:r>
    </w:p>
    <w:p w14:paraId="64F8863E">
      <w:pPr>
        <w:spacing w:line="360" w:lineRule="auto"/>
        <w:ind w:firstLine="480" w:firstLineChars="200"/>
        <w:outlineLvl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9、做好新能源汽车充电、非机动车充电设施设备的巡逻管理，做好安全提示，发现异常情况及时处置汇报。</w:t>
      </w:r>
    </w:p>
    <w:p w14:paraId="07F6CB9F">
      <w:pPr>
        <w:spacing w:line="360" w:lineRule="auto"/>
        <w:outlineLvl w:val="0"/>
        <w:rPr>
          <w:rFonts w:ascii="宋体" w:hAnsi="宋体" w:cs="宋体"/>
          <w:b/>
          <w:color w:val="000000" w:themeColor="text1"/>
          <w:sz w:val="36"/>
          <w:szCs w:val="36"/>
          <w14:textFill>
            <w14:solidFill>
              <w14:schemeClr w14:val="tx1"/>
            </w14:solidFill>
          </w14:textFill>
        </w:rPr>
      </w:pPr>
    </w:p>
    <w:p w14:paraId="158D2728"/>
    <w:p w14:paraId="1EFB0F42"/>
    <w:p w14:paraId="1263725A">
      <w:pPr>
        <w:sectPr>
          <w:headerReference r:id="rId4" w:type="first"/>
          <w:footerReference r:id="rId7" w:type="first"/>
          <w:headerReference r:id="rId3" w:type="default"/>
          <w:footerReference r:id="rId5" w:type="default"/>
          <w:footerReference r:id="rId6" w:type="even"/>
          <w:pgSz w:w="11906" w:h="16838"/>
          <w:pgMar w:top="1247" w:right="849" w:bottom="1247" w:left="1418" w:header="794" w:footer="794" w:gutter="0"/>
          <w:cols w:space="720" w:num="1"/>
          <w:docGrid w:type="lines" w:linePitch="312" w:charSpace="0"/>
        </w:sectPr>
      </w:pPr>
    </w:p>
    <w:p w14:paraId="021F3EE5">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19" w:name="_Toc176368905"/>
      <w:r>
        <w:rPr>
          <w:rFonts w:hint="eastAsia" w:ascii="宋体" w:hAnsi="宋体" w:cs="宋体"/>
          <w:b/>
          <w:color w:val="000000" w:themeColor="text1"/>
          <w:sz w:val="36"/>
          <w:szCs w:val="36"/>
          <w14:textFill>
            <w14:solidFill>
              <w14:schemeClr w14:val="tx1"/>
            </w14:solidFill>
          </w14:textFill>
        </w:rPr>
        <w:t>第四部分</w:t>
      </w:r>
      <w:bookmarkStart w:id="20" w:name="_Toc184310300"/>
      <w:bookmarkEnd w:id="20"/>
      <w:bookmarkStart w:id="21" w:name="_Toc184308083"/>
      <w:bookmarkEnd w:id="21"/>
      <w:bookmarkStart w:id="22" w:name="_Toc184308096"/>
      <w:bookmarkEnd w:id="22"/>
      <w:bookmarkStart w:id="23" w:name="_Toc184313257"/>
      <w:bookmarkEnd w:id="23"/>
      <w:bookmarkStart w:id="24" w:name="_Toc184313298"/>
      <w:bookmarkEnd w:id="24"/>
      <w:bookmarkStart w:id="25" w:name="_Toc184310285"/>
      <w:bookmarkEnd w:id="25"/>
      <w:bookmarkStart w:id="26" w:name="_Toc184313258"/>
      <w:bookmarkEnd w:id="26"/>
      <w:bookmarkStart w:id="27" w:name="_Toc184310338"/>
      <w:bookmarkEnd w:id="27"/>
      <w:bookmarkStart w:id="28" w:name="_Toc184314411"/>
      <w:bookmarkEnd w:id="28"/>
      <w:bookmarkStart w:id="29" w:name="_Toc184312096"/>
      <w:bookmarkEnd w:id="29"/>
      <w:bookmarkStart w:id="30" w:name="_Toc184313283"/>
      <w:bookmarkEnd w:id="30"/>
      <w:bookmarkStart w:id="31" w:name="_Toc184310332"/>
      <w:bookmarkEnd w:id="31"/>
      <w:bookmarkStart w:id="32" w:name="_Toc184310286"/>
      <w:bookmarkEnd w:id="32"/>
      <w:bookmarkStart w:id="33" w:name="_Toc184314432"/>
      <w:bookmarkEnd w:id="33"/>
      <w:bookmarkStart w:id="34" w:name="_Toc184313294"/>
      <w:bookmarkEnd w:id="34"/>
      <w:bookmarkStart w:id="35" w:name="_Toc184310293"/>
      <w:bookmarkEnd w:id="35"/>
      <w:bookmarkStart w:id="36" w:name="_Toc184314430"/>
      <w:bookmarkEnd w:id="36"/>
      <w:bookmarkStart w:id="37" w:name="_Toc184312104"/>
      <w:bookmarkEnd w:id="37"/>
      <w:bookmarkStart w:id="38" w:name="_Toc184314450"/>
      <w:bookmarkEnd w:id="38"/>
      <w:bookmarkStart w:id="39" w:name="_Toc184314414"/>
      <w:bookmarkEnd w:id="39"/>
      <w:bookmarkStart w:id="40" w:name="_Toc184310336"/>
      <w:bookmarkEnd w:id="40"/>
      <w:bookmarkStart w:id="41" w:name="_Toc184312083"/>
      <w:bookmarkEnd w:id="41"/>
      <w:bookmarkStart w:id="42" w:name="_Toc184313256"/>
      <w:bookmarkEnd w:id="42"/>
      <w:bookmarkStart w:id="43" w:name="_Toc184310274"/>
      <w:bookmarkEnd w:id="43"/>
      <w:bookmarkStart w:id="44" w:name="_Toc184308049"/>
      <w:bookmarkEnd w:id="44"/>
      <w:bookmarkStart w:id="45" w:name="_Toc184312087"/>
      <w:bookmarkEnd w:id="45"/>
      <w:bookmarkStart w:id="46" w:name="_Toc184310315"/>
      <w:bookmarkEnd w:id="46"/>
      <w:bookmarkStart w:id="47" w:name="_Toc184310328"/>
      <w:bookmarkEnd w:id="47"/>
      <w:bookmarkStart w:id="48" w:name="_Toc184313238"/>
      <w:bookmarkEnd w:id="48"/>
      <w:bookmarkStart w:id="49" w:name="_Toc184310344"/>
      <w:bookmarkEnd w:id="49"/>
      <w:bookmarkStart w:id="50" w:name="_Toc184310333"/>
      <w:bookmarkEnd w:id="50"/>
      <w:bookmarkStart w:id="51" w:name="_Toc184314477"/>
      <w:bookmarkEnd w:id="51"/>
      <w:bookmarkStart w:id="52" w:name="_Toc184312101"/>
      <w:bookmarkEnd w:id="52"/>
      <w:bookmarkStart w:id="53" w:name="_Toc184313288"/>
      <w:bookmarkEnd w:id="53"/>
      <w:bookmarkStart w:id="54" w:name="_Toc184312113"/>
      <w:bookmarkEnd w:id="54"/>
      <w:bookmarkStart w:id="55" w:name="_Toc184313285"/>
      <w:bookmarkEnd w:id="55"/>
      <w:bookmarkStart w:id="56" w:name="_Toc184308084"/>
      <w:bookmarkEnd w:id="56"/>
      <w:bookmarkStart w:id="57" w:name="_Toc184312070"/>
      <w:bookmarkEnd w:id="57"/>
      <w:bookmarkStart w:id="58" w:name="_Toc184308040"/>
      <w:bookmarkEnd w:id="58"/>
      <w:bookmarkStart w:id="59" w:name="_Toc184312120"/>
      <w:bookmarkEnd w:id="59"/>
      <w:bookmarkStart w:id="60" w:name="_Toc184314465"/>
      <w:bookmarkEnd w:id="60"/>
      <w:bookmarkStart w:id="61" w:name="_Toc184310308"/>
      <w:bookmarkEnd w:id="61"/>
      <w:bookmarkStart w:id="62" w:name="_Toc184310297"/>
      <w:bookmarkEnd w:id="62"/>
      <w:bookmarkStart w:id="63" w:name="_Toc184313245"/>
      <w:bookmarkEnd w:id="63"/>
      <w:bookmarkStart w:id="64" w:name="_Toc184312080"/>
      <w:bookmarkEnd w:id="64"/>
      <w:bookmarkStart w:id="65" w:name="_Toc184310291"/>
      <w:bookmarkEnd w:id="65"/>
      <w:bookmarkStart w:id="66" w:name="_Toc184313249"/>
      <w:bookmarkEnd w:id="66"/>
      <w:bookmarkStart w:id="67" w:name="_Toc184314413"/>
      <w:bookmarkEnd w:id="67"/>
      <w:bookmarkStart w:id="68" w:name="_Toc184308080"/>
      <w:bookmarkEnd w:id="68"/>
      <w:bookmarkStart w:id="69" w:name="_Toc184314437"/>
      <w:bookmarkEnd w:id="69"/>
      <w:bookmarkStart w:id="70" w:name="_Toc184308052"/>
      <w:bookmarkEnd w:id="70"/>
      <w:bookmarkStart w:id="71" w:name="_Toc184310340"/>
      <w:bookmarkEnd w:id="71"/>
      <w:bookmarkStart w:id="72" w:name="_Toc184313273"/>
      <w:bookmarkEnd w:id="72"/>
      <w:bookmarkStart w:id="73" w:name="_Toc184312130"/>
      <w:bookmarkEnd w:id="73"/>
      <w:bookmarkStart w:id="74" w:name="_Toc184310302"/>
      <w:bookmarkEnd w:id="74"/>
      <w:bookmarkStart w:id="75" w:name="_Toc184313240"/>
      <w:bookmarkEnd w:id="75"/>
      <w:bookmarkStart w:id="76" w:name="_Toc184308095"/>
      <w:bookmarkEnd w:id="76"/>
      <w:bookmarkStart w:id="77" w:name="_Toc184313289"/>
      <w:bookmarkEnd w:id="77"/>
      <w:bookmarkStart w:id="78" w:name="_Toc184312134"/>
      <w:bookmarkEnd w:id="78"/>
      <w:bookmarkStart w:id="79" w:name="_Toc184312079"/>
      <w:bookmarkEnd w:id="79"/>
      <w:bookmarkStart w:id="80" w:name="_Toc184308079"/>
      <w:bookmarkEnd w:id="80"/>
      <w:bookmarkStart w:id="81" w:name="_Toc184308090"/>
      <w:bookmarkEnd w:id="81"/>
      <w:bookmarkStart w:id="82" w:name="_Toc184313310"/>
      <w:bookmarkEnd w:id="82"/>
      <w:bookmarkStart w:id="83" w:name="_Toc184312138"/>
      <w:bookmarkEnd w:id="83"/>
      <w:bookmarkStart w:id="84" w:name="_Toc184310290"/>
      <w:bookmarkEnd w:id="84"/>
      <w:bookmarkStart w:id="85" w:name="_Toc184312122"/>
      <w:bookmarkEnd w:id="85"/>
      <w:bookmarkStart w:id="86" w:name="_Toc184313262"/>
      <w:bookmarkEnd w:id="86"/>
      <w:bookmarkStart w:id="87" w:name="_Toc184308057"/>
      <w:bookmarkEnd w:id="87"/>
      <w:bookmarkStart w:id="88" w:name="_Toc184308086"/>
      <w:bookmarkEnd w:id="88"/>
      <w:bookmarkStart w:id="89" w:name="_Toc184312093"/>
      <w:bookmarkEnd w:id="89"/>
      <w:bookmarkStart w:id="90" w:name="_Toc184312092"/>
      <w:bookmarkEnd w:id="90"/>
      <w:bookmarkStart w:id="91" w:name="_Toc184312124"/>
      <w:bookmarkEnd w:id="91"/>
      <w:bookmarkStart w:id="92" w:name="_Toc184314431"/>
      <w:bookmarkEnd w:id="92"/>
      <w:bookmarkStart w:id="93" w:name="_Toc184313261"/>
      <w:bookmarkEnd w:id="93"/>
      <w:bookmarkStart w:id="94" w:name="_Toc184308085"/>
      <w:bookmarkEnd w:id="94"/>
      <w:bookmarkStart w:id="95" w:name="_Toc184313246"/>
      <w:bookmarkEnd w:id="95"/>
      <w:bookmarkStart w:id="96" w:name="_Toc184310327"/>
      <w:bookmarkEnd w:id="96"/>
      <w:bookmarkStart w:id="97" w:name="_Toc184310313"/>
      <w:bookmarkEnd w:id="97"/>
      <w:bookmarkStart w:id="98" w:name="_Toc184314472"/>
      <w:bookmarkEnd w:id="98"/>
      <w:bookmarkStart w:id="99" w:name="_Toc184313250"/>
      <w:bookmarkEnd w:id="99"/>
      <w:bookmarkStart w:id="100" w:name="_Toc184312117"/>
      <w:bookmarkEnd w:id="100"/>
      <w:bookmarkStart w:id="101" w:name="_Toc184310323"/>
      <w:bookmarkEnd w:id="101"/>
      <w:bookmarkStart w:id="102" w:name="_Toc184313271"/>
      <w:bookmarkEnd w:id="102"/>
      <w:bookmarkStart w:id="103" w:name="_Toc184313252"/>
      <w:bookmarkEnd w:id="103"/>
      <w:bookmarkStart w:id="104" w:name="_Toc184310319"/>
      <w:bookmarkEnd w:id="104"/>
      <w:bookmarkStart w:id="105" w:name="_Toc184313292"/>
      <w:bookmarkEnd w:id="105"/>
      <w:bookmarkStart w:id="106" w:name="_Toc184312114"/>
      <w:bookmarkEnd w:id="106"/>
      <w:bookmarkStart w:id="107" w:name="_Toc184312129"/>
      <w:bookmarkEnd w:id="107"/>
      <w:bookmarkStart w:id="108" w:name="_Toc184312098"/>
      <w:bookmarkEnd w:id="108"/>
      <w:bookmarkStart w:id="109" w:name="_Toc184313306"/>
      <w:bookmarkEnd w:id="109"/>
      <w:bookmarkStart w:id="110" w:name="_Toc184308062"/>
      <w:bookmarkEnd w:id="110"/>
      <w:bookmarkStart w:id="111" w:name="_Toc184312090"/>
      <w:bookmarkEnd w:id="111"/>
      <w:bookmarkStart w:id="112" w:name="_Toc184312126"/>
      <w:bookmarkEnd w:id="112"/>
      <w:bookmarkStart w:id="113" w:name="_Toc184308039"/>
      <w:bookmarkEnd w:id="113"/>
      <w:bookmarkStart w:id="114" w:name="_Toc184312103"/>
      <w:bookmarkEnd w:id="114"/>
      <w:bookmarkStart w:id="115" w:name="_Toc184312091"/>
      <w:bookmarkEnd w:id="115"/>
      <w:bookmarkStart w:id="116" w:name="_Toc184313269"/>
      <w:bookmarkEnd w:id="116"/>
      <w:bookmarkStart w:id="117" w:name="_Toc184310312"/>
      <w:bookmarkEnd w:id="117"/>
      <w:bookmarkStart w:id="118" w:name="_Toc184308046"/>
      <w:bookmarkEnd w:id="118"/>
      <w:bookmarkStart w:id="119" w:name="_Toc184312136"/>
      <w:bookmarkEnd w:id="119"/>
      <w:bookmarkStart w:id="120" w:name="_Toc184312112"/>
      <w:bookmarkEnd w:id="120"/>
      <w:bookmarkStart w:id="121" w:name="_Toc184308063"/>
      <w:bookmarkEnd w:id="121"/>
      <w:bookmarkStart w:id="122" w:name="_Toc184312131"/>
      <w:bookmarkEnd w:id="122"/>
      <w:bookmarkStart w:id="123" w:name="_Toc184310279"/>
      <w:bookmarkEnd w:id="123"/>
      <w:bookmarkStart w:id="124" w:name="_Toc184314440"/>
      <w:bookmarkEnd w:id="124"/>
      <w:bookmarkStart w:id="125" w:name="_Toc184313278"/>
      <w:bookmarkEnd w:id="125"/>
      <w:bookmarkStart w:id="126" w:name="_Toc184312139"/>
      <w:bookmarkEnd w:id="126"/>
      <w:bookmarkStart w:id="127" w:name="_Toc184310310"/>
      <w:bookmarkEnd w:id="127"/>
      <w:bookmarkStart w:id="128" w:name="_Toc184314424"/>
      <w:bookmarkEnd w:id="128"/>
      <w:bookmarkStart w:id="129" w:name="_Toc184312086"/>
      <w:bookmarkEnd w:id="129"/>
      <w:bookmarkStart w:id="130" w:name="_Toc184313267"/>
      <w:bookmarkEnd w:id="130"/>
      <w:bookmarkStart w:id="131" w:name="_Toc184312082"/>
      <w:bookmarkEnd w:id="131"/>
      <w:bookmarkStart w:id="132" w:name="_Toc184314421"/>
      <w:bookmarkEnd w:id="132"/>
      <w:bookmarkStart w:id="133" w:name="_Toc184310283"/>
      <w:bookmarkEnd w:id="133"/>
      <w:bookmarkStart w:id="134" w:name="_Toc184310309"/>
      <w:bookmarkEnd w:id="134"/>
      <w:bookmarkStart w:id="135" w:name="_Toc184312125"/>
      <w:bookmarkEnd w:id="135"/>
      <w:bookmarkStart w:id="136" w:name="_Toc184313277"/>
      <w:bookmarkEnd w:id="136"/>
      <w:bookmarkStart w:id="137" w:name="_Toc184313259"/>
      <w:bookmarkEnd w:id="137"/>
      <w:bookmarkStart w:id="138" w:name="_Toc184313295"/>
      <w:bookmarkEnd w:id="138"/>
      <w:bookmarkStart w:id="139" w:name="_Toc184313270"/>
      <w:bookmarkEnd w:id="139"/>
      <w:bookmarkStart w:id="140" w:name="_Toc184314481"/>
      <w:bookmarkEnd w:id="140"/>
      <w:bookmarkStart w:id="141" w:name="_Toc184308099"/>
      <w:bookmarkEnd w:id="141"/>
      <w:bookmarkStart w:id="142" w:name="_Toc184312118"/>
      <w:bookmarkEnd w:id="142"/>
      <w:bookmarkStart w:id="143" w:name="_Toc184314476"/>
      <w:bookmarkEnd w:id="143"/>
      <w:bookmarkStart w:id="144" w:name="_Toc184310294"/>
      <w:bookmarkEnd w:id="144"/>
      <w:bookmarkStart w:id="145" w:name="_Toc184308092"/>
      <w:bookmarkEnd w:id="145"/>
      <w:bookmarkStart w:id="146" w:name="_Toc184313247"/>
      <w:bookmarkEnd w:id="146"/>
      <w:bookmarkStart w:id="147" w:name="_Toc184310273"/>
      <w:bookmarkEnd w:id="147"/>
      <w:bookmarkStart w:id="148" w:name="_Toc184308058"/>
      <w:bookmarkEnd w:id="148"/>
      <w:bookmarkStart w:id="149" w:name="_Toc184314420"/>
      <w:bookmarkEnd w:id="149"/>
      <w:bookmarkStart w:id="150" w:name="_Toc184308078"/>
      <w:bookmarkEnd w:id="150"/>
      <w:bookmarkStart w:id="151" w:name="_Toc184314443"/>
      <w:bookmarkEnd w:id="151"/>
      <w:bookmarkStart w:id="152" w:name="_Toc184310322"/>
      <w:bookmarkEnd w:id="152"/>
      <w:bookmarkStart w:id="153" w:name="_Toc184308065"/>
      <w:bookmarkEnd w:id="153"/>
      <w:bookmarkStart w:id="154" w:name="_Toc184312088"/>
      <w:bookmarkEnd w:id="154"/>
      <w:bookmarkStart w:id="155" w:name="_Toc184308054"/>
      <w:bookmarkEnd w:id="155"/>
      <w:bookmarkStart w:id="156" w:name="_Toc184308100"/>
      <w:bookmarkEnd w:id="156"/>
      <w:bookmarkStart w:id="157" w:name="_Toc184313279"/>
      <w:bookmarkEnd w:id="157"/>
      <w:bookmarkStart w:id="158" w:name="_Toc184308102"/>
      <w:bookmarkEnd w:id="158"/>
      <w:bookmarkStart w:id="159" w:name="_Toc184308071"/>
      <w:bookmarkEnd w:id="159"/>
      <w:bookmarkStart w:id="160" w:name="_Toc184310321"/>
      <w:bookmarkEnd w:id="160"/>
      <w:bookmarkStart w:id="161" w:name="_Toc184312111"/>
      <w:bookmarkEnd w:id="161"/>
      <w:bookmarkStart w:id="162" w:name="_Toc184314427"/>
      <w:bookmarkEnd w:id="162"/>
      <w:bookmarkStart w:id="163" w:name="_Toc184313251"/>
      <w:bookmarkEnd w:id="163"/>
      <w:bookmarkStart w:id="164" w:name="_Toc184308107"/>
      <w:bookmarkEnd w:id="164"/>
      <w:bookmarkStart w:id="165" w:name="_Toc184308093"/>
      <w:bookmarkEnd w:id="165"/>
      <w:bookmarkStart w:id="166" w:name="_Toc184312073"/>
      <w:bookmarkEnd w:id="166"/>
      <w:bookmarkStart w:id="167" w:name="_Toc184308103"/>
      <w:bookmarkEnd w:id="167"/>
      <w:bookmarkStart w:id="168" w:name="_Toc184310318"/>
      <w:bookmarkEnd w:id="168"/>
      <w:bookmarkStart w:id="169" w:name="_Toc184310307"/>
      <w:bookmarkEnd w:id="169"/>
      <w:bookmarkStart w:id="170" w:name="_Toc184308060"/>
      <w:bookmarkEnd w:id="170"/>
      <w:bookmarkStart w:id="171" w:name="_Toc184312099"/>
      <w:bookmarkEnd w:id="171"/>
      <w:bookmarkStart w:id="172" w:name="_Toc184314471"/>
      <w:bookmarkEnd w:id="172"/>
      <w:bookmarkStart w:id="173" w:name="_Toc184310272"/>
      <w:bookmarkEnd w:id="173"/>
      <w:bookmarkStart w:id="174" w:name="_Toc184313280"/>
      <w:bookmarkEnd w:id="174"/>
      <w:bookmarkStart w:id="175" w:name="_Toc184308073"/>
      <w:bookmarkEnd w:id="175"/>
      <w:bookmarkStart w:id="176" w:name="_Toc184312097"/>
      <w:bookmarkEnd w:id="176"/>
      <w:bookmarkStart w:id="177" w:name="_Toc184313275"/>
      <w:bookmarkEnd w:id="177"/>
      <w:bookmarkStart w:id="178" w:name="_Toc184310314"/>
      <w:bookmarkEnd w:id="178"/>
      <w:bookmarkStart w:id="179" w:name="_Toc184308101"/>
      <w:bookmarkEnd w:id="179"/>
      <w:bookmarkStart w:id="180" w:name="_Toc184314441"/>
      <w:bookmarkEnd w:id="180"/>
      <w:bookmarkStart w:id="181" w:name="_Toc184308072"/>
      <w:bookmarkEnd w:id="181"/>
      <w:bookmarkStart w:id="182" w:name="_Toc184313286"/>
      <w:bookmarkEnd w:id="182"/>
      <w:bookmarkStart w:id="183" w:name="_Toc184314469"/>
      <w:bookmarkEnd w:id="183"/>
      <w:bookmarkStart w:id="184" w:name="_Toc184313290"/>
      <w:bookmarkEnd w:id="184"/>
      <w:bookmarkStart w:id="185" w:name="_Toc184314444"/>
      <w:bookmarkEnd w:id="185"/>
      <w:bookmarkStart w:id="186" w:name="_Toc184312133"/>
      <w:bookmarkEnd w:id="186"/>
      <w:bookmarkStart w:id="187" w:name="_Toc184313243"/>
      <w:bookmarkEnd w:id="187"/>
      <w:bookmarkStart w:id="188" w:name="_Toc184308069"/>
      <w:bookmarkEnd w:id="188"/>
      <w:bookmarkStart w:id="189" w:name="_Toc184313293"/>
      <w:bookmarkEnd w:id="189"/>
      <w:bookmarkStart w:id="190" w:name="_Toc184310341"/>
      <w:bookmarkEnd w:id="190"/>
      <w:bookmarkStart w:id="191" w:name="_Toc184314449"/>
      <w:bookmarkEnd w:id="191"/>
      <w:bookmarkStart w:id="192" w:name="_Toc184314435"/>
      <w:bookmarkEnd w:id="192"/>
      <w:bookmarkStart w:id="193" w:name="_Toc184312107"/>
      <w:bookmarkEnd w:id="193"/>
      <w:bookmarkStart w:id="194" w:name="_Toc184310343"/>
      <w:bookmarkEnd w:id="194"/>
      <w:bookmarkStart w:id="195" w:name="_Toc184312105"/>
      <w:bookmarkEnd w:id="195"/>
      <w:bookmarkStart w:id="196" w:name="_Toc184310289"/>
      <w:bookmarkEnd w:id="196"/>
      <w:bookmarkStart w:id="197" w:name="_Toc184308108"/>
      <w:bookmarkEnd w:id="197"/>
      <w:bookmarkStart w:id="198" w:name="_Toc184308087"/>
      <w:bookmarkEnd w:id="198"/>
      <w:bookmarkStart w:id="199" w:name="_Toc184308056"/>
      <w:bookmarkEnd w:id="199"/>
      <w:bookmarkStart w:id="200" w:name="_Toc184313272"/>
      <w:bookmarkEnd w:id="200"/>
      <w:bookmarkStart w:id="201" w:name="_Toc184314460"/>
      <w:bookmarkEnd w:id="201"/>
      <w:bookmarkStart w:id="202" w:name="_Toc184313276"/>
      <w:bookmarkEnd w:id="202"/>
      <w:bookmarkStart w:id="203" w:name="_Toc184314419"/>
      <w:bookmarkEnd w:id="203"/>
      <w:bookmarkStart w:id="204" w:name="_Toc184313263"/>
      <w:bookmarkEnd w:id="204"/>
      <w:bookmarkStart w:id="205" w:name="_Toc184314454"/>
      <w:bookmarkEnd w:id="205"/>
      <w:bookmarkStart w:id="206" w:name="_Toc184313254"/>
      <w:bookmarkEnd w:id="206"/>
      <w:bookmarkStart w:id="207" w:name="_Toc184312077"/>
      <w:bookmarkEnd w:id="207"/>
      <w:bookmarkStart w:id="208" w:name="_Toc184312068"/>
      <w:bookmarkEnd w:id="208"/>
      <w:bookmarkStart w:id="209" w:name="_Toc184313300"/>
      <w:bookmarkEnd w:id="209"/>
      <w:bookmarkStart w:id="210" w:name="_Toc184314422"/>
      <w:bookmarkEnd w:id="210"/>
      <w:bookmarkStart w:id="211" w:name="_Toc184310317"/>
      <w:bookmarkEnd w:id="211"/>
      <w:bookmarkStart w:id="212" w:name="_Toc184313304"/>
      <w:bookmarkEnd w:id="212"/>
      <w:bookmarkStart w:id="213" w:name="_Toc184314428"/>
      <w:bookmarkEnd w:id="213"/>
      <w:bookmarkStart w:id="214" w:name="_Toc184314434"/>
      <w:bookmarkEnd w:id="214"/>
      <w:bookmarkStart w:id="215" w:name="_Toc184312081"/>
      <w:bookmarkEnd w:id="215"/>
      <w:bookmarkStart w:id="216" w:name="_Toc184308045"/>
      <w:bookmarkEnd w:id="216"/>
      <w:bookmarkStart w:id="217" w:name="_Toc184308106"/>
      <w:bookmarkEnd w:id="217"/>
      <w:bookmarkStart w:id="218" w:name="_Toc184308081"/>
      <w:bookmarkEnd w:id="218"/>
      <w:bookmarkStart w:id="219" w:name="_Toc184312095"/>
      <w:bookmarkEnd w:id="219"/>
      <w:bookmarkStart w:id="220" w:name="_Toc184308104"/>
      <w:bookmarkEnd w:id="220"/>
      <w:bookmarkStart w:id="221" w:name="_Toc184312102"/>
      <w:bookmarkEnd w:id="221"/>
      <w:bookmarkStart w:id="222" w:name="_Toc184314473"/>
      <w:bookmarkEnd w:id="222"/>
      <w:bookmarkStart w:id="223" w:name="_Toc184310311"/>
      <w:bookmarkEnd w:id="223"/>
      <w:bookmarkStart w:id="224" w:name="_Toc184314458"/>
      <w:bookmarkEnd w:id="224"/>
      <w:bookmarkStart w:id="225" w:name="_Toc184314448"/>
      <w:bookmarkEnd w:id="225"/>
      <w:bookmarkStart w:id="226" w:name="_Toc184314425"/>
      <w:bookmarkEnd w:id="226"/>
      <w:bookmarkStart w:id="227" w:name="_Toc184312106"/>
      <w:bookmarkEnd w:id="227"/>
      <w:bookmarkStart w:id="228" w:name="_Toc184314410"/>
      <w:bookmarkEnd w:id="228"/>
      <w:bookmarkStart w:id="229" w:name="_Toc184308048"/>
      <w:bookmarkEnd w:id="229"/>
      <w:bookmarkStart w:id="230" w:name="_Toc184310331"/>
      <w:bookmarkEnd w:id="230"/>
      <w:bookmarkStart w:id="231" w:name="_Toc184310298"/>
      <w:bookmarkEnd w:id="231"/>
      <w:bookmarkStart w:id="232" w:name="_Toc184308105"/>
      <w:bookmarkEnd w:id="232"/>
      <w:bookmarkStart w:id="233" w:name="_Toc184308067"/>
      <w:bookmarkEnd w:id="233"/>
      <w:bookmarkStart w:id="234" w:name="_Toc184314480"/>
      <w:bookmarkEnd w:id="234"/>
      <w:bookmarkStart w:id="235" w:name="_Toc184312085"/>
      <w:bookmarkEnd w:id="235"/>
      <w:bookmarkStart w:id="236" w:name="_Toc184313239"/>
      <w:bookmarkEnd w:id="236"/>
      <w:bookmarkStart w:id="237" w:name="_Toc184310288"/>
      <w:bookmarkEnd w:id="237"/>
      <w:bookmarkStart w:id="238" w:name="_Toc184308059"/>
      <w:bookmarkEnd w:id="238"/>
      <w:bookmarkStart w:id="239" w:name="_Toc184310335"/>
      <w:bookmarkEnd w:id="239"/>
      <w:bookmarkStart w:id="240" w:name="_Toc184312109"/>
      <w:bookmarkEnd w:id="240"/>
      <w:bookmarkStart w:id="241" w:name="_Toc184308066"/>
      <w:bookmarkEnd w:id="241"/>
      <w:bookmarkStart w:id="242" w:name="_Toc184314445"/>
      <w:bookmarkEnd w:id="242"/>
      <w:bookmarkStart w:id="243" w:name="_Toc184314417"/>
      <w:bookmarkEnd w:id="243"/>
      <w:bookmarkStart w:id="244" w:name="_Toc184308051"/>
      <w:bookmarkEnd w:id="244"/>
      <w:bookmarkStart w:id="245" w:name="_Toc184310342"/>
      <w:bookmarkEnd w:id="245"/>
      <w:bookmarkStart w:id="246" w:name="_Toc184314447"/>
      <w:bookmarkEnd w:id="246"/>
      <w:bookmarkStart w:id="247" w:name="_Toc184312084"/>
      <w:bookmarkEnd w:id="247"/>
      <w:bookmarkStart w:id="248" w:name="_Toc184314436"/>
      <w:bookmarkEnd w:id="248"/>
      <w:bookmarkStart w:id="249" w:name="_Toc184313303"/>
      <w:bookmarkEnd w:id="249"/>
      <w:bookmarkStart w:id="250" w:name="_Toc184312075"/>
      <w:bookmarkEnd w:id="250"/>
      <w:bookmarkStart w:id="251" w:name="_Toc184310306"/>
      <w:bookmarkEnd w:id="251"/>
      <w:bookmarkStart w:id="252" w:name="_Toc184314456"/>
      <w:bookmarkEnd w:id="252"/>
      <w:bookmarkStart w:id="253" w:name="_Toc184312127"/>
      <w:bookmarkEnd w:id="253"/>
      <w:bookmarkStart w:id="254" w:name="_Toc184313282"/>
      <w:bookmarkEnd w:id="254"/>
      <w:bookmarkStart w:id="255" w:name="_Toc184312121"/>
      <w:bookmarkEnd w:id="255"/>
      <w:bookmarkStart w:id="256" w:name="_Toc184313307"/>
      <w:bookmarkEnd w:id="256"/>
      <w:bookmarkStart w:id="257" w:name="_Toc184310275"/>
      <w:bookmarkEnd w:id="257"/>
      <w:bookmarkStart w:id="258" w:name="_Toc184313299"/>
      <w:bookmarkEnd w:id="258"/>
      <w:bookmarkStart w:id="259" w:name="_Toc184310330"/>
      <w:bookmarkEnd w:id="259"/>
      <w:bookmarkStart w:id="260" w:name="_Toc184310299"/>
      <w:bookmarkEnd w:id="260"/>
      <w:bookmarkStart w:id="261" w:name="_Toc184310287"/>
      <w:bookmarkEnd w:id="261"/>
      <w:bookmarkStart w:id="262" w:name="_Toc184314438"/>
      <w:bookmarkEnd w:id="262"/>
      <w:bookmarkStart w:id="263" w:name="_Toc184308064"/>
      <w:bookmarkEnd w:id="263"/>
      <w:bookmarkStart w:id="264" w:name="_Toc184310326"/>
      <w:bookmarkEnd w:id="264"/>
      <w:bookmarkStart w:id="265" w:name="_Toc184308041"/>
      <w:bookmarkEnd w:id="265"/>
      <w:bookmarkStart w:id="266" w:name="_Toc184314474"/>
      <w:bookmarkEnd w:id="266"/>
      <w:bookmarkStart w:id="267" w:name="_Toc184310303"/>
      <w:bookmarkEnd w:id="267"/>
      <w:bookmarkStart w:id="268" w:name="_Toc184314466"/>
      <w:bookmarkEnd w:id="268"/>
      <w:bookmarkStart w:id="269" w:name="_Toc184308037"/>
      <w:bookmarkEnd w:id="269"/>
      <w:bookmarkStart w:id="270" w:name="_Toc184310277"/>
      <w:bookmarkEnd w:id="270"/>
      <w:bookmarkStart w:id="271" w:name="_Toc184314439"/>
      <w:bookmarkEnd w:id="271"/>
      <w:bookmarkStart w:id="272" w:name="_Toc184314415"/>
      <w:bookmarkEnd w:id="272"/>
      <w:bookmarkStart w:id="273" w:name="_Toc184314479"/>
      <w:bookmarkEnd w:id="273"/>
      <w:bookmarkStart w:id="274" w:name="_Toc184312089"/>
      <w:bookmarkEnd w:id="274"/>
      <w:bookmarkStart w:id="275" w:name="_Toc184312116"/>
      <w:bookmarkEnd w:id="275"/>
      <w:bookmarkStart w:id="276" w:name="_Toc184310339"/>
      <w:bookmarkEnd w:id="276"/>
      <w:bookmarkStart w:id="277" w:name="_Toc184313308"/>
      <w:bookmarkEnd w:id="277"/>
      <w:bookmarkStart w:id="278" w:name="_Toc184308094"/>
      <w:bookmarkEnd w:id="278"/>
      <w:bookmarkStart w:id="279" w:name="_Toc184313301"/>
      <w:bookmarkEnd w:id="279"/>
      <w:bookmarkStart w:id="280" w:name="_Toc184312071"/>
      <w:bookmarkEnd w:id="280"/>
      <w:bookmarkStart w:id="281" w:name="_Toc184308088"/>
      <w:bookmarkEnd w:id="281"/>
      <w:bookmarkStart w:id="282" w:name="_Toc184314462"/>
      <w:bookmarkEnd w:id="282"/>
      <w:bookmarkStart w:id="283" w:name="_Toc184308042"/>
      <w:bookmarkEnd w:id="283"/>
      <w:bookmarkStart w:id="284" w:name="_Toc184313268"/>
      <w:bookmarkEnd w:id="284"/>
      <w:bookmarkStart w:id="285" w:name="_Toc184312074"/>
      <w:bookmarkEnd w:id="285"/>
      <w:bookmarkStart w:id="286" w:name="_Toc184308075"/>
      <w:bookmarkEnd w:id="286"/>
      <w:bookmarkStart w:id="287" w:name="_Toc184310337"/>
      <w:bookmarkEnd w:id="287"/>
      <w:bookmarkStart w:id="288" w:name="_Toc184314461"/>
      <w:bookmarkEnd w:id="288"/>
      <w:bookmarkStart w:id="289" w:name="_Toc184308061"/>
      <w:bookmarkEnd w:id="289"/>
      <w:bookmarkStart w:id="290" w:name="_Toc184313242"/>
      <w:bookmarkEnd w:id="290"/>
      <w:bookmarkStart w:id="291" w:name="_Toc184312069"/>
      <w:bookmarkEnd w:id="291"/>
      <w:bookmarkStart w:id="292" w:name="_Toc184313291"/>
      <w:bookmarkEnd w:id="292"/>
      <w:bookmarkStart w:id="293" w:name="_Toc184314482"/>
      <w:bookmarkEnd w:id="293"/>
      <w:bookmarkStart w:id="294" w:name="_Toc184308038"/>
      <w:bookmarkEnd w:id="294"/>
      <w:bookmarkStart w:id="295" w:name="_Toc184314464"/>
      <w:bookmarkEnd w:id="295"/>
      <w:bookmarkStart w:id="296" w:name="_Toc184314426"/>
      <w:bookmarkEnd w:id="296"/>
      <w:bookmarkStart w:id="297" w:name="_Toc184312132"/>
      <w:bookmarkEnd w:id="297"/>
      <w:bookmarkStart w:id="298" w:name="_Toc184314423"/>
      <w:bookmarkEnd w:id="298"/>
      <w:bookmarkStart w:id="299" w:name="_Toc184308068"/>
      <w:bookmarkEnd w:id="299"/>
      <w:bookmarkStart w:id="300" w:name="_Toc184310282"/>
      <w:bookmarkEnd w:id="300"/>
      <w:bookmarkStart w:id="301" w:name="_Toc184314459"/>
      <w:bookmarkEnd w:id="301"/>
      <w:bookmarkStart w:id="302" w:name="_Toc184313281"/>
      <w:bookmarkEnd w:id="302"/>
      <w:bookmarkStart w:id="303" w:name="_Toc184313302"/>
      <w:bookmarkEnd w:id="303"/>
      <w:bookmarkStart w:id="304" w:name="_Toc184310278"/>
      <w:bookmarkEnd w:id="304"/>
      <w:bookmarkStart w:id="305" w:name="_Toc184314452"/>
      <w:bookmarkEnd w:id="305"/>
      <w:bookmarkStart w:id="306" w:name="_Toc184310305"/>
      <w:bookmarkEnd w:id="306"/>
      <w:bookmarkStart w:id="307" w:name="_Toc184310276"/>
      <w:bookmarkEnd w:id="307"/>
      <w:bookmarkStart w:id="308" w:name="_Toc184310284"/>
      <w:bookmarkEnd w:id="308"/>
      <w:bookmarkStart w:id="309" w:name="_Toc184308053"/>
      <w:bookmarkEnd w:id="309"/>
      <w:bookmarkStart w:id="310" w:name="_Toc184308036"/>
      <w:bookmarkEnd w:id="310"/>
      <w:bookmarkStart w:id="311" w:name="_Toc184313296"/>
      <w:bookmarkEnd w:id="311"/>
      <w:bookmarkStart w:id="312" w:name="_Toc184313305"/>
      <w:bookmarkEnd w:id="312"/>
      <w:bookmarkStart w:id="313" w:name="_Toc184308076"/>
      <w:bookmarkEnd w:id="313"/>
      <w:bookmarkStart w:id="314" w:name="_Toc184310320"/>
      <w:bookmarkEnd w:id="314"/>
      <w:bookmarkStart w:id="315" w:name="_Toc184314418"/>
      <w:bookmarkEnd w:id="315"/>
      <w:bookmarkStart w:id="316" w:name="_Toc184312137"/>
      <w:bookmarkEnd w:id="316"/>
      <w:bookmarkStart w:id="317" w:name="_Toc184313255"/>
      <w:bookmarkEnd w:id="317"/>
      <w:bookmarkStart w:id="318" w:name="_Toc184313297"/>
      <w:bookmarkEnd w:id="318"/>
      <w:bookmarkStart w:id="319" w:name="_Toc184313274"/>
      <w:bookmarkEnd w:id="319"/>
      <w:bookmarkStart w:id="320" w:name="_Toc184312067"/>
      <w:bookmarkEnd w:id="320"/>
      <w:bookmarkStart w:id="321" w:name="_Toc184312108"/>
      <w:bookmarkEnd w:id="321"/>
      <w:bookmarkStart w:id="322" w:name="_Toc184313284"/>
      <w:bookmarkEnd w:id="322"/>
      <w:bookmarkStart w:id="323" w:name="_Toc184314457"/>
      <w:bookmarkEnd w:id="323"/>
      <w:bookmarkStart w:id="324" w:name="_Toc184313248"/>
      <w:bookmarkEnd w:id="324"/>
      <w:bookmarkStart w:id="325" w:name="_Toc184313253"/>
      <w:bookmarkEnd w:id="325"/>
      <w:bookmarkStart w:id="326" w:name="_Toc184314455"/>
      <w:bookmarkEnd w:id="326"/>
      <w:bookmarkStart w:id="327" w:name="_Toc184312076"/>
      <w:bookmarkEnd w:id="327"/>
      <w:bookmarkStart w:id="328" w:name="_Toc184308043"/>
      <w:bookmarkEnd w:id="328"/>
      <w:bookmarkStart w:id="329" w:name="_Toc184314470"/>
      <w:bookmarkEnd w:id="329"/>
      <w:bookmarkStart w:id="330" w:name="_Toc184312110"/>
      <w:bookmarkEnd w:id="330"/>
      <w:bookmarkStart w:id="331" w:name="_Toc184313287"/>
      <w:bookmarkEnd w:id="331"/>
      <w:bookmarkStart w:id="332" w:name="_Toc184308070"/>
      <w:bookmarkEnd w:id="332"/>
      <w:bookmarkStart w:id="333" w:name="_Toc184308082"/>
      <w:bookmarkEnd w:id="333"/>
      <w:bookmarkStart w:id="334" w:name="_Toc184314463"/>
      <w:bookmarkEnd w:id="334"/>
      <w:bookmarkStart w:id="335" w:name="_Toc184312078"/>
      <w:bookmarkEnd w:id="335"/>
      <w:bookmarkStart w:id="336" w:name="_Toc184308074"/>
      <w:bookmarkEnd w:id="336"/>
      <w:bookmarkStart w:id="337" w:name="_Toc184314416"/>
      <w:bookmarkEnd w:id="337"/>
      <w:bookmarkStart w:id="338" w:name="_Toc184313266"/>
      <w:bookmarkEnd w:id="338"/>
      <w:bookmarkStart w:id="339" w:name="_Toc184314467"/>
      <w:bookmarkEnd w:id="339"/>
      <w:bookmarkStart w:id="340" w:name="_Toc184310281"/>
      <w:bookmarkEnd w:id="340"/>
      <w:bookmarkStart w:id="341" w:name="_Toc184310295"/>
      <w:bookmarkEnd w:id="341"/>
      <w:bookmarkStart w:id="342" w:name="_Toc184312115"/>
      <w:bookmarkEnd w:id="342"/>
      <w:bookmarkStart w:id="343" w:name="_Toc184308089"/>
      <w:bookmarkEnd w:id="343"/>
      <w:bookmarkStart w:id="344" w:name="_Toc184312123"/>
      <w:bookmarkEnd w:id="344"/>
      <w:bookmarkStart w:id="345" w:name="_Toc184308044"/>
      <w:bookmarkEnd w:id="345"/>
      <w:bookmarkStart w:id="346" w:name="_Toc184312128"/>
      <w:bookmarkEnd w:id="346"/>
      <w:bookmarkStart w:id="347" w:name="_Toc184310325"/>
      <w:bookmarkEnd w:id="347"/>
      <w:bookmarkStart w:id="348" w:name="_Toc184308077"/>
      <w:bookmarkEnd w:id="348"/>
      <w:bookmarkStart w:id="349" w:name="_Toc184312100"/>
      <w:bookmarkEnd w:id="349"/>
      <w:bookmarkStart w:id="350" w:name="_Toc184308050"/>
      <w:bookmarkEnd w:id="350"/>
      <w:bookmarkStart w:id="351" w:name="_Toc184313260"/>
      <w:bookmarkEnd w:id="351"/>
      <w:bookmarkStart w:id="352" w:name="_Toc184310316"/>
      <w:bookmarkEnd w:id="352"/>
      <w:bookmarkStart w:id="353" w:name="_Toc184310301"/>
      <w:bookmarkEnd w:id="353"/>
      <w:bookmarkStart w:id="354" w:name="_Toc184308055"/>
      <w:bookmarkEnd w:id="354"/>
      <w:bookmarkStart w:id="355" w:name="_Toc184314412"/>
      <w:bookmarkEnd w:id="355"/>
      <w:bookmarkStart w:id="356" w:name="_Toc184314453"/>
      <w:bookmarkEnd w:id="356"/>
      <w:bookmarkStart w:id="357" w:name="_Toc184310292"/>
      <w:bookmarkEnd w:id="357"/>
      <w:bookmarkStart w:id="358" w:name="_Toc184308097"/>
      <w:bookmarkEnd w:id="358"/>
      <w:bookmarkStart w:id="359" w:name="_Toc184313265"/>
      <w:bookmarkEnd w:id="359"/>
      <w:bookmarkStart w:id="360" w:name="_Toc184314468"/>
      <w:bookmarkEnd w:id="360"/>
      <w:bookmarkStart w:id="361" w:name="_Toc184312072"/>
      <w:bookmarkEnd w:id="361"/>
      <w:bookmarkStart w:id="362" w:name="_Toc184313244"/>
      <w:bookmarkEnd w:id="362"/>
      <w:bookmarkStart w:id="363" w:name="_Toc184313241"/>
      <w:bookmarkEnd w:id="363"/>
      <w:bookmarkStart w:id="364" w:name="_Toc184314442"/>
      <w:bookmarkEnd w:id="364"/>
      <w:bookmarkStart w:id="365" w:name="_Toc184312135"/>
      <w:bookmarkEnd w:id="365"/>
      <w:bookmarkStart w:id="366" w:name="_Toc184314433"/>
      <w:bookmarkEnd w:id="366"/>
      <w:bookmarkStart w:id="367" w:name="_Toc184313264"/>
      <w:bookmarkEnd w:id="367"/>
      <w:bookmarkStart w:id="368" w:name="_Toc184310334"/>
      <w:bookmarkEnd w:id="368"/>
      <w:bookmarkStart w:id="369" w:name="_Toc184310329"/>
      <w:bookmarkEnd w:id="369"/>
      <w:bookmarkStart w:id="370" w:name="_Toc184308091"/>
      <w:bookmarkEnd w:id="370"/>
      <w:bookmarkStart w:id="371" w:name="_Toc184312119"/>
      <w:bookmarkEnd w:id="371"/>
      <w:bookmarkStart w:id="372" w:name="_Toc184314451"/>
      <w:bookmarkEnd w:id="372"/>
      <w:bookmarkStart w:id="373" w:name="_Toc184314475"/>
      <w:bookmarkEnd w:id="373"/>
      <w:bookmarkStart w:id="374" w:name="_Toc184314446"/>
      <w:bookmarkEnd w:id="374"/>
      <w:bookmarkStart w:id="375" w:name="_Toc184310296"/>
      <w:bookmarkEnd w:id="375"/>
      <w:bookmarkStart w:id="376" w:name="_Toc184310304"/>
      <w:bookmarkEnd w:id="376"/>
      <w:bookmarkStart w:id="377" w:name="_Toc184312094"/>
      <w:bookmarkEnd w:id="377"/>
      <w:bookmarkStart w:id="378" w:name="_Toc184308047"/>
      <w:bookmarkEnd w:id="378"/>
      <w:bookmarkStart w:id="379" w:name="_Toc184310324"/>
      <w:bookmarkEnd w:id="379"/>
      <w:bookmarkStart w:id="380" w:name="_Toc184314429"/>
      <w:bookmarkEnd w:id="380"/>
      <w:bookmarkStart w:id="381" w:name="_Toc184308098"/>
      <w:bookmarkEnd w:id="381"/>
      <w:bookmarkStart w:id="382" w:name="_Toc184314478"/>
      <w:bookmarkEnd w:id="382"/>
      <w:bookmarkStart w:id="383" w:name="_Toc184310280"/>
      <w:bookmarkEnd w:id="383"/>
      <w:bookmarkStart w:id="384" w:name="_Toc184313309"/>
      <w:bookmarkEnd w:id="384"/>
      <w:r>
        <w:rPr>
          <w:rFonts w:hint="eastAsia" w:ascii="宋体" w:hAnsi="宋体" w:cs="宋体"/>
          <w:b/>
          <w:color w:val="000000" w:themeColor="text1"/>
          <w:sz w:val="36"/>
          <w:szCs w:val="36"/>
          <w14:textFill>
            <w14:solidFill>
              <w14:schemeClr w14:val="tx1"/>
            </w14:solidFill>
          </w14:textFill>
        </w:rPr>
        <w:t xml:space="preserve"> 评标办法</w:t>
      </w:r>
      <w:bookmarkEnd w:id="19"/>
    </w:p>
    <w:p w14:paraId="6A52897F">
      <w:pPr>
        <w:snapToGrid w:val="0"/>
        <w:spacing w:line="360" w:lineRule="auto"/>
        <w:jc w:val="center"/>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tbl>
      <w:tblPr>
        <w:tblStyle w:val="6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25"/>
        <w:gridCol w:w="1196"/>
        <w:gridCol w:w="6639"/>
      </w:tblGrid>
      <w:tr w14:paraId="52E6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48" w:type="dxa"/>
            <w:noWrap/>
            <w:vAlign w:val="center"/>
          </w:tcPr>
          <w:p w14:paraId="1BF44B30">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b/>
                <w:color w:val="000000"/>
                <w:szCs w:val="21"/>
              </w:rPr>
            </w:pPr>
            <w:r>
              <w:rPr>
                <w:rFonts w:hint="eastAsia" w:ascii="宋体" w:hAnsi="宋体" w:cs="宋体"/>
                <w:b/>
                <w:color w:val="000000"/>
                <w:szCs w:val="21"/>
              </w:rPr>
              <w:t>序号</w:t>
            </w:r>
          </w:p>
        </w:tc>
        <w:tc>
          <w:tcPr>
            <w:tcW w:w="1125" w:type="dxa"/>
            <w:noWrap/>
            <w:vAlign w:val="center"/>
          </w:tcPr>
          <w:p w14:paraId="0B2BF7F1">
            <w:pPr>
              <w:keepNext w:val="0"/>
              <w:keepLines w:val="0"/>
              <w:pageBreakBefore w:val="0"/>
              <w:kinsoku/>
              <w:wordWrap/>
              <w:overflowPunct/>
              <w:topLinePunct w:val="0"/>
              <w:autoSpaceDE/>
              <w:autoSpaceDN/>
              <w:bidi w:val="0"/>
              <w:adjustRightInd w:val="0"/>
              <w:spacing w:line="360" w:lineRule="exact"/>
              <w:jc w:val="center"/>
              <w:textAlignment w:val="baseline"/>
              <w:rPr>
                <w:rFonts w:ascii="宋体" w:hAnsi="宋体" w:cs="宋体"/>
                <w:b/>
                <w:color w:val="000000"/>
                <w:szCs w:val="21"/>
              </w:rPr>
            </w:pPr>
            <w:r>
              <w:rPr>
                <w:rFonts w:hint="eastAsia" w:ascii="宋体" w:hAnsi="宋体" w:cs="宋体"/>
                <w:b/>
                <w:color w:val="000000"/>
                <w:szCs w:val="21"/>
              </w:rPr>
              <w:t>分值设置</w:t>
            </w:r>
          </w:p>
        </w:tc>
        <w:tc>
          <w:tcPr>
            <w:tcW w:w="1196" w:type="dxa"/>
            <w:noWrap/>
            <w:vAlign w:val="center"/>
          </w:tcPr>
          <w:p w14:paraId="78014C9B">
            <w:pPr>
              <w:keepNext w:val="0"/>
              <w:keepLines w:val="0"/>
              <w:pageBreakBefore w:val="0"/>
              <w:kinsoku/>
              <w:wordWrap/>
              <w:overflowPunct/>
              <w:topLinePunct w:val="0"/>
              <w:autoSpaceDE/>
              <w:autoSpaceDN/>
              <w:bidi w:val="0"/>
              <w:adjustRightInd w:val="0"/>
              <w:spacing w:line="360" w:lineRule="exact"/>
              <w:jc w:val="center"/>
              <w:textAlignment w:val="baseline"/>
              <w:rPr>
                <w:rFonts w:ascii="宋体" w:hAnsi="宋体" w:cs="宋体"/>
                <w:b/>
                <w:color w:val="000000"/>
                <w:szCs w:val="21"/>
              </w:rPr>
            </w:pPr>
            <w:r>
              <w:rPr>
                <w:rFonts w:hint="eastAsia" w:ascii="宋体" w:hAnsi="宋体" w:cs="宋体"/>
                <w:b/>
                <w:color w:val="000000"/>
                <w:szCs w:val="21"/>
              </w:rPr>
              <w:t>评审因素</w:t>
            </w:r>
          </w:p>
        </w:tc>
        <w:tc>
          <w:tcPr>
            <w:tcW w:w="6639" w:type="dxa"/>
            <w:noWrap/>
            <w:vAlign w:val="center"/>
          </w:tcPr>
          <w:p w14:paraId="75662BD5">
            <w:pPr>
              <w:keepNext w:val="0"/>
              <w:keepLines w:val="0"/>
              <w:pageBreakBefore w:val="0"/>
              <w:kinsoku/>
              <w:wordWrap/>
              <w:overflowPunct/>
              <w:topLinePunct w:val="0"/>
              <w:autoSpaceDE/>
              <w:autoSpaceDN/>
              <w:bidi w:val="0"/>
              <w:adjustRightInd w:val="0"/>
              <w:spacing w:line="360" w:lineRule="exact"/>
              <w:jc w:val="center"/>
              <w:textAlignment w:val="baseline"/>
              <w:rPr>
                <w:rFonts w:ascii="宋体" w:hAnsi="宋体" w:cs="宋体"/>
                <w:b/>
                <w:color w:val="000000"/>
                <w:szCs w:val="21"/>
              </w:rPr>
            </w:pPr>
            <w:r>
              <w:rPr>
                <w:rFonts w:hint="eastAsia" w:ascii="宋体" w:hAnsi="宋体" w:cs="宋体"/>
                <w:b/>
                <w:color w:val="000000"/>
                <w:szCs w:val="21"/>
              </w:rPr>
              <w:t>评标标准</w:t>
            </w:r>
          </w:p>
        </w:tc>
      </w:tr>
      <w:tr w14:paraId="1D2E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noWrap/>
            <w:vAlign w:val="center"/>
          </w:tcPr>
          <w:p w14:paraId="0BBA7AB5">
            <w:pPr>
              <w:keepNext w:val="0"/>
              <w:keepLines w:val="0"/>
              <w:pageBreakBefore w:val="0"/>
              <w:kinsoku/>
              <w:wordWrap/>
              <w:overflowPunct/>
              <w:topLinePunct w:val="0"/>
              <w:autoSpaceDE/>
              <w:autoSpaceDN/>
              <w:bidi w:val="0"/>
              <w:adjustRightInd w:val="0"/>
              <w:spacing w:line="360" w:lineRule="exact"/>
              <w:jc w:val="center"/>
              <w:textAlignment w:val="baseline"/>
              <w:rPr>
                <w:rFonts w:ascii="宋体" w:hAnsi="宋体" w:cs="宋体"/>
                <w:color w:val="000000"/>
                <w:szCs w:val="21"/>
              </w:rPr>
            </w:pPr>
            <w:r>
              <w:rPr>
                <w:rFonts w:hint="eastAsia" w:ascii="宋体" w:hAnsi="宋体" w:cs="宋体"/>
                <w:color w:val="000000"/>
                <w:szCs w:val="21"/>
              </w:rPr>
              <w:t>1</w:t>
            </w:r>
          </w:p>
        </w:tc>
        <w:tc>
          <w:tcPr>
            <w:tcW w:w="1125" w:type="dxa"/>
            <w:noWrap/>
            <w:vAlign w:val="center"/>
          </w:tcPr>
          <w:p w14:paraId="08E21546">
            <w:pPr>
              <w:keepNext w:val="0"/>
              <w:keepLines w:val="0"/>
              <w:pageBreakBefore w:val="0"/>
              <w:kinsoku/>
              <w:wordWrap/>
              <w:overflowPunct/>
              <w:topLinePunct w:val="0"/>
              <w:autoSpaceDE/>
              <w:autoSpaceDN/>
              <w:bidi w:val="0"/>
              <w:adjustRightInd w:val="0"/>
              <w:spacing w:line="360" w:lineRule="exact"/>
              <w:jc w:val="center"/>
              <w:textAlignment w:val="baseline"/>
              <w:rPr>
                <w:rFonts w:ascii="宋体" w:hAnsi="宋体" w:cs="宋体"/>
                <w:b/>
                <w:color w:val="000000"/>
                <w:szCs w:val="21"/>
              </w:rPr>
            </w:pPr>
            <w:r>
              <w:rPr>
                <w:rFonts w:hint="eastAsia" w:ascii="宋体" w:hAnsi="宋体" w:cs="宋体"/>
                <w:b/>
                <w:color w:val="000000"/>
                <w:szCs w:val="21"/>
              </w:rPr>
              <w:t>价格分</w:t>
            </w:r>
          </w:p>
          <w:p w14:paraId="0DA1F5E0">
            <w:pPr>
              <w:keepNext w:val="0"/>
              <w:keepLines w:val="0"/>
              <w:pageBreakBefore w:val="0"/>
              <w:kinsoku/>
              <w:wordWrap/>
              <w:overflowPunct/>
              <w:topLinePunct w:val="0"/>
              <w:autoSpaceDE/>
              <w:autoSpaceDN/>
              <w:bidi w:val="0"/>
              <w:adjustRightInd w:val="0"/>
              <w:spacing w:line="360" w:lineRule="exact"/>
              <w:jc w:val="center"/>
              <w:textAlignment w:val="baseline"/>
              <w:rPr>
                <w:rFonts w:ascii="宋体" w:hAnsi="宋体" w:cs="宋体"/>
                <w:b/>
                <w:color w:val="000000"/>
                <w:szCs w:val="21"/>
              </w:rPr>
            </w:pPr>
            <w:r>
              <w:rPr>
                <w:rFonts w:hint="eastAsia" w:ascii="宋体" w:hAnsi="宋体" w:cs="宋体"/>
                <w:b/>
                <w:color w:val="000000"/>
                <w:szCs w:val="21"/>
              </w:rPr>
              <w:t>（满分</w:t>
            </w:r>
            <w:r>
              <w:rPr>
                <w:rFonts w:hint="eastAsia" w:ascii="宋体" w:hAnsi="宋体" w:cs="宋体"/>
                <w:b/>
                <w:color w:val="000000"/>
                <w:szCs w:val="21"/>
                <w:lang w:val="en-US" w:eastAsia="zh-CN"/>
              </w:rPr>
              <w:t>10</w:t>
            </w:r>
            <w:r>
              <w:rPr>
                <w:rFonts w:hint="eastAsia" w:ascii="宋体" w:hAnsi="宋体" w:cs="宋体"/>
                <w:b/>
                <w:color w:val="000000"/>
                <w:szCs w:val="21"/>
              </w:rPr>
              <w:t>分）</w:t>
            </w:r>
          </w:p>
        </w:tc>
        <w:tc>
          <w:tcPr>
            <w:tcW w:w="1196" w:type="dxa"/>
            <w:noWrap/>
            <w:vAlign w:val="center"/>
          </w:tcPr>
          <w:p w14:paraId="1E2B931D">
            <w:pPr>
              <w:keepNext w:val="0"/>
              <w:keepLines w:val="0"/>
              <w:pageBreakBefore w:val="0"/>
              <w:kinsoku/>
              <w:wordWrap/>
              <w:overflowPunct/>
              <w:topLinePunct w:val="0"/>
              <w:autoSpaceDE/>
              <w:autoSpaceDN/>
              <w:bidi w:val="0"/>
              <w:adjustRightInd w:val="0"/>
              <w:spacing w:line="360" w:lineRule="exact"/>
              <w:jc w:val="center"/>
              <w:textAlignment w:val="baseline"/>
              <w:rPr>
                <w:rFonts w:ascii="宋体" w:hAnsi="宋体" w:cs="宋体"/>
                <w:bCs/>
                <w:color w:val="000000"/>
                <w:szCs w:val="21"/>
              </w:rPr>
            </w:pPr>
            <w:r>
              <w:rPr>
                <w:rFonts w:hint="eastAsia" w:ascii="宋体" w:hAnsi="宋体" w:cs="宋体"/>
                <w:bCs/>
                <w:color w:val="000000"/>
                <w:szCs w:val="21"/>
              </w:rPr>
              <w:t>投标报价</w:t>
            </w:r>
          </w:p>
        </w:tc>
        <w:tc>
          <w:tcPr>
            <w:tcW w:w="6639" w:type="dxa"/>
            <w:noWrap/>
            <w:vAlign w:val="center"/>
          </w:tcPr>
          <w:p w14:paraId="5AE228B3">
            <w:pPr>
              <w:pStyle w:val="82"/>
              <w:keepNext w:val="0"/>
              <w:keepLines w:val="0"/>
              <w:pageBreakBefore w:val="0"/>
              <w:kinsoku/>
              <w:wordWrap/>
              <w:overflowPunct/>
              <w:topLinePunct w:val="0"/>
              <w:autoSpaceDE/>
              <w:autoSpaceDN/>
              <w:bidi w:val="0"/>
              <w:adjustRightInd w:val="0"/>
              <w:spacing w:line="360" w:lineRule="exact"/>
              <w:rPr>
                <w:rFonts w:cs="宋体"/>
                <w:bCs/>
                <w:sz w:val="21"/>
                <w:szCs w:val="21"/>
              </w:rPr>
            </w:pPr>
            <w:r>
              <w:rPr>
                <w:rFonts w:hint="eastAsia" w:cs="宋体"/>
                <w:bCs/>
                <w:sz w:val="21"/>
                <w:szCs w:val="21"/>
              </w:rPr>
              <w:t>本项目为专门面向中小企业采购的项目，按照《政府采购促进中小企业发展管理办法》（财库〔2020〕46 号）的规定，在其投标文件中提供《中小企业声明函》，且服务全部由符合政策要求的小型、微型企业承接的，对其投标报价不再执行价格评审优惠的扶持政策。即评标价=投标报价。</w:t>
            </w:r>
          </w:p>
          <w:p w14:paraId="6C113BFB">
            <w:pPr>
              <w:pStyle w:val="82"/>
              <w:keepNext w:val="0"/>
              <w:keepLines w:val="0"/>
              <w:pageBreakBefore w:val="0"/>
              <w:kinsoku/>
              <w:wordWrap/>
              <w:overflowPunct/>
              <w:topLinePunct w:val="0"/>
              <w:autoSpaceDE/>
              <w:autoSpaceDN/>
              <w:bidi w:val="0"/>
              <w:adjustRightInd w:val="0"/>
              <w:spacing w:line="360" w:lineRule="exact"/>
              <w:rPr>
                <w:rFonts w:cs="宋体"/>
                <w:bCs/>
                <w:sz w:val="21"/>
                <w:szCs w:val="21"/>
              </w:rPr>
            </w:pPr>
            <w:r>
              <w:rPr>
                <w:rFonts w:hint="eastAsia" w:cs="宋体"/>
                <w:bCs/>
                <w:sz w:val="21"/>
                <w:szCs w:val="21"/>
              </w:rPr>
              <w:t>服务提供企业按《关于政府采购支持监狱企业发展有关问题的通知》(财库〔2014〕68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3866371D">
            <w:pPr>
              <w:pStyle w:val="82"/>
              <w:keepNext w:val="0"/>
              <w:keepLines w:val="0"/>
              <w:pageBreakBefore w:val="0"/>
              <w:kinsoku/>
              <w:wordWrap/>
              <w:overflowPunct/>
              <w:topLinePunct w:val="0"/>
              <w:autoSpaceDE/>
              <w:autoSpaceDN/>
              <w:bidi w:val="0"/>
              <w:adjustRightInd w:val="0"/>
              <w:spacing w:line="360" w:lineRule="exact"/>
              <w:rPr>
                <w:rFonts w:cs="宋体"/>
                <w:bCs/>
                <w:sz w:val="21"/>
                <w:szCs w:val="21"/>
              </w:rPr>
            </w:pPr>
            <w:r>
              <w:rPr>
                <w:rFonts w:hint="eastAsia" w:cs="宋体"/>
                <w:bCs/>
                <w:sz w:val="21"/>
                <w:szCs w:val="21"/>
              </w:rPr>
              <w:t>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5051CCD">
            <w:pPr>
              <w:pStyle w:val="82"/>
              <w:keepNext w:val="0"/>
              <w:keepLines w:val="0"/>
              <w:pageBreakBefore w:val="0"/>
              <w:kinsoku/>
              <w:wordWrap/>
              <w:overflowPunct/>
              <w:topLinePunct w:val="0"/>
              <w:autoSpaceDE/>
              <w:autoSpaceDN/>
              <w:bidi w:val="0"/>
              <w:adjustRightInd w:val="0"/>
              <w:spacing w:line="360" w:lineRule="exact"/>
              <w:rPr>
                <w:rFonts w:cs="宋体"/>
                <w:bCs/>
                <w:sz w:val="21"/>
                <w:szCs w:val="21"/>
              </w:rPr>
            </w:pPr>
            <w:r>
              <w:rPr>
                <w:rFonts w:hint="eastAsia" w:cs="宋体"/>
                <w:bCs/>
                <w:sz w:val="21"/>
                <w:szCs w:val="21"/>
              </w:rPr>
              <w:t>（1）以进入综合评分环节的最低的评标报价为基准价，基准价报价得分为</w:t>
            </w:r>
            <w:r>
              <w:rPr>
                <w:rFonts w:hint="eastAsia" w:cs="宋体"/>
                <w:bCs/>
                <w:sz w:val="21"/>
                <w:szCs w:val="21"/>
                <w:lang w:val="en-US" w:eastAsia="zh-CN"/>
              </w:rPr>
              <w:t>1</w:t>
            </w:r>
            <w:r>
              <w:rPr>
                <w:rFonts w:hint="eastAsia" w:cs="宋体"/>
                <w:bCs/>
                <w:sz w:val="21"/>
                <w:szCs w:val="21"/>
              </w:rPr>
              <w:t>0分。</w:t>
            </w:r>
          </w:p>
          <w:p w14:paraId="317C977C">
            <w:pPr>
              <w:pStyle w:val="82"/>
              <w:keepNext w:val="0"/>
              <w:keepLines w:val="0"/>
              <w:pageBreakBefore w:val="0"/>
              <w:kinsoku/>
              <w:wordWrap/>
              <w:overflowPunct/>
              <w:topLinePunct w:val="0"/>
              <w:autoSpaceDE/>
              <w:autoSpaceDN/>
              <w:bidi w:val="0"/>
              <w:adjustRightInd w:val="0"/>
              <w:spacing w:line="360" w:lineRule="exact"/>
              <w:rPr>
                <w:rFonts w:cs="宋体"/>
                <w:bCs/>
                <w:sz w:val="21"/>
                <w:szCs w:val="21"/>
              </w:rPr>
            </w:pPr>
            <w:r>
              <w:rPr>
                <w:rFonts w:hint="eastAsia" w:cs="宋体"/>
                <w:bCs/>
                <w:sz w:val="21"/>
                <w:szCs w:val="21"/>
              </w:rPr>
              <w:t xml:space="preserve">（2）价格分计算公式：       </w:t>
            </w:r>
          </w:p>
          <w:p w14:paraId="12F76581">
            <w:pPr>
              <w:keepNext w:val="0"/>
              <w:keepLines w:val="0"/>
              <w:pageBreakBefore w:val="0"/>
              <w:kinsoku/>
              <w:wordWrap/>
              <w:overflowPunct/>
              <w:topLinePunct w:val="0"/>
              <w:autoSpaceDE/>
              <w:autoSpaceDN/>
              <w:bidi w:val="0"/>
              <w:adjustRightInd w:val="0"/>
              <w:spacing w:line="360" w:lineRule="exact"/>
              <w:ind w:firstLine="233" w:firstLineChars="111"/>
              <w:rPr>
                <w:rFonts w:ascii="宋体" w:hAnsi="宋体" w:cs="宋体"/>
                <w:bCs/>
                <w:color w:val="000000"/>
                <w:szCs w:val="21"/>
              </w:rPr>
            </w:pPr>
            <w:r>
              <w:rPr>
                <w:rFonts w:hint="eastAsia" w:ascii="宋体" w:hAnsi="宋体" w:cs="宋体"/>
                <w:bCs/>
                <w:szCs w:val="21"/>
              </w:rPr>
              <w:t>价格分=（评标基准价/评标报价）×</w:t>
            </w:r>
            <w:r>
              <w:rPr>
                <w:rFonts w:hint="eastAsia" w:ascii="宋体" w:hAnsi="宋体" w:cs="宋体"/>
                <w:bCs/>
                <w:szCs w:val="21"/>
                <w:lang w:val="en-US" w:eastAsia="zh-CN"/>
              </w:rPr>
              <w:t>10</w:t>
            </w:r>
            <w:r>
              <w:rPr>
                <w:rFonts w:hint="eastAsia" w:ascii="宋体" w:hAnsi="宋体" w:cs="宋体"/>
                <w:bCs/>
                <w:szCs w:val="21"/>
              </w:rPr>
              <w:t>分</w:t>
            </w:r>
          </w:p>
          <w:p w14:paraId="2619AD2E">
            <w:pPr>
              <w:keepNext w:val="0"/>
              <w:keepLines w:val="0"/>
              <w:pageBreakBefore w:val="0"/>
              <w:kinsoku/>
              <w:wordWrap/>
              <w:overflowPunct/>
              <w:topLinePunct w:val="0"/>
              <w:autoSpaceDE/>
              <w:autoSpaceDN/>
              <w:bidi w:val="0"/>
              <w:adjustRightInd w:val="0"/>
              <w:spacing w:line="360" w:lineRule="exact"/>
              <w:rPr>
                <w:rFonts w:ascii="宋体" w:hAnsi="宋体" w:cs="宋体"/>
                <w:b/>
                <w:color w:val="000000"/>
                <w:szCs w:val="21"/>
                <w:u w:val="single"/>
              </w:rPr>
            </w:pPr>
          </w:p>
          <w:p w14:paraId="41B36594">
            <w:pPr>
              <w:keepNext w:val="0"/>
              <w:keepLines w:val="0"/>
              <w:pageBreakBefore w:val="0"/>
              <w:kinsoku/>
              <w:wordWrap/>
              <w:overflowPunct/>
              <w:topLinePunct w:val="0"/>
              <w:autoSpaceDE/>
              <w:autoSpaceDN/>
              <w:bidi w:val="0"/>
              <w:adjustRightInd w:val="0"/>
              <w:spacing w:line="360" w:lineRule="exact"/>
              <w:ind w:firstLine="422" w:firstLineChars="200"/>
              <w:rPr>
                <w:rFonts w:ascii="宋体" w:hAnsi="宋体" w:cs="宋体"/>
                <w:bCs/>
                <w:color w:val="000000"/>
                <w:szCs w:val="21"/>
              </w:rPr>
            </w:pPr>
            <w:r>
              <w:rPr>
                <w:rFonts w:hint="eastAsia" w:ascii="宋体" w:hAnsi="宋体" w:cs="宋体"/>
                <w:b/>
                <w:color w:val="000000"/>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 证明其报价合理性的，评标委员会应当将其作为无效投标处理。</w:t>
            </w:r>
          </w:p>
        </w:tc>
      </w:tr>
      <w:tr w14:paraId="09A9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vMerge w:val="restart"/>
            <w:noWrap/>
            <w:vAlign w:val="center"/>
          </w:tcPr>
          <w:p w14:paraId="57D72160">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ascii="宋体" w:hAnsi="宋体" w:cs="宋体"/>
                <w:color w:val="000000"/>
                <w:szCs w:val="21"/>
              </w:rPr>
            </w:pPr>
            <w:r>
              <w:rPr>
                <w:rFonts w:hint="eastAsia" w:ascii="宋体" w:hAnsi="宋体" w:cs="宋体"/>
                <w:color w:val="000000"/>
                <w:szCs w:val="21"/>
              </w:rPr>
              <w:t>2</w:t>
            </w:r>
          </w:p>
        </w:tc>
        <w:tc>
          <w:tcPr>
            <w:tcW w:w="1125" w:type="dxa"/>
            <w:vMerge w:val="restart"/>
            <w:noWrap/>
            <w:vAlign w:val="center"/>
          </w:tcPr>
          <w:p w14:paraId="2DF1B33B">
            <w:pPr>
              <w:keepNext w:val="0"/>
              <w:keepLines w:val="0"/>
              <w:pageBreakBefore w:val="0"/>
              <w:kinsoku/>
              <w:wordWrap/>
              <w:overflowPunct/>
              <w:topLinePunct w:val="0"/>
              <w:autoSpaceDE/>
              <w:autoSpaceDN/>
              <w:bidi w:val="0"/>
              <w:adjustRightInd w:val="0"/>
              <w:snapToGrid w:val="0"/>
              <w:spacing w:line="360" w:lineRule="exact"/>
              <w:ind w:left="-105" w:leftChars="-50" w:right="-105" w:rightChars="-50"/>
              <w:jc w:val="center"/>
              <w:textAlignment w:val="baseline"/>
              <w:rPr>
                <w:rFonts w:ascii="宋体" w:hAnsi="宋体" w:cs="宋体"/>
                <w:color w:val="000000"/>
                <w:spacing w:val="-18"/>
                <w:szCs w:val="21"/>
              </w:rPr>
            </w:pPr>
            <w:r>
              <w:rPr>
                <w:rFonts w:hint="eastAsia" w:ascii="宋体" w:hAnsi="宋体" w:cs="宋体"/>
                <w:bCs/>
                <w:color w:val="000000"/>
                <w:szCs w:val="21"/>
              </w:rPr>
              <w:t>技术分（满分</w:t>
            </w:r>
            <w:r>
              <w:rPr>
                <w:rFonts w:hint="eastAsia" w:ascii="宋体" w:hAnsi="宋体" w:cs="宋体"/>
                <w:bCs/>
                <w:color w:val="000000"/>
                <w:szCs w:val="21"/>
                <w:lang w:val="en-US" w:eastAsia="zh-CN"/>
              </w:rPr>
              <w:t>6</w:t>
            </w:r>
            <w:r>
              <w:rPr>
                <w:rFonts w:hint="eastAsia" w:ascii="宋体" w:hAnsi="宋体" w:cs="宋体"/>
                <w:bCs/>
                <w:color w:val="000000"/>
                <w:szCs w:val="21"/>
              </w:rPr>
              <w:t>3分）</w:t>
            </w:r>
          </w:p>
        </w:tc>
        <w:tc>
          <w:tcPr>
            <w:tcW w:w="1196" w:type="dxa"/>
            <w:noWrap/>
            <w:vAlign w:val="center"/>
          </w:tcPr>
          <w:p w14:paraId="30F0F085">
            <w:pPr>
              <w:keepNext w:val="0"/>
              <w:keepLines w:val="0"/>
              <w:pageBreakBefore w:val="0"/>
              <w:kinsoku/>
              <w:wordWrap/>
              <w:overflowPunct/>
              <w:topLinePunct w:val="0"/>
              <w:autoSpaceDE/>
              <w:autoSpaceDN/>
              <w:bidi w:val="0"/>
              <w:adjustRightInd w:val="0"/>
              <w:spacing w:line="360" w:lineRule="exact"/>
              <w:jc w:val="center"/>
              <w:rPr>
                <w:rFonts w:ascii="宋体" w:hAnsi="宋体" w:cs="宋体"/>
                <w:szCs w:val="21"/>
              </w:rPr>
            </w:pPr>
            <w:r>
              <w:rPr>
                <w:rFonts w:hint="eastAsia" w:ascii="宋体" w:hAnsi="宋体" w:cs="宋体"/>
                <w:bCs/>
                <w:szCs w:val="21"/>
              </w:rPr>
              <w:t>（1）人员配置方案分（满分</w:t>
            </w:r>
            <w:r>
              <w:rPr>
                <w:rFonts w:hint="eastAsia" w:ascii="宋体" w:hAnsi="宋体" w:cs="宋体"/>
                <w:bCs/>
                <w:szCs w:val="21"/>
                <w:lang w:val="en-US" w:eastAsia="zh-CN"/>
              </w:rPr>
              <w:t>10</w:t>
            </w:r>
            <w:r>
              <w:rPr>
                <w:rFonts w:hint="eastAsia" w:ascii="宋体" w:hAnsi="宋体" w:cs="宋体"/>
                <w:szCs w:val="21"/>
              </w:rPr>
              <w:t>分）</w:t>
            </w:r>
          </w:p>
        </w:tc>
        <w:tc>
          <w:tcPr>
            <w:tcW w:w="6639" w:type="dxa"/>
            <w:noWrap/>
            <w:vAlign w:val="center"/>
          </w:tcPr>
          <w:p w14:paraId="792BBA93">
            <w:pPr>
              <w:keepNext w:val="0"/>
              <w:keepLines w:val="0"/>
              <w:pageBreakBefore w:val="0"/>
              <w:widowControl/>
              <w:kinsoku/>
              <w:wordWrap/>
              <w:overflowPunct/>
              <w:topLinePunct w:val="0"/>
              <w:autoSpaceDE/>
              <w:autoSpaceDN/>
              <w:bidi w:val="0"/>
              <w:adjustRightInd w:val="0"/>
              <w:spacing w:line="360" w:lineRule="exact"/>
              <w:rPr>
                <w:rFonts w:ascii="宋体" w:hAnsi="宋体" w:cs="宋体"/>
                <w:bCs/>
                <w:szCs w:val="21"/>
              </w:rPr>
            </w:pPr>
            <w:r>
              <w:rPr>
                <w:rFonts w:hint="eastAsia" w:ascii="宋体" w:hAnsi="宋体" w:cs="宋体"/>
                <w:bCs/>
                <w:szCs w:val="21"/>
              </w:rPr>
              <w:t>根据各投标人针对本项目制定人员管理方案进行打分。不提供不得分。</w:t>
            </w:r>
          </w:p>
          <w:p w14:paraId="49173FFC">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szCs w:val="21"/>
              </w:rPr>
            </w:pPr>
            <w:r>
              <w:rPr>
                <w:rFonts w:hint="eastAsia" w:ascii="宋体" w:hAnsi="宋体" w:cs="宋体"/>
                <w:bCs/>
                <w:szCs w:val="21"/>
              </w:rPr>
              <w:t>一档（3分）：为本项目制订配置有人员及其人员的管理一般，基本满足项目需求；</w:t>
            </w:r>
          </w:p>
          <w:p w14:paraId="4F64F1DE">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szCs w:val="21"/>
              </w:rPr>
            </w:pPr>
            <w:r>
              <w:rPr>
                <w:rFonts w:hint="eastAsia" w:ascii="宋体" w:hAnsi="宋体" w:cs="宋体"/>
                <w:bCs/>
                <w:szCs w:val="21"/>
              </w:rPr>
              <w:t>二档（6分）：为本项目制订有人员配置方案详细、可行，各类人员数量，各岗人员的配置合理，服务人员的培训满足项目实际需要。</w:t>
            </w:r>
          </w:p>
          <w:p w14:paraId="045B3CCA">
            <w:pPr>
              <w:keepNext w:val="0"/>
              <w:keepLines w:val="0"/>
              <w:pageBreakBefore w:val="0"/>
              <w:widowControl/>
              <w:kinsoku/>
              <w:wordWrap/>
              <w:overflowPunct/>
              <w:topLinePunct w:val="0"/>
              <w:autoSpaceDE/>
              <w:autoSpaceDN/>
              <w:bidi w:val="0"/>
              <w:adjustRightInd w:val="0"/>
              <w:spacing w:line="360" w:lineRule="exact"/>
              <w:rPr>
                <w:rFonts w:ascii="宋体" w:hAnsi="宋体" w:cs="宋体"/>
                <w:bCs/>
                <w:szCs w:val="21"/>
              </w:rPr>
            </w:pPr>
            <w:r>
              <w:rPr>
                <w:rFonts w:hint="eastAsia" w:ascii="宋体" w:hAnsi="宋体" w:cs="宋体"/>
                <w:bCs/>
                <w:szCs w:val="21"/>
              </w:rPr>
              <w:t xml:space="preserve">   三档（</w:t>
            </w:r>
            <w:r>
              <w:rPr>
                <w:rFonts w:hint="eastAsia" w:ascii="宋体" w:hAnsi="宋体" w:cs="宋体"/>
                <w:bCs/>
                <w:szCs w:val="21"/>
                <w:lang w:val="en-US" w:eastAsia="zh-CN"/>
              </w:rPr>
              <w:t>10</w:t>
            </w:r>
            <w:r>
              <w:rPr>
                <w:rFonts w:hint="eastAsia" w:ascii="宋体" w:hAnsi="宋体" w:cs="宋体"/>
                <w:bCs/>
                <w:szCs w:val="21"/>
              </w:rPr>
              <w:t>分）：</w:t>
            </w:r>
            <w:r>
              <w:rPr>
                <w:rFonts w:hint="eastAsia" w:ascii="宋体" w:hAnsi="宋体" w:cs="宋体"/>
                <w:bCs/>
                <w:szCs w:val="21"/>
                <w:lang w:eastAsia="zh-CN"/>
              </w:rPr>
              <w:t>在二档基础上，</w:t>
            </w:r>
            <w:r>
              <w:rPr>
                <w:rFonts w:hint="eastAsia" w:ascii="宋体" w:hAnsi="宋体" w:eastAsia="宋体" w:cs="宋体"/>
                <w:bCs/>
                <w:szCs w:val="21"/>
              </w:rPr>
              <w:t>为本项目制订有人员配置方案详细、可行，各类人员数量，各岗人员的配置合理，服务人员的培训满足项目实际需要。各类人员</w:t>
            </w:r>
            <w:r>
              <w:rPr>
                <w:rFonts w:hint="eastAsia" w:ascii="宋体" w:hAnsi="宋体" w:eastAsia="宋体" w:cs="宋体"/>
                <w:bCs/>
                <w:szCs w:val="21"/>
                <w:lang w:val="en-US" w:eastAsia="zh-CN"/>
              </w:rPr>
              <w:t>言行规范、仪容仪表、</w:t>
            </w:r>
            <w:r>
              <w:rPr>
                <w:rFonts w:hint="eastAsia" w:ascii="宋体" w:hAnsi="宋体" w:eastAsia="宋体" w:cs="宋体"/>
                <w:bCs/>
                <w:szCs w:val="21"/>
              </w:rPr>
              <w:t>有考核方式、考核标准、奖惩措施。服务人员的管理满足项目实际需要，满足项目服务需求。</w:t>
            </w:r>
            <w:r>
              <w:rPr>
                <w:rFonts w:hint="default" w:ascii="宋体" w:hAnsi="宋体" w:cs="宋体"/>
                <w:bCs/>
                <w:szCs w:val="21"/>
                <w:lang w:eastAsia="zh-CN"/>
              </w:rPr>
              <w:t>拟投入</w:t>
            </w:r>
            <w:r>
              <w:rPr>
                <w:rFonts w:hint="eastAsia" w:ascii="宋体" w:hAnsi="宋体" w:cs="宋体"/>
                <w:bCs/>
                <w:szCs w:val="21"/>
                <w:lang w:eastAsia="zh-CN"/>
              </w:rPr>
              <w:t>本项目</w:t>
            </w:r>
            <w:r>
              <w:rPr>
                <w:rFonts w:hint="default" w:ascii="宋体" w:hAnsi="宋体" w:cs="宋体"/>
                <w:bCs/>
                <w:szCs w:val="21"/>
                <w:lang w:eastAsia="zh-CN"/>
              </w:rPr>
              <w:t>的</w:t>
            </w:r>
            <w:r>
              <w:rPr>
                <w:rFonts w:hint="eastAsia" w:ascii="宋体" w:hAnsi="宋体" w:eastAsia="宋体" w:cs="宋体"/>
                <w:bCs/>
                <w:szCs w:val="21"/>
                <w:lang w:eastAsia="zh-CN"/>
              </w:rPr>
              <w:t>保安</w:t>
            </w:r>
            <w:r>
              <w:rPr>
                <w:rFonts w:hint="eastAsia" w:ascii="宋体" w:hAnsi="宋体" w:cs="宋体"/>
                <w:bCs/>
                <w:szCs w:val="21"/>
                <w:lang w:eastAsia="zh-CN"/>
              </w:rPr>
              <w:t>人员均</w:t>
            </w:r>
            <w:r>
              <w:rPr>
                <w:rFonts w:hint="eastAsia" w:ascii="宋体" w:hAnsi="宋体" w:eastAsia="宋体" w:cs="宋体"/>
                <w:bCs/>
                <w:szCs w:val="21"/>
                <w:lang w:eastAsia="zh-CN"/>
              </w:rPr>
              <w:t>持有公安机关颁发的保安员证</w:t>
            </w:r>
            <w:r>
              <w:rPr>
                <w:rFonts w:hint="eastAsia" w:ascii="宋体" w:hAnsi="宋体" w:cs="宋体"/>
                <w:bCs/>
                <w:szCs w:val="21"/>
                <w:lang w:eastAsia="zh-CN"/>
              </w:rPr>
              <w:t>（</w:t>
            </w:r>
            <w:r>
              <w:rPr>
                <w:rFonts w:hint="eastAsia" w:ascii="宋体" w:hAnsi="宋体" w:cs="宋体"/>
                <w:spacing w:val="0"/>
                <w:kern w:val="2"/>
                <w:sz w:val="21"/>
                <w:szCs w:val="21"/>
                <w:lang w:val="en-US" w:eastAsia="zh-CN"/>
              </w:rPr>
              <w:t>提供证书复印件</w:t>
            </w:r>
            <w:bookmarkStart w:id="513" w:name="_GoBack"/>
            <w:bookmarkEnd w:id="513"/>
            <w:r>
              <w:rPr>
                <w:rFonts w:hint="eastAsia" w:ascii="宋体" w:hAnsi="宋体" w:cs="宋体"/>
                <w:bCs/>
                <w:szCs w:val="21"/>
                <w:lang w:eastAsia="zh-CN"/>
              </w:rPr>
              <w:t>）</w:t>
            </w:r>
            <w:r>
              <w:rPr>
                <w:rFonts w:hint="eastAsia" w:ascii="宋体" w:hAnsi="宋体" w:eastAsia="宋体" w:cs="宋体"/>
                <w:bCs/>
                <w:szCs w:val="21"/>
                <w:lang w:eastAsia="zh-CN"/>
              </w:rPr>
              <w:t>。</w:t>
            </w:r>
          </w:p>
        </w:tc>
      </w:tr>
      <w:tr w14:paraId="4B74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vMerge w:val="continue"/>
            <w:noWrap/>
            <w:vAlign w:val="center"/>
          </w:tcPr>
          <w:p w14:paraId="79787EAE">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ascii="宋体" w:hAnsi="宋体" w:cs="宋体"/>
                <w:color w:val="000000"/>
                <w:szCs w:val="21"/>
              </w:rPr>
            </w:pPr>
          </w:p>
        </w:tc>
        <w:tc>
          <w:tcPr>
            <w:tcW w:w="1125" w:type="dxa"/>
            <w:vMerge w:val="continue"/>
            <w:noWrap/>
            <w:vAlign w:val="center"/>
          </w:tcPr>
          <w:p w14:paraId="0FE45B00">
            <w:pPr>
              <w:keepNext w:val="0"/>
              <w:keepLines w:val="0"/>
              <w:pageBreakBefore w:val="0"/>
              <w:kinsoku/>
              <w:wordWrap/>
              <w:overflowPunct/>
              <w:topLinePunct w:val="0"/>
              <w:autoSpaceDE/>
              <w:autoSpaceDN/>
              <w:bidi w:val="0"/>
              <w:adjustRightInd w:val="0"/>
              <w:snapToGrid w:val="0"/>
              <w:spacing w:line="360" w:lineRule="exact"/>
              <w:ind w:left="-105" w:leftChars="-50" w:right="-105" w:rightChars="-50"/>
              <w:jc w:val="center"/>
              <w:textAlignment w:val="baseline"/>
              <w:rPr>
                <w:rFonts w:ascii="宋体" w:hAnsi="宋体" w:cs="宋体"/>
                <w:bCs/>
                <w:color w:val="000000"/>
                <w:szCs w:val="21"/>
              </w:rPr>
            </w:pPr>
          </w:p>
        </w:tc>
        <w:tc>
          <w:tcPr>
            <w:tcW w:w="1196" w:type="dxa"/>
            <w:noWrap/>
            <w:vAlign w:val="center"/>
          </w:tcPr>
          <w:p w14:paraId="14D72AB5">
            <w:pPr>
              <w:keepNext w:val="0"/>
              <w:keepLines w:val="0"/>
              <w:pageBreakBefore w:val="0"/>
              <w:kinsoku/>
              <w:wordWrap/>
              <w:overflowPunct/>
              <w:topLinePunct w:val="0"/>
              <w:autoSpaceDE/>
              <w:autoSpaceDN/>
              <w:bidi w:val="0"/>
              <w:adjustRightInd w:val="0"/>
              <w:spacing w:line="360" w:lineRule="exact"/>
              <w:jc w:val="center"/>
              <w:rPr>
                <w:rFonts w:ascii="宋体" w:hAnsi="宋体" w:cs="宋体"/>
                <w:color w:val="000000"/>
                <w:szCs w:val="21"/>
              </w:rPr>
            </w:pPr>
            <w:r>
              <w:rPr>
                <w:rFonts w:hint="eastAsia" w:ascii="宋体" w:hAnsi="宋体" w:cs="宋体"/>
                <w:color w:val="000000"/>
                <w:szCs w:val="21"/>
              </w:rPr>
              <w:t>（2）总体服务方案分（满分</w:t>
            </w:r>
            <w:r>
              <w:rPr>
                <w:rFonts w:hint="eastAsia" w:ascii="宋体" w:hAnsi="宋体" w:cs="宋体"/>
                <w:color w:val="000000"/>
                <w:szCs w:val="21"/>
                <w:lang w:val="en-US" w:eastAsia="zh-CN"/>
              </w:rPr>
              <w:t>11</w:t>
            </w:r>
            <w:r>
              <w:rPr>
                <w:rFonts w:hint="eastAsia" w:ascii="宋体" w:hAnsi="宋体" w:cs="宋体"/>
                <w:color w:val="000000"/>
                <w:szCs w:val="21"/>
              </w:rPr>
              <w:t>分）</w:t>
            </w:r>
          </w:p>
        </w:tc>
        <w:tc>
          <w:tcPr>
            <w:tcW w:w="6639" w:type="dxa"/>
            <w:noWrap/>
            <w:vAlign w:val="center"/>
          </w:tcPr>
          <w:p w14:paraId="498F0856">
            <w:pPr>
              <w:keepNext w:val="0"/>
              <w:keepLines w:val="0"/>
              <w:pageBreakBefore w:val="0"/>
              <w:widowControl/>
              <w:kinsoku/>
              <w:wordWrap/>
              <w:overflowPunct/>
              <w:topLinePunct w:val="0"/>
              <w:autoSpaceDE/>
              <w:autoSpaceDN/>
              <w:bidi w:val="0"/>
              <w:adjustRightInd w:val="0"/>
              <w:spacing w:line="360" w:lineRule="exact"/>
              <w:rPr>
                <w:rFonts w:ascii="宋体" w:hAnsi="宋体" w:cs="宋体"/>
                <w:bCs/>
                <w:color w:val="000000"/>
                <w:szCs w:val="21"/>
              </w:rPr>
            </w:pPr>
            <w:r>
              <w:rPr>
                <w:rFonts w:hint="eastAsia" w:ascii="宋体" w:hAnsi="宋体" w:cs="宋体"/>
                <w:bCs/>
                <w:color w:val="000000"/>
                <w:szCs w:val="21"/>
              </w:rPr>
              <w:t>针对采购人本项目实际情况及特点提出服务总体设想、策划、重点关键问题。提供满足采购需求服务内容及其他针对性的管理方案等。</w:t>
            </w:r>
          </w:p>
          <w:p w14:paraId="14604E72">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szCs w:val="21"/>
              </w:rPr>
            </w:pPr>
            <w:r>
              <w:rPr>
                <w:rFonts w:hint="eastAsia" w:ascii="宋体" w:hAnsi="宋体" w:cs="宋体"/>
                <w:bCs/>
                <w:color w:val="000000"/>
                <w:szCs w:val="21"/>
              </w:rPr>
              <w:t>不提供相关内容或方案得0分。</w:t>
            </w:r>
          </w:p>
          <w:p w14:paraId="1C29EBA0">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rPr>
            </w:pPr>
            <w:r>
              <w:rPr>
                <w:rFonts w:hint="eastAsia" w:ascii="宋体" w:hAnsi="宋体" w:eastAsia="宋体" w:cs="宋体"/>
                <w:bCs/>
                <w:szCs w:val="21"/>
              </w:rPr>
              <w:t>一档(</w:t>
            </w:r>
            <w:r>
              <w:rPr>
                <w:rFonts w:hint="eastAsia" w:ascii="宋体" w:hAnsi="宋体" w:eastAsia="宋体" w:cs="宋体"/>
                <w:bCs/>
                <w:szCs w:val="21"/>
                <w:lang w:val="en-US" w:eastAsia="zh-CN"/>
              </w:rPr>
              <w:t>4</w:t>
            </w:r>
            <w:r>
              <w:rPr>
                <w:rFonts w:hint="eastAsia" w:ascii="宋体" w:hAnsi="宋体" w:eastAsia="宋体" w:cs="宋体"/>
                <w:bCs/>
                <w:szCs w:val="21"/>
              </w:rPr>
              <w:t>分):服务方案仅有基本描述，对重点关键的服务内容缺乏具体措施;</w:t>
            </w:r>
          </w:p>
          <w:p w14:paraId="74C76845">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rPr>
            </w:pPr>
            <w:r>
              <w:rPr>
                <w:rFonts w:hint="eastAsia" w:ascii="宋体" w:hAnsi="宋体" w:eastAsia="宋体" w:cs="宋体"/>
                <w:bCs/>
                <w:szCs w:val="21"/>
              </w:rPr>
              <w:t>二档(</w:t>
            </w:r>
            <w:r>
              <w:rPr>
                <w:rFonts w:hint="eastAsia" w:ascii="宋体" w:hAnsi="宋体" w:eastAsia="宋体" w:cs="宋体"/>
                <w:bCs/>
                <w:szCs w:val="21"/>
                <w:lang w:val="en-US" w:eastAsia="zh-CN"/>
              </w:rPr>
              <w:t>7</w:t>
            </w:r>
            <w:r>
              <w:rPr>
                <w:rFonts w:hint="eastAsia" w:ascii="宋体" w:hAnsi="宋体" w:eastAsia="宋体" w:cs="宋体"/>
                <w:bCs/>
                <w:szCs w:val="21"/>
              </w:rPr>
              <w:t>分):服务方案有适合本项目特点的管理方案、日常管理具体措施。服务方案有针对性，符合实际情况，并提供具体的保障措施;</w:t>
            </w:r>
          </w:p>
          <w:p w14:paraId="430A9745">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szCs w:val="21"/>
              </w:rPr>
            </w:pPr>
            <w:r>
              <w:rPr>
                <w:rFonts w:hint="eastAsia" w:ascii="宋体" w:hAnsi="宋体" w:eastAsia="宋体" w:cs="宋体"/>
                <w:bCs/>
                <w:szCs w:val="21"/>
                <w:lang w:val="en-US" w:eastAsia="zh-CN"/>
              </w:rPr>
              <w:t>三</w:t>
            </w:r>
            <w:r>
              <w:rPr>
                <w:rFonts w:hint="eastAsia" w:ascii="宋体" w:hAnsi="宋体" w:eastAsia="宋体" w:cs="宋体"/>
                <w:bCs/>
                <w:szCs w:val="21"/>
              </w:rPr>
              <w:t>档(</w:t>
            </w:r>
            <w:r>
              <w:rPr>
                <w:rFonts w:hint="eastAsia" w:ascii="宋体" w:hAnsi="宋体" w:eastAsia="宋体" w:cs="宋体"/>
                <w:bCs/>
                <w:szCs w:val="21"/>
                <w:lang w:val="en-US" w:eastAsia="zh-CN"/>
              </w:rPr>
              <w:t>11</w:t>
            </w:r>
            <w:r>
              <w:rPr>
                <w:rFonts w:hint="eastAsia" w:ascii="宋体" w:hAnsi="宋体" w:eastAsia="宋体" w:cs="宋体"/>
                <w:bCs/>
                <w:szCs w:val="21"/>
              </w:rPr>
              <w:t>分):在</w:t>
            </w:r>
            <w:r>
              <w:rPr>
                <w:rFonts w:hint="eastAsia" w:ascii="宋体" w:hAnsi="宋体" w:eastAsia="宋体" w:cs="宋体"/>
                <w:bCs/>
                <w:szCs w:val="21"/>
                <w:lang w:val="en-US" w:eastAsia="zh-CN"/>
              </w:rPr>
              <w:t>二</w:t>
            </w:r>
            <w:r>
              <w:rPr>
                <w:rFonts w:hint="eastAsia" w:ascii="宋体" w:hAnsi="宋体" w:eastAsia="宋体" w:cs="宋体"/>
                <w:bCs/>
                <w:szCs w:val="21"/>
              </w:rPr>
              <w:t>档的基础上，服务方案完全覆盖本项目服务要求及服务范围，提供针对本项目需求细化的管理方案、日常管理具体措施，</w:t>
            </w:r>
            <w:r>
              <w:rPr>
                <w:rFonts w:hint="eastAsia" w:ascii="宋体" w:hAnsi="宋体" w:eastAsia="宋体" w:cs="宋体"/>
                <w:bCs/>
                <w:szCs w:val="21"/>
                <w:lang w:val="en-US" w:eastAsia="zh-CN"/>
              </w:rPr>
              <w:t>会务服务方案、</w:t>
            </w:r>
            <w:r>
              <w:rPr>
                <w:rFonts w:hint="eastAsia" w:ascii="宋体" w:hAnsi="宋体" w:eastAsia="宋体" w:cs="宋体"/>
                <w:bCs/>
                <w:szCs w:val="21"/>
              </w:rPr>
              <w:t>提供本项目采购需求相符的相关服务方案等，且完整可行，提供合理化建议，对如何提高服务质量及保证服务满意率有切实可行的方法。承诺采用移动互联网技术辅助进行物业管理。</w:t>
            </w:r>
          </w:p>
        </w:tc>
      </w:tr>
      <w:tr w14:paraId="201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vMerge w:val="continue"/>
            <w:noWrap/>
            <w:vAlign w:val="center"/>
          </w:tcPr>
          <w:p w14:paraId="293A4010">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ascii="宋体" w:hAnsi="宋体" w:cs="宋体"/>
                <w:color w:val="000000"/>
                <w:szCs w:val="21"/>
              </w:rPr>
            </w:pPr>
          </w:p>
        </w:tc>
        <w:tc>
          <w:tcPr>
            <w:tcW w:w="1125" w:type="dxa"/>
            <w:vMerge w:val="continue"/>
            <w:noWrap/>
            <w:vAlign w:val="center"/>
          </w:tcPr>
          <w:p w14:paraId="1A8A5E52">
            <w:pPr>
              <w:keepNext w:val="0"/>
              <w:keepLines w:val="0"/>
              <w:pageBreakBefore w:val="0"/>
              <w:kinsoku/>
              <w:wordWrap/>
              <w:overflowPunct/>
              <w:topLinePunct w:val="0"/>
              <w:autoSpaceDE/>
              <w:autoSpaceDN/>
              <w:bidi w:val="0"/>
              <w:adjustRightInd w:val="0"/>
              <w:snapToGrid w:val="0"/>
              <w:spacing w:line="360" w:lineRule="exact"/>
              <w:ind w:left="-105" w:leftChars="-50" w:right="-105" w:rightChars="-50"/>
              <w:jc w:val="center"/>
              <w:textAlignment w:val="baseline"/>
              <w:rPr>
                <w:rFonts w:ascii="宋体" w:hAnsi="宋体" w:cs="宋体"/>
                <w:bCs/>
                <w:color w:val="000000"/>
                <w:szCs w:val="21"/>
              </w:rPr>
            </w:pPr>
          </w:p>
        </w:tc>
        <w:tc>
          <w:tcPr>
            <w:tcW w:w="1196" w:type="dxa"/>
            <w:noWrap/>
            <w:vAlign w:val="center"/>
          </w:tcPr>
          <w:p w14:paraId="75228A70">
            <w:pPr>
              <w:keepNext w:val="0"/>
              <w:keepLines w:val="0"/>
              <w:pageBreakBefore w:val="0"/>
              <w:kinsoku/>
              <w:wordWrap/>
              <w:overflowPunct/>
              <w:topLinePunct w:val="0"/>
              <w:autoSpaceDE/>
              <w:autoSpaceDN/>
              <w:bidi w:val="0"/>
              <w:adjustRightInd w:val="0"/>
              <w:spacing w:line="360" w:lineRule="exact"/>
              <w:jc w:val="center"/>
              <w:rPr>
                <w:rFonts w:ascii="宋体" w:hAnsi="宋体" w:cs="宋体"/>
                <w:color w:val="000000"/>
                <w:szCs w:val="21"/>
              </w:rPr>
            </w:pPr>
            <w:r>
              <w:rPr>
                <w:rFonts w:hint="eastAsia" w:ascii="宋体" w:hAnsi="宋体" w:cs="宋体"/>
                <w:color w:val="000000"/>
                <w:szCs w:val="21"/>
              </w:rPr>
              <w:t>（3）机构设立、运作流程及管理方式分（满分</w:t>
            </w:r>
            <w:r>
              <w:rPr>
                <w:rFonts w:hint="eastAsia" w:ascii="宋体" w:hAnsi="宋体" w:cs="宋体"/>
                <w:color w:val="000000"/>
                <w:szCs w:val="21"/>
                <w:lang w:val="en-US" w:eastAsia="zh-CN"/>
              </w:rPr>
              <w:t>8</w:t>
            </w:r>
            <w:r>
              <w:rPr>
                <w:rFonts w:hint="eastAsia" w:ascii="宋体" w:hAnsi="宋体" w:cs="宋体"/>
                <w:color w:val="000000"/>
                <w:szCs w:val="21"/>
              </w:rPr>
              <w:t>分）</w:t>
            </w:r>
          </w:p>
        </w:tc>
        <w:tc>
          <w:tcPr>
            <w:tcW w:w="6639" w:type="dxa"/>
            <w:noWrap/>
            <w:vAlign w:val="center"/>
          </w:tcPr>
          <w:p w14:paraId="7D3BA09A">
            <w:pPr>
              <w:keepNext w:val="0"/>
              <w:keepLines w:val="0"/>
              <w:pageBreakBefore w:val="0"/>
              <w:widowControl/>
              <w:kinsoku/>
              <w:wordWrap/>
              <w:overflowPunct/>
              <w:topLinePunct w:val="0"/>
              <w:autoSpaceDE/>
              <w:autoSpaceDN/>
              <w:bidi w:val="0"/>
              <w:adjustRightInd w:val="0"/>
              <w:spacing w:line="360" w:lineRule="exact"/>
              <w:rPr>
                <w:rFonts w:ascii="宋体" w:hAnsi="宋体" w:cs="宋体"/>
                <w:bCs/>
                <w:color w:val="000000"/>
                <w:szCs w:val="21"/>
              </w:rPr>
            </w:pPr>
            <w:r>
              <w:rPr>
                <w:rFonts w:hint="eastAsia" w:ascii="宋体" w:hAnsi="宋体" w:cs="宋体"/>
                <w:bCs/>
                <w:color w:val="000000"/>
                <w:szCs w:val="21"/>
              </w:rPr>
              <w:t>针对采购人本项目实际情况及特点提供机构设置、管理服务运作流程方案。</w:t>
            </w:r>
          </w:p>
          <w:p w14:paraId="38DA466C">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szCs w:val="21"/>
              </w:rPr>
            </w:pPr>
            <w:r>
              <w:rPr>
                <w:rFonts w:hint="eastAsia" w:ascii="宋体" w:hAnsi="宋体" w:cs="宋体"/>
                <w:bCs/>
                <w:color w:val="000000"/>
                <w:szCs w:val="21"/>
              </w:rPr>
              <w:t>不提供相关内容或方案得0分。</w:t>
            </w:r>
          </w:p>
          <w:p w14:paraId="7A4F1F67">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一</w:t>
            </w:r>
            <w:r>
              <w:rPr>
                <w:rFonts w:hint="eastAsia" w:ascii="宋体" w:hAnsi="宋体" w:eastAsia="宋体" w:cs="宋体"/>
                <w:bCs/>
                <w:szCs w:val="21"/>
              </w:rPr>
              <w:t>档(3分):机构设置基本合理、有一定针对性、运作比较流畅、管理方式比较科学;</w:t>
            </w:r>
          </w:p>
          <w:p w14:paraId="481E77D7">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二</w:t>
            </w:r>
            <w:r>
              <w:rPr>
                <w:rFonts w:hint="eastAsia" w:ascii="宋体" w:hAnsi="宋体" w:eastAsia="宋体" w:cs="宋体"/>
                <w:bCs/>
                <w:szCs w:val="21"/>
              </w:rPr>
              <w:t>档(5分):在</w:t>
            </w:r>
            <w:r>
              <w:rPr>
                <w:rFonts w:hint="eastAsia" w:ascii="宋体" w:hAnsi="宋体" w:cs="宋体"/>
                <w:bCs/>
                <w:szCs w:val="21"/>
                <w:lang w:eastAsia="zh-CN"/>
              </w:rPr>
              <w:t>一</w:t>
            </w:r>
            <w:r>
              <w:rPr>
                <w:rFonts w:hint="eastAsia" w:ascii="宋体" w:hAnsi="宋体" w:eastAsia="宋体" w:cs="宋体"/>
                <w:bCs/>
                <w:szCs w:val="21"/>
              </w:rPr>
              <w:t>档的基础上，机构设置合理、运作流畅、管理方式科学，标准化体系结构较合理。</w:t>
            </w:r>
          </w:p>
          <w:p w14:paraId="3A5C91F2">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color w:val="000000"/>
                <w:szCs w:val="21"/>
              </w:rPr>
            </w:pPr>
            <w:r>
              <w:rPr>
                <w:rFonts w:hint="eastAsia" w:ascii="宋体" w:hAnsi="宋体" w:eastAsia="宋体" w:cs="宋体"/>
                <w:bCs/>
                <w:szCs w:val="21"/>
                <w:lang w:val="en-US" w:eastAsia="zh-CN"/>
              </w:rPr>
              <w:t>三</w:t>
            </w:r>
            <w:r>
              <w:rPr>
                <w:rFonts w:hint="eastAsia" w:ascii="宋体" w:hAnsi="宋体" w:eastAsia="宋体" w:cs="宋体"/>
                <w:bCs/>
                <w:szCs w:val="21"/>
              </w:rPr>
              <w:t>档(</w:t>
            </w:r>
            <w:r>
              <w:rPr>
                <w:rFonts w:hint="eastAsia" w:ascii="宋体" w:hAnsi="宋体" w:eastAsia="宋体" w:cs="宋体"/>
                <w:bCs/>
                <w:szCs w:val="21"/>
                <w:lang w:val="en-US" w:eastAsia="zh-CN"/>
              </w:rPr>
              <w:t>8</w:t>
            </w:r>
            <w:r>
              <w:rPr>
                <w:rFonts w:hint="eastAsia" w:ascii="宋体" w:hAnsi="宋体" w:eastAsia="宋体" w:cs="宋体"/>
                <w:bCs/>
                <w:szCs w:val="21"/>
              </w:rPr>
              <w:t>分):在</w:t>
            </w:r>
            <w:r>
              <w:rPr>
                <w:rFonts w:hint="eastAsia" w:ascii="宋体" w:hAnsi="宋体" w:cs="宋体"/>
                <w:bCs/>
                <w:szCs w:val="21"/>
                <w:lang w:eastAsia="zh-CN"/>
              </w:rPr>
              <w:t>二</w:t>
            </w:r>
            <w:r>
              <w:rPr>
                <w:rFonts w:hint="eastAsia" w:ascii="宋体" w:hAnsi="宋体" w:eastAsia="宋体" w:cs="宋体"/>
                <w:bCs/>
                <w:szCs w:val="21"/>
              </w:rPr>
              <w:t>档的基础上，有良好的内部管理构架、管理运作机制、激励机制、监督机制、自我约束机制、信息反馈处理机制，承诺投入智能化管理及服务系统，投标人建立的标准体系结构合理且符合项目实际情况。</w:t>
            </w:r>
          </w:p>
        </w:tc>
      </w:tr>
      <w:tr w14:paraId="0A29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vMerge w:val="continue"/>
            <w:noWrap/>
            <w:vAlign w:val="center"/>
          </w:tcPr>
          <w:p w14:paraId="198DB29F">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ascii="宋体" w:hAnsi="宋体" w:cs="宋体"/>
                <w:color w:val="000000"/>
                <w:szCs w:val="21"/>
              </w:rPr>
            </w:pPr>
          </w:p>
        </w:tc>
        <w:tc>
          <w:tcPr>
            <w:tcW w:w="1125" w:type="dxa"/>
            <w:vMerge w:val="continue"/>
            <w:noWrap/>
            <w:vAlign w:val="center"/>
          </w:tcPr>
          <w:p w14:paraId="59664288">
            <w:pPr>
              <w:keepNext w:val="0"/>
              <w:keepLines w:val="0"/>
              <w:pageBreakBefore w:val="0"/>
              <w:kinsoku/>
              <w:wordWrap/>
              <w:overflowPunct/>
              <w:topLinePunct w:val="0"/>
              <w:autoSpaceDE/>
              <w:autoSpaceDN/>
              <w:bidi w:val="0"/>
              <w:adjustRightInd w:val="0"/>
              <w:snapToGrid w:val="0"/>
              <w:spacing w:line="360" w:lineRule="exact"/>
              <w:ind w:left="-105" w:leftChars="-50" w:right="-105" w:rightChars="-50"/>
              <w:jc w:val="center"/>
              <w:textAlignment w:val="baseline"/>
              <w:rPr>
                <w:rFonts w:ascii="宋体" w:hAnsi="宋体" w:cs="宋体"/>
                <w:bCs/>
                <w:color w:val="000000"/>
                <w:szCs w:val="21"/>
              </w:rPr>
            </w:pPr>
          </w:p>
        </w:tc>
        <w:tc>
          <w:tcPr>
            <w:tcW w:w="1196" w:type="dxa"/>
            <w:noWrap/>
            <w:vAlign w:val="center"/>
          </w:tcPr>
          <w:p w14:paraId="380D698E">
            <w:pPr>
              <w:keepNext w:val="0"/>
              <w:keepLines w:val="0"/>
              <w:pageBreakBefore w:val="0"/>
              <w:kinsoku/>
              <w:wordWrap/>
              <w:overflowPunct/>
              <w:topLinePunct w:val="0"/>
              <w:autoSpaceDE/>
              <w:autoSpaceDN/>
              <w:bidi w:val="0"/>
              <w:adjustRightInd w:val="0"/>
              <w:spacing w:line="360" w:lineRule="exact"/>
              <w:jc w:val="center"/>
              <w:rPr>
                <w:rFonts w:ascii="宋体" w:hAnsi="宋体" w:cs="宋体"/>
                <w:color w:val="000000"/>
                <w:szCs w:val="21"/>
              </w:rPr>
            </w:pPr>
            <w:r>
              <w:rPr>
                <w:rFonts w:hint="eastAsia" w:ascii="宋体" w:hAnsi="宋体" w:cs="宋体"/>
                <w:color w:val="000000"/>
                <w:szCs w:val="21"/>
              </w:rPr>
              <w:t>（4）保洁服务方案分（满分</w:t>
            </w: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6639" w:type="dxa"/>
            <w:noWrap/>
            <w:vAlign w:val="center"/>
          </w:tcPr>
          <w:p w14:paraId="23438E2E">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不提供相关内容或方案得0分。</w:t>
            </w:r>
          </w:p>
          <w:p w14:paraId="71F7A744">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一档(3分):方案简单，内容没有针对性，基本满足采购需求;</w:t>
            </w:r>
          </w:p>
          <w:p w14:paraId="40C6B8EE">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二档(6分):管理方案内容完整，有服务工作计划，服务方案有优于采购需求，有一定针对性。</w:t>
            </w:r>
          </w:p>
          <w:p w14:paraId="66D28298">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szCs w:val="21"/>
              </w:rPr>
            </w:pPr>
            <w:r>
              <w:rPr>
                <w:rFonts w:hint="eastAsia" w:ascii="宋体" w:hAnsi="宋体" w:eastAsia="宋体" w:cs="宋体"/>
                <w:bCs/>
                <w:szCs w:val="21"/>
                <w:lang w:val="en-US" w:eastAsia="zh-CN"/>
              </w:rPr>
              <w:t>三档(10分):在满足二档基础上，含但不限于①日常保洁工作内容；②公共区域环境清洁保洁服务标准；③保洁作业操作规程；④垃圾日产日清服务工作方案；⑤除四害消杀工作方案等各方面进行比较管理方案内容详实合理、完整，服务方案存在较多优于采购需求内容，针对性强，服务计划科学合理可行性强。</w:t>
            </w:r>
          </w:p>
        </w:tc>
      </w:tr>
      <w:tr w14:paraId="4344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vMerge w:val="continue"/>
            <w:noWrap/>
            <w:vAlign w:val="center"/>
          </w:tcPr>
          <w:p w14:paraId="15EEC2A3">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ascii="宋体" w:hAnsi="宋体" w:cs="宋体"/>
                <w:color w:val="000000"/>
                <w:szCs w:val="21"/>
              </w:rPr>
            </w:pPr>
          </w:p>
        </w:tc>
        <w:tc>
          <w:tcPr>
            <w:tcW w:w="1125" w:type="dxa"/>
            <w:vMerge w:val="continue"/>
            <w:noWrap/>
            <w:vAlign w:val="center"/>
          </w:tcPr>
          <w:p w14:paraId="7211391B">
            <w:pPr>
              <w:keepNext w:val="0"/>
              <w:keepLines w:val="0"/>
              <w:pageBreakBefore w:val="0"/>
              <w:kinsoku/>
              <w:wordWrap/>
              <w:overflowPunct/>
              <w:topLinePunct w:val="0"/>
              <w:autoSpaceDE/>
              <w:autoSpaceDN/>
              <w:bidi w:val="0"/>
              <w:adjustRightInd w:val="0"/>
              <w:snapToGrid w:val="0"/>
              <w:spacing w:line="360" w:lineRule="exact"/>
              <w:ind w:left="-105" w:leftChars="-50" w:right="-105" w:rightChars="-50"/>
              <w:jc w:val="center"/>
              <w:textAlignment w:val="baseline"/>
              <w:rPr>
                <w:rFonts w:ascii="宋体" w:hAnsi="宋体" w:cs="宋体"/>
                <w:bCs/>
                <w:color w:val="000000"/>
                <w:szCs w:val="21"/>
              </w:rPr>
            </w:pPr>
          </w:p>
        </w:tc>
        <w:tc>
          <w:tcPr>
            <w:tcW w:w="1196" w:type="dxa"/>
            <w:noWrap/>
            <w:vAlign w:val="center"/>
          </w:tcPr>
          <w:p w14:paraId="241CB45C">
            <w:pPr>
              <w:keepNext w:val="0"/>
              <w:keepLines w:val="0"/>
              <w:pageBreakBefore w:val="0"/>
              <w:kinsoku/>
              <w:wordWrap/>
              <w:overflowPunct/>
              <w:topLinePunct w:val="0"/>
              <w:autoSpaceDE/>
              <w:autoSpaceDN/>
              <w:bidi w:val="0"/>
              <w:adjustRightInd w:val="0"/>
              <w:spacing w:line="360" w:lineRule="exact"/>
              <w:jc w:val="center"/>
              <w:rPr>
                <w:rFonts w:ascii="宋体" w:hAnsi="宋体" w:cs="宋体"/>
                <w:color w:val="000000"/>
                <w:szCs w:val="21"/>
              </w:rPr>
            </w:pPr>
            <w:r>
              <w:rPr>
                <w:rFonts w:hint="eastAsia" w:ascii="宋体" w:hAnsi="宋体" w:cs="宋体"/>
                <w:color w:val="000000"/>
                <w:szCs w:val="21"/>
              </w:rPr>
              <w:t>（5）安保服务方案分（满分</w:t>
            </w:r>
            <w:r>
              <w:rPr>
                <w:rFonts w:hint="eastAsia" w:ascii="宋体" w:hAnsi="宋体" w:cs="宋体"/>
                <w:color w:val="000000"/>
                <w:szCs w:val="21"/>
                <w:lang w:val="en-US" w:eastAsia="zh-CN"/>
              </w:rPr>
              <w:t>10</w:t>
            </w:r>
            <w:r>
              <w:rPr>
                <w:rFonts w:hint="eastAsia" w:ascii="宋体" w:hAnsi="宋体" w:cs="宋体"/>
                <w:color w:val="000000"/>
                <w:szCs w:val="21"/>
              </w:rPr>
              <w:t>分）</w:t>
            </w:r>
          </w:p>
        </w:tc>
        <w:tc>
          <w:tcPr>
            <w:tcW w:w="6639" w:type="dxa"/>
            <w:noWrap/>
            <w:vAlign w:val="center"/>
          </w:tcPr>
          <w:p w14:paraId="0E890413">
            <w:pPr>
              <w:keepNext w:val="0"/>
              <w:keepLines w:val="0"/>
              <w:pageBreakBefore w:val="0"/>
              <w:widowControl/>
              <w:kinsoku/>
              <w:wordWrap/>
              <w:overflowPunct/>
              <w:topLinePunct w:val="0"/>
              <w:autoSpaceDE/>
              <w:autoSpaceDN/>
              <w:bidi w:val="0"/>
              <w:adjustRightInd w:val="0"/>
              <w:spacing w:line="360" w:lineRule="exact"/>
              <w:ind w:firstLine="210" w:firstLineChars="100"/>
              <w:rPr>
                <w:rFonts w:ascii="宋体" w:hAnsi="宋体" w:cs="宋体"/>
                <w:bCs/>
                <w:color w:val="000000"/>
                <w:szCs w:val="21"/>
              </w:rPr>
            </w:pPr>
            <w:r>
              <w:rPr>
                <w:rFonts w:hint="eastAsia" w:ascii="宋体" w:hAnsi="宋体" w:cs="宋体"/>
                <w:bCs/>
                <w:color w:val="000000"/>
                <w:szCs w:val="21"/>
              </w:rPr>
              <w:t>不提供相关内容或方案得0分。</w:t>
            </w:r>
          </w:p>
          <w:p w14:paraId="7F000534">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一档(3分):方案简单，内容没有针对对性，基本满足采购需求;</w:t>
            </w:r>
          </w:p>
          <w:p w14:paraId="38A88293">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二档(6分):管理方案内容完整，有服务工作计划，服务方案有优于采购需求，有一定针对性。</w:t>
            </w:r>
          </w:p>
          <w:p w14:paraId="32FD2F6D">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kern w:val="0"/>
                <w:szCs w:val="21"/>
              </w:rPr>
            </w:pPr>
            <w:r>
              <w:rPr>
                <w:rFonts w:hint="eastAsia" w:ascii="宋体" w:hAnsi="宋体" w:eastAsia="宋体" w:cs="宋体"/>
                <w:bCs/>
                <w:szCs w:val="21"/>
                <w:lang w:val="en-US" w:eastAsia="zh-CN"/>
              </w:rPr>
              <w:t>三档（10分):在满足二档基础上，含但不限于①安保服务；②门岗安保服务；③巡逻岗安保服务；④监控岗安保服务；⑤针对防火、防爆、防汛、防毒、防窃等服务措施等各方面进行比较管理方案内容详实合理、完整服务方案存在较多优于采购需求内容针对性较强，服务计划科学合理可行性强。</w:t>
            </w:r>
          </w:p>
        </w:tc>
      </w:tr>
      <w:tr w14:paraId="43E8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vMerge w:val="continue"/>
            <w:noWrap/>
            <w:vAlign w:val="center"/>
          </w:tcPr>
          <w:p w14:paraId="07EEB0F7">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ascii="宋体" w:hAnsi="宋体" w:cs="宋体"/>
                <w:color w:val="000000"/>
                <w:szCs w:val="21"/>
              </w:rPr>
            </w:pPr>
          </w:p>
        </w:tc>
        <w:tc>
          <w:tcPr>
            <w:tcW w:w="1125" w:type="dxa"/>
            <w:vMerge w:val="continue"/>
            <w:noWrap/>
            <w:vAlign w:val="center"/>
          </w:tcPr>
          <w:p w14:paraId="74C47F0B">
            <w:pPr>
              <w:keepNext w:val="0"/>
              <w:keepLines w:val="0"/>
              <w:pageBreakBefore w:val="0"/>
              <w:kinsoku/>
              <w:wordWrap/>
              <w:overflowPunct/>
              <w:topLinePunct w:val="0"/>
              <w:autoSpaceDE/>
              <w:autoSpaceDN/>
              <w:bidi w:val="0"/>
              <w:adjustRightInd w:val="0"/>
              <w:snapToGrid w:val="0"/>
              <w:spacing w:line="360" w:lineRule="exact"/>
              <w:ind w:left="-105" w:leftChars="-50" w:right="-105" w:rightChars="-50"/>
              <w:jc w:val="center"/>
              <w:textAlignment w:val="baseline"/>
              <w:rPr>
                <w:rFonts w:ascii="宋体" w:hAnsi="宋体" w:cs="宋体"/>
                <w:bCs/>
                <w:color w:val="000000"/>
                <w:szCs w:val="21"/>
              </w:rPr>
            </w:pPr>
          </w:p>
        </w:tc>
        <w:tc>
          <w:tcPr>
            <w:tcW w:w="1196" w:type="dxa"/>
            <w:noWrap/>
            <w:vAlign w:val="center"/>
          </w:tcPr>
          <w:p w14:paraId="70D40927">
            <w:pPr>
              <w:keepNext w:val="0"/>
              <w:keepLines w:val="0"/>
              <w:pageBreakBefore w:val="0"/>
              <w:kinsoku/>
              <w:wordWrap/>
              <w:overflowPunct/>
              <w:topLinePunct w:val="0"/>
              <w:autoSpaceDE/>
              <w:autoSpaceDN/>
              <w:bidi w:val="0"/>
              <w:adjustRightInd w:val="0"/>
              <w:spacing w:line="360" w:lineRule="exact"/>
              <w:jc w:val="center"/>
              <w:rPr>
                <w:rFonts w:ascii="宋体" w:hAnsi="宋体" w:cs="宋体"/>
                <w:color w:val="000000"/>
                <w:szCs w:val="21"/>
              </w:rPr>
            </w:pPr>
            <w:r>
              <w:rPr>
                <w:rFonts w:hint="eastAsia" w:ascii="宋体" w:hAnsi="宋体" w:cs="宋体"/>
                <w:color w:val="000000"/>
                <w:szCs w:val="21"/>
              </w:rPr>
              <w:t>（6）突发事件应急处理</w:t>
            </w:r>
            <w:r>
              <w:rPr>
                <w:rFonts w:hint="eastAsia" w:ascii="宋体" w:hAnsi="宋体" w:cs="宋体"/>
                <w:color w:val="000000"/>
                <w:szCs w:val="21"/>
                <w:lang w:eastAsia="zh-CN"/>
              </w:rPr>
              <w:t>方案</w:t>
            </w:r>
            <w:r>
              <w:rPr>
                <w:rFonts w:hint="eastAsia" w:ascii="宋体" w:hAnsi="宋体" w:cs="宋体"/>
                <w:color w:val="000000"/>
                <w:szCs w:val="21"/>
              </w:rPr>
              <w:t>（满分</w:t>
            </w:r>
            <w:r>
              <w:rPr>
                <w:rFonts w:hint="eastAsia" w:ascii="宋体" w:hAnsi="宋体" w:cs="宋体"/>
                <w:color w:val="000000"/>
                <w:szCs w:val="21"/>
                <w:lang w:val="en-US" w:eastAsia="zh-CN"/>
              </w:rPr>
              <w:t>8</w:t>
            </w:r>
            <w:r>
              <w:rPr>
                <w:rFonts w:hint="eastAsia" w:ascii="宋体" w:hAnsi="宋体" w:cs="宋体"/>
                <w:color w:val="000000"/>
                <w:szCs w:val="21"/>
              </w:rPr>
              <w:t>分）</w:t>
            </w:r>
          </w:p>
        </w:tc>
        <w:tc>
          <w:tcPr>
            <w:tcW w:w="6639" w:type="dxa"/>
            <w:noWrap/>
            <w:vAlign w:val="center"/>
          </w:tcPr>
          <w:p w14:paraId="7D779C12">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szCs w:val="21"/>
              </w:rPr>
            </w:pPr>
            <w:r>
              <w:rPr>
                <w:rFonts w:hint="eastAsia" w:ascii="宋体" w:hAnsi="宋体" w:cs="宋体"/>
                <w:bCs/>
                <w:color w:val="000000"/>
                <w:szCs w:val="21"/>
              </w:rPr>
              <w:t>不提供相关内容或方案得0分。</w:t>
            </w:r>
          </w:p>
          <w:p w14:paraId="6AB00734">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一档(2分):方案有不适用本项目用户需求，亮点不突出，针对性不强。</w:t>
            </w:r>
          </w:p>
          <w:p w14:paraId="2BF2C321">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二档(4分):方案基本适用本项目用户需求，方案架构基本完整，较为合理，基本可行。</w:t>
            </w:r>
          </w:p>
          <w:p w14:paraId="6D0D866E">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kern w:val="0"/>
                <w:szCs w:val="21"/>
              </w:rPr>
            </w:pPr>
            <w:r>
              <w:rPr>
                <w:rFonts w:hint="eastAsia" w:ascii="宋体" w:hAnsi="宋体" w:eastAsia="宋体" w:cs="宋体"/>
                <w:bCs/>
                <w:szCs w:val="21"/>
                <w:lang w:val="en-US" w:eastAsia="zh-CN"/>
              </w:rPr>
              <w:t>三档(8分):应急方案内容对突发事件处理具有详细、明确的处理方案及指标，应急人员安排科学合理，针对本项目特点制定有详细的综合应急方案（含突发停电、治安、火灾事件、处置群体性事件等应急措施内容），有应急经验，应急保障措施科学、合理、有可行性，且有应急演练和培训方案。</w:t>
            </w:r>
          </w:p>
        </w:tc>
      </w:tr>
      <w:tr w14:paraId="7791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548" w:type="dxa"/>
            <w:vMerge w:val="continue"/>
            <w:noWrap/>
            <w:vAlign w:val="center"/>
          </w:tcPr>
          <w:p w14:paraId="449B53DE">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ascii="宋体" w:hAnsi="宋体" w:cs="宋体"/>
                <w:color w:val="000000"/>
                <w:szCs w:val="21"/>
              </w:rPr>
            </w:pPr>
          </w:p>
        </w:tc>
        <w:tc>
          <w:tcPr>
            <w:tcW w:w="1125" w:type="dxa"/>
            <w:vMerge w:val="continue"/>
            <w:noWrap/>
            <w:vAlign w:val="center"/>
          </w:tcPr>
          <w:p w14:paraId="03848D6F">
            <w:pPr>
              <w:keepNext w:val="0"/>
              <w:keepLines w:val="0"/>
              <w:pageBreakBefore w:val="0"/>
              <w:kinsoku/>
              <w:wordWrap/>
              <w:overflowPunct/>
              <w:topLinePunct w:val="0"/>
              <w:autoSpaceDE/>
              <w:autoSpaceDN/>
              <w:bidi w:val="0"/>
              <w:adjustRightInd w:val="0"/>
              <w:snapToGrid w:val="0"/>
              <w:spacing w:line="360" w:lineRule="exact"/>
              <w:ind w:left="-105" w:leftChars="-50" w:right="-105" w:rightChars="-50"/>
              <w:jc w:val="center"/>
              <w:textAlignment w:val="baseline"/>
              <w:rPr>
                <w:rFonts w:ascii="宋体" w:hAnsi="宋体" w:cs="宋体"/>
                <w:bCs/>
                <w:color w:val="000000"/>
                <w:szCs w:val="21"/>
              </w:rPr>
            </w:pPr>
          </w:p>
        </w:tc>
        <w:tc>
          <w:tcPr>
            <w:tcW w:w="1196" w:type="dxa"/>
            <w:noWrap/>
            <w:vAlign w:val="center"/>
          </w:tcPr>
          <w:p w14:paraId="1694B27F">
            <w:pPr>
              <w:keepNext w:val="0"/>
              <w:keepLines w:val="0"/>
              <w:pageBreakBefore w:val="0"/>
              <w:kinsoku/>
              <w:wordWrap/>
              <w:overflowPunct/>
              <w:topLinePunct w:val="0"/>
              <w:autoSpaceDE/>
              <w:autoSpaceDN/>
              <w:bidi w:val="0"/>
              <w:adjustRightInd w:val="0"/>
              <w:spacing w:line="360" w:lineRule="exact"/>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）服务质量承诺分（满分6分）</w:t>
            </w:r>
          </w:p>
        </w:tc>
        <w:tc>
          <w:tcPr>
            <w:tcW w:w="6639" w:type="dxa"/>
            <w:noWrap/>
            <w:vAlign w:val="center"/>
          </w:tcPr>
          <w:p w14:paraId="78841597">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szCs w:val="21"/>
              </w:rPr>
            </w:pPr>
            <w:r>
              <w:rPr>
                <w:rFonts w:hint="eastAsia" w:ascii="宋体" w:hAnsi="宋体" w:cs="宋体"/>
                <w:bCs/>
                <w:color w:val="000000"/>
                <w:szCs w:val="21"/>
              </w:rPr>
              <w:t>不提供相关内容或方案得0分。</w:t>
            </w:r>
          </w:p>
          <w:p w14:paraId="13A0BDBA">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cs="宋体"/>
                <w:bCs/>
                <w:szCs w:val="21"/>
              </w:rPr>
            </w:pPr>
            <w:r>
              <w:rPr>
                <w:rFonts w:hint="eastAsia" w:ascii="宋体" w:hAnsi="宋体" w:cs="宋体"/>
                <w:bCs/>
                <w:szCs w:val="21"/>
              </w:rPr>
              <w:t>一档(2分):有可行的承诺，基本满足采购文件需求。</w:t>
            </w:r>
          </w:p>
          <w:p w14:paraId="437F34FD">
            <w:pPr>
              <w:keepNext w:val="0"/>
              <w:keepLines w:val="0"/>
              <w:pageBreakBefore w:val="0"/>
              <w:widowControl/>
              <w:kinsoku/>
              <w:wordWrap/>
              <w:overflowPunct/>
              <w:topLinePunct w:val="0"/>
              <w:autoSpaceDE/>
              <w:autoSpaceDN/>
              <w:bidi w:val="0"/>
              <w:adjustRightInd w:val="0"/>
              <w:spacing w:line="360" w:lineRule="exact"/>
              <w:ind w:firstLine="420" w:firstLineChars="200"/>
              <w:rPr>
                <w:rFonts w:hint="eastAsia" w:ascii="宋体" w:hAnsi="宋体" w:cs="宋体"/>
                <w:bCs/>
                <w:szCs w:val="21"/>
              </w:rPr>
            </w:pPr>
            <w:r>
              <w:rPr>
                <w:rFonts w:hint="eastAsia" w:ascii="宋体" w:hAnsi="宋体" w:cs="宋体"/>
                <w:bCs/>
                <w:szCs w:val="21"/>
              </w:rPr>
              <w:t>二档(4分):有较详细的服务承诺，服务承诺包含有具体的响应措施，对本项目拟投入的人员的稳定性、人员培训、服务质量、违约责任等方面有承诺，对采购人临时性的需求能够承诺保障，但承诺不够全面合理。</w:t>
            </w:r>
          </w:p>
          <w:p w14:paraId="1385F861">
            <w:pPr>
              <w:keepNext w:val="0"/>
              <w:keepLines w:val="0"/>
              <w:pageBreakBefore w:val="0"/>
              <w:widowControl/>
              <w:kinsoku/>
              <w:wordWrap/>
              <w:overflowPunct/>
              <w:topLinePunct w:val="0"/>
              <w:autoSpaceDE/>
              <w:autoSpaceDN/>
              <w:bidi w:val="0"/>
              <w:adjustRightInd w:val="0"/>
              <w:spacing w:line="360" w:lineRule="exact"/>
              <w:ind w:firstLine="420" w:firstLineChars="200"/>
              <w:rPr>
                <w:rFonts w:ascii="宋体" w:hAnsi="宋体" w:cs="宋体"/>
                <w:bCs/>
                <w:color w:val="000000"/>
                <w:szCs w:val="21"/>
              </w:rPr>
            </w:pPr>
            <w:r>
              <w:rPr>
                <w:rFonts w:hint="eastAsia" w:ascii="宋体" w:hAnsi="宋体" w:cs="宋体"/>
                <w:bCs/>
                <w:szCs w:val="21"/>
              </w:rPr>
              <w:t>三档(6分):</w:t>
            </w:r>
            <w:r>
              <w:rPr>
                <w:rFonts w:hint="eastAsia" w:ascii="宋体" w:hAnsi="宋体" w:cs="宋体"/>
                <w:bCs/>
                <w:szCs w:val="21"/>
                <w:lang w:eastAsia="zh-CN"/>
              </w:rPr>
              <w:t>在二档基础上，</w:t>
            </w:r>
            <w:r>
              <w:rPr>
                <w:rFonts w:hint="eastAsia" w:ascii="宋体" w:hAnsi="宋体" w:cs="宋体"/>
                <w:bCs/>
                <w:szCs w:val="21"/>
              </w:rPr>
              <w:t>对本项目投入的人员工资及福利按时足额发放、有关于针对责任事故及损失赔偿的承诺，有对采购人临时性的需求能够做到及时回应并有切实解决的承诺，承诺全面、合理。服务承诺对项目的服务质量有保障性。</w:t>
            </w:r>
            <w:r>
              <w:rPr>
                <w:rFonts w:hint="eastAsia" w:ascii="宋体" w:hAnsi="宋体" w:cs="宋体"/>
                <w:bCs/>
                <w:szCs w:val="21"/>
                <w:lang w:eastAsia="zh-CN"/>
              </w:rPr>
              <w:t>承诺</w:t>
            </w:r>
            <w:r>
              <w:rPr>
                <w:rFonts w:hint="eastAsia" w:ascii="宋体" w:hAnsi="宋体" w:cs="宋体"/>
                <w:bCs/>
                <w:szCs w:val="21"/>
              </w:rPr>
              <w:t>信息化管理可实现手机端开展报事报修、投诉处理、满意度调查、品质检查、PDA 巡查等相关高效管理。</w:t>
            </w:r>
          </w:p>
        </w:tc>
      </w:tr>
      <w:tr w14:paraId="7DF1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vMerge w:val="restart"/>
            <w:noWrap/>
            <w:vAlign w:val="center"/>
          </w:tcPr>
          <w:p w14:paraId="10A034DA">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color w:val="000000"/>
                <w:szCs w:val="21"/>
              </w:rPr>
            </w:pPr>
            <w:r>
              <w:rPr>
                <w:rFonts w:hint="eastAsia" w:ascii="宋体" w:hAnsi="宋体" w:cs="宋体"/>
                <w:color w:val="000000"/>
                <w:szCs w:val="21"/>
              </w:rPr>
              <w:t>3</w:t>
            </w:r>
          </w:p>
        </w:tc>
        <w:tc>
          <w:tcPr>
            <w:tcW w:w="1125" w:type="dxa"/>
            <w:vMerge w:val="restart"/>
            <w:noWrap/>
            <w:vAlign w:val="center"/>
          </w:tcPr>
          <w:p w14:paraId="2224D0F2">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color w:val="000000"/>
                <w:szCs w:val="21"/>
              </w:rPr>
            </w:pPr>
            <w:r>
              <w:rPr>
                <w:rFonts w:hint="eastAsia" w:ascii="宋体" w:hAnsi="宋体" w:cs="宋体"/>
                <w:color w:val="000000"/>
                <w:szCs w:val="21"/>
              </w:rPr>
              <w:t>商务分（满分2</w:t>
            </w:r>
            <w:r>
              <w:rPr>
                <w:rFonts w:hint="eastAsia" w:ascii="宋体" w:hAnsi="宋体" w:cs="宋体"/>
                <w:color w:val="000000"/>
                <w:szCs w:val="21"/>
                <w:lang w:val="en-US" w:eastAsia="zh-CN"/>
              </w:rPr>
              <w:t>7</w:t>
            </w:r>
            <w:r>
              <w:rPr>
                <w:rFonts w:hint="eastAsia" w:ascii="宋体" w:hAnsi="宋体" w:cs="宋体"/>
                <w:color w:val="000000"/>
                <w:szCs w:val="21"/>
              </w:rPr>
              <w:t>分）</w:t>
            </w:r>
          </w:p>
        </w:tc>
        <w:tc>
          <w:tcPr>
            <w:tcW w:w="1196" w:type="dxa"/>
            <w:vMerge w:val="restart"/>
            <w:noWrap/>
            <w:vAlign w:val="center"/>
          </w:tcPr>
          <w:p w14:paraId="22B3E3EF">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r>
              <w:rPr>
                <w:rFonts w:hint="eastAsia" w:ascii="宋体" w:hAnsi="宋体" w:cs="宋体"/>
                <w:szCs w:val="21"/>
              </w:rPr>
              <w:t>(1)业绩信誉分（满分9分）</w:t>
            </w:r>
          </w:p>
        </w:tc>
        <w:tc>
          <w:tcPr>
            <w:tcW w:w="6639" w:type="dxa"/>
            <w:noWrap/>
            <w:vAlign w:val="center"/>
          </w:tcPr>
          <w:p w14:paraId="605ADF86">
            <w:pPr>
              <w:keepNext w:val="0"/>
              <w:keepLines w:val="0"/>
              <w:pageBreakBefore w:val="0"/>
              <w:widowControl/>
              <w:kinsoku/>
              <w:wordWrap/>
              <w:overflowPunct/>
              <w:topLinePunct w:val="0"/>
              <w:autoSpaceDE/>
              <w:autoSpaceDN/>
              <w:bidi w:val="0"/>
              <w:adjustRightInd w:val="0"/>
              <w:snapToGrid/>
              <w:spacing w:line="360" w:lineRule="exact"/>
              <w:ind w:firstLine="420" w:firstLineChars="200"/>
              <w:rPr>
                <w:rFonts w:hint="eastAsia" w:ascii="宋体" w:hAnsi="宋体" w:cs="宋体"/>
                <w:bCs/>
                <w:szCs w:val="21"/>
              </w:rPr>
            </w:pPr>
            <w:r>
              <w:rPr>
                <w:rFonts w:hint="eastAsia" w:ascii="宋体" w:hAnsi="宋体" w:cs="宋体"/>
                <w:szCs w:val="21"/>
              </w:rPr>
              <w:t>①投标人2022年9月3日起至</w:t>
            </w:r>
            <w:r>
              <w:rPr>
                <w:rFonts w:hint="eastAsia" w:ascii="宋体" w:hAnsi="宋体" w:cs="宋体"/>
                <w:bCs/>
                <w:szCs w:val="21"/>
              </w:rPr>
              <w:t>今承接的同类服务项目业绩</w:t>
            </w:r>
            <w:r>
              <w:rPr>
                <w:rFonts w:hint="eastAsia" w:ascii="宋体" w:hAnsi="宋体" w:cs="宋体"/>
                <w:bCs/>
                <w:szCs w:val="21"/>
                <w:lang w:eastAsia="zh-CN"/>
              </w:rPr>
              <w:t>（同类项目业绩指的是包含保洁和安保的项目业绩），</w:t>
            </w:r>
            <w:r>
              <w:rPr>
                <w:rFonts w:hint="eastAsia" w:ascii="宋体" w:hAnsi="宋体" w:cs="宋体"/>
                <w:bCs/>
                <w:szCs w:val="21"/>
              </w:rPr>
              <w:t>每有一项得1分，满分</w:t>
            </w:r>
            <w:r>
              <w:rPr>
                <w:rFonts w:hint="eastAsia" w:ascii="宋体" w:hAnsi="宋体" w:cs="宋体"/>
                <w:bCs/>
                <w:szCs w:val="21"/>
                <w:lang w:val="en-US" w:eastAsia="zh-CN"/>
              </w:rPr>
              <w:t>6</w:t>
            </w:r>
            <w:r>
              <w:rPr>
                <w:rFonts w:hint="eastAsia" w:ascii="宋体" w:hAnsi="宋体" w:cs="宋体"/>
                <w:bCs/>
                <w:szCs w:val="21"/>
              </w:rPr>
              <w:t>分。</w:t>
            </w:r>
          </w:p>
          <w:p w14:paraId="6061552B">
            <w:pPr>
              <w:keepNext w:val="0"/>
              <w:keepLines w:val="0"/>
              <w:pageBreakBefore w:val="0"/>
              <w:widowControl/>
              <w:kinsoku/>
              <w:wordWrap/>
              <w:overflowPunct/>
              <w:topLinePunct w:val="0"/>
              <w:autoSpaceDE/>
              <w:autoSpaceDN/>
              <w:bidi w:val="0"/>
              <w:adjustRightInd w:val="0"/>
              <w:snapToGrid/>
              <w:spacing w:line="360" w:lineRule="exact"/>
              <w:ind w:firstLine="420" w:firstLineChars="200"/>
              <w:rPr>
                <w:rFonts w:ascii="宋体" w:hAnsi="宋体" w:cs="宋体"/>
                <w:color w:val="0000FF"/>
                <w:szCs w:val="21"/>
              </w:rPr>
            </w:pPr>
            <w:r>
              <w:rPr>
                <w:rFonts w:hint="eastAsia" w:ascii="宋体" w:hAnsi="宋体" w:cs="宋体"/>
                <w:bCs/>
                <w:szCs w:val="21"/>
              </w:rPr>
              <w:t>【备注:提供合同或中标/成交通知书等证明文</w:t>
            </w:r>
            <w:r>
              <w:rPr>
                <w:rFonts w:hint="eastAsia" w:ascii="宋体" w:hAnsi="宋体" w:cs="宋体"/>
                <w:szCs w:val="21"/>
              </w:rPr>
              <w:t>件】</w:t>
            </w:r>
          </w:p>
        </w:tc>
      </w:tr>
      <w:tr w14:paraId="4D3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8" w:type="dxa"/>
            <w:vMerge w:val="continue"/>
            <w:noWrap/>
            <w:vAlign w:val="center"/>
          </w:tcPr>
          <w:p w14:paraId="6E72F8D5">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cs="宋体"/>
                <w:color w:val="000000"/>
                <w:szCs w:val="21"/>
              </w:rPr>
            </w:pPr>
          </w:p>
        </w:tc>
        <w:tc>
          <w:tcPr>
            <w:tcW w:w="1125" w:type="dxa"/>
            <w:vMerge w:val="continue"/>
            <w:noWrap/>
            <w:vAlign w:val="center"/>
          </w:tcPr>
          <w:p w14:paraId="0B3332A3">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cs="宋体"/>
                <w:color w:val="000000"/>
                <w:szCs w:val="21"/>
              </w:rPr>
            </w:pPr>
          </w:p>
        </w:tc>
        <w:tc>
          <w:tcPr>
            <w:tcW w:w="1196" w:type="dxa"/>
            <w:vMerge w:val="continue"/>
            <w:noWrap/>
            <w:vAlign w:val="center"/>
          </w:tcPr>
          <w:p w14:paraId="4AD44D8E">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cs="宋体"/>
                <w:szCs w:val="21"/>
              </w:rPr>
            </w:pPr>
          </w:p>
        </w:tc>
        <w:tc>
          <w:tcPr>
            <w:tcW w:w="6639" w:type="dxa"/>
            <w:noWrap/>
            <w:vAlign w:val="center"/>
          </w:tcPr>
          <w:p w14:paraId="0F817CB9">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cs="宋体"/>
                <w:szCs w:val="21"/>
              </w:rPr>
            </w:pPr>
            <w:r>
              <w:rPr>
                <w:rFonts w:hint="eastAsia" w:ascii="微软雅黑" w:hAnsi="微软雅黑" w:eastAsia="微软雅黑" w:cs="微软雅黑"/>
                <w:szCs w:val="21"/>
              </w:rPr>
              <w:t>②</w:t>
            </w:r>
            <w:r>
              <w:rPr>
                <w:rFonts w:hint="eastAsia" w:ascii="宋体" w:hAnsi="宋体" w:eastAsia="宋体" w:cs="宋体"/>
                <w:szCs w:val="21"/>
              </w:rPr>
              <w:t>投标人通过ISO9001质量管理体系认证、ISO14001 环境管理体系认证、ISO45001职业健康与安全管理体系认证、GB/T 37228-2018应急预案管理能力评价认证证书、GB/T 20647.9-2006物业服务认证证书、CTS QJLER 12-2025</w:t>
            </w:r>
            <w:r>
              <w:rPr>
                <w:rFonts w:hint="eastAsia" w:ascii="宋体" w:hAnsi="宋体" w:eastAsia="宋体" w:cs="宋体"/>
                <w:szCs w:val="21"/>
                <w:lang w:val="en-US" w:eastAsia="zh-CN"/>
              </w:rPr>
              <w:t>培训管理体系认证证书</w:t>
            </w:r>
            <w:r>
              <w:rPr>
                <w:rFonts w:hint="eastAsia" w:ascii="宋体" w:hAnsi="宋体" w:eastAsia="宋体" w:cs="宋体"/>
                <w:szCs w:val="21"/>
              </w:rPr>
              <w:t>每提供一个认证得0.5分，满分 3 分。（以上证书均要求在有效期内，否则不得分，提供 证书扫描件）。</w:t>
            </w:r>
          </w:p>
        </w:tc>
      </w:tr>
      <w:tr w14:paraId="7DCD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48" w:type="dxa"/>
            <w:vMerge w:val="continue"/>
            <w:noWrap/>
            <w:vAlign w:val="center"/>
          </w:tcPr>
          <w:p w14:paraId="18DD7D1D">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tc>
        <w:tc>
          <w:tcPr>
            <w:tcW w:w="1125" w:type="dxa"/>
            <w:vMerge w:val="continue"/>
            <w:noWrap/>
            <w:vAlign w:val="center"/>
          </w:tcPr>
          <w:p w14:paraId="59B9684C">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tc>
        <w:tc>
          <w:tcPr>
            <w:tcW w:w="1196" w:type="dxa"/>
            <w:noWrap/>
            <w:vAlign w:val="center"/>
          </w:tcPr>
          <w:p w14:paraId="7D773181">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p w14:paraId="2D3FA254">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p w14:paraId="23269ED1">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p w14:paraId="5D1DBD11">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p w14:paraId="434FAB24">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p w14:paraId="7B295EEA">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p w14:paraId="097884FC">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p>
          <w:p w14:paraId="13245165">
            <w:pPr>
              <w:keepNext w:val="0"/>
              <w:keepLines w:val="0"/>
              <w:pageBreakBefore w:val="0"/>
              <w:kinsoku/>
              <w:wordWrap/>
              <w:overflowPunct/>
              <w:topLinePunct w:val="0"/>
              <w:autoSpaceDE/>
              <w:autoSpaceDN/>
              <w:bidi w:val="0"/>
              <w:adjustRightInd w:val="0"/>
              <w:snapToGrid w:val="0"/>
              <w:spacing w:line="360" w:lineRule="exact"/>
              <w:jc w:val="center"/>
              <w:rPr>
                <w:rFonts w:ascii="宋体" w:hAnsi="宋体" w:cs="宋体"/>
                <w:szCs w:val="21"/>
              </w:rPr>
            </w:pPr>
            <w:r>
              <w:rPr>
                <w:rFonts w:hint="eastAsia" w:ascii="宋体" w:hAnsi="宋体" w:cs="宋体"/>
                <w:szCs w:val="21"/>
              </w:rPr>
              <w:t>(2)企业实力分（满分</w:t>
            </w:r>
            <w:r>
              <w:rPr>
                <w:rFonts w:hint="eastAsia" w:ascii="宋体" w:hAnsi="宋体" w:cs="宋体"/>
                <w:szCs w:val="21"/>
                <w:lang w:val="en-US" w:eastAsia="zh-CN"/>
              </w:rPr>
              <w:t>18分</w:t>
            </w:r>
            <w:r>
              <w:rPr>
                <w:rFonts w:hint="eastAsia" w:ascii="宋体" w:hAnsi="宋体" w:cs="宋体"/>
                <w:szCs w:val="21"/>
              </w:rPr>
              <w:t>）</w:t>
            </w:r>
          </w:p>
        </w:tc>
        <w:tc>
          <w:tcPr>
            <w:tcW w:w="6639" w:type="dxa"/>
            <w:noWrap/>
            <w:vAlign w:val="center"/>
          </w:tcPr>
          <w:p w14:paraId="2104C98E">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①拟投入的</w:t>
            </w:r>
            <w:r>
              <w:rPr>
                <w:rFonts w:hint="eastAsia" w:ascii="宋体" w:hAnsi="宋体" w:eastAsia="宋体" w:cs="宋体"/>
                <w:szCs w:val="21"/>
                <w:lang w:eastAsia="zh-CN"/>
              </w:rPr>
              <w:t>项目经理同时具备以下</w:t>
            </w:r>
            <w:r>
              <w:rPr>
                <w:rFonts w:hint="eastAsia" w:ascii="宋体" w:hAnsi="宋体" w:eastAsia="宋体" w:cs="宋体"/>
                <w:szCs w:val="21"/>
                <w:lang w:val="en-US" w:eastAsia="zh-CN"/>
              </w:rPr>
              <w:t>3个</w:t>
            </w:r>
            <w:r>
              <w:rPr>
                <w:rFonts w:hint="eastAsia" w:ascii="宋体" w:hAnsi="宋体" w:eastAsia="宋体" w:cs="宋体"/>
                <w:szCs w:val="21"/>
                <w:lang w:eastAsia="zh-CN"/>
              </w:rPr>
              <w:t>条件</w:t>
            </w:r>
            <w:r>
              <w:rPr>
                <w:rFonts w:hint="eastAsia" w:ascii="宋体" w:hAnsi="宋体" w:eastAsia="宋体" w:cs="宋体"/>
                <w:szCs w:val="21"/>
                <w:lang w:val="en-US" w:eastAsia="zh-CN"/>
              </w:rPr>
              <w:t>:</w:t>
            </w:r>
            <w:r>
              <w:rPr>
                <w:rFonts w:hint="eastAsia" w:ascii="宋体" w:hAnsi="宋体" w:eastAsia="宋体" w:cs="宋体"/>
                <w:szCs w:val="21"/>
              </w:rPr>
              <w:t>具有本科及以上学历</w:t>
            </w:r>
            <w:r>
              <w:rPr>
                <w:rFonts w:hint="eastAsia" w:ascii="宋体" w:hAnsi="宋体" w:eastAsia="宋体" w:cs="宋体"/>
                <w:szCs w:val="21"/>
                <w:lang w:eastAsia="zh-CN"/>
              </w:rPr>
              <w:t>、</w:t>
            </w:r>
            <w:r>
              <w:rPr>
                <w:rFonts w:hint="eastAsia" w:ascii="宋体" w:hAnsi="宋体" w:eastAsia="宋体" w:cs="宋体"/>
                <w:szCs w:val="21"/>
              </w:rPr>
              <w:t>持有</w:t>
            </w:r>
            <w:r>
              <w:rPr>
                <w:rFonts w:hint="eastAsia" w:ascii="宋体" w:hAnsi="宋体" w:cs="宋体"/>
                <w:szCs w:val="21"/>
                <w:lang w:eastAsia="zh-CN"/>
              </w:rPr>
              <w:t>公安机关颁发的</w:t>
            </w:r>
            <w:r>
              <w:rPr>
                <w:rFonts w:hint="eastAsia" w:ascii="宋体" w:hAnsi="宋体" w:eastAsia="宋体" w:cs="宋体"/>
                <w:szCs w:val="21"/>
              </w:rPr>
              <w:t>保安</w:t>
            </w:r>
            <w:r>
              <w:rPr>
                <w:rFonts w:hint="eastAsia" w:ascii="宋体" w:hAnsi="宋体" w:eastAsia="宋体" w:cs="宋体"/>
                <w:szCs w:val="21"/>
                <w:lang w:eastAsia="zh-CN"/>
              </w:rPr>
              <w:t>员</w:t>
            </w:r>
            <w:r>
              <w:rPr>
                <w:rFonts w:hint="eastAsia" w:ascii="宋体" w:hAnsi="宋体" w:eastAsia="宋体" w:cs="宋体"/>
                <w:szCs w:val="21"/>
              </w:rPr>
              <w:t>证</w:t>
            </w:r>
            <w:r>
              <w:rPr>
                <w:rFonts w:hint="eastAsia" w:ascii="宋体" w:hAnsi="宋体" w:eastAsia="宋体" w:cs="宋体"/>
                <w:szCs w:val="21"/>
                <w:lang w:eastAsia="zh-CN"/>
              </w:rPr>
              <w:t>以及</w:t>
            </w:r>
            <w:r>
              <w:rPr>
                <w:rFonts w:hint="eastAsia" w:ascii="宋体" w:hAnsi="宋体" w:eastAsia="宋体" w:cs="宋体"/>
                <w:szCs w:val="21"/>
              </w:rPr>
              <w:t>持有人力资源和社会保障部颁发的一级（或以上）注册消防工程师证书的</w:t>
            </w:r>
            <w:r>
              <w:rPr>
                <w:rFonts w:hint="eastAsia" w:ascii="宋体" w:hAnsi="宋体" w:eastAsia="宋体" w:cs="宋体"/>
                <w:szCs w:val="21"/>
                <w:lang w:eastAsia="zh-CN"/>
              </w:rPr>
              <w:t>，</w:t>
            </w:r>
            <w:r>
              <w:rPr>
                <w:rFonts w:hint="eastAsia" w:ascii="宋体" w:hAnsi="宋体" w:eastAsia="宋体" w:cs="宋体"/>
                <w:szCs w:val="21"/>
              </w:rPr>
              <w:t>得</w:t>
            </w:r>
            <w:r>
              <w:rPr>
                <w:rFonts w:hint="eastAsia" w:ascii="宋体" w:hAnsi="宋体" w:eastAsia="宋体" w:cs="宋体"/>
                <w:szCs w:val="21"/>
                <w:lang w:val="en-US" w:eastAsia="zh-CN"/>
              </w:rPr>
              <w:t>4</w:t>
            </w:r>
            <w:r>
              <w:rPr>
                <w:rFonts w:hint="eastAsia" w:ascii="宋体" w:hAnsi="宋体" w:eastAsia="宋体" w:cs="宋体"/>
                <w:szCs w:val="21"/>
              </w:rPr>
              <w:t>分，满分</w:t>
            </w:r>
            <w:r>
              <w:rPr>
                <w:rFonts w:hint="eastAsia" w:ascii="宋体" w:hAnsi="宋体" w:eastAsia="宋体" w:cs="宋体"/>
                <w:szCs w:val="21"/>
                <w:lang w:val="en-US" w:eastAsia="zh-CN"/>
              </w:rPr>
              <w:t>4</w:t>
            </w:r>
            <w:r>
              <w:rPr>
                <w:rFonts w:hint="eastAsia" w:ascii="宋体" w:hAnsi="宋体" w:eastAsia="宋体" w:cs="宋体"/>
                <w:szCs w:val="21"/>
              </w:rPr>
              <w:t>分。</w:t>
            </w:r>
          </w:p>
          <w:p w14:paraId="33312CB7">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②拟投入的</w:t>
            </w:r>
            <w:r>
              <w:rPr>
                <w:rFonts w:hint="eastAsia" w:ascii="宋体" w:hAnsi="宋体" w:eastAsia="宋体" w:cs="宋体"/>
                <w:szCs w:val="21"/>
                <w:lang w:eastAsia="zh-CN"/>
              </w:rPr>
              <w:t>保安队长须</w:t>
            </w:r>
            <w:r>
              <w:rPr>
                <w:rFonts w:hint="eastAsia" w:ascii="宋体" w:hAnsi="宋体" w:eastAsia="宋体" w:cs="宋体"/>
                <w:szCs w:val="21"/>
              </w:rPr>
              <w:t>具有</w:t>
            </w:r>
            <w:r>
              <w:rPr>
                <w:rFonts w:hint="eastAsia" w:ascii="宋体" w:hAnsi="宋体" w:eastAsia="宋体" w:cs="宋体"/>
                <w:szCs w:val="21"/>
                <w:lang w:eastAsia="zh-CN"/>
              </w:rPr>
              <w:t>大专</w:t>
            </w:r>
            <w:r>
              <w:rPr>
                <w:rFonts w:hint="eastAsia" w:ascii="宋体" w:hAnsi="宋体" w:eastAsia="宋体" w:cs="宋体"/>
                <w:szCs w:val="21"/>
              </w:rPr>
              <w:t>及以上学历</w:t>
            </w:r>
            <w:r>
              <w:rPr>
                <w:rFonts w:hint="eastAsia" w:ascii="宋体" w:hAnsi="宋体" w:eastAsia="宋体" w:cs="宋体"/>
                <w:szCs w:val="21"/>
                <w:lang w:eastAsia="zh-CN"/>
              </w:rPr>
              <w:t>，同时每</w:t>
            </w:r>
            <w:r>
              <w:rPr>
                <w:rFonts w:hint="eastAsia" w:ascii="宋体" w:hAnsi="宋体" w:eastAsia="宋体" w:cs="宋体"/>
                <w:szCs w:val="21"/>
              </w:rPr>
              <w:t>有一人持有人力资源和社会保障部门颁发的二级（或以上）保安员</w:t>
            </w:r>
            <w:r>
              <w:rPr>
                <w:rFonts w:hint="eastAsia" w:ascii="宋体" w:hAnsi="宋体" w:cs="宋体"/>
                <w:szCs w:val="21"/>
                <w:lang w:eastAsia="zh-CN"/>
              </w:rPr>
              <w:t>职业资格</w:t>
            </w:r>
            <w:r>
              <w:rPr>
                <w:rFonts w:hint="eastAsia" w:ascii="宋体" w:hAnsi="宋体" w:eastAsia="宋体" w:cs="宋体"/>
                <w:szCs w:val="21"/>
              </w:rPr>
              <w:t>证书，得</w:t>
            </w:r>
            <w:r>
              <w:rPr>
                <w:rFonts w:hint="eastAsia" w:ascii="宋体" w:hAnsi="宋体" w:eastAsia="宋体" w:cs="宋体"/>
                <w:szCs w:val="21"/>
                <w:lang w:val="en-US" w:eastAsia="zh-CN"/>
              </w:rPr>
              <w:t>2</w:t>
            </w:r>
            <w:r>
              <w:rPr>
                <w:rFonts w:hint="eastAsia" w:ascii="宋体" w:hAnsi="宋体" w:eastAsia="宋体" w:cs="宋体"/>
                <w:szCs w:val="21"/>
              </w:rPr>
              <w:t xml:space="preserve">分，满分 </w:t>
            </w:r>
            <w:r>
              <w:rPr>
                <w:rFonts w:hint="eastAsia" w:ascii="宋体" w:hAnsi="宋体" w:eastAsia="宋体" w:cs="宋体"/>
                <w:szCs w:val="21"/>
                <w:lang w:val="en-US" w:eastAsia="zh-CN"/>
              </w:rPr>
              <w:t>4</w:t>
            </w:r>
            <w:r>
              <w:rPr>
                <w:rFonts w:hint="eastAsia" w:ascii="宋体" w:hAnsi="宋体" w:eastAsia="宋体" w:cs="宋体"/>
                <w:szCs w:val="21"/>
              </w:rPr>
              <w:t xml:space="preserve"> 分。</w:t>
            </w:r>
            <w:r>
              <w:rPr>
                <w:rFonts w:hint="eastAsia" w:ascii="宋体" w:hAnsi="宋体" w:eastAsia="宋体" w:cs="宋体"/>
                <w:szCs w:val="21"/>
                <w:lang w:eastAsia="zh-CN"/>
              </w:rPr>
              <w:t>在此基础上，同时</w:t>
            </w:r>
            <w:r>
              <w:rPr>
                <w:rFonts w:hint="eastAsia" w:ascii="宋体" w:hAnsi="宋体" w:eastAsia="宋体" w:cs="宋体"/>
                <w:szCs w:val="21"/>
              </w:rPr>
              <w:t>持有人力资源和社会保障部门颁发的中级（或以上）建（构 ） 筑物消防员证或消防设施操作员</w:t>
            </w:r>
            <w:r>
              <w:rPr>
                <w:rFonts w:hint="eastAsia" w:ascii="宋体" w:hAnsi="宋体" w:eastAsia="宋体" w:cs="宋体"/>
                <w:szCs w:val="21"/>
                <w:lang w:eastAsia="zh-CN"/>
              </w:rPr>
              <w:t>证</w:t>
            </w:r>
            <w:r>
              <w:rPr>
                <w:rFonts w:hint="eastAsia" w:ascii="宋体" w:hAnsi="宋体" w:eastAsia="宋体" w:cs="宋体"/>
                <w:szCs w:val="21"/>
              </w:rPr>
              <w:t>的，</w:t>
            </w:r>
            <w:r>
              <w:rPr>
                <w:rFonts w:hint="eastAsia" w:ascii="宋体" w:hAnsi="宋体" w:eastAsia="宋体" w:cs="宋体"/>
                <w:szCs w:val="21"/>
                <w:lang w:eastAsia="zh-CN"/>
              </w:rPr>
              <w:t>每有一人加</w:t>
            </w:r>
            <w:r>
              <w:rPr>
                <w:rFonts w:hint="eastAsia" w:ascii="宋体" w:hAnsi="宋体" w:eastAsia="宋体" w:cs="宋体"/>
                <w:szCs w:val="21"/>
              </w:rPr>
              <w:t xml:space="preserve"> </w:t>
            </w:r>
            <w:r>
              <w:rPr>
                <w:rFonts w:hint="eastAsia" w:ascii="宋体" w:hAnsi="宋体" w:eastAsia="宋体" w:cs="宋体"/>
                <w:szCs w:val="21"/>
                <w:lang w:val="en-US" w:eastAsia="zh-CN"/>
              </w:rPr>
              <w:t>2</w:t>
            </w:r>
            <w:r>
              <w:rPr>
                <w:rFonts w:hint="eastAsia" w:ascii="宋体" w:hAnsi="宋体" w:eastAsia="宋体" w:cs="宋体"/>
                <w:szCs w:val="21"/>
              </w:rPr>
              <w:t>分，满分</w:t>
            </w:r>
            <w:r>
              <w:rPr>
                <w:rFonts w:hint="eastAsia" w:ascii="宋体" w:hAnsi="宋体" w:eastAsia="宋体" w:cs="宋体"/>
                <w:szCs w:val="21"/>
                <w:lang w:val="en-US" w:eastAsia="zh-CN"/>
              </w:rPr>
              <w:t>4</w:t>
            </w:r>
            <w:r>
              <w:rPr>
                <w:rFonts w:hint="eastAsia" w:ascii="宋体" w:hAnsi="宋体" w:eastAsia="宋体" w:cs="宋体"/>
                <w:szCs w:val="21"/>
              </w:rPr>
              <w:t>分</w:t>
            </w:r>
            <w:r>
              <w:rPr>
                <w:rFonts w:hint="eastAsia" w:ascii="宋体" w:hAnsi="宋体" w:eastAsia="宋体" w:cs="宋体"/>
                <w:szCs w:val="21"/>
                <w:lang w:eastAsia="zh-CN"/>
              </w:rPr>
              <w:t>。本项满分</w:t>
            </w:r>
            <w:r>
              <w:rPr>
                <w:rFonts w:hint="eastAsia" w:ascii="宋体" w:hAnsi="宋体" w:eastAsia="宋体" w:cs="宋体"/>
                <w:szCs w:val="21"/>
                <w:lang w:val="en-US" w:eastAsia="zh-CN"/>
              </w:rPr>
              <w:t>8分。</w:t>
            </w:r>
          </w:p>
          <w:p w14:paraId="40D08065">
            <w:pPr>
              <w:keepNext w:val="0"/>
              <w:keepLines w:val="0"/>
              <w:pageBreakBefore w:val="0"/>
              <w:kinsoku/>
              <w:wordWrap/>
              <w:overflowPunct/>
              <w:topLinePunct w:val="0"/>
              <w:autoSpaceDE/>
              <w:autoSpaceDN/>
              <w:bidi w:val="0"/>
              <w:adjustRightInd w:val="0"/>
              <w:snapToGrid w:val="0"/>
              <w:spacing w:line="360" w:lineRule="exact"/>
              <w:ind w:firstLine="420" w:firstLineChars="200"/>
              <w:jc w:val="left"/>
              <w:rPr>
                <w:rFonts w:hint="eastAsia" w:ascii="宋体" w:hAnsi="宋体" w:cs="宋体"/>
                <w:spacing w:val="0"/>
                <w:kern w:val="2"/>
                <w:sz w:val="21"/>
                <w:szCs w:val="21"/>
                <w:lang w:val="en-US" w:eastAsia="zh-CN"/>
              </w:rPr>
            </w:pPr>
            <w:r>
              <w:rPr>
                <w:rFonts w:hint="eastAsia" w:ascii="宋体" w:hAnsi="宋体" w:cs="宋体"/>
                <w:spacing w:val="0"/>
                <w:kern w:val="2"/>
                <w:sz w:val="21"/>
                <w:szCs w:val="21"/>
                <w:lang w:val="en-US" w:eastAsia="zh-CN"/>
              </w:rPr>
              <w:t>③拟投入的保洁主管持有高级清洁管理师证，得 3 分，满分 3 分。采购需求保洁员均持有初级保洁员证及以上证书的加3分，满分 3 分。本项满分6分。</w:t>
            </w:r>
          </w:p>
          <w:p w14:paraId="3C042CFB">
            <w:pPr>
              <w:keepNext w:val="0"/>
              <w:keepLines w:val="0"/>
              <w:pageBreakBefore w:val="0"/>
              <w:kinsoku/>
              <w:wordWrap/>
              <w:overflowPunct/>
              <w:topLinePunct w:val="0"/>
              <w:autoSpaceDE/>
              <w:autoSpaceDN/>
              <w:bidi w:val="0"/>
              <w:adjustRightInd w:val="0"/>
              <w:snapToGrid w:val="0"/>
              <w:spacing w:line="360" w:lineRule="exact"/>
              <w:ind w:firstLine="420" w:firstLineChars="200"/>
              <w:jc w:val="left"/>
              <w:rPr>
                <w:rFonts w:ascii="宋体" w:hAnsi="宋体" w:cs="宋体"/>
                <w:color w:val="0000FF"/>
                <w:szCs w:val="21"/>
              </w:rPr>
            </w:pPr>
            <w:r>
              <w:rPr>
                <w:rFonts w:hint="eastAsia" w:ascii="宋体" w:hAnsi="宋体" w:cs="宋体"/>
                <w:spacing w:val="0"/>
                <w:kern w:val="2"/>
                <w:sz w:val="21"/>
                <w:szCs w:val="21"/>
                <w:lang w:val="en-US" w:eastAsia="zh-CN"/>
              </w:rPr>
              <w:t>注：投标时，上述拟投入人员须提供专业人员花名册包括姓名、性别、年龄、学历证书，提供证书复印件，上述拟投入人员须提供2025年1月至投标截止日前任意一个月的社保缴纳证明复印件，否则不予计分。</w:t>
            </w:r>
          </w:p>
        </w:tc>
      </w:tr>
      <w:tr w14:paraId="67EB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08" w:type="dxa"/>
            <w:gridSpan w:val="4"/>
            <w:noWrap/>
            <w:vAlign w:val="center"/>
          </w:tcPr>
          <w:p w14:paraId="331A13D2">
            <w:pPr>
              <w:keepNext w:val="0"/>
              <w:keepLines w:val="0"/>
              <w:pageBreakBefore w:val="0"/>
              <w:kinsoku/>
              <w:wordWrap/>
              <w:overflowPunct/>
              <w:topLinePunct w:val="0"/>
              <w:autoSpaceDE/>
              <w:autoSpaceDN/>
              <w:bidi w:val="0"/>
              <w:adjustRightInd w:val="0"/>
              <w:snapToGrid w:val="0"/>
              <w:spacing w:line="360" w:lineRule="exact"/>
              <w:rPr>
                <w:rFonts w:ascii="宋体" w:hAnsi="宋体" w:cs="宋体"/>
                <w:b/>
                <w:bCs/>
                <w:color w:val="000000"/>
                <w:kern w:val="0"/>
                <w:szCs w:val="21"/>
              </w:rPr>
            </w:pPr>
            <w:r>
              <w:rPr>
                <w:rFonts w:hint="eastAsia" w:ascii="宋体" w:hAnsi="宋体" w:cs="宋体"/>
                <w:b/>
                <w:bCs/>
                <w:color w:val="000000"/>
                <w:kern w:val="0"/>
                <w:szCs w:val="21"/>
              </w:rPr>
              <w:t>总得分=1+2+3</w:t>
            </w:r>
          </w:p>
        </w:tc>
      </w:tr>
    </w:tbl>
    <w:p w14:paraId="787A4E8D">
      <w:pPr>
        <w:snapToGrid w:val="0"/>
        <w:spacing w:line="360" w:lineRule="auto"/>
        <w:ind w:firstLine="400" w:firstLineChars="200"/>
        <w:rPr>
          <w:rFonts w:ascii="宋体" w:hAnsi="宋体" w:cs="宋体"/>
          <w:color w:val="000000" w:themeColor="text1"/>
          <w:sz w:val="20"/>
          <w:szCs w:val="20"/>
          <w:shd w:val="clear" w:color="auto" w:fill="FFFFFF"/>
          <w14:textFill>
            <w14:solidFill>
              <w14:schemeClr w14:val="tx1"/>
            </w14:solidFill>
          </w14:textFill>
        </w:rPr>
      </w:pPr>
    </w:p>
    <w:p w14:paraId="3FEF8EA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备注：</w:t>
      </w:r>
      <w:r>
        <w:rPr>
          <w:rFonts w:hint="eastAsia" w:ascii="宋体" w:hAnsi="宋体" w:cs="宋体"/>
          <w:color w:val="000000" w:themeColor="text1"/>
          <w:sz w:val="24"/>
          <w14:textFill>
            <w14:solidFill>
              <w14:schemeClr w14:val="tx1"/>
            </w14:solidFill>
          </w14:textFill>
        </w:rPr>
        <w:t>投标人编制投标文件（商务技术文件部分）时，建议按此目录（序号和内容）提供评标标准相应的商务技术资料。</w:t>
      </w:r>
    </w:p>
    <w:p w14:paraId="2E6CB0C2">
      <w:pPr>
        <w:keepNext w:val="0"/>
        <w:keepLines w:val="0"/>
        <w:pageBreakBefore w:val="0"/>
        <w:kinsoku/>
        <w:wordWrap/>
        <w:overflowPunct/>
        <w:topLinePunct w:val="0"/>
        <w:autoSpaceDE/>
        <w:autoSpaceDN/>
        <w:bidi w:val="0"/>
        <w:snapToGrid w:val="0"/>
        <w:spacing w:line="420" w:lineRule="exact"/>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r>
        <w:rPr>
          <w:rFonts w:hint="eastAsia" w:ascii="宋体" w:hAnsi="宋体" w:cs="宋体"/>
          <w:b/>
          <w:color w:val="000000" w:themeColor="text1"/>
          <w:sz w:val="32"/>
          <w14:textFill>
            <w14:solidFill>
              <w14:schemeClr w14:val="tx1"/>
            </w14:solidFill>
          </w14:textFill>
        </w:rPr>
        <w:t>一、评标方法</w:t>
      </w:r>
    </w:p>
    <w:p w14:paraId="33A997F5">
      <w:pPr>
        <w:keepNext w:val="0"/>
        <w:keepLines w:val="0"/>
        <w:pageBreakBefore w:val="0"/>
        <w:kinsoku/>
        <w:wordWrap/>
        <w:overflowPunct/>
        <w:topLinePunct w:val="0"/>
        <w:autoSpaceDE/>
        <w:autoSpaceDN/>
        <w:bidi w:val="0"/>
        <w:adjustRightInd/>
        <w:spacing w:line="420" w:lineRule="exact"/>
        <w:ind w:firstLine="482" w:firstLineChars="200"/>
        <w:textAlignment w:val="auto"/>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1.本项目采用的评标方法:</w:t>
      </w:r>
    </w:p>
    <w:p w14:paraId="2972CA09">
      <w:pPr>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747492348"/>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b/>
          <w:color w:val="000000" w:themeColor="text1"/>
          <w:kern w:val="0"/>
          <w:sz w:val="24"/>
          <w14:textFill>
            <w14:solidFill>
              <w14:schemeClr w14:val="tx1"/>
            </w14:solidFill>
          </w14:textFill>
        </w:rPr>
        <w:t>综合评分法</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综合评分法，是指投标文件满足招标文件全部实质性要求，且按照评审因素的量化指标评审得分最高的投标人为中标候选人的评标方法。</w:t>
      </w:r>
    </w:p>
    <w:p w14:paraId="6D9CC86C">
      <w:pPr>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b/>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46134223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w:t>
      </w:r>
      <w:r>
        <w:rPr>
          <w:rFonts w:hint="eastAsia" w:ascii="宋体" w:hAnsi="宋体" w:cs="宋体"/>
          <w:color w:val="000000" w:themeColor="text1"/>
          <w:sz w:val="24"/>
          <w14:textFill>
            <w14:solidFill>
              <w14:schemeClr w14:val="tx1"/>
            </w14:solidFill>
          </w14:textFill>
        </w:rPr>
        <w:t>最低评标价法</w:t>
      </w:r>
      <w:r>
        <w:rPr>
          <w:rFonts w:hint="eastAsia" w:ascii="宋体" w:hAnsi="宋体" w:cs="宋体"/>
          <w:b/>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最低评标价法，是指投标文件满足招标文件全部实质性要求，且投标报价最低的投标人为中标候选人的评标方法。</w:t>
      </w:r>
    </w:p>
    <w:p w14:paraId="6F9DF086">
      <w:pPr>
        <w:keepNext w:val="0"/>
        <w:keepLines w:val="0"/>
        <w:pageBreakBefore w:val="0"/>
        <w:kinsoku/>
        <w:wordWrap/>
        <w:overflowPunct/>
        <w:topLinePunct w:val="0"/>
        <w:autoSpaceDE/>
        <w:autoSpaceDN/>
        <w:bidi w:val="0"/>
        <w:adjustRightInd/>
        <w:spacing w:line="420" w:lineRule="exact"/>
        <w:textAlignment w:val="auto"/>
        <w:outlineLvl w:val="1"/>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二、评标标准</w:t>
      </w:r>
    </w:p>
    <w:p w14:paraId="30B07580">
      <w:pPr>
        <w:keepNext w:val="0"/>
        <w:keepLines w:val="0"/>
        <w:pageBreakBefore w:val="0"/>
        <w:kinsoku/>
        <w:wordWrap/>
        <w:overflowPunct/>
        <w:topLinePunct w:val="0"/>
        <w:autoSpaceDE/>
        <w:autoSpaceDN/>
        <w:bidi w:val="0"/>
        <w:spacing w:line="420" w:lineRule="exact"/>
        <w:ind w:firstLine="472" w:firstLineChars="196"/>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评标标准：</w:t>
      </w:r>
      <w:r>
        <w:rPr>
          <w:rFonts w:hint="eastAsia" w:ascii="宋体" w:hAnsi="宋体" w:cs="宋体"/>
          <w:color w:val="000000" w:themeColor="text1"/>
          <w:sz w:val="24"/>
          <w14:textFill>
            <w14:solidFill>
              <w14:schemeClr w14:val="tx1"/>
            </w14:solidFill>
          </w14:textFill>
        </w:rPr>
        <w:t>采用综合评分法的，评标标准</w:t>
      </w:r>
      <w:r>
        <w:rPr>
          <w:rFonts w:hint="eastAsia" w:ascii="宋体" w:hAnsi="宋体" w:cs="宋体"/>
          <w:color w:val="000000" w:themeColor="text1"/>
          <w:kern w:val="0"/>
          <w:sz w:val="24"/>
          <w14:textFill>
            <w14:solidFill>
              <w14:schemeClr w14:val="tx1"/>
            </w14:solidFill>
          </w14:textFill>
        </w:rPr>
        <w:t>见评标办法前附表。采用最低评标价法评标时，除了算术修正和落实政府采购政策需进行的价格扣除外，不能对投标人的投标价格进行任何调整。</w:t>
      </w:r>
    </w:p>
    <w:p w14:paraId="382A30BE">
      <w:pPr>
        <w:keepNext w:val="0"/>
        <w:keepLines w:val="0"/>
        <w:pageBreakBefore w:val="0"/>
        <w:kinsoku/>
        <w:wordWrap/>
        <w:overflowPunct/>
        <w:topLinePunct w:val="0"/>
        <w:autoSpaceDE/>
        <w:autoSpaceDN/>
        <w:bidi w:val="0"/>
        <w:spacing w:line="420" w:lineRule="exact"/>
        <w:textAlignment w:val="auto"/>
        <w:outlineLvl w:val="1"/>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三、评标程序</w:t>
      </w:r>
    </w:p>
    <w:p w14:paraId="0AA08562">
      <w:pPr>
        <w:keepNext w:val="0"/>
        <w:keepLines w:val="0"/>
        <w:pageBreakBefore w:val="0"/>
        <w:kinsoku/>
        <w:wordWrap/>
        <w:overflowPunct/>
        <w:topLinePunct w:val="0"/>
        <w:autoSpaceDE/>
        <w:autoSpaceDN/>
        <w:bidi w:val="0"/>
        <w:spacing w:line="420" w:lineRule="exact"/>
        <w:ind w:firstLine="472" w:firstLineChars="196"/>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3.1符合性审查。</w:t>
      </w:r>
      <w:r>
        <w:rPr>
          <w:rFonts w:hint="eastAsia" w:ascii="宋体" w:hAnsi="宋体" w:cs="宋体"/>
          <w:color w:val="000000" w:themeColor="text1"/>
          <w:kern w:val="0"/>
          <w:sz w:val="24"/>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51D6BEC6">
      <w:pPr>
        <w:keepNext w:val="0"/>
        <w:keepLines w:val="0"/>
        <w:pageBreakBefore w:val="0"/>
        <w:kinsoku/>
        <w:wordWrap/>
        <w:overflowPunct/>
        <w:topLinePunct w:val="0"/>
        <w:autoSpaceDE/>
        <w:autoSpaceDN/>
        <w:bidi w:val="0"/>
        <w:spacing w:line="420" w:lineRule="exact"/>
        <w:ind w:firstLine="472" w:firstLineChars="196"/>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3.2 比较与评价。</w:t>
      </w:r>
      <w:r>
        <w:rPr>
          <w:rFonts w:hint="eastAsia" w:ascii="宋体" w:hAnsi="宋体" w:cs="宋体"/>
          <w:color w:val="000000" w:themeColor="text1"/>
          <w:kern w:val="0"/>
          <w:sz w:val="24"/>
          <w14:textFill>
            <w14:solidFill>
              <w14:schemeClr w14:val="tx1"/>
            </w14:solidFill>
          </w14:textFill>
        </w:rPr>
        <w:t>评标委员会应当按照招标文件中规定的评标方法和标准，对符合性审查合格的投标文件进行商务和技术评估，综合比较与评价。</w:t>
      </w:r>
    </w:p>
    <w:p w14:paraId="012B424F">
      <w:pPr>
        <w:keepNext w:val="0"/>
        <w:keepLines w:val="0"/>
        <w:pageBreakBefore w:val="0"/>
        <w:kinsoku/>
        <w:wordWrap/>
        <w:overflowPunct/>
        <w:topLinePunct w:val="0"/>
        <w:autoSpaceDE/>
        <w:autoSpaceDN/>
        <w:bidi w:val="0"/>
        <w:spacing w:line="420" w:lineRule="exact"/>
        <w:ind w:firstLine="472" w:firstLineChars="196"/>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3.3汇总商务技术得分。</w:t>
      </w:r>
      <w:r>
        <w:rPr>
          <w:rFonts w:hint="eastAsia" w:ascii="宋体" w:hAnsi="宋体" w:cs="宋体"/>
          <w:color w:val="000000" w:themeColor="text1"/>
          <w:kern w:val="0"/>
          <w:sz w:val="24"/>
          <w14:textFill>
            <w14:solidFill>
              <w14:schemeClr w14:val="tx1"/>
            </w14:solidFill>
          </w14:textFill>
        </w:rPr>
        <w:t>采用综合评分法时，评标委员会各成员应当独立对每个投标人的商务和技术文件进行评价，并汇总商务技术得分情况。</w:t>
      </w:r>
    </w:p>
    <w:p w14:paraId="24ECDEBC">
      <w:pPr>
        <w:keepNext w:val="0"/>
        <w:keepLines w:val="0"/>
        <w:pageBreakBefore w:val="0"/>
        <w:kinsoku/>
        <w:wordWrap/>
        <w:overflowPunct/>
        <w:topLinePunct w:val="0"/>
        <w:autoSpaceDE/>
        <w:autoSpaceDN/>
        <w:bidi w:val="0"/>
        <w:spacing w:line="420" w:lineRule="exact"/>
        <w:ind w:firstLine="472" w:firstLineChars="196"/>
        <w:textAlignment w:val="auto"/>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3.4报价评审。</w:t>
      </w:r>
    </w:p>
    <w:p w14:paraId="0D734C92">
      <w:pPr>
        <w:pStyle w:val="128"/>
        <w:keepNext w:val="0"/>
        <w:keepLines w:val="0"/>
        <w:pageBreakBefore w:val="0"/>
        <w:kinsoku/>
        <w:wordWrap/>
        <w:overflowPunct/>
        <w:topLinePunct w:val="0"/>
        <w:autoSpaceDE/>
        <w:autoSpaceDN/>
        <w:bidi w:val="0"/>
        <w:spacing w:before="0" w:line="420" w:lineRule="exact"/>
        <w:ind w:firstLine="508" w:firstLineChars="212"/>
        <w:textAlignment w:val="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3.4.1投标文件报价出现前后不一致的，按照下列规定修正：</w:t>
      </w:r>
    </w:p>
    <w:p w14:paraId="7288B291">
      <w:pPr>
        <w:pStyle w:val="128"/>
        <w:keepNext w:val="0"/>
        <w:keepLines w:val="0"/>
        <w:pageBreakBefore w:val="0"/>
        <w:kinsoku/>
        <w:wordWrap/>
        <w:overflowPunct/>
        <w:topLinePunct w:val="0"/>
        <w:autoSpaceDE/>
        <w:autoSpaceDN/>
        <w:bidi w:val="0"/>
        <w:spacing w:before="0" w:line="420" w:lineRule="exact"/>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3.4.1.1投标文件中开标一览表(报价表)内容与投标文件中相应内容不一致的，以开标一览表(报价表)为准;</w:t>
      </w:r>
    </w:p>
    <w:p w14:paraId="5F1CB062">
      <w:pPr>
        <w:pStyle w:val="128"/>
        <w:keepNext w:val="0"/>
        <w:keepLines w:val="0"/>
        <w:pageBreakBefore w:val="0"/>
        <w:kinsoku/>
        <w:wordWrap/>
        <w:overflowPunct/>
        <w:topLinePunct w:val="0"/>
        <w:autoSpaceDE/>
        <w:autoSpaceDN/>
        <w:bidi w:val="0"/>
        <w:spacing w:before="0" w:line="420" w:lineRule="exact"/>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3.4.1.2大写金额和小写金额不一致的，以大写金额为准;</w:t>
      </w:r>
    </w:p>
    <w:p w14:paraId="59E9E7FF">
      <w:pPr>
        <w:pStyle w:val="128"/>
        <w:keepNext w:val="0"/>
        <w:keepLines w:val="0"/>
        <w:pageBreakBefore w:val="0"/>
        <w:kinsoku/>
        <w:wordWrap/>
        <w:overflowPunct/>
        <w:topLinePunct w:val="0"/>
        <w:autoSpaceDE/>
        <w:autoSpaceDN/>
        <w:bidi w:val="0"/>
        <w:spacing w:before="0" w:line="420" w:lineRule="exact"/>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3.4.1.3单价金额小数点或者百分比有明显错位的，以开标一览表的总价为准，并修改单价;</w:t>
      </w:r>
    </w:p>
    <w:p w14:paraId="0F3D9813">
      <w:pPr>
        <w:pStyle w:val="128"/>
        <w:keepNext w:val="0"/>
        <w:keepLines w:val="0"/>
        <w:pageBreakBefore w:val="0"/>
        <w:kinsoku/>
        <w:wordWrap/>
        <w:overflowPunct/>
        <w:topLinePunct w:val="0"/>
        <w:autoSpaceDE/>
        <w:autoSpaceDN/>
        <w:bidi w:val="0"/>
        <w:spacing w:before="0" w:line="420" w:lineRule="exact"/>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3.4.1.4总价金额与按单价汇总金额不一致的，以单价金额计算结果为准。</w:t>
      </w:r>
    </w:p>
    <w:p w14:paraId="7DFD9C40">
      <w:pPr>
        <w:pStyle w:val="128"/>
        <w:keepNext w:val="0"/>
        <w:keepLines w:val="0"/>
        <w:pageBreakBefore w:val="0"/>
        <w:kinsoku/>
        <w:wordWrap/>
        <w:overflowPunct/>
        <w:topLinePunct w:val="0"/>
        <w:autoSpaceDE/>
        <w:autoSpaceDN/>
        <w:bidi w:val="0"/>
        <w:spacing w:before="0" w:line="420" w:lineRule="exact"/>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61EBDFD3">
      <w:pPr>
        <w:keepNext w:val="0"/>
        <w:keepLines w:val="0"/>
        <w:pageBreakBefore w:val="0"/>
        <w:kinsoku/>
        <w:wordWrap/>
        <w:overflowPunct/>
        <w:topLinePunct w:val="0"/>
        <w:autoSpaceDE/>
        <w:autoSpaceDN/>
        <w:bidi w:val="0"/>
        <w:snapToGrid w:val="0"/>
        <w:spacing w:line="420" w:lineRule="exact"/>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3.4.2投标文件出现不是唯一的、有选择性投标报价的，投标无效。</w:t>
      </w:r>
    </w:p>
    <w:p w14:paraId="482DF249">
      <w:pPr>
        <w:keepNext w:val="0"/>
        <w:keepLines w:val="0"/>
        <w:pageBreakBefore w:val="0"/>
        <w:kinsoku/>
        <w:wordWrap/>
        <w:overflowPunct/>
        <w:topLinePunct w:val="0"/>
        <w:autoSpaceDE/>
        <w:autoSpaceDN/>
        <w:bidi w:val="0"/>
        <w:snapToGrid w:val="0"/>
        <w:spacing w:line="420" w:lineRule="exact"/>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3.4.3投标报价超过招标文件中规定的预算金额或者最高限价的，投标无效。</w:t>
      </w:r>
    </w:p>
    <w:p w14:paraId="3A984DB7">
      <w:pPr>
        <w:pStyle w:val="128"/>
        <w:keepNext w:val="0"/>
        <w:keepLines w:val="0"/>
        <w:pageBreakBefore w:val="0"/>
        <w:kinsoku/>
        <w:wordWrap/>
        <w:overflowPunct/>
        <w:topLinePunct w:val="0"/>
        <w:autoSpaceDE/>
        <w:autoSpaceDN/>
        <w:bidi w:val="0"/>
        <w:spacing w:before="0" w:line="420" w:lineRule="exact"/>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14CA2A4">
      <w:pPr>
        <w:pStyle w:val="82"/>
        <w:keepNext w:val="0"/>
        <w:keepLines w:val="0"/>
        <w:pageBreakBefore w:val="0"/>
        <w:kinsoku/>
        <w:wordWrap/>
        <w:overflowPunct/>
        <w:topLinePunct w:val="0"/>
        <w:autoSpaceDE/>
        <w:autoSpaceDN/>
        <w:bidi w:val="0"/>
        <w:spacing w:line="420" w:lineRule="exact"/>
        <w:textAlignment w:val="auto"/>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3.4.5对于未预留份额专门面向中小企业采购的政府采购项目，以及预留份额政府采购项目中的非预留部分标项，对小型和微型企业的投标报价给予</w:t>
      </w:r>
      <w:r>
        <w:rPr>
          <w:rFonts w:ascii="宋体" w:hAnsi="宋体" w:cs="宋体"/>
          <w:color w:val="000000" w:themeColor="text1"/>
          <w:kern w:val="0"/>
          <w:szCs w:val="24"/>
          <w14:textFill>
            <w14:solidFill>
              <w14:schemeClr w14:val="tx1"/>
            </w14:solidFill>
          </w14:textFill>
        </w:rPr>
        <w:t>20</w:t>
      </w:r>
      <w:r>
        <w:rPr>
          <w:rFonts w:hint="eastAsia" w:ascii="宋体" w:hAnsi="宋体" w:cs="宋体"/>
          <w:color w:val="000000" w:themeColor="text1"/>
          <w:kern w:val="0"/>
          <w:szCs w:val="24"/>
          <w14:textFill>
            <w14:solidFill>
              <w14:schemeClr w14:val="tx1"/>
            </w14:solidFill>
          </w14:textFill>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000000" w:themeColor="text1"/>
          <w:kern w:val="0"/>
          <w:szCs w:val="24"/>
          <w14:textFill>
            <w14:solidFill>
              <w14:schemeClr w14:val="tx1"/>
            </w14:solidFill>
          </w14:textFill>
        </w:rPr>
        <w:t>6</w:t>
      </w:r>
      <w:r>
        <w:rPr>
          <w:rFonts w:hint="eastAsia" w:ascii="宋体" w:hAnsi="宋体" w:cs="宋体"/>
          <w:color w:val="000000" w:themeColor="text1"/>
          <w:kern w:val="0"/>
          <w:szCs w:val="24"/>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233A3AB9">
      <w:pPr>
        <w:pStyle w:val="82"/>
        <w:keepNext w:val="0"/>
        <w:keepLines w:val="0"/>
        <w:pageBreakBefore w:val="0"/>
        <w:kinsoku/>
        <w:wordWrap/>
        <w:overflowPunct/>
        <w:topLinePunct w:val="0"/>
        <w:autoSpaceDE/>
        <w:autoSpaceDN/>
        <w:bidi w:val="0"/>
        <w:spacing w:line="420" w:lineRule="exact"/>
        <w:textAlignment w:val="auto"/>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3.5排序与推荐。</w:t>
      </w:r>
    </w:p>
    <w:p w14:paraId="066BA521">
      <w:pPr>
        <w:pStyle w:val="82"/>
        <w:keepNext w:val="0"/>
        <w:keepLines w:val="0"/>
        <w:pageBreakBefore w:val="0"/>
        <w:kinsoku/>
        <w:wordWrap/>
        <w:overflowPunct/>
        <w:topLinePunct w:val="0"/>
        <w:autoSpaceDE/>
        <w:autoSpaceDN/>
        <w:bidi w:val="0"/>
        <w:spacing w:line="420" w:lineRule="exact"/>
        <w:textAlignment w:val="auto"/>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3.5.1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7D457C88">
      <w:pPr>
        <w:pStyle w:val="82"/>
        <w:keepNext w:val="0"/>
        <w:keepLines w:val="0"/>
        <w:pageBreakBefore w:val="0"/>
        <w:kinsoku/>
        <w:wordWrap/>
        <w:overflowPunct/>
        <w:topLinePunct w:val="0"/>
        <w:autoSpaceDE/>
        <w:autoSpaceDN/>
        <w:bidi w:val="0"/>
        <w:spacing w:line="420" w:lineRule="exact"/>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0B218848">
      <w:pPr>
        <w:keepNext w:val="0"/>
        <w:keepLines w:val="0"/>
        <w:pageBreakBefore w:val="0"/>
        <w:kinsoku/>
        <w:wordWrap/>
        <w:overflowPunct/>
        <w:topLinePunct w:val="0"/>
        <w:autoSpaceDE/>
        <w:autoSpaceDN/>
        <w:bidi w:val="0"/>
        <w:spacing w:line="420" w:lineRule="exact"/>
        <w:ind w:firstLine="472" w:firstLineChars="196"/>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3.6编写评标报告。</w:t>
      </w:r>
      <w:r>
        <w:rPr>
          <w:rFonts w:hint="eastAsia" w:ascii="宋体" w:hAnsi="宋体" w:cs="宋体"/>
          <w:color w:val="000000" w:themeColor="text1"/>
          <w:kern w:val="0"/>
          <w:sz w:val="24"/>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D43AAE5">
      <w:pPr>
        <w:keepNext w:val="0"/>
        <w:keepLines w:val="0"/>
        <w:pageBreakBefore w:val="0"/>
        <w:widowControl/>
        <w:shd w:val="clear" w:color="auto" w:fill="FFFFFF"/>
        <w:kinsoku/>
        <w:wordWrap/>
        <w:overflowPunct/>
        <w:topLinePunct w:val="0"/>
        <w:autoSpaceDE/>
        <w:autoSpaceDN/>
        <w:bidi w:val="0"/>
        <w:adjustRightInd/>
        <w:spacing w:after="225" w:line="420" w:lineRule="exact"/>
        <w:jc w:val="left"/>
        <w:textAlignment w:val="auto"/>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四、评标中的其他事项</w:t>
      </w:r>
    </w:p>
    <w:p w14:paraId="01E8510D">
      <w:pPr>
        <w:pStyle w:val="128"/>
        <w:keepNext w:val="0"/>
        <w:keepLines w:val="0"/>
        <w:pageBreakBefore w:val="0"/>
        <w:kinsoku/>
        <w:wordWrap/>
        <w:overflowPunct/>
        <w:topLinePunct w:val="0"/>
        <w:autoSpaceDE/>
        <w:autoSpaceDN/>
        <w:bidi w:val="0"/>
        <w:spacing w:before="0" w:line="420" w:lineRule="exact"/>
        <w:ind w:firstLine="472" w:firstLineChars="196"/>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b/>
          <w:color w:val="000000" w:themeColor="text1"/>
          <w:kern w:val="0"/>
          <w:szCs w:val="24"/>
          <w14:textFill>
            <w14:solidFill>
              <w14:schemeClr w14:val="tx1"/>
            </w14:solidFill>
          </w14:textFill>
        </w:rPr>
        <w:t>4.1投标人澄清、说明或者补正。</w:t>
      </w:r>
      <w:r>
        <w:rPr>
          <w:rFonts w:hint="eastAsia" w:ascii="宋体" w:hAnsi="宋体" w:cs="宋体"/>
          <w:color w:val="000000" w:themeColor="text1"/>
          <w:kern w:val="0"/>
          <w:szCs w:val="24"/>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FCC9785">
      <w:pPr>
        <w:pStyle w:val="24"/>
        <w:keepNext w:val="0"/>
        <w:keepLines w:val="0"/>
        <w:pageBreakBefore w:val="0"/>
        <w:kinsoku/>
        <w:wordWrap/>
        <w:overflowPunct/>
        <w:topLinePunct w:val="0"/>
        <w:autoSpaceDE/>
        <w:autoSpaceDN/>
        <w:bidi w:val="0"/>
        <w:spacing w:line="420" w:lineRule="exact"/>
        <w:ind w:left="954" w:leftChars="226" w:hanging="479" w:firstLineChars="0"/>
        <w:textAlignment w:val="auto"/>
        <w:rPr>
          <w:rFonts w:cs="宋体"/>
          <w:color w:val="000000" w:themeColor="text1"/>
          <w:szCs w:val="21"/>
          <w14:textFill>
            <w14:solidFill>
              <w14:schemeClr w14:val="tx1"/>
            </w14:solidFill>
          </w14:textFill>
        </w:rPr>
      </w:pPr>
      <w:r>
        <w:rPr>
          <w:rFonts w:hint="eastAsia" w:cs="宋体"/>
          <w:b/>
          <w:color w:val="000000" w:themeColor="text1"/>
          <w:kern w:val="0"/>
          <w14:textFill>
            <w14:solidFill>
              <w14:schemeClr w14:val="tx1"/>
            </w14:solidFill>
          </w14:textFill>
        </w:rPr>
        <w:t>4.2投标无效。</w:t>
      </w:r>
      <w:r>
        <w:rPr>
          <w:rFonts w:hint="eastAsia" w:cs="宋体"/>
          <w:color w:val="000000" w:themeColor="text1"/>
          <w:szCs w:val="21"/>
          <w14:textFill>
            <w14:solidFill>
              <w14:schemeClr w14:val="tx1"/>
            </w14:solidFill>
          </w14:textFill>
        </w:rPr>
        <w:t>有下列情形之一的，投标无效：</w:t>
      </w:r>
    </w:p>
    <w:p w14:paraId="57B0FDCA">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4.2.1投标人不具备招标文件中规定的资格要求的（投标人未提供有效的资格文件的，视为投标人不具备招标文件中规定的资格要求）；</w:t>
      </w:r>
    </w:p>
    <w:p w14:paraId="530D8618">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4.2.2投标文件未按照招标文件要求签署、盖章的；</w:t>
      </w:r>
    </w:p>
    <w:p w14:paraId="66E49B2A">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33BE5046">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4.2.4投标文件含有采购人不能接受的附加条件的；</w:t>
      </w:r>
    </w:p>
    <w:p w14:paraId="3AE9AD2E">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4.2.5投标文件中承诺的投标有效期少于招标文件中载明的投标有效期的；</w:t>
      </w:r>
    </w:p>
    <w:p w14:paraId="5707046A">
      <w:pPr>
        <w:keepNext w:val="0"/>
        <w:keepLines w:val="0"/>
        <w:pageBreakBefore w:val="0"/>
        <w:kinsoku/>
        <w:wordWrap/>
        <w:overflowPunct/>
        <w:topLinePunct w:val="0"/>
        <w:autoSpaceDE/>
        <w:autoSpaceDN/>
        <w:bidi w:val="0"/>
        <w:snapToGrid w:val="0"/>
        <w:spacing w:line="420" w:lineRule="exact"/>
        <w:ind w:firstLine="120" w:firstLineChars="5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4.2.6投标文件出现不是唯一的、有选择性投标报价的;</w:t>
      </w:r>
    </w:p>
    <w:p w14:paraId="0E77E6AF">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4.2.7投标报价超过招标文件中规定的预算金额或者最高限价的;</w:t>
      </w:r>
    </w:p>
    <w:p w14:paraId="0E26CC58">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4.2.8报价明显低于其他通过符合性审查投标人的报价，有可能影响产品质量或者不能诚信履约的，未能按要求提供书面说明或者提交相关证明材料，不能证明其报价合理性的;</w:t>
      </w:r>
    </w:p>
    <w:p w14:paraId="5B296821">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4.2.9投标人对根据修正原则修正后的报价不确认的；</w:t>
      </w:r>
    </w:p>
    <w:p w14:paraId="08FE083C">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4.2.10投标人提供虚假材料投标的；</w:t>
      </w:r>
    </w:p>
    <w:p w14:paraId="29490839">
      <w:pPr>
        <w:keepNext w:val="0"/>
        <w:keepLines w:val="0"/>
        <w:pageBreakBefore w:val="0"/>
        <w:kinsoku/>
        <w:wordWrap/>
        <w:overflowPunct/>
        <w:topLinePunct w:val="0"/>
        <w:autoSpaceDE/>
        <w:autoSpaceDN/>
        <w:bidi w:val="0"/>
        <w:spacing w:line="420" w:lineRule="exact"/>
        <w:ind w:firstLine="240" w:firstLineChars="1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4.2.11投标人有恶意串通、妨碍其他投标人的竞争行为、损害采购人或者其他投标人的合法权益情形的；</w:t>
      </w:r>
    </w:p>
    <w:p w14:paraId="7271CFD2">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4.2.12投标人未在电子交易平台传输递交投标文件的，投标无效；</w:t>
      </w:r>
    </w:p>
    <w:p w14:paraId="0D978820">
      <w:pPr>
        <w:pStyle w:val="82"/>
        <w:keepNext w:val="0"/>
        <w:keepLines w:val="0"/>
        <w:pageBreakBefore w:val="0"/>
        <w:kinsoku/>
        <w:wordWrap/>
        <w:overflowPunct/>
        <w:topLinePunct w:val="0"/>
        <w:autoSpaceDE/>
        <w:autoSpaceDN/>
        <w:bidi w:val="0"/>
        <w:spacing w:line="420" w:lineRule="exact"/>
        <w:textAlignment w:val="auto"/>
        <w:rPr>
          <w:b/>
          <w:bCs/>
          <w:color w:val="000000" w:themeColor="text1"/>
          <w14:textFill>
            <w14:solidFill>
              <w14:schemeClr w14:val="tx1"/>
            </w14:solidFill>
          </w14:textFill>
        </w:rPr>
      </w:pPr>
      <w:r>
        <w:rPr>
          <w:rFonts w:hint="eastAsia"/>
          <w:color w:val="000000" w:themeColor="text1"/>
          <w14:textFill>
            <w14:solidFill>
              <w14:schemeClr w14:val="tx1"/>
            </w14:solidFill>
          </w14:textFill>
        </w:rPr>
        <w:t>4.2.13 投标文件不满足招标文件的其它实质性要求的；</w:t>
      </w:r>
    </w:p>
    <w:p w14:paraId="042A84D3">
      <w:pPr>
        <w:keepNext w:val="0"/>
        <w:keepLines w:val="0"/>
        <w:pageBreakBefore w:val="0"/>
        <w:kinsoku/>
        <w:wordWrap/>
        <w:overflowPunct/>
        <w:topLinePunct w:val="0"/>
        <w:autoSpaceDE/>
        <w:autoSpaceDN/>
        <w:bidi w:val="0"/>
        <w:spacing w:line="42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4.2.14法律、法规、规章（适用本市的）及省级以上规范性文件（适用本市的）规定的其他无效情形。</w:t>
      </w:r>
    </w:p>
    <w:p w14:paraId="26FAC97C">
      <w:pPr>
        <w:pStyle w:val="24"/>
        <w:keepNext w:val="0"/>
        <w:keepLines w:val="0"/>
        <w:pageBreakBefore w:val="0"/>
        <w:kinsoku/>
        <w:wordWrap/>
        <w:overflowPunct/>
        <w:topLinePunct w:val="0"/>
        <w:autoSpaceDE/>
        <w:autoSpaceDN/>
        <w:bidi w:val="0"/>
        <w:snapToGrid w:val="0"/>
        <w:spacing w:line="420" w:lineRule="exact"/>
        <w:ind w:firstLine="472" w:firstLineChars="196"/>
        <w:textAlignment w:val="auto"/>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5.废标。</w:t>
      </w:r>
      <w:r>
        <w:rPr>
          <w:rFonts w:hint="eastAsia" w:cs="宋体"/>
          <w:color w:val="000000" w:themeColor="text1"/>
          <w14:textFill>
            <w14:solidFill>
              <w14:schemeClr w14:val="tx1"/>
            </w14:solidFill>
          </w14:textFill>
        </w:rPr>
        <w:t>根据《中华人民共和国政府采购法》第三十六条之规定，在采购中，出现下列情形之一的，应予废标：</w:t>
      </w:r>
    </w:p>
    <w:p w14:paraId="26A6A6BC">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5.1符合专业条件的供应商或者对招标文件作实质响应的供应商不足3家的；</w:t>
      </w:r>
    </w:p>
    <w:p w14:paraId="09876E96">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5.2出现影响采购公正的违法、违规行为的；</w:t>
      </w:r>
    </w:p>
    <w:p w14:paraId="654BF0BE">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5.3投标人的报价均超过了采购预算，采购人不能支付的；</w:t>
      </w:r>
    </w:p>
    <w:p w14:paraId="5241B7EB">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5.4因重大变故，采购任务取消的。</w:t>
      </w:r>
    </w:p>
    <w:p w14:paraId="58CC0C62">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废标后，采购代理机构应当将废标理由通知所有投标人。</w:t>
      </w:r>
    </w:p>
    <w:p w14:paraId="31039F83">
      <w:pPr>
        <w:pStyle w:val="24"/>
        <w:keepNext w:val="0"/>
        <w:keepLines w:val="0"/>
        <w:pageBreakBefore w:val="0"/>
        <w:kinsoku/>
        <w:wordWrap/>
        <w:overflowPunct/>
        <w:topLinePunct w:val="0"/>
        <w:autoSpaceDE/>
        <w:autoSpaceDN/>
        <w:bidi w:val="0"/>
        <w:snapToGrid w:val="0"/>
        <w:spacing w:line="420" w:lineRule="exact"/>
        <w:ind w:firstLine="590" w:firstLineChars="245"/>
        <w:textAlignment w:val="auto"/>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6.修改招标文件，重新组织采购活动。</w:t>
      </w:r>
      <w:r>
        <w:rPr>
          <w:rFonts w:hint="eastAsia" w:cs="宋体"/>
          <w:color w:val="000000" w:themeColor="text1"/>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648A5C9">
      <w:pPr>
        <w:pStyle w:val="24"/>
        <w:keepNext w:val="0"/>
        <w:keepLines w:val="0"/>
        <w:pageBreakBefore w:val="0"/>
        <w:kinsoku/>
        <w:wordWrap/>
        <w:overflowPunct/>
        <w:topLinePunct w:val="0"/>
        <w:autoSpaceDE/>
        <w:autoSpaceDN/>
        <w:bidi w:val="0"/>
        <w:snapToGrid w:val="0"/>
        <w:spacing w:line="420" w:lineRule="exact"/>
        <w:ind w:firstLine="482"/>
        <w:textAlignment w:val="auto"/>
        <w:rPr>
          <w:rFonts w:cs="宋体"/>
          <w:color w:val="000000" w:themeColor="text1"/>
          <w14:textFill>
            <w14:solidFill>
              <w14:schemeClr w14:val="tx1"/>
            </w14:solidFill>
          </w14:textFill>
        </w:rPr>
      </w:pPr>
      <w:r>
        <w:rPr>
          <w:rFonts w:hint="eastAsia" w:cs="宋体"/>
          <w:b/>
          <w:color w:val="000000" w:themeColor="text1"/>
          <w:kern w:val="0"/>
          <w14:textFill>
            <w14:solidFill>
              <w14:schemeClr w14:val="tx1"/>
            </w14:solidFill>
          </w14:textFill>
        </w:rPr>
        <w:t>7.重新开展采购。</w:t>
      </w:r>
      <w:r>
        <w:rPr>
          <w:rFonts w:hint="eastAsia" w:cs="宋体"/>
          <w:color w:val="000000" w:themeColor="text1"/>
          <w14:textFill>
            <w14:solidFill>
              <w14:schemeClr w14:val="tx1"/>
            </w14:solidFill>
          </w14:textFill>
        </w:rPr>
        <w:t>有政府采购法第七十一条、第七十二条规定的违法行为之一，影响或者可能影响中标结果的，依照下列规定处理：</w:t>
      </w:r>
    </w:p>
    <w:p w14:paraId="271E8564">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7.1未确定中标供应商的，终止本次政府采购活动，重新开展政府采购活动。</w:t>
      </w:r>
    </w:p>
    <w:p w14:paraId="3533DA30">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7D5770CF">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3B8A24F1">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7.4政府采购合同已经履行，给采购人、供应商造成损失的，由责任人承担赔偿责任。</w:t>
      </w:r>
    </w:p>
    <w:p w14:paraId="2BDF0557">
      <w:pPr>
        <w:pStyle w:val="24"/>
        <w:keepNext w:val="0"/>
        <w:keepLines w:val="0"/>
        <w:pageBreakBefore w:val="0"/>
        <w:kinsoku/>
        <w:wordWrap/>
        <w:overflowPunct/>
        <w:topLinePunct w:val="0"/>
        <w:autoSpaceDE/>
        <w:autoSpaceDN/>
        <w:bidi w:val="0"/>
        <w:snapToGrid w:val="0"/>
        <w:spacing w:line="42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p w14:paraId="586A705C">
      <w:pPr>
        <w:pStyle w:val="82"/>
        <w:keepNext w:val="0"/>
        <w:keepLines w:val="0"/>
        <w:pageBreakBefore w:val="0"/>
        <w:kinsoku/>
        <w:wordWrap/>
        <w:overflowPunct/>
        <w:topLinePunct w:val="0"/>
        <w:autoSpaceDE/>
        <w:autoSpaceDN/>
        <w:bidi w:val="0"/>
        <w:spacing w:line="420" w:lineRule="exact"/>
        <w:ind w:firstLine="0"/>
        <w:textAlignment w:val="auto"/>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五、评审过程的保密与录像</w:t>
      </w:r>
    </w:p>
    <w:p w14:paraId="731FBDB6">
      <w:pPr>
        <w:keepNext w:val="0"/>
        <w:keepLines w:val="0"/>
        <w:pageBreakBefore w:val="0"/>
        <w:widowControl/>
        <w:kinsoku/>
        <w:wordWrap/>
        <w:overflowPunct/>
        <w:topLinePunct w:val="0"/>
        <w:autoSpaceDE/>
        <w:autoSpaceDN/>
        <w:bidi w:val="0"/>
        <w:spacing w:line="420" w:lineRule="exact"/>
        <w:ind w:firstLine="482" w:firstLineChars="200"/>
        <w:textAlignment w:val="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8.1.保密。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3C8F4AAD">
      <w:pPr>
        <w:pStyle w:val="24"/>
        <w:keepNext w:val="0"/>
        <w:keepLines w:val="0"/>
        <w:pageBreakBefore w:val="0"/>
        <w:kinsoku/>
        <w:wordWrap/>
        <w:overflowPunct/>
        <w:topLinePunct w:val="0"/>
        <w:autoSpaceDE/>
        <w:autoSpaceDN/>
        <w:bidi w:val="0"/>
        <w:snapToGrid w:val="0"/>
        <w:spacing w:line="420" w:lineRule="exact"/>
        <w:ind w:firstLine="482"/>
        <w:textAlignment w:val="auto"/>
        <w:rPr>
          <w:rFonts w:cs="宋体"/>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8.2.录音录像。</w:t>
      </w:r>
      <w:r>
        <w:rPr>
          <w:rFonts w:hint="eastAsia" w:cs="仿宋_GB2312" w:asciiTheme="minorEastAsia" w:hAnsiTheme="minorEastAsia" w:eastAsiaTheme="minorEastAsia"/>
          <w:color w:val="000000" w:themeColor="text1"/>
          <w14:textFill>
            <w14:solidFill>
              <w14:schemeClr w14:val="tx1"/>
            </w14:solidFill>
          </w14:textFill>
        </w:rPr>
        <w:t>采购代理机构对评审工作现场进行全过程录音录像，录音录像资料作为采购项目文件随其他文件一并存档。</w:t>
      </w:r>
    </w:p>
    <w:p w14:paraId="7013B260">
      <w:pPr>
        <w:pStyle w:val="24"/>
        <w:snapToGrid w:val="0"/>
        <w:spacing w:line="360" w:lineRule="auto"/>
        <w:ind w:firstLine="0" w:firstLineChars="0"/>
        <w:rPr>
          <w:rFonts w:cs="宋体"/>
          <w:color w:val="000000" w:themeColor="text1"/>
          <w14:textFill>
            <w14:solidFill>
              <w14:schemeClr w14:val="tx1"/>
            </w14:solidFill>
          </w14:textFill>
        </w:rPr>
      </w:pPr>
    </w:p>
    <w:bookmarkEnd w:id="18"/>
    <w:p w14:paraId="4F8BA415">
      <w:pPr>
        <w:spacing w:line="360" w:lineRule="auto"/>
        <w:ind w:left="720" w:leftChars="343" w:firstLine="1084" w:firstLineChars="300"/>
        <w:rPr>
          <w:rFonts w:ascii="宋体" w:hAnsi="宋体" w:cs="宋体"/>
          <w:b/>
          <w:color w:val="000000" w:themeColor="text1"/>
          <w:sz w:val="36"/>
          <w:szCs w:val="36"/>
          <w14:textFill>
            <w14:solidFill>
              <w14:schemeClr w14:val="tx1"/>
            </w14:solidFill>
          </w14:textFill>
        </w:rPr>
      </w:pPr>
      <w:bookmarkStart w:id="385" w:name="第五部分"/>
      <w:bookmarkStart w:id="386" w:name="_Toc86217003"/>
    </w:p>
    <w:p w14:paraId="789997E0">
      <w:pPr>
        <w:spacing w:line="360" w:lineRule="auto"/>
        <w:ind w:left="720" w:leftChars="343" w:firstLine="1084" w:firstLineChars="30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w:t>
      </w:r>
    </w:p>
    <w:p w14:paraId="38C316E6">
      <w:pPr>
        <w:spacing w:line="360" w:lineRule="auto"/>
        <w:ind w:left="720" w:leftChars="343" w:firstLine="1084" w:firstLineChars="300"/>
        <w:rPr>
          <w:rFonts w:ascii="宋体" w:hAnsi="宋体" w:cs="宋体"/>
          <w:b/>
          <w:color w:val="000000" w:themeColor="text1"/>
          <w:sz w:val="36"/>
          <w:szCs w:val="36"/>
          <w14:textFill>
            <w14:solidFill>
              <w14:schemeClr w14:val="tx1"/>
            </w14:solidFill>
          </w14:textFill>
        </w:rPr>
      </w:pPr>
    </w:p>
    <w:p w14:paraId="33362C76">
      <w:pPr>
        <w:spacing w:line="360" w:lineRule="auto"/>
        <w:ind w:left="720" w:leftChars="343" w:firstLine="1084" w:firstLineChars="300"/>
        <w:rPr>
          <w:rFonts w:ascii="宋体" w:hAnsi="宋体" w:cs="宋体"/>
          <w:b/>
          <w:color w:val="000000" w:themeColor="text1"/>
          <w:sz w:val="36"/>
          <w:szCs w:val="36"/>
          <w14:textFill>
            <w14:solidFill>
              <w14:schemeClr w14:val="tx1"/>
            </w14:solidFill>
          </w14:textFill>
        </w:rPr>
      </w:pPr>
    </w:p>
    <w:p w14:paraId="70F50858">
      <w:pPr>
        <w:spacing w:line="360" w:lineRule="auto"/>
        <w:ind w:left="720" w:leftChars="343" w:firstLine="1084" w:firstLineChars="300"/>
        <w:rPr>
          <w:rFonts w:ascii="宋体" w:hAnsi="宋体" w:cs="宋体"/>
          <w:b/>
          <w:color w:val="000000" w:themeColor="text1"/>
          <w:sz w:val="36"/>
          <w:szCs w:val="36"/>
          <w14:textFill>
            <w14:solidFill>
              <w14:schemeClr w14:val="tx1"/>
            </w14:solidFill>
          </w14:textFill>
        </w:rPr>
      </w:pPr>
    </w:p>
    <w:p w14:paraId="1306A066">
      <w:pPr>
        <w:pStyle w:val="2"/>
        <w:rPr>
          <w:rFonts w:ascii="宋体" w:hAnsi="宋体" w:cs="宋体"/>
          <w:color w:val="000000" w:themeColor="text1"/>
          <w:sz w:val="36"/>
          <w:szCs w:val="36"/>
          <w14:textFill>
            <w14:solidFill>
              <w14:schemeClr w14:val="tx1"/>
            </w14:solidFill>
          </w14:textFill>
        </w:rPr>
      </w:pPr>
    </w:p>
    <w:p w14:paraId="07FB2DB4">
      <w:pPr>
        <w:rPr>
          <w:rFonts w:ascii="宋体" w:hAnsi="宋体" w:cs="宋体"/>
          <w:b/>
          <w:color w:val="000000" w:themeColor="text1"/>
          <w:sz w:val="36"/>
          <w:szCs w:val="36"/>
          <w14:textFill>
            <w14:solidFill>
              <w14:schemeClr w14:val="tx1"/>
            </w14:solidFill>
          </w14:textFill>
        </w:rPr>
      </w:pPr>
    </w:p>
    <w:p w14:paraId="2F9567D0">
      <w:pPr>
        <w:rPr>
          <w:rFonts w:ascii="宋体" w:hAnsi="宋体" w:cs="宋体"/>
          <w:b/>
          <w:color w:val="000000" w:themeColor="text1"/>
          <w:sz w:val="36"/>
          <w:szCs w:val="36"/>
          <w14:textFill>
            <w14:solidFill>
              <w14:schemeClr w14:val="tx1"/>
            </w14:solidFill>
          </w14:textFill>
        </w:rPr>
      </w:pPr>
    </w:p>
    <w:p w14:paraId="3DCC20FA">
      <w:pPr>
        <w:rPr>
          <w:rFonts w:ascii="宋体" w:hAnsi="宋体" w:cs="宋体"/>
          <w:b/>
          <w:color w:val="000000" w:themeColor="text1"/>
          <w:sz w:val="36"/>
          <w:szCs w:val="36"/>
          <w14:textFill>
            <w14:solidFill>
              <w14:schemeClr w14:val="tx1"/>
            </w14:solidFill>
          </w14:textFill>
        </w:rPr>
      </w:pPr>
    </w:p>
    <w:p w14:paraId="2BDC567D">
      <w:pPr>
        <w:pStyle w:val="2"/>
        <w:rPr>
          <w:rFonts w:ascii="宋体" w:hAnsi="宋体" w:cs="宋体"/>
          <w:color w:val="000000" w:themeColor="text1"/>
          <w:sz w:val="36"/>
          <w:szCs w:val="36"/>
          <w14:textFill>
            <w14:solidFill>
              <w14:schemeClr w14:val="tx1"/>
            </w14:solidFill>
          </w14:textFill>
        </w:rPr>
      </w:pPr>
    </w:p>
    <w:p w14:paraId="05AEE515">
      <w:pPr>
        <w:rPr>
          <w:rFonts w:ascii="宋体" w:hAnsi="宋体" w:cs="宋体"/>
          <w:b/>
          <w:color w:val="000000" w:themeColor="text1"/>
          <w:sz w:val="36"/>
          <w:szCs w:val="36"/>
          <w14:textFill>
            <w14:solidFill>
              <w14:schemeClr w14:val="tx1"/>
            </w14:solidFill>
          </w14:textFill>
        </w:rPr>
      </w:pPr>
    </w:p>
    <w:p w14:paraId="42A77367"/>
    <w:p w14:paraId="651397EC">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bookmarkStart w:id="387" w:name="_Toc176368906"/>
    </w:p>
    <w:p w14:paraId="328A1262">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5211588D">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1279C04A">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19036797">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119DB4C4">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1B883EB0">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3EB562AB">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3612A9A4">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3BF3A8F5">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50404187">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5A9070AD">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0D48FDFF">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701EBE14">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1C6E59E2">
      <w:pPr>
        <w:widowControl/>
        <w:adjustRightInd/>
        <w:ind w:firstLine="1446" w:firstLineChars="400"/>
        <w:jc w:val="left"/>
        <w:rPr>
          <w:rFonts w:hint="eastAsia" w:ascii="宋体" w:hAnsi="宋体" w:cs="宋体"/>
          <w:b/>
          <w:color w:val="000000" w:themeColor="text1"/>
          <w:sz w:val="36"/>
          <w:szCs w:val="36"/>
          <w14:textFill>
            <w14:solidFill>
              <w14:schemeClr w14:val="tx1"/>
            </w14:solidFill>
          </w14:textFill>
        </w:rPr>
      </w:pPr>
    </w:p>
    <w:p w14:paraId="2B6D1C26">
      <w:pPr>
        <w:widowControl/>
        <w:adjustRightInd/>
        <w:ind w:firstLine="1446" w:firstLineChars="400"/>
        <w:jc w:val="left"/>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第五部分 拟签订的合同文本</w:t>
      </w:r>
      <w:bookmarkEnd w:id="387"/>
    </w:p>
    <w:p w14:paraId="6D746888">
      <w:pPr>
        <w:spacing w:line="480" w:lineRule="auto"/>
        <w:jc w:val="center"/>
        <w:rPr>
          <w:rFonts w:ascii="宋体" w:hAnsi="宋体" w:cs="宋体"/>
          <w:b/>
          <w:color w:val="000000" w:themeColor="text1"/>
          <w:sz w:val="28"/>
          <w:szCs w:val="28"/>
          <w14:textFill>
            <w14:solidFill>
              <w14:schemeClr w14:val="tx1"/>
            </w14:solidFill>
          </w14:textFill>
        </w:rPr>
      </w:pPr>
    </w:p>
    <w:p w14:paraId="79A6E925">
      <w:pPr>
        <w:spacing w:line="480" w:lineRule="auto"/>
        <w:jc w:val="center"/>
        <w:rPr>
          <w:rFonts w:ascii="宋体" w:hAnsi="宋体" w:cs="宋体"/>
          <w:b/>
          <w:color w:val="000000" w:themeColor="text1"/>
          <w:sz w:val="24"/>
          <w14:textFill>
            <w14:solidFill>
              <w14:schemeClr w14:val="tx1"/>
            </w14:solidFill>
          </w14:textFill>
        </w:rPr>
      </w:pPr>
    </w:p>
    <w:p w14:paraId="2929A1B6">
      <w:pPr>
        <w:spacing w:line="480" w:lineRule="auto"/>
        <w:jc w:val="center"/>
        <w:rPr>
          <w:rFonts w:ascii="宋体" w:hAnsi="宋体" w:cs="宋体"/>
          <w:b/>
          <w:color w:val="000000" w:themeColor="text1"/>
          <w:sz w:val="24"/>
          <w14:textFill>
            <w14:solidFill>
              <w14:schemeClr w14:val="tx1"/>
            </w14:solidFill>
          </w14:textFill>
        </w:rPr>
      </w:pPr>
    </w:p>
    <w:p w14:paraId="3076FDC3">
      <w:pPr>
        <w:spacing w:line="480" w:lineRule="auto"/>
        <w:jc w:val="center"/>
        <w:rPr>
          <w:rFonts w:hint="eastAsia" w:ascii="宋体" w:hAnsi="宋体" w:cs="宋体"/>
          <w:b/>
          <w:color w:val="000000" w:themeColor="text1"/>
          <w:sz w:val="36"/>
          <w:szCs w:val="36"/>
          <w14:textFill>
            <w14:solidFill>
              <w14:schemeClr w14:val="tx1"/>
            </w14:solidFill>
          </w14:textFill>
        </w:rPr>
      </w:pPr>
    </w:p>
    <w:p w14:paraId="57DA8056">
      <w:pPr>
        <w:spacing w:line="480" w:lineRule="auto"/>
        <w:jc w:val="center"/>
        <w:rPr>
          <w:rFonts w:hint="eastAsia" w:ascii="宋体" w:hAnsi="宋体" w:cs="宋体"/>
          <w:b/>
          <w:color w:val="000000" w:themeColor="text1"/>
          <w:sz w:val="36"/>
          <w:szCs w:val="36"/>
          <w14:textFill>
            <w14:solidFill>
              <w14:schemeClr w14:val="tx1"/>
            </w14:solidFill>
          </w14:textFill>
        </w:rPr>
      </w:pPr>
    </w:p>
    <w:p w14:paraId="51B8F7E0">
      <w:pPr>
        <w:spacing w:line="480" w:lineRule="auto"/>
        <w:jc w:val="center"/>
        <w:rPr>
          <w:rFonts w:hint="eastAsia" w:ascii="宋体" w:hAnsi="宋体" w:cs="宋体"/>
          <w:b/>
          <w:color w:val="000000" w:themeColor="text1"/>
          <w:sz w:val="36"/>
          <w:szCs w:val="36"/>
          <w14:textFill>
            <w14:solidFill>
              <w14:schemeClr w14:val="tx1"/>
            </w14:solidFill>
          </w14:textFill>
        </w:rPr>
      </w:pPr>
    </w:p>
    <w:p w14:paraId="16C9BDDF">
      <w:pPr>
        <w:spacing w:line="480" w:lineRule="auto"/>
        <w:jc w:val="center"/>
        <w:rPr>
          <w:rFonts w:hint="eastAsia" w:ascii="宋体" w:hAnsi="宋体" w:cs="宋体"/>
          <w:b/>
          <w:color w:val="000000" w:themeColor="text1"/>
          <w:sz w:val="36"/>
          <w:szCs w:val="36"/>
          <w14:textFill>
            <w14:solidFill>
              <w14:schemeClr w14:val="tx1"/>
            </w14:solidFill>
          </w14:textFill>
        </w:rPr>
      </w:pPr>
    </w:p>
    <w:p w14:paraId="329DED3D">
      <w:pPr>
        <w:spacing w:line="480" w:lineRule="auto"/>
        <w:jc w:val="center"/>
        <w:rPr>
          <w:rFonts w:hint="eastAsia" w:ascii="宋体" w:hAnsi="宋体" w:cs="宋体"/>
          <w:b/>
          <w:color w:val="000000" w:themeColor="text1"/>
          <w:sz w:val="36"/>
          <w:szCs w:val="36"/>
          <w14:textFill>
            <w14:solidFill>
              <w14:schemeClr w14:val="tx1"/>
            </w14:solidFill>
          </w14:textFill>
        </w:rPr>
      </w:pPr>
    </w:p>
    <w:p w14:paraId="6DEE92C8">
      <w:pPr>
        <w:spacing w:line="480" w:lineRule="auto"/>
        <w:jc w:val="center"/>
        <w:rPr>
          <w:rFonts w:hint="eastAsia" w:ascii="宋体" w:hAnsi="宋体" w:cs="宋体"/>
          <w:b/>
          <w:color w:val="000000" w:themeColor="text1"/>
          <w:sz w:val="36"/>
          <w:szCs w:val="36"/>
          <w14:textFill>
            <w14:solidFill>
              <w14:schemeClr w14:val="tx1"/>
            </w14:solidFill>
          </w14:textFill>
        </w:rPr>
      </w:pPr>
    </w:p>
    <w:p w14:paraId="7329672A">
      <w:pPr>
        <w:spacing w:line="480" w:lineRule="auto"/>
        <w:jc w:val="center"/>
        <w:rPr>
          <w:rFonts w:hint="eastAsia" w:ascii="宋体" w:hAnsi="宋体" w:cs="宋体"/>
          <w:b/>
          <w:color w:val="000000" w:themeColor="text1"/>
          <w:sz w:val="36"/>
          <w:szCs w:val="36"/>
          <w14:textFill>
            <w14:solidFill>
              <w14:schemeClr w14:val="tx1"/>
            </w14:solidFill>
          </w14:textFill>
        </w:rPr>
      </w:pPr>
    </w:p>
    <w:p w14:paraId="3382751C">
      <w:pPr>
        <w:spacing w:line="480" w:lineRule="auto"/>
        <w:jc w:val="center"/>
        <w:rPr>
          <w:rFonts w:hint="eastAsia" w:ascii="宋体" w:hAnsi="宋体" w:cs="宋体"/>
          <w:b/>
          <w:color w:val="000000" w:themeColor="text1"/>
          <w:sz w:val="36"/>
          <w:szCs w:val="36"/>
          <w14:textFill>
            <w14:solidFill>
              <w14:schemeClr w14:val="tx1"/>
            </w14:solidFill>
          </w14:textFill>
        </w:rPr>
      </w:pPr>
    </w:p>
    <w:p w14:paraId="39101F8E">
      <w:pPr>
        <w:spacing w:line="480" w:lineRule="auto"/>
        <w:jc w:val="center"/>
        <w:rPr>
          <w:rFonts w:hint="eastAsia" w:ascii="宋体" w:hAnsi="宋体" w:cs="宋体"/>
          <w:b/>
          <w:color w:val="000000" w:themeColor="text1"/>
          <w:sz w:val="36"/>
          <w:szCs w:val="36"/>
          <w14:textFill>
            <w14:solidFill>
              <w14:schemeClr w14:val="tx1"/>
            </w14:solidFill>
          </w14:textFill>
        </w:rPr>
      </w:pPr>
    </w:p>
    <w:p w14:paraId="09A974DF">
      <w:pPr>
        <w:spacing w:line="480" w:lineRule="auto"/>
        <w:jc w:val="center"/>
        <w:rPr>
          <w:rFonts w:hint="eastAsia" w:ascii="宋体" w:hAnsi="宋体" w:cs="宋体"/>
          <w:b/>
          <w:color w:val="000000" w:themeColor="text1"/>
          <w:sz w:val="36"/>
          <w:szCs w:val="36"/>
          <w14:textFill>
            <w14:solidFill>
              <w14:schemeClr w14:val="tx1"/>
            </w14:solidFill>
          </w14:textFill>
        </w:rPr>
      </w:pPr>
    </w:p>
    <w:p w14:paraId="50336161">
      <w:pPr>
        <w:spacing w:line="480" w:lineRule="auto"/>
        <w:jc w:val="center"/>
        <w:rPr>
          <w:rFonts w:hint="eastAsia" w:ascii="宋体" w:hAnsi="宋体" w:cs="宋体"/>
          <w:b/>
          <w:color w:val="000000" w:themeColor="text1"/>
          <w:sz w:val="36"/>
          <w:szCs w:val="36"/>
          <w14:textFill>
            <w14:solidFill>
              <w14:schemeClr w14:val="tx1"/>
            </w14:solidFill>
          </w14:textFill>
        </w:rPr>
      </w:pPr>
    </w:p>
    <w:p w14:paraId="1B9E070B">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15E971E4">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23748EE2">
      <w:pPr>
        <w:pStyle w:val="699"/>
        <w:ind w:firstLine="2843" w:firstLineChars="1180"/>
        <w:rPr>
          <w:rFonts w:ascii="宋体" w:hAnsi="宋体" w:cs="宋体"/>
          <w:b/>
          <w:color w:val="000000" w:themeColor="text1"/>
          <w:szCs w:val="24"/>
          <w14:textFill>
            <w14:solidFill>
              <w14:schemeClr w14:val="tx1"/>
            </w14:solidFill>
          </w14:textFill>
        </w:rPr>
      </w:pPr>
    </w:p>
    <w:p w14:paraId="6ED92506">
      <w:pPr>
        <w:pStyle w:val="24"/>
        <w:rPr>
          <w:color w:val="000000" w:themeColor="text1"/>
          <w14:textFill>
            <w14:solidFill>
              <w14:schemeClr w14:val="tx1"/>
            </w14:solidFill>
          </w14:textFill>
        </w:rPr>
      </w:pPr>
    </w:p>
    <w:p w14:paraId="4B433305">
      <w:pPr>
        <w:pStyle w:val="24"/>
        <w:rPr>
          <w:color w:val="000000" w:themeColor="text1"/>
          <w14:textFill>
            <w14:solidFill>
              <w14:schemeClr w14:val="tx1"/>
            </w14:solidFill>
          </w14:textFill>
        </w:rPr>
      </w:pPr>
    </w:p>
    <w:p w14:paraId="0EC8D36A">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020BC2D6">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5FF1DB21">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5259B55D">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6F340811">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color w:val="000000" w:themeColor="text1"/>
          <w:sz w:val="32"/>
          <w:szCs w:val="32"/>
          <w:u w:val="single"/>
          <w14:textFill>
            <w14:solidFill>
              <w14:schemeClr w14:val="tx1"/>
            </w14:solidFill>
          </w14:textFill>
        </w:rPr>
        <w:t xml:space="preserve">                             </w:t>
      </w:r>
    </w:p>
    <w:p w14:paraId="4BDD22ED">
      <w:pPr>
        <w:widowControl/>
        <w:jc w:val="left"/>
        <w:rPr>
          <w:rFonts w:ascii="宋体" w:hAnsi="宋体" w:cs="宋体"/>
          <w:color w:val="000000" w:themeColor="text1"/>
          <w:kern w:val="0"/>
          <w:sz w:val="24"/>
          <w14:textFill>
            <w14:solidFill>
              <w14:schemeClr w14:val="tx1"/>
            </w14:solidFill>
          </w14:textFill>
        </w:rPr>
        <w:sectPr>
          <w:pgSz w:w="11907" w:h="16840"/>
          <w:pgMar w:top="1474" w:right="1814" w:bottom="1474" w:left="1814" w:header="794" w:footer="851" w:gutter="0"/>
          <w:cols w:space="720" w:num="1"/>
        </w:sectPr>
      </w:pPr>
    </w:p>
    <w:p w14:paraId="7EF98B92">
      <w:pPr>
        <w:spacing w:line="360" w:lineRule="auto"/>
        <w:jc w:val="center"/>
        <w:outlineLvl w:val="1"/>
        <w:rPr>
          <w:rFonts w:hint="eastAsia" w:ascii="宋体" w:hAnsi="宋体"/>
          <w:b/>
          <w:color w:val="000000" w:themeColor="text1"/>
          <w:sz w:val="24"/>
          <w14:textFill>
            <w14:solidFill>
              <w14:schemeClr w14:val="tx1"/>
            </w14:solidFill>
          </w14:textFill>
        </w:rPr>
      </w:pPr>
      <w:bookmarkStart w:id="388" w:name="_Toc22209"/>
    </w:p>
    <w:p w14:paraId="519A506F">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第一节 政府采购合同协议书</w:t>
      </w:r>
      <w:bookmarkEnd w:id="388"/>
    </w:p>
    <w:p w14:paraId="449CA34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（中标供应商名称）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中标供应商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中标通知书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208044B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（中标供应商名称）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4653EAEA">
      <w:pPr>
        <w:spacing w:line="360" w:lineRule="auto"/>
        <w:ind w:firstLine="482" w:firstLineChars="200"/>
        <w:rPr>
          <w:rFonts w:ascii="宋体" w:hAnsi="宋体"/>
          <w:color w:val="000000" w:themeColor="text1"/>
          <w:sz w:val="24"/>
          <w14:textFill>
            <w14:solidFill>
              <w14:schemeClr w14:val="tx1"/>
            </w14:solidFill>
          </w14:textFill>
        </w:rPr>
      </w:pPr>
      <w:bookmarkStart w:id="389" w:name="_Toc28855"/>
      <w:bookmarkStart w:id="390" w:name="_Toc22967"/>
      <w:bookmarkStart w:id="391" w:name="_Toc20421"/>
      <w:bookmarkStart w:id="392" w:name="_Toc19273"/>
      <w:bookmarkStart w:id="393" w:name="_Toc15367"/>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389"/>
      <w:bookmarkEnd w:id="390"/>
      <w:bookmarkEnd w:id="391"/>
      <w:bookmarkEnd w:id="392"/>
      <w:bookmarkEnd w:id="393"/>
    </w:p>
    <w:p w14:paraId="79ACD02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FE8D28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4E78FF5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中标通知书；</w:t>
      </w:r>
    </w:p>
    <w:p w14:paraId="511DCF0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投标文件（含澄清或者说明文件）；</w:t>
      </w:r>
    </w:p>
    <w:p w14:paraId="538FBFD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2992EF1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25C5D03A">
      <w:pPr>
        <w:spacing w:line="360" w:lineRule="auto"/>
        <w:ind w:firstLine="482" w:firstLineChars="200"/>
        <w:rPr>
          <w:rFonts w:ascii="宋体" w:hAnsi="宋体"/>
          <w:b/>
          <w:color w:val="000000" w:themeColor="text1"/>
          <w:sz w:val="24"/>
          <w14:textFill>
            <w14:solidFill>
              <w14:schemeClr w14:val="tx1"/>
            </w14:solidFill>
          </w14:textFill>
        </w:rPr>
      </w:pPr>
      <w:bookmarkStart w:id="394" w:name="_Toc22185"/>
      <w:bookmarkStart w:id="395" w:name="_Toc18585"/>
      <w:bookmarkStart w:id="396" w:name="_Toc2918"/>
      <w:bookmarkStart w:id="397" w:name="_Toc6773"/>
      <w:bookmarkStart w:id="398" w:name="_Toc6311"/>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394"/>
      <w:bookmarkEnd w:id="395"/>
      <w:bookmarkEnd w:id="396"/>
      <w:bookmarkEnd w:id="397"/>
      <w:bookmarkEnd w:id="398"/>
    </w:p>
    <w:p w14:paraId="5A5485CF">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9BBF14B">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7C8BB3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0158FA57">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56A3AA8">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59EA0B84">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399" w:name="_Toc5635"/>
      <w:bookmarkStart w:id="400" w:name="_Toc13918"/>
      <w:bookmarkStart w:id="401" w:name="_Toc21124"/>
      <w:bookmarkStart w:id="402" w:name="_Toc4929"/>
      <w:bookmarkStart w:id="403" w:name="_Toc1386"/>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58131E1">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98716EF">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EE2F56D">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399"/>
      <w:bookmarkEnd w:id="400"/>
      <w:bookmarkEnd w:id="401"/>
      <w:bookmarkEnd w:id="402"/>
      <w:bookmarkEnd w:id="403"/>
    </w:p>
    <w:p w14:paraId="7EAABDF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26ACD49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00954C1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2CD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236AC4">
            <w:pPr>
              <w:pStyle w:val="317"/>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635D4E0E">
            <w:pPr>
              <w:pStyle w:val="317"/>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5640C3A6">
            <w:pPr>
              <w:pStyle w:val="317"/>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40CB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ED3E8D">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0DF66A2D">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06B47374">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5447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07B88F">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52CC1EB9">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3608B6CA">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3667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C1D1DC2">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4ABF5F86">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00DFE0B3">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3BF5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CB6274A">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709B5929">
            <w:pPr>
              <w:pStyle w:val="317"/>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66D51A35">
            <w:pPr>
              <w:pStyle w:val="317"/>
              <w:spacing w:line="360" w:lineRule="auto"/>
              <w:ind w:firstLine="200"/>
              <w:jc w:val="center"/>
              <w:rPr>
                <w:rFonts w:hAnsi="宋体"/>
                <w:color w:val="000000" w:themeColor="text1"/>
                <w:sz w:val="24"/>
                <w:szCs w:val="24"/>
                <w14:textFill>
                  <w14:solidFill>
                    <w14:schemeClr w14:val="tx1"/>
                  </w14:solidFill>
                </w14:textFill>
              </w:rPr>
            </w:pPr>
          </w:p>
        </w:tc>
      </w:tr>
      <w:tr w14:paraId="2DB5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DCD02AF">
            <w:pPr>
              <w:pStyle w:val="317"/>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12350694">
            <w:pPr>
              <w:pStyle w:val="317"/>
              <w:spacing w:line="360" w:lineRule="auto"/>
              <w:ind w:firstLine="200"/>
              <w:jc w:val="center"/>
              <w:rPr>
                <w:rFonts w:hAnsi="宋体"/>
                <w:color w:val="000000" w:themeColor="text1"/>
                <w:sz w:val="24"/>
                <w:szCs w:val="24"/>
                <w14:textFill>
                  <w14:solidFill>
                    <w14:schemeClr w14:val="tx1"/>
                  </w14:solidFill>
                </w14:textFill>
              </w:rPr>
            </w:pPr>
          </w:p>
        </w:tc>
      </w:tr>
    </w:tbl>
    <w:p w14:paraId="4B0B2290">
      <w:pPr>
        <w:spacing w:line="360" w:lineRule="auto"/>
        <w:ind w:firstLine="480" w:firstLineChars="200"/>
        <w:rPr>
          <w:rFonts w:ascii="宋体" w:hAnsi="宋体"/>
          <w:color w:val="000000" w:themeColor="text1"/>
          <w:sz w:val="24"/>
          <w14:textFill>
            <w14:solidFill>
              <w14:schemeClr w14:val="tx1"/>
            </w14:solidFill>
          </w14:textFill>
        </w:rPr>
      </w:pPr>
      <w:bookmarkStart w:id="404" w:name="_Toc14993"/>
      <w:bookmarkStart w:id="405" w:name="_Toc30158"/>
      <w:bookmarkStart w:id="406" w:name="_Toc3654"/>
      <w:bookmarkStart w:id="407" w:name="_Toc30506"/>
      <w:bookmarkStart w:id="408" w:name="_Toc26916"/>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3BC2D5E3">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1.3.3其他计价方式：                   。</w:t>
      </w:r>
    </w:p>
    <w:bookmarkEnd w:id="404"/>
    <w:bookmarkEnd w:id="405"/>
    <w:bookmarkEnd w:id="406"/>
    <w:bookmarkEnd w:id="407"/>
    <w:bookmarkEnd w:id="408"/>
    <w:p w14:paraId="742E6963">
      <w:pPr>
        <w:pStyle w:val="957"/>
        <w:spacing w:before="0" w:beforeAutospacing="0" w:after="0" w:afterAutospacing="0" w:line="360" w:lineRule="auto"/>
        <w:ind w:firstLine="480"/>
        <w:rPr>
          <w:b/>
          <w:color w:val="000000" w:themeColor="text1"/>
          <w14:textFill>
            <w14:solidFill>
              <w14:schemeClr w14:val="tx1"/>
            </w14:solidFill>
          </w14:textFill>
        </w:rPr>
      </w:pPr>
      <w:bookmarkStart w:id="409" w:name="_Toc1814"/>
      <w:bookmarkStart w:id="410" w:name="_Toc10340"/>
      <w:bookmarkStart w:id="411" w:name="_Toc22618"/>
      <w:bookmarkStart w:id="412" w:name="_Toc8772"/>
      <w:bookmarkStart w:id="413" w:name="_Toc4760"/>
      <w:bookmarkStart w:id="414" w:name="_Toc31421"/>
      <w:bookmarkStart w:id="415" w:name="_Toc11108"/>
      <w:bookmarkStart w:id="416" w:name="_Toc3625"/>
      <w:r>
        <w:rPr>
          <w:rFonts w:hint="eastAsia"/>
          <w:b/>
          <w:color w:val="000000" w:themeColor="text1"/>
          <w14:textFill>
            <w14:solidFill>
              <w14:schemeClr w14:val="tx1"/>
            </w14:solidFill>
          </w14:textFill>
        </w:rPr>
        <w:t>1.4履约保证金</w:t>
      </w:r>
    </w:p>
    <w:p w14:paraId="28C7F989">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14F5459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19BBE5F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18FD4E4">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296624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149DBAFB">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409"/>
      <w:bookmarkEnd w:id="410"/>
      <w:bookmarkEnd w:id="411"/>
      <w:r>
        <w:rPr>
          <w:rFonts w:hint="eastAsia" w:ascii="宋体" w:hAnsi="宋体" w:cs="宋体"/>
          <w:b/>
          <w:color w:val="000000" w:themeColor="text1"/>
          <w:sz w:val="24"/>
          <w14:textFill>
            <w14:solidFill>
              <w14:schemeClr w14:val="tx1"/>
            </w14:solidFill>
          </w14:textFill>
        </w:rPr>
        <w:t>预付款</w:t>
      </w:r>
    </w:p>
    <w:p w14:paraId="251BCA41">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3D58AB3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D4106D5">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09F1DFBB">
      <w:pPr>
        <w:pStyle w:val="957"/>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7435BD8D">
      <w:pPr>
        <w:pStyle w:val="957"/>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3AFC82A0">
      <w:pPr>
        <w:pStyle w:val="957"/>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7FA844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1885A654">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412"/>
      <w:bookmarkEnd w:id="413"/>
      <w:bookmarkEnd w:id="414"/>
      <w:bookmarkEnd w:id="415"/>
      <w:bookmarkEnd w:id="416"/>
    </w:p>
    <w:p w14:paraId="04A0C4C0">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768144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C4063C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0D4F0A0E">
      <w:pPr>
        <w:spacing w:line="360" w:lineRule="auto"/>
        <w:ind w:firstLine="480" w:firstLineChars="200"/>
        <w:rPr>
          <w:rFonts w:ascii="宋体" w:hAnsi="宋体"/>
          <w:bCs/>
          <w:color w:val="000000" w:themeColor="text1"/>
          <w:sz w:val="24"/>
          <w14:textFill>
            <w14:solidFill>
              <w14:schemeClr w14:val="tx1"/>
            </w14:solidFill>
          </w14:textFill>
        </w:rPr>
      </w:pPr>
      <w:bookmarkStart w:id="417" w:name="_Toc5698"/>
      <w:bookmarkStart w:id="418" w:name="_Toc24662"/>
      <w:bookmarkStart w:id="419" w:name="_Toc2375"/>
      <w:bookmarkStart w:id="420" w:name="_Toc8586"/>
      <w:bookmarkStart w:id="421" w:name="_Toc3079"/>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44CB35B9">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5B1B2E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EA0E5B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78939FB5">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417"/>
      <w:bookmarkEnd w:id="418"/>
      <w:bookmarkEnd w:id="419"/>
      <w:bookmarkEnd w:id="420"/>
      <w:bookmarkEnd w:id="421"/>
    </w:p>
    <w:p w14:paraId="18AF038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2624F9A7">
      <w:pPr>
        <w:pStyle w:val="82"/>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0E137E3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18E62ED6">
      <w:pPr>
        <w:spacing w:line="360" w:lineRule="auto"/>
        <w:ind w:firstLine="480" w:firstLineChars="200"/>
        <w:rPr>
          <w:rFonts w:ascii="宋体" w:hAnsi="宋体" w:cs="宋体"/>
          <w:color w:val="000000" w:themeColor="text1"/>
          <w:sz w:val="24"/>
          <w14:textFill>
            <w14:solidFill>
              <w14:schemeClr w14:val="tx1"/>
            </w14:solidFill>
          </w14:textFill>
        </w:rPr>
      </w:pPr>
      <w:bookmarkStart w:id="422" w:name="_Toc32454"/>
      <w:bookmarkStart w:id="423" w:name="_Toc18683"/>
      <w:bookmarkStart w:id="424" w:name="_Toc26807"/>
      <w:bookmarkStart w:id="425" w:name="_Toc30329"/>
      <w:bookmarkStart w:id="426" w:name="_Toc949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D176CE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1787FD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7815B46F">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422"/>
    <w:bookmarkEnd w:id="423"/>
    <w:bookmarkEnd w:id="424"/>
    <w:bookmarkEnd w:id="425"/>
    <w:bookmarkEnd w:id="426"/>
    <w:p w14:paraId="5BF6745B">
      <w:pPr>
        <w:spacing w:line="360" w:lineRule="auto"/>
        <w:ind w:firstLine="482" w:firstLineChars="200"/>
        <w:rPr>
          <w:rFonts w:ascii="宋体" w:hAnsi="宋体" w:cs="宋体"/>
          <w:b/>
          <w:color w:val="000000" w:themeColor="text1"/>
          <w:sz w:val="24"/>
          <w14:textFill>
            <w14:solidFill>
              <w14:schemeClr w14:val="tx1"/>
            </w14:solidFill>
          </w14:textFill>
        </w:rPr>
      </w:pPr>
      <w:bookmarkStart w:id="427" w:name="_Toc15583"/>
      <w:bookmarkStart w:id="428" w:name="_Toc16021"/>
      <w:bookmarkStart w:id="429" w:name="_Toc28375"/>
      <w:r>
        <w:rPr>
          <w:rFonts w:hint="eastAsia" w:ascii="宋体" w:hAnsi="宋体" w:cs="宋体"/>
          <w:b/>
          <w:color w:val="000000" w:themeColor="text1"/>
          <w:sz w:val="24"/>
          <w14:textFill>
            <w14:solidFill>
              <w14:schemeClr w14:val="tx1"/>
            </w14:solidFill>
          </w14:textFill>
        </w:rPr>
        <w:t>1.9合同争议的解决</w:t>
      </w:r>
      <w:bookmarkEnd w:id="427"/>
      <w:bookmarkEnd w:id="428"/>
      <w:bookmarkEnd w:id="429"/>
    </w:p>
    <w:p w14:paraId="2C2EA2D1">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0C3F54AF">
      <w:pPr>
        <w:spacing w:line="360" w:lineRule="auto"/>
        <w:ind w:left="-420" w:leftChars="-200" w:right="-420" w:rightChars="-200"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53077CC6">
      <w:pPr>
        <w:spacing w:line="360" w:lineRule="auto"/>
        <w:ind w:left="-420" w:leftChars="-200" w:right="-420" w:rightChars="-200"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07C8E52E">
      <w:pPr>
        <w:spacing w:line="360" w:lineRule="auto"/>
        <w:ind w:firstLine="482" w:firstLineChars="200"/>
        <w:rPr>
          <w:rFonts w:ascii="宋体" w:hAnsi="宋体" w:cs="宋体"/>
          <w:b/>
          <w:color w:val="000000" w:themeColor="text1"/>
          <w:sz w:val="24"/>
          <w14:textFill>
            <w14:solidFill>
              <w14:schemeClr w14:val="tx1"/>
            </w14:solidFill>
          </w14:textFill>
        </w:rPr>
      </w:pPr>
      <w:bookmarkStart w:id="430" w:name="_Toc7245"/>
      <w:bookmarkStart w:id="431" w:name="_Toc11173"/>
      <w:bookmarkStart w:id="432" w:name="_Toc15322"/>
      <w:r>
        <w:rPr>
          <w:rFonts w:hint="eastAsia" w:ascii="宋体" w:hAnsi="宋体" w:cs="宋体"/>
          <w:b/>
          <w:color w:val="000000" w:themeColor="text1"/>
          <w:sz w:val="24"/>
          <w14:textFill>
            <w14:solidFill>
              <w14:schemeClr w14:val="tx1"/>
            </w14:solidFill>
          </w14:textFill>
        </w:rPr>
        <w:t>2.0 合同生效</w:t>
      </w:r>
      <w:bookmarkEnd w:id="430"/>
      <w:bookmarkEnd w:id="431"/>
      <w:bookmarkEnd w:id="432"/>
    </w:p>
    <w:p w14:paraId="5B223A87">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45F28558">
      <w:pPr>
        <w:autoSpaceDE w:val="0"/>
        <w:autoSpaceDN w:val="0"/>
        <w:spacing w:line="560" w:lineRule="exact"/>
        <w:rPr>
          <w:rFonts w:ascii="宋体" w:hAnsi="宋体"/>
          <w:color w:val="000000" w:themeColor="text1"/>
          <w:sz w:val="24"/>
          <w:lang w:val="zh-CN"/>
          <w14:textFill>
            <w14:solidFill>
              <w14:schemeClr w14:val="tx1"/>
            </w14:solidFill>
          </w14:textFill>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23669E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23376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F308DD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6740DA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47AD9A2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9979FCB">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29431F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2EB6596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93FDA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04BC2C0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50EE2DC1">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6DD654B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1E62F1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2BC238E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17FA9D99">
            <w:pPr>
              <w:snapToGrid w:val="0"/>
              <w:spacing w:line="360" w:lineRule="auto"/>
              <w:jc w:val="center"/>
              <w:rPr>
                <w:rFonts w:ascii="Calibri" w:hAnsi="Calibri"/>
                <w:color w:val="000000" w:themeColor="text1"/>
                <w:sz w:val="24"/>
                <w14:textFill>
                  <w14:solidFill>
                    <w14:schemeClr w14:val="tx1"/>
                  </w14:solidFill>
                </w14:textFill>
              </w:rPr>
            </w:pPr>
          </w:p>
        </w:tc>
      </w:tr>
      <w:tr w14:paraId="4A287A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1B14A49">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E87A0AB">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7CE9B1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4DECEBA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586CC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976A94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CE13026">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B32B30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1F744B4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CCDE8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D99FD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4CCCF370">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901E2F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A3683B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57FE3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59061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FC9DE02">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603BC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919C4F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1E34C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71DFB5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11E7926">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1F8CC5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7F236C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ECC85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F6B57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A09427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229257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7ABD0C3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8F420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A84A6A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CB3230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F1E899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E655BD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0DF07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032FFF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617E01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0BB390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4271B1E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0D816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772A311">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6A7EE2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9D8FD7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6362321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C89B8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49963FF">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60B5D3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38B73B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56B6CF4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1EF2B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025BE6E">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846D26C">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5CB5A0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2EDF159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D45FE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66CB8F5C">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51BA5B2C">
      <w:pPr>
        <w:widowControl/>
        <w:spacing w:line="560" w:lineRule="exact"/>
        <w:jc w:val="left"/>
        <w:rPr>
          <w:rFonts w:ascii="宋体" w:hAnsi="宋体"/>
          <w:b/>
          <w:color w:val="000000" w:themeColor="text1"/>
          <w:sz w:val="24"/>
          <w14:textFill>
            <w14:solidFill>
              <w14:schemeClr w14:val="tx1"/>
            </w14:solidFill>
          </w14:textFill>
        </w:rPr>
      </w:pPr>
    </w:p>
    <w:p w14:paraId="0D8DF5B6">
      <w:pPr>
        <w:widowControl/>
        <w:adjustRightInd/>
        <w:jc w:val="left"/>
        <w:rPr>
          <w:rFonts w:ascii="宋体" w:hAnsi="宋体"/>
          <w:b/>
          <w:color w:val="000000" w:themeColor="text1"/>
          <w:sz w:val="24"/>
          <w14:textFill>
            <w14:solidFill>
              <w14:schemeClr w14:val="tx1"/>
            </w14:solidFill>
          </w14:textFill>
        </w:rPr>
      </w:pPr>
      <w:r>
        <w:rPr>
          <w:rFonts w:ascii="宋体" w:hAnsi="宋体"/>
          <w:b/>
          <w:color w:val="000000" w:themeColor="text1"/>
          <w14:textFill>
            <w14:solidFill>
              <w14:schemeClr w14:val="tx1"/>
            </w14:solidFill>
          </w14:textFill>
        </w:rPr>
        <w:br w:type="page"/>
      </w:r>
    </w:p>
    <w:p w14:paraId="006B4404">
      <w:pPr>
        <w:pStyle w:val="699"/>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 政府采购合同通用条款</w:t>
      </w:r>
    </w:p>
    <w:p w14:paraId="51D9E84B">
      <w:pPr>
        <w:spacing w:line="360" w:lineRule="auto"/>
        <w:ind w:firstLine="482" w:firstLineChars="200"/>
        <w:rPr>
          <w:rFonts w:ascii="宋体" w:hAnsi="宋体"/>
          <w:b/>
          <w:color w:val="000000" w:themeColor="text1"/>
          <w:sz w:val="24"/>
          <w14:textFill>
            <w14:solidFill>
              <w14:schemeClr w14:val="tx1"/>
            </w14:solidFill>
          </w14:textFill>
        </w:rPr>
      </w:pPr>
      <w:bookmarkStart w:id="433" w:name="_Toc14021"/>
      <w:bookmarkStart w:id="434" w:name="_Toc25079"/>
      <w:bookmarkStart w:id="435" w:name="_Toc5228"/>
      <w:bookmarkStart w:id="436" w:name="_Toc19680"/>
      <w:bookmarkStart w:id="437" w:name="_Toc31297"/>
      <w:r>
        <w:rPr>
          <w:rFonts w:ascii="宋体" w:hAnsi="宋体"/>
          <w:b/>
          <w:color w:val="000000" w:themeColor="text1"/>
          <w:sz w:val="24"/>
          <w14:textFill>
            <w14:solidFill>
              <w14:schemeClr w14:val="tx1"/>
            </w14:solidFill>
          </w14:textFill>
        </w:rPr>
        <w:t>2.1 定义</w:t>
      </w:r>
      <w:bookmarkEnd w:id="433"/>
      <w:bookmarkEnd w:id="434"/>
      <w:bookmarkEnd w:id="435"/>
      <w:bookmarkEnd w:id="436"/>
      <w:bookmarkEnd w:id="437"/>
    </w:p>
    <w:p w14:paraId="305A667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2FDFC4B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3C7D9E2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3A41FF3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053A3F1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75BEB39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F0590E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19C326C3">
      <w:pPr>
        <w:spacing w:line="360" w:lineRule="auto"/>
        <w:ind w:firstLine="482" w:firstLineChars="200"/>
        <w:rPr>
          <w:rFonts w:ascii="宋体" w:hAnsi="宋体"/>
          <w:b/>
          <w:color w:val="000000" w:themeColor="text1"/>
          <w:sz w:val="24"/>
          <w14:textFill>
            <w14:solidFill>
              <w14:schemeClr w14:val="tx1"/>
            </w14:solidFill>
          </w14:textFill>
        </w:rPr>
      </w:pPr>
      <w:bookmarkStart w:id="438" w:name="_Toc31402"/>
      <w:bookmarkStart w:id="439" w:name="_Toc16752"/>
      <w:bookmarkStart w:id="440" w:name="_Toc23289"/>
      <w:bookmarkStart w:id="441" w:name="_Toc19539"/>
      <w:bookmarkStart w:id="442" w:name="_Toc3769"/>
      <w:r>
        <w:rPr>
          <w:rFonts w:ascii="宋体" w:hAnsi="宋体"/>
          <w:b/>
          <w:color w:val="000000" w:themeColor="text1"/>
          <w:sz w:val="24"/>
          <w14:textFill>
            <w14:solidFill>
              <w14:schemeClr w14:val="tx1"/>
            </w14:solidFill>
          </w14:textFill>
        </w:rPr>
        <w:t>2.2 技术规范</w:t>
      </w:r>
      <w:bookmarkEnd w:id="438"/>
      <w:bookmarkEnd w:id="439"/>
      <w:bookmarkEnd w:id="440"/>
      <w:bookmarkEnd w:id="441"/>
      <w:bookmarkEnd w:id="442"/>
    </w:p>
    <w:p w14:paraId="1A9796E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63299F5D">
      <w:pPr>
        <w:spacing w:line="360" w:lineRule="auto"/>
        <w:ind w:firstLine="482" w:firstLineChars="200"/>
        <w:rPr>
          <w:rFonts w:ascii="宋体" w:hAnsi="宋体"/>
          <w:b/>
          <w:color w:val="000000" w:themeColor="text1"/>
          <w:sz w:val="24"/>
          <w14:textFill>
            <w14:solidFill>
              <w14:schemeClr w14:val="tx1"/>
            </w14:solidFill>
          </w14:textFill>
        </w:rPr>
      </w:pPr>
      <w:bookmarkStart w:id="443" w:name="_Toc9161"/>
      <w:bookmarkStart w:id="444" w:name="_Toc12412"/>
      <w:bookmarkStart w:id="445" w:name="_Toc4133"/>
      <w:bookmarkStart w:id="446" w:name="_Toc13673"/>
      <w:bookmarkStart w:id="447" w:name="_Toc27945"/>
      <w:r>
        <w:rPr>
          <w:rFonts w:ascii="宋体" w:hAnsi="宋体"/>
          <w:b/>
          <w:color w:val="000000" w:themeColor="text1"/>
          <w:sz w:val="24"/>
          <w14:textFill>
            <w14:solidFill>
              <w14:schemeClr w14:val="tx1"/>
            </w14:solidFill>
          </w14:textFill>
        </w:rPr>
        <w:t>2.3 知识产权</w:t>
      </w:r>
      <w:bookmarkEnd w:id="443"/>
      <w:bookmarkEnd w:id="444"/>
      <w:bookmarkEnd w:id="445"/>
      <w:bookmarkEnd w:id="446"/>
      <w:bookmarkEnd w:id="447"/>
    </w:p>
    <w:p w14:paraId="7C06581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511C6C5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697715DA">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0CFDCB1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48F872C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2DC986F8">
      <w:pPr>
        <w:spacing w:line="360" w:lineRule="auto"/>
        <w:ind w:firstLine="482" w:firstLineChars="200"/>
        <w:rPr>
          <w:rFonts w:ascii="宋体" w:hAnsi="宋体"/>
          <w:b/>
          <w:color w:val="000000" w:themeColor="text1"/>
          <w:sz w:val="24"/>
          <w14:textFill>
            <w14:solidFill>
              <w14:schemeClr w14:val="tx1"/>
            </w14:solidFill>
          </w14:textFill>
        </w:rPr>
      </w:pPr>
      <w:bookmarkStart w:id="448" w:name="_Toc15447"/>
      <w:bookmarkStart w:id="449" w:name="_Toc22011"/>
      <w:bookmarkStart w:id="450" w:name="_Toc26555"/>
      <w:bookmarkStart w:id="451" w:name="_Toc32670"/>
      <w:bookmarkStart w:id="452" w:name="_Toc31233"/>
      <w:r>
        <w:rPr>
          <w:rFonts w:ascii="宋体" w:hAnsi="宋体"/>
          <w:b/>
          <w:color w:val="000000" w:themeColor="text1"/>
          <w:sz w:val="24"/>
          <w14:textFill>
            <w14:solidFill>
              <w14:schemeClr w14:val="tx1"/>
            </w14:solidFill>
          </w14:textFill>
        </w:rPr>
        <w:t>2.5 结算方式和付款条件</w:t>
      </w:r>
      <w:bookmarkEnd w:id="448"/>
      <w:bookmarkEnd w:id="449"/>
      <w:bookmarkEnd w:id="450"/>
      <w:bookmarkEnd w:id="451"/>
      <w:bookmarkEnd w:id="452"/>
    </w:p>
    <w:p w14:paraId="24CE195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771961BF">
      <w:pPr>
        <w:spacing w:line="360" w:lineRule="auto"/>
        <w:ind w:firstLine="482" w:firstLineChars="200"/>
        <w:rPr>
          <w:rFonts w:ascii="宋体" w:hAnsi="宋体"/>
          <w:b/>
          <w:color w:val="000000" w:themeColor="text1"/>
          <w:sz w:val="24"/>
          <w14:textFill>
            <w14:solidFill>
              <w14:schemeClr w14:val="tx1"/>
            </w14:solidFill>
          </w14:textFill>
        </w:rPr>
      </w:pPr>
      <w:bookmarkStart w:id="453" w:name="_Toc13467"/>
      <w:bookmarkStart w:id="454" w:name="_Toc13154"/>
      <w:bookmarkStart w:id="455" w:name="_Toc30507"/>
      <w:bookmarkStart w:id="456" w:name="_Toc16163"/>
      <w:bookmarkStart w:id="457" w:name="_Toc18990"/>
      <w:r>
        <w:rPr>
          <w:rFonts w:ascii="宋体" w:hAnsi="宋体"/>
          <w:b/>
          <w:color w:val="000000" w:themeColor="text1"/>
          <w:sz w:val="24"/>
          <w14:textFill>
            <w14:solidFill>
              <w14:schemeClr w14:val="tx1"/>
            </w14:solidFill>
          </w14:textFill>
        </w:rPr>
        <w:t>2.6 技术资料和保密义务</w:t>
      </w:r>
      <w:bookmarkEnd w:id="453"/>
      <w:bookmarkEnd w:id="454"/>
      <w:bookmarkEnd w:id="455"/>
      <w:bookmarkEnd w:id="456"/>
      <w:bookmarkEnd w:id="457"/>
    </w:p>
    <w:p w14:paraId="29412A7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0E6454F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6D0B6E1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257DDCEC">
      <w:pPr>
        <w:spacing w:line="360" w:lineRule="auto"/>
        <w:ind w:firstLine="482" w:firstLineChars="200"/>
        <w:rPr>
          <w:rFonts w:ascii="宋体" w:hAnsi="宋体"/>
          <w:b/>
          <w:color w:val="000000" w:themeColor="text1"/>
          <w:sz w:val="24"/>
          <w14:textFill>
            <w14:solidFill>
              <w14:schemeClr w14:val="tx1"/>
            </w14:solidFill>
          </w14:textFill>
        </w:rPr>
      </w:pPr>
      <w:bookmarkStart w:id="458"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458"/>
    </w:p>
    <w:p w14:paraId="7451955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5349339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5FDCCA4A">
      <w:pPr>
        <w:spacing w:line="360" w:lineRule="auto"/>
        <w:ind w:firstLine="482" w:firstLineChars="200"/>
        <w:rPr>
          <w:rFonts w:ascii="宋体" w:hAnsi="宋体"/>
          <w:b/>
          <w:color w:val="000000" w:themeColor="text1"/>
          <w:sz w:val="24"/>
          <w14:textFill>
            <w14:solidFill>
              <w14:schemeClr w14:val="tx1"/>
            </w14:solidFill>
          </w14:textFill>
        </w:rPr>
      </w:pPr>
      <w:bookmarkStart w:id="459"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459"/>
    </w:p>
    <w:p w14:paraId="5ADD9EC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45CD4571">
      <w:pPr>
        <w:spacing w:line="360" w:lineRule="auto"/>
        <w:ind w:firstLine="482" w:firstLineChars="200"/>
        <w:rPr>
          <w:rFonts w:ascii="宋体" w:hAnsi="宋体"/>
          <w:b/>
          <w:color w:val="000000" w:themeColor="text1"/>
          <w:sz w:val="24"/>
          <w14:textFill>
            <w14:solidFill>
              <w14:schemeClr w14:val="tx1"/>
            </w14:solidFill>
          </w14:textFill>
        </w:rPr>
      </w:pPr>
      <w:bookmarkStart w:id="460"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460"/>
    </w:p>
    <w:p w14:paraId="0C16C9B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1EFE8F79">
      <w:pPr>
        <w:spacing w:line="360" w:lineRule="auto"/>
        <w:ind w:firstLine="482" w:firstLineChars="200"/>
        <w:rPr>
          <w:rFonts w:ascii="宋体" w:hAnsi="宋体"/>
          <w:b/>
          <w:color w:val="000000" w:themeColor="text1"/>
          <w:sz w:val="24"/>
          <w14:textFill>
            <w14:solidFill>
              <w14:schemeClr w14:val="tx1"/>
            </w14:solidFill>
          </w14:textFill>
        </w:rPr>
      </w:pPr>
      <w:bookmarkStart w:id="461" w:name="_Toc21830"/>
      <w:bookmarkStart w:id="462" w:name="_Toc23368"/>
      <w:bookmarkStart w:id="463" w:name="_Toc42"/>
      <w:bookmarkStart w:id="464" w:name="_Toc26689"/>
      <w:bookmarkStart w:id="465" w:name="_Toc10663"/>
      <w:r>
        <w:rPr>
          <w:rFonts w:ascii="宋体" w:hAnsi="宋体"/>
          <w:b/>
          <w:color w:val="000000" w:themeColor="text1"/>
          <w:sz w:val="24"/>
          <w14:textFill>
            <w14:solidFill>
              <w14:schemeClr w14:val="tx1"/>
            </w14:solidFill>
          </w14:textFill>
        </w:rPr>
        <w:t>2.10 合同转让和分包</w:t>
      </w:r>
      <w:bookmarkEnd w:id="461"/>
      <w:bookmarkEnd w:id="462"/>
      <w:bookmarkEnd w:id="463"/>
      <w:bookmarkEnd w:id="464"/>
      <w:bookmarkEnd w:id="465"/>
    </w:p>
    <w:p w14:paraId="7720304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0C012468">
      <w:pPr>
        <w:spacing w:line="360" w:lineRule="auto"/>
        <w:ind w:firstLine="482" w:firstLineChars="200"/>
        <w:rPr>
          <w:rFonts w:ascii="宋体" w:hAnsi="宋体"/>
          <w:b/>
          <w:color w:val="000000" w:themeColor="text1"/>
          <w:sz w:val="24"/>
          <w14:textFill>
            <w14:solidFill>
              <w14:schemeClr w14:val="tx1"/>
            </w14:solidFill>
          </w14:textFill>
        </w:rPr>
      </w:pPr>
      <w:bookmarkStart w:id="466" w:name="_Toc32494"/>
      <w:bookmarkStart w:id="467" w:name="_Toc26633"/>
      <w:bookmarkStart w:id="468" w:name="_Toc4720"/>
      <w:bookmarkStart w:id="469" w:name="_Toc14371"/>
      <w:bookmarkStart w:id="470" w:name="_Toc25571"/>
      <w:r>
        <w:rPr>
          <w:rFonts w:ascii="宋体" w:hAnsi="宋体"/>
          <w:b/>
          <w:color w:val="000000" w:themeColor="text1"/>
          <w:sz w:val="24"/>
          <w14:textFill>
            <w14:solidFill>
              <w14:schemeClr w14:val="tx1"/>
            </w14:solidFill>
          </w14:textFill>
        </w:rPr>
        <w:t>2.11 不可抗力</w:t>
      </w:r>
      <w:bookmarkEnd w:id="466"/>
      <w:bookmarkEnd w:id="467"/>
      <w:bookmarkEnd w:id="468"/>
      <w:bookmarkEnd w:id="469"/>
      <w:bookmarkEnd w:id="470"/>
    </w:p>
    <w:p w14:paraId="20C7BB2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40EDE98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1DDCE9F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0B8A116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5711DC85">
      <w:pPr>
        <w:spacing w:line="360" w:lineRule="auto"/>
        <w:ind w:firstLine="482" w:firstLineChars="200"/>
        <w:rPr>
          <w:rFonts w:ascii="宋体" w:hAnsi="宋体"/>
          <w:b/>
          <w:color w:val="000000" w:themeColor="text1"/>
          <w:sz w:val="24"/>
          <w14:textFill>
            <w14:solidFill>
              <w14:schemeClr w14:val="tx1"/>
            </w14:solidFill>
          </w14:textFill>
        </w:rPr>
      </w:pPr>
      <w:bookmarkStart w:id="471" w:name="_Toc14115"/>
      <w:bookmarkStart w:id="472" w:name="_Toc25783"/>
      <w:bookmarkStart w:id="473" w:name="_Toc23854"/>
      <w:bookmarkStart w:id="474" w:name="_Toc24465"/>
      <w:bookmarkStart w:id="475" w:name="_Toc3638"/>
      <w:r>
        <w:rPr>
          <w:rFonts w:ascii="宋体" w:hAnsi="宋体"/>
          <w:b/>
          <w:color w:val="000000" w:themeColor="text1"/>
          <w:sz w:val="24"/>
          <w14:textFill>
            <w14:solidFill>
              <w14:schemeClr w14:val="tx1"/>
            </w14:solidFill>
          </w14:textFill>
        </w:rPr>
        <w:t>2.12 税费</w:t>
      </w:r>
      <w:bookmarkEnd w:id="471"/>
      <w:bookmarkEnd w:id="472"/>
      <w:bookmarkEnd w:id="473"/>
      <w:bookmarkEnd w:id="474"/>
      <w:bookmarkEnd w:id="475"/>
    </w:p>
    <w:p w14:paraId="6D63FEF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11A999A2">
      <w:pPr>
        <w:spacing w:line="360" w:lineRule="auto"/>
        <w:ind w:firstLine="482" w:firstLineChars="200"/>
        <w:rPr>
          <w:rFonts w:ascii="宋体" w:hAnsi="宋体"/>
          <w:b/>
          <w:color w:val="000000" w:themeColor="text1"/>
          <w:sz w:val="24"/>
          <w14:textFill>
            <w14:solidFill>
              <w14:schemeClr w14:val="tx1"/>
            </w14:solidFill>
          </w14:textFill>
        </w:rPr>
      </w:pPr>
      <w:bookmarkStart w:id="476" w:name="_Toc7315"/>
      <w:bookmarkStart w:id="477" w:name="_Toc25525"/>
      <w:bookmarkStart w:id="478" w:name="_Toc30105"/>
      <w:bookmarkStart w:id="479" w:name="_Toc26883"/>
      <w:bookmarkStart w:id="480" w:name="_Toc14814"/>
      <w:r>
        <w:rPr>
          <w:rFonts w:ascii="宋体" w:hAnsi="宋体"/>
          <w:b/>
          <w:color w:val="000000" w:themeColor="text1"/>
          <w:sz w:val="24"/>
          <w14:textFill>
            <w14:solidFill>
              <w14:schemeClr w14:val="tx1"/>
            </w14:solidFill>
          </w14:textFill>
        </w:rPr>
        <w:t>2.13 乙方破产</w:t>
      </w:r>
      <w:bookmarkEnd w:id="476"/>
      <w:bookmarkEnd w:id="477"/>
      <w:bookmarkEnd w:id="478"/>
      <w:bookmarkEnd w:id="479"/>
      <w:bookmarkEnd w:id="480"/>
    </w:p>
    <w:p w14:paraId="278B19B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6A305436">
      <w:pPr>
        <w:spacing w:line="360" w:lineRule="auto"/>
        <w:ind w:firstLine="482" w:firstLineChars="200"/>
        <w:rPr>
          <w:rFonts w:ascii="宋体" w:hAnsi="宋体"/>
          <w:b/>
          <w:color w:val="000000" w:themeColor="text1"/>
          <w:sz w:val="24"/>
          <w14:textFill>
            <w14:solidFill>
              <w14:schemeClr w14:val="tx1"/>
            </w14:solidFill>
          </w14:textFill>
        </w:rPr>
      </w:pPr>
      <w:bookmarkStart w:id="481" w:name="_Toc23323"/>
      <w:bookmarkStart w:id="482" w:name="_Toc2016"/>
      <w:bookmarkStart w:id="483" w:name="_Toc1123"/>
      <w:r>
        <w:rPr>
          <w:rFonts w:ascii="宋体" w:hAnsi="宋体"/>
          <w:b/>
          <w:color w:val="000000" w:themeColor="text1"/>
          <w:sz w:val="24"/>
          <w14:textFill>
            <w14:solidFill>
              <w14:schemeClr w14:val="tx1"/>
            </w14:solidFill>
          </w14:textFill>
        </w:rPr>
        <w:t>2.14 合同中止、终止</w:t>
      </w:r>
      <w:bookmarkEnd w:id="481"/>
      <w:bookmarkEnd w:id="482"/>
      <w:bookmarkEnd w:id="483"/>
    </w:p>
    <w:p w14:paraId="6A7B94D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51CC17E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13136B49">
      <w:pPr>
        <w:spacing w:line="360" w:lineRule="auto"/>
        <w:ind w:firstLine="482" w:firstLineChars="200"/>
        <w:rPr>
          <w:rFonts w:ascii="宋体" w:hAnsi="宋体"/>
          <w:b/>
          <w:color w:val="000000" w:themeColor="text1"/>
          <w:sz w:val="24"/>
          <w14:textFill>
            <w14:solidFill>
              <w14:schemeClr w14:val="tx1"/>
            </w14:solidFill>
          </w14:textFill>
        </w:rPr>
      </w:pPr>
      <w:bookmarkStart w:id="484" w:name="_Toc14525"/>
      <w:bookmarkStart w:id="485" w:name="_Toc17363"/>
      <w:bookmarkStart w:id="486" w:name="_Toc1969"/>
      <w:r>
        <w:rPr>
          <w:rFonts w:ascii="宋体" w:hAnsi="宋体"/>
          <w:b/>
          <w:color w:val="000000" w:themeColor="text1"/>
          <w:sz w:val="24"/>
          <w14:textFill>
            <w14:solidFill>
              <w14:schemeClr w14:val="tx1"/>
            </w14:solidFill>
          </w14:textFill>
        </w:rPr>
        <w:t>2.15 检验和验收</w:t>
      </w:r>
      <w:bookmarkEnd w:id="484"/>
      <w:bookmarkEnd w:id="485"/>
      <w:bookmarkEnd w:id="486"/>
    </w:p>
    <w:p w14:paraId="205EC224">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0329D797">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10E7B49">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A325A03">
      <w:pPr>
        <w:spacing w:line="360" w:lineRule="auto"/>
        <w:ind w:firstLine="482" w:firstLineChars="200"/>
        <w:rPr>
          <w:rFonts w:ascii="宋体" w:hAnsi="宋体"/>
          <w:b/>
          <w:color w:val="000000" w:themeColor="text1"/>
          <w:sz w:val="24"/>
          <w14:textFill>
            <w14:solidFill>
              <w14:schemeClr w14:val="tx1"/>
            </w14:solidFill>
          </w14:textFill>
        </w:rPr>
      </w:pPr>
      <w:bookmarkStart w:id="487" w:name="_Toc12666"/>
      <w:bookmarkStart w:id="488" w:name="_Toc25198"/>
      <w:bookmarkStart w:id="489" w:name="_Toc9808"/>
      <w:bookmarkStart w:id="490" w:name="_Toc31892"/>
      <w:bookmarkStart w:id="491" w:name="_Toc2308"/>
      <w:r>
        <w:rPr>
          <w:rFonts w:ascii="宋体" w:hAnsi="宋体"/>
          <w:b/>
          <w:color w:val="000000" w:themeColor="text1"/>
          <w:sz w:val="24"/>
          <w14:textFill>
            <w14:solidFill>
              <w14:schemeClr w14:val="tx1"/>
            </w14:solidFill>
          </w14:textFill>
        </w:rPr>
        <w:t>2.16 通知和送达</w:t>
      </w:r>
      <w:bookmarkEnd w:id="487"/>
      <w:bookmarkEnd w:id="488"/>
      <w:bookmarkEnd w:id="489"/>
      <w:bookmarkEnd w:id="490"/>
      <w:bookmarkEnd w:id="491"/>
    </w:p>
    <w:p w14:paraId="38B1C44E">
      <w:pPr>
        <w:spacing w:line="360" w:lineRule="auto"/>
        <w:ind w:firstLine="480" w:firstLineChars="200"/>
        <w:rPr>
          <w:rFonts w:ascii="宋体" w:hAnsi="宋体"/>
          <w:color w:val="000000" w:themeColor="text1"/>
          <w:sz w:val="24"/>
          <w14:textFill>
            <w14:solidFill>
              <w14:schemeClr w14:val="tx1"/>
            </w14:solidFill>
          </w14:textFill>
        </w:rPr>
      </w:pPr>
      <w:bookmarkStart w:id="492" w:name="_Toc18401"/>
      <w:bookmarkStart w:id="493" w:name="_Toc27674"/>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1360F99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492"/>
      <w:bookmarkEnd w:id="493"/>
    </w:p>
    <w:p w14:paraId="0ABC06EC">
      <w:pPr>
        <w:spacing w:line="360" w:lineRule="auto"/>
        <w:ind w:firstLine="482" w:firstLineChars="200"/>
        <w:rPr>
          <w:rFonts w:ascii="宋体" w:hAnsi="宋体"/>
          <w:b/>
          <w:color w:val="000000" w:themeColor="text1"/>
          <w:sz w:val="24"/>
          <w14:textFill>
            <w14:solidFill>
              <w14:schemeClr w14:val="tx1"/>
            </w14:solidFill>
          </w14:textFill>
        </w:rPr>
      </w:pPr>
      <w:bookmarkStart w:id="494" w:name="_Toc27644"/>
      <w:bookmarkStart w:id="495" w:name="_Toc12254"/>
      <w:bookmarkStart w:id="496" w:name="_Toc28906"/>
      <w:bookmarkStart w:id="497" w:name="_Toc5063"/>
      <w:bookmarkStart w:id="498" w:name="_Toc20808"/>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494"/>
      <w:bookmarkEnd w:id="495"/>
      <w:bookmarkEnd w:id="496"/>
      <w:bookmarkEnd w:id="497"/>
      <w:bookmarkEnd w:id="498"/>
    </w:p>
    <w:p w14:paraId="6E2262E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54CA8BF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4ACEA3F4">
      <w:pPr>
        <w:spacing w:line="360" w:lineRule="auto"/>
        <w:ind w:firstLine="482" w:firstLineChars="200"/>
        <w:rPr>
          <w:rFonts w:ascii="宋体" w:hAnsi="宋体" w:cs="宋体"/>
          <w:b/>
          <w:color w:val="000000" w:themeColor="text1"/>
          <w:sz w:val="24"/>
          <w14:textFill>
            <w14:solidFill>
              <w14:schemeClr w14:val="tx1"/>
            </w14:solidFill>
          </w14:textFill>
        </w:rPr>
      </w:pPr>
      <w:bookmarkStart w:id="499" w:name="_Toc4355"/>
      <w:bookmarkStart w:id="500" w:name="_Toc30599"/>
      <w:bookmarkStart w:id="501" w:name="_Toc18540"/>
      <w:r>
        <w:rPr>
          <w:rFonts w:hint="eastAsia" w:ascii="宋体" w:hAnsi="宋体" w:cs="宋体"/>
          <w:b/>
          <w:color w:val="000000" w:themeColor="text1"/>
          <w:sz w:val="24"/>
          <w14:textFill>
            <w14:solidFill>
              <w14:schemeClr w14:val="tx1"/>
            </w14:solidFill>
          </w14:textFill>
        </w:rPr>
        <w:t>2.18 计量单位</w:t>
      </w:r>
      <w:bookmarkEnd w:id="499"/>
      <w:bookmarkEnd w:id="500"/>
      <w:bookmarkEnd w:id="501"/>
    </w:p>
    <w:p w14:paraId="0A6B662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4321E831">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0DB8440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71561D1E">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政府采购合同专用条款</w:t>
      </w:r>
    </w:p>
    <w:p w14:paraId="176766C5">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7507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982139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vAlign w:val="center"/>
          </w:tcPr>
          <w:p w14:paraId="15BA7E9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36741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1735B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vAlign w:val="center"/>
          </w:tcPr>
          <w:p w14:paraId="5C38344D">
            <w:pPr>
              <w:spacing w:line="360" w:lineRule="auto"/>
              <w:rPr>
                <w:rFonts w:ascii="宋体" w:hAnsi="宋体" w:cs="宋体"/>
                <w:color w:val="000000" w:themeColor="text1"/>
                <w:sz w:val="24"/>
                <w14:textFill>
                  <w14:solidFill>
                    <w14:schemeClr w14:val="tx1"/>
                  </w14:solidFill>
                </w14:textFill>
              </w:rPr>
            </w:pPr>
          </w:p>
        </w:tc>
      </w:tr>
      <w:tr w14:paraId="54B5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F9B03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vAlign w:val="center"/>
          </w:tcPr>
          <w:p w14:paraId="6E33F868">
            <w:pPr>
              <w:spacing w:line="360" w:lineRule="auto"/>
              <w:rPr>
                <w:rFonts w:ascii="宋体" w:hAnsi="宋体" w:cs="宋体"/>
                <w:color w:val="000000" w:themeColor="text1"/>
                <w:sz w:val="24"/>
                <w14:textFill>
                  <w14:solidFill>
                    <w14:schemeClr w14:val="tx1"/>
                  </w14:solidFill>
                </w14:textFill>
              </w:rPr>
            </w:pPr>
          </w:p>
        </w:tc>
      </w:tr>
      <w:tr w14:paraId="4E349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3C3182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vAlign w:val="center"/>
          </w:tcPr>
          <w:p w14:paraId="3D247537">
            <w:pPr>
              <w:spacing w:line="360" w:lineRule="auto"/>
              <w:rPr>
                <w:rFonts w:ascii="宋体" w:hAnsi="宋体" w:cs="宋体"/>
                <w:color w:val="000000" w:themeColor="text1"/>
                <w:sz w:val="24"/>
                <w14:textFill>
                  <w14:solidFill>
                    <w14:schemeClr w14:val="tx1"/>
                  </w14:solidFill>
                </w14:textFill>
              </w:rPr>
            </w:pPr>
          </w:p>
        </w:tc>
      </w:tr>
      <w:tr w14:paraId="74E8B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11360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vAlign w:val="center"/>
          </w:tcPr>
          <w:p w14:paraId="2F41305C">
            <w:pPr>
              <w:spacing w:line="360" w:lineRule="auto"/>
              <w:rPr>
                <w:rFonts w:ascii="宋体" w:hAnsi="宋体" w:cs="宋体"/>
                <w:color w:val="000000" w:themeColor="text1"/>
                <w:sz w:val="24"/>
                <w14:textFill>
                  <w14:solidFill>
                    <w14:schemeClr w14:val="tx1"/>
                  </w14:solidFill>
                </w14:textFill>
              </w:rPr>
            </w:pPr>
          </w:p>
        </w:tc>
      </w:tr>
      <w:tr w14:paraId="5A8F5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D4FCA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vAlign w:val="center"/>
          </w:tcPr>
          <w:p w14:paraId="1B83A2DB">
            <w:pPr>
              <w:spacing w:line="360" w:lineRule="auto"/>
              <w:rPr>
                <w:rFonts w:ascii="宋体" w:hAnsi="宋体" w:cs="宋体"/>
                <w:color w:val="000000" w:themeColor="text1"/>
                <w:sz w:val="24"/>
                <w14:textFill>
                  <w14:solidFill>
                    <w14:schemeClr w14:val="tx1"/>
                  </w14:solidFill>
                </w14:textFill>
              </w:rPr>
            </w:pPr>
          </w:p>
        </w:tc>
      </w:tr>
      <w:tr w14:paraId="261C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C0ABDB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vAlign w:val="center"/>
          </w:tcPr>
          <w:p w14:paraId="7571DE6A">
            <w:pPr>
              <w:spacing w:line="360" w:lineRule="auto"/>
              <w:rPr>
                <w:rFonts w:ascii="宋体" w:hAnsi="宋体" w:cs="宋体"/>
                <w:color w:val="000000" w:themeColor="text1"/>
                <w:sz w:val="24"/>
                <w14:textFill>
                  <w14:solidFill>
                    <w14:schemeClr w14:val="tx1"/>
                  </w14:solidFill>
                </w14:textFill>
              </w:rPr>
            </w:pPr>
          </w:p>
        </w:tc>
      </w:tr>
      <w:tr w14:paraId="5A060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EDC06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vAlign w:val="center"/>
          </w:tcPr>
          <w:p w14:paraId="1ACFB036">
            <w:pPr>
              <w:spacing w:line="360" w:lineRule="auto"/>
              <w:rPr>
                <w:rFonts w:ascii="宋体" w:hAnsi="宋体" w:cs="宋体"/>
                <w:color w:val="000000" w:themeColor="text1"/>
                <w:sz w:val="24"/>
                <w14:textFill>
                  <w14:solidFill>
                    <w14:schemeClr w14:val="tx1"/>
                  </w14:solidFill>
                </w14:textFill>
              </w:rPr>
            </w:pPr>
          </w:p>
        </w:tc>
      </w:tr>
      <w:tr w14:paraId="32960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2DA7F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vAlign w:val="center"/>
          </w:tcPr>
          <w:p w14:paraId="7BE7A6C0">
            <w:pPr>
              <w:spacing w:line="360" w:lineRule="auto"/>
              <w:rPr>
                <w:rFonts w:ascii="宋体" w:hAnsi="宋体" w:cs="宋体"/>
                <w:color w:val="000000" w:themeColor="text1"/>
                <w:sz w:val="24"/>
                <w14:textFill>
                  <w14:solidFill>
                    <w14:schemeClr w14:val="tx1"/>
                  </w14:solidFill>
                </w14:textFill>
              </w:rPr>
            </w:pPr>
          </w:p>
        </w:tc>
      </w:tr>
      <w:tr w14:paraId="54F69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CD5F8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vAlign w:val="center"/>
          </w:tcPr>
          <w:p w14:paraId="712E562E">
            <w:pPr>
              <w:spacing w:line="360" w:lineRule="auto"/>
              <w:rPr>
                <w:rFonts w:ascii="宋体" w:hAnsi="宋体" w:cs="宋体"/>
                <w:color w:val="000000" w:themeColor="text1"/>
                <w:sz w:val="24"/>
                <w14:textFill>
                  <w14:solidFill>
                    <w14:schemeClr w14:val="tx1"/>
                  </w14:solidFill>
                </w14:textFill>
              </w:rPr>
            </w:pPr>
          </w:p>
        </w:tc>
      </w:tr>
      <w:tr w14:paraId="209B9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115BF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vAlign w:val="center"/>
          </w:tcPr>
          <w:p w14:paraId="0B1E37A1">
            <w:pPr>
              <w:spacing w:line="360" w:lineRule="auto"/>
              <w:rPr>
                <w:rFonts w:ascii="宋体" w:hAnsi="宋体" w:cs="宋体"/>
                <w:color w:val="000000" w:themeColor="text1"/>
                <w:sz w:val="24"/>
                <w14:textFill>
                  <w14:solidFill>
                    <w14:schemeClr w14:val="tx1"/>
                  </w14:solidFill>
                </w14:textFill>
              </w:rPr>
            </w:pPr>
          </w:p>
        </w:tc>
      </w:tr>
      <w:tr w14:paraId="30D8D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5C68A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vAlign w:val="center"/>
          </w:tcPr>
          <w:p w14:paraId="1208E481">
            <w:pPr>
              <w:spacing w:line="360" w:lineRule="auto"/>
              <w:rPr>
                <w:rFonts w:ascii="宋体" w:hAnsi="宋体" w:cs="宋体"/>
                <w:color w:val="000000" w:themeColor="text1"/>
                <w:sz w:val="24"/>
                <w14:textFill>
                  <w14:solidFill>
                    <w14:schemeClr w14:val="tx1"/>
                  </w14:solidFill>
                </w14:textFill>
              </w:rPr>
            </w:pPr>
          </w:p>
        </w:tc>
      </w:tr>
      <w:tr w14:paraId="3B0D9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05795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vAlign w:val="center"/>
          </w:tcPr>
          <w:p w14:paraId="5834F10A">
            <w:pPr>
              <w:spacing w:line="360" w:lineRule="auto"/>
              <w:rPr>
                <w:rFonts w:ascii="宋体" w:hAnsi="宋体" w:cs="宋体"/>
                <w:color w:val="000000" w:themeColor="text1"/>
                <w:sz w:val="24"/>
                <w14:textFill>
                  <w14:solidFill>
                    <w14:schemeClr w14:val="tx1"/>
                  </w14:solidFill>
                </w14:textFill>
              </w:rPr>
            </w:pPr>
          </w:p>
        </w:tc>
      </w:tr>
      <w:tr w14:paraId="6E4C8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ECCE3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vAlign w:val="center"/>
          </w:tcPr>
          <w:p w14:paraId="4B994B75">
            <w:pPr>
              <w:spacing w:line="360" w:lineRule="auto"/>
              <w:rPr>
                <w:rFonts w:ascii="宋体" w:hAnsi="宋体" w:cs="宋体"/>
                <w:color w:val="000000" w:themeColor="text1"/>
                <w:sz w:val="24"/>
                <w14:textFill>
                  <w14:solidFill>
                    <w14:schemeClr w14:val="tx1"/>
                  </w14:solidFill>
                </w14:textFill>
              </w:rPr>
            </w:pPr>
          </w:p>
        </w:tc>
      </w:tr>
      <w:tr w14:paraId="350B2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1EB6E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vAlign w:val="center"/>
          </w:tcPr>
          <w:p w14:paraId="3997718C">
            <w:pPr>
              <w:spacing w:line="360" w:lineRule="auto"/>
              <w:rPr>
                <w:rFonts w:ascii="宋体" w:hAnsi="宋体" w:cs="宋体"/>
                <w:color w:val="000000" w:themeColor="text1"/>
                <w:sz w:val="24"/>
                <w14:textFill>
                  <w14:solidFill>
                    <w14:schemeClr w14:val="tx1"/>
                  </w14:solidFill>
                </w14:textFill>
              </w:rPr>
            </w:pPr>
          </w:p>
        </w:tc>
      </w:tr>
      <w:tr w14:paraId="18310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61C86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vAlign w:val="center"/>
          </w:tcPr>
          <w:p w14:paraId="75C3E94B">
            <w:pPr>
              <w:spacing w:line="360" w:lineRule="auto"/>
              <w:rPr>
                <w:rFonts w:ascii="宋体" w:hAnsi="宋体" w:cs="宋体"/>
                <w:color w:val="000000" w:themeColor="text1"/>
                <w:sz w:val="24"/>
                <w14:textFill>
                  <w14:solidFill>
                    <w14:schemeClr w14:val="tx1"/>
                  </w14:solidFill>
                </w14:textFill>
              </w:rPr>
            </w:pPr>
          </w:p>
        </w:tc>
      </w:tr>
      <w:tr w14:paraId="09D53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962A2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vAlign w:val="center"/>
          </w:tcPr>
          <w:p w14:paraId="028E173F">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0FB16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ABE035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464" w:type="pct"/>
            <w:vAlign w:val="center"/>
          </w:tcPr>
          <w:p w14:paraId="5F341187">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04A2D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60193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4824004B">
            <w:pPr>
              <w:spacing w:line="360" w:lineRule="auto"/>
              <w:rPr>
                <w:rFonts w:ascii="宋体" w:hAnsi="宋体" w:cs="宋体"/>
                <w:color w:val="000000" w:themeColor="text1"/>
                <w:sz w:val="24"/>
                <w14:textFill>
                  <w14:solidFill>
                    <w14:schemeClr w14:val="tx1"/>
                  </w14:solidFill>
                </w14:textFill>
              </w:rPr>
            </w:pPr>
          </w:p>
        </w:tc>
      </w:tr>
      <w:tr w14:paraId="27C71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0910138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4464" w:type="pct"/>
          </w:tcPr>
          <w:p w14:paraId="2E4364F2">
            <w:pPr>
              <w:spacing w:line="360" w:lineRule="auto"/>
              <w:rPr>
                <w:rFonts w:ascii="宋体" w:hAnsi="宋体" w:cs="宋体"/>
                <w:color w:val="000000" w:themeColor="text1"/>
                <w:sz w:val="24"/>
                <w14:textFill>
                  <w14:solidFill>
                    <w14:schemeClr w14:val="tx1"/>
                  </w14:solidFill>
                </w14:textFill>
              </w:rPr>
            </w:pPr>
          </w:p>
        </w:tc>
      </w:tr>
      <w:tr w14:paraId="6008E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A866C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4464" w:type="pct"/>
            <w:vAlign w:val="center"/>
          </w:tcPr>
          <w:p w14:paraId="5F33F137">
            <w:pPr>
              <w:spacing w:line="360" w:lineRule="auto"/>
              <w:rPr>
                <w:rFonts w:ascii="宋体" w:hAnsi="宋体" w:cs="宋体"/>
                <w:color w:val="000000" w:themeColor="text1"/>
                <w:sz w:val="24"/>
                <w14:textFill>
                  <w14:solidFill>
                    <w14:schemeClr w14:val="tx1"/>
                  </w14:solidFill>
                </w14:textFill>
              </w:rPr>
            </w:pPr>
          </w:p>
        </w:tc>
      </w:tr>
      <w:tr w14:paraId="54FDE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0CAA1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1560B71F">
            <w:pPr>
              <w:spacing w:line="360" w:lineRule="auto"/>
              <w:rPr>
                <w:rFonts w:ascii="宋体" w:hAnsi="宋体" w:cs="宋体"/>
                <w:color w:val="000000" w:themeColor="text1"/>
                <w:sz w:val="24"/>
                <w14:textFill>
                  <w14:solidFill>
                    <w14:schemeClr w14:val="tx1"/>
                  </w14:solidFill>
                </w14:textFill>
              </w:rPr>
            </w:pPr>
          </w:p>
        </w:tc>
      </w:tr>
      <w:tr w14:paraId="4C220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70CE0CA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Pr>
          <w:p w14:paraId="3F6900DA">
            <w:pPr>
              <w:spacing w:line="360" w:lineRule="auto"/>
              <w:rPr>
                <w:rFonts w:ascii="宋体" w:hAnsi="宋体" w:cs="宋体"/>
                <w:color w:val="000000" w:themeColor="text1"/>
                <w:sz w:val="24"/>
                <w14:textFill>
                  <w14:solidFill>
                    <w14:schemeClr w14:val="tx1"/>
                  </w14:solidFill>
                </w14:textFill>
              </w:rPr>
            </w:pPr>
          </w:p>
        </w:tc>
      </w:tr>
    </w:tbl>
    <w:p w14:paraId="37131E57">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42F7BD29">
      <w:pPr>
        <w:spacing w:line="360" w:lineRule="auto"/>
        <w:ind w:left="-420" w:leftChars="-200" w:right="-420" w:rightChars="-200" w:firstLine="480" w:firstLineChars="200"/>
        <w:jc w:val="center"/>
        <w:rPr>
          <w:rFonts w:ascii="宋体" w:hAnsi="宋体" w:cs="宋体"/>
          <w:color w:val="000000" w:themeColor="text1"/>
          <w:sz w:val="24"/>
          <w14:textFill>
            <w14:solidFill>
              <w14:schemeClr w14:val="tx1"/>
            </w14:solidFill>
          </w14:textFill>
        </w:rPr>
      </w:pPr>
    </w:p>
    <w:p w14:paraId="787FFBAF">
      <w:pPr>
        <w:widowControl/>
        <w:adjustRightInd/>
        <w:jc w:val="center"/>
        <w:outlineLvl w:val="0"/>
        <w:rPr>
          <w:rFonts w:ascii="宋体" w:hAnsi="宋体" w:cs="宋体"/>
          <w:b/>
          <w:color w:val="000000" w:themeColor="text1"/>
          <w:sz w:val="36"/>
          <w:szCs w:val="20"/>
          <w14:textFill>
            <w14:solidFill>
              <w14:schemeClr w14:val="tx1"/>
            </w14:solidFill>
          </w14:textFill>
        </w:rPr>
      </w:pPr>
      <w:bookmarkStart w:id="502" w:name="_Toc176368907"/>
      <w:r>
        <w:rPr>
          <w:rFonts w:hint="eastAsia" w:ascii="宋体" w:hAnsi="宋体" w:cs="宋体"/>
          <w:b/>
          <w:color w:val="000000" w:themeColor="text1"/>
          <w:sz w:val="36"/>
          <w:szCs w:val="20"/>
          <w14:textFill>
            <w14:solidFill>
              <w14:schemeClr w14:val="tx1"/>
            </w14:solidFill>
          </w14:textFill>
        </w:rPr>
        <w:t>第六部分</w:t>
      </w:r>
      <w:bookmarkEnd w:id="385"/>
      <w:r>
        <w:rPr>
          <w:rFonts w:hint="eastAsia" w:ascii="宋体" w:hAnsi="宋体" w:cs="宋体"/>
          <w:b/>
          <w:color w:val="000000" w:themeColor="text1"/>
          <w:sz w:val="36"/>
          <w:szCs w:val="20"/>
          <w14:textFill>
            <w14:solidFill>
              <w14:schemeClr w14:val="tx1"/>
            </w14:solidFill>
          </w14:textFill>
        </w:rPr>
        <w:t xml:space="preserve"> </w:t>
      </w:r>
      <w:bookmarkEnd w:id="386"/>
      <w:r>
        <w:rPr>
          <w:rFonts w:hint="eastAsia" w:ascii="宋体" w:hAnsi="宋体" w:cs="宋体"/>
          <w:b/>
          <w:color w:val="000000" w:themeColor="text1"/>
          <w:sz w:val="36"/>
          <w:szCs w:val="20"/>
          <w14:textFill>
            <w14:solidFill>
              <w14:schemeClr w14:val="tx1"/>
            </w14:solidFill>
          </w14:textFill>
        </w:rPr>
        <w:t>应提交的有关格式范例</w:t>
      </w:r>
      <w:bookmarkEnd w:id="502"/>
    </w:p>
    <w:p w14:paraId="5FA2FD83">
      <w:pPr>
        <w:spacing w:line="360" w:lineRule="auto"/>
        <w:jc w:val="center"/>
        <w:rPr>
          <w:rFonts w:ascii="宋体" w:hAnsi="宋体" w:cs="宋体"/>
          <w:b/>
          <w:color w:val="000000" w:themeColor="text1"/>
          <w:kern w:val="0"/>
          <w:sz w:val="36"/>
          <w:szCs w:val="36"/>
          <w14:textFill>
            <w14:solidFill>
              <w14:schemeClr w14:val="tx1"/>
            </w14:solidFill>
          </w14:textFill>
        </w:rPr>
      </w:pPr>
    </w:p>
    <w:p w14:paraId="07F00E1E">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资格文件部分</w:t>
      </w:r>
    </w:p>
    <w:p w14:paraId="60302E40">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6890B48B">
      <w:pPr>
        <w:spacing w:line="360" w:lineRule="auto"/>
        <w:jc w:val="center"/>
        <w:rPr>
          <w:rFonts w:ascii="宋体" w:hAnsi="宋体" w:cs="宋体"/>
          <w:b/>
          <w:color w:val="000000" w:themeColor="text1"/>
          <w:kern w:val="0"/>
          <w:sz w:val="36"/>
          <w:szCs w:val="36"/>
          <w14:textFill>
            <w14:solidFill>
              <w14:schemeClr w14:val="tx1"/>
            </w14:solidFill>
          </w14:textFill>
        </w:rPr>
      </w:pPr>
    </w:p>
    <w:p w14:paraId="110D4752">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（1）符合参加政府采购活动应当具备的一般条件的承诺函……………（页码）</w:t>
      </w:r>
    </w:p>
    <w:p w14:paraId="718D00B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（2）联合协议</w:t>
      </w:r>
      <w:r>
        <w:rPr>
          <w:rFonts w:hint="eastAsia" w:ascii="宋体" w:hAnsi="宋体" w:cs="宋体"/>
          <w:color w:val="000000" w:themeColor="text1"/>
          <w:sz w:val="24"/>
          <w14:textFill>
            <w14:solidFill>
              <w14:schemeClr w14:val="tx1"/>
            </w14:solidFill>
          </w14:textFill>
        </w:rPr>
        <w:t>………………………………………………………………（页码）</w:t>
      </w:r>
    </w:p>
    <w:p w14:paraId="2F2103B9">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）落实政府采购政策需满足的资格要求………………………………（页码）</w:t>
      </w:r>
    </w:p>
    <w:p w14:paraId="6649D64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）本项目的特定资格要求………………………………………………（页码）</w:t>
      </w:r>
    </w:p>
    <w:p w14:paraId="4398219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0"/>
          <w14:textFill>
            <w14:solidFill>
              <w14:schemeClr w14:val="tx1"/>
            </w14:solidFill>
          </w14:textFill>
        </w:rPr>
        <w:t>▲”是实质性要求，必须提供，否则投标无效。</w:t>
      </w:r>
    </w:p>
    <w:p w14:paraId="04BF7CEB">
      <w:pPr>
        <w:spacing w:line="360" w:lineRule="auto"/>
        <w:ind w:firstLine="480" w:firstLineChars="200"/>
        <w:rPr>
          <w:rFonts w:ascii="宋体" w:hAnsi="宋体" w:cs="宋体"/>
          <w:color w:val="000000" w:themeColor="text1"/>
          <w:sz w:val="24"/>
          <w14:textFill>
            <w14:solidFill>
              <w14:schemeClr w14:val="tx1"/>
            </w14:solidFill>
          </w14:textFill>
        </w:rPr>
      </w:pPr>
    </w:p>
    <w:p w14:paraId="716ECFE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r>
        <w:rPr>
          <w:rFonts w:hint="eastAsia" w:ascii="宋体" w:hAnsi="宋体" w:cs="宋体"/>
          <w:b/>
          <w:color w:val="000000" w:themeColor="text1"/>
          <w:kern w:val="0"/>
          <w:sz w:val="32"/>
          <w:szCs w:val="32"/>
          <w14:textFill>
            <w14:solidFill>
              <w14:schemeClr w14:val="tx1"/>
            </w14:solidFill>
          </w14:textFill>
        </w:rPr>
        <w:t xml:space="preserve">  一、 符合参加政府采购活动应当具备的一般条件的承诺函</w:t>
      </w:r>
    </w:p>
    <w:p w14:paraId="2CD2395B">
      <w:pPr>
        <w:snapToGrid w:val="0"/>
        <w:spacing w:line="360" w:lineRule="auto"/>
        <w:ind w:right="480"/>
        <w:jc w:val="center"/>
        <w:rPr>
          <w:rFonts w:ascii="宋体" w:hAnsi="宋体" w:cs="宋体"/>
          <w:color w:val="000000" w:themeColor="text1"/>
          <w:sz w:val="24"/>
          <w14:textFill>
            <w14:solidFill>
              <w14:schemeClr w14:val="tx1"/>
            </w14:solidFill>
          </w14:textFill>
        </w:rPr>
      </w:pPr>
    </w:p>
    <w:p w14:paraId="00B8E629">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5AA91A9A">
      <w:pPr>
        <w:snapToGrid w:val="0"/>
        <w:spacing w:line="360" w:lineRule="auto"/>
        <w:rPr>
          <w:rFonts w:ascii="宋体" w:hAnsi="宋体" w:cs="宋体"/>
          <w:color w:val="000000" w:themeColor="text1"/>
          <w:sz w:val="24"/>
          <w14:textFill>
            <w14:solidFill>
              <w14:schemeClr w14:val="tx1"/>
            </w14:solidFill>
          </w14:textFill>
        </w:rPr>
      </w:pPr>
    </w:p>
    <w:p w14:paraId="2FC92FF4">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6A96063C">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16606C8D">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261A6386">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674B0BFA">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4CC7534">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14B73106">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410DE716">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3FF3184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6F49F0E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0A8AFF15">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1E6EEA31">
      <w:pPr>
        <w:snapToGrid w:val="0"/>
        <w:spacing w:line="360" w:lineRule="auto"/>
        <w:ind w:right="480"/>
        <w:rPr>
          <w:rFonts w:ascii="宋体" w:hAnsi="宋体" w:cs="宋体"/>
          <w:color w:val="000000" w:themeColor="text1"/>
          <w:sz w:val="24"/>
          <w14:textFill>
            <w14:solidFill>
              <w14:schemeClr w14:val="tx1"/>
            </w14:solidFill>
          </w14:textFill>
        </w:rPr>
      </w:pPr>
    </w:p>
    <w:p w14:paraId="3F9432CC">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5A8D08D4">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7D08A1C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68AB57AB">
      <w:pPr>
        <w:snapToGrid w:val="0"/>
        <w:spacing w:line="360" w:lineRule="auto"/>
        <w:ind w:right="480"/>
        <w:rPr>
          <w:rFonts w:ascii="宋体" w:hAnsi="宋体" w:cs="宋体"/>
          <w:color w:val="000000" w:themeColor="text1"/>
          <w:sz w:val="24"/>
          <w14:textFill>
            <w14:solidFill>
              <w14:schemeClr w14:val="tx1"/>
            </w14:solidFill>
          </w14:textFill>
        </w:rPr>
      </w:pPr>
    </w:p>
    <w:p w14:paraId="428FE7D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4B85667">
      <w:pPr>
        <w:rPr>
          <w:rFonts w:ascii="宋体" w:hAnsi="宋体" w:cs="宋体"/>
          <w:color w:val="000000" w:themeColor="text1"/>
          <w14:textFill>
            <w14:solidFill>
              <w14:schemeClr w14:val="tx1"/>
            </w14:solidFill>
          </w14:textFill>
        </w:rPr>
      </w:pPr>
    </w:p>
    <w:p w14:paraId="525D6DAB">
      <w:pPr>
        <w:widowControl/>
        <w:spacing w:line="360" w:lineRule="auto"/>
        <w:ind w:firstLine="643" w:firstLineChars="2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二、联合协议（如果有）</w:t>
      </w:r>
    </w:p>
    <w:p w14:paraId="22165602">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[以联合体形式投标的，提供联合协议（附件5）；本项目不接受联合体投标或者投标人不以联合体形式投标的，则不需要提供）]</w:t>
      </w:r>
    </w:p>
    <w:p w14:paraId="73D8EE5A">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7262D8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三、落实政府采购政策需满足的资格要求</w:t>
      </w:r>
    </w:p>
    <w:p w14:paraId="01F124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（根据招标公告落实政府采购政策需满足的资格要求选择提供相应的材料；未要求的，无需提供）</w:t>
      </w:r>
    </w:p>
    <w:p w14:paraId="7E5D1CDE">
      <w:pPr>
        <w:snapToGrid w:val="0"/>
        <w:spacing w:before="50" w:after="50" w:line="360" w:lineRule="auto"/>
        <w:ind w:firstLine="472" w:firstLineChars="196"/>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.专门面向中小企业，服务全部由符合政策要求的中小企业（或小微企业）承接的，提供相应的中小企业声明函（附件</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 xml:space="preserve">）。 </w:t>
      </w:r>
    </w:p>
    <w:p w14:paraId="26ACC9A9">
      <w:pPr>
        <w:widowControl/>
        <w:spacing w:line="360" w:lineRule="auto"/>
        <w:ind w:firstLine="480"/>
        <w:jc w:val="left"/>
        <w:rPr>
          <w:rFonts w:ascii="宋体" w:hAnsi="宋体" w:cs="宋体"/>
          <w:color w:val="000000" w:themeColor="text1"/>
          <w:sz w:val="24"/>
          <w14:textFill>
            <w14:solidFill>
              <w14:schemeClr w14:val="tx1"/>
            </w14:solidFill>
          </w14:textFill>
        </w:rPr>
      </w:pPr>
    </w:p>
    <w:p w14:paraId="5895430D">
      <w:pPr>
        <w:widowControl/>
        <w:spacing w:line="360" w:lineRule="auto"/>
        <w:ind w:firstLine="472" w:firstLineChars="196"/>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B.</w:t>
      </w:r>
      <w:r>
        <w:rPr>
          <w:rFonts w:hint="eastAsia" w:ascii="宋体" w:hAnsi="宋体" w:cs="宋体"/>
          <w:color w:val="000000" w:themeColor="text1"/>
          <w:sz w:val="24"/>
          <w14:textFill>
            <w14:solidFill>
              <w14:schemeClr w14:val="tx1"/>
            </w14:solidFill>
          </w14:textFill>
        </w:rPr>
        <w:t>要求以联合体形式参加的，提供联合协议（附件</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）和中小企业声明函（附件</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），联合协议中中小企业合同金额应当达到招标公告载明的比例；如果供应商本身提供所有标的均由中小企业承接的，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ascii="宋体" w:hAnsi="宋体" w:cs="宋体"/>
          <w:color w:val="000000" w:themeColor="text1"/>
          <w:sz w:val="24"/>
          <w14:textFill>
            <w14:solidFill>
              <w14:schemeClr w14:val="tx1"/>
            </w14:solidFill>
          </w14:textFill>
        </w:rPr>
        <w:t>视同符合了资格条件，无需再与其他中小企业组成联合体参加政府采购活动，无需提供联合协议。</w:t>
      </w:r>
    </w:p>
    <w:p w14:paraId="6DC644E8">
      <w:pPr>
        <w:snapToGrid w:val="0"/>
        <w:spacing w:before="50" w:after="50"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14:paraId="794CDFDF">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C、</w:t>
      </w:r>
      <w:r>
        <w:rPr>
          <w:rFonts w:hint="eastAsia" w:ascii="宋体" w:hAnsi="宋体" w:cs="宋体"/>
          <w:color w:val="000000" w:themeColor="text1"/>
          <w:sz w:val="24"/>
          <w14:textFill>
            <w14:solidFill>
              <w14:schemeClr w14:val="tx1"/>
            </w14:solidFill>
          </w14:textFill>
        </w:rPr>
        <w:t>要求合同分包的，提供分包意向协议（附件6）和中小企业声明函（附件</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），分包意向协议中中小企业合同金额应当达到招标公告载明的比例；如果供应商本身提供所有标的均由中小企业承接的，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ascii="宋体" w:hAnsi="宋体" w:cs="宋体"/>
          <w:color w:val="000000" w:themeColor="text1"/>
          <w:sz w:val="24"/>
          <w14:textFill>
            <w14:solidFill>
              <w14:schemeClr w14:val="tx1"/>
            </w14:solidFill>
          </w14:textFill>
        </w:rPr>
        <w:t>视同符合了资格条件，无需再向中小企业分包，无需提供分包意向协议。</w:t>
      </w:r>
    </w:p>
    <w:p w14:paraId="18683EDE">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p>
    <w:p w14:paraId="31D930CA">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四、本项目的特定资格要求</w:t>
      </w:r>
    </w:p>
    <w:p w14:paraId="06BE38C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（根据招标公告本项目的特定资格要求提供相应的材料；未要求的，无需提供）</w:t>
      </w:r>
    </w:p>
    <w:p w14:paraId="2E90FDF6">
      <w:pPr>
        <w:rPr>
          <w:rFonts w:ascii="宋体" w:hAnsi="宋体" w:cs="宋体"/>
          <w:color w:val="000000" w:themeColor="text1"/>
          <w14:textFill>
            <w14:solidFill>
              <w14:schemeClr w14:val="tx1"/>
            </w14:solidFill>
          </w14:textFill>
        </w:rPr>
      </w:pPr>
    </w:p>
    <w:p w14:paraId="780740FB">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9A3FDBC">
      <w:pPr>
        <w:widowControl/>
        <w:adjustRightInd/>
        <w:jc w:val="left"/>
        <w:rPr>
          <w:rFonts w:ascii="宋体" w:hAnsi="宋体" w:cs="宋体"/>
          <w:b/>
          <w:color w:val="000000" w:themeColor="text1"/>
          <w:kern w:val="0"/>
          <w:sz w:val="36"/>
          <w:szCs w:val="36"/>
          <w14:textFill>
            <w14:solidFill>
              <w14:schemeClr w14:val="tx1"/>
            </w14:solidFill>
          </w14:textFill>
        </w:rPr>
      </w:pPr>
      <w:r>
        <w:rPr>
          <w:rFonts w:ascii="宋体" w:hAnsi="宋体" w:cs="宋体"/>
          <w:b/>
          <w:color w:val="000000" w:themeColor="text1"/>
          <w:kern w:val="0"/>
          <w:sz w:val="36"/>
          <w:szCs w:val="36"/>
          <w14:textFill>
            <w14:solidFill>
              <w14:schemeClr w14:val="tx1"/>
            </w14:solidFill>
          </w14:textFill>
        </w:rPr>
        <w:br w:type="page"/>
      </w:r>
    </w:p>
    <w:p w14:paraId="0DC97C37">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商务技术文件部分</w:t>
      </w:r>
    </w:p>
    <w:p w14:paraId="54E09CA2">
      <w:pPr>
        <w:spacing w:line="360" w:lineRule="auto"/>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目录</w:t>
      </w:r>
    </w:p>
    <w:p w14:paraId="545CBD41">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（1）投标函</w:t>
      </w:r>
      <w:r>
        <w:rPr>
          <w:rFonts w:hint="eastAsia" w:ascii="宋体" w:hAnsi="宋体" w:cs="宋体"/>
          <w:color w:val="000000" w:themeColor="text1"/>
          <w14:textFill>
            <w14:solidFill>
              <w14:schemeClr w14:val="tx1"/>
            </w14:solidFill>
          </w14:textFill>
        </w:rPr>
        <w:t>………………………………………………………………………………（页码）</w:t>
      </w:r>
    </w:p>
    <w:p w14:paraId="6CA7869A">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（2）授权委托书或法定代表人（单位负责人、自然人本人）身份证明</w:t>
      </w:r>
      <w:r>
        <w:rPr>
          <w:rFonts w:hint="eastAsia" w:ascii="宋体" w:hAnsi="宋体" w:cs="宋体"/>
          <w:color w:val="000000" w:themeColor="text1"/>
          <w14:textFill>
            <w14:solidFill>
              <w14:schemeClr w14:val="tx1"/>
            </w14:solidFill>
          </w14:textFill>
        </w:rPr>
        <w:t>……（页码）</w:t>
      </w:r>
    </w:p>
    <w:p w14:paraId="52907057">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color w:val="000000" w:themeColor="text1"/>
          <w14:textFill>
            <w14:solidFill>
              <w14:schemeClr w14:val="tx1"/>
            </w14:solidFill>
          </w14:textFill>
        </w:rPr>
        <w:t>…………………………………………………………………………（页码）</w:t>
      </w:r>
    </w:p>
    <w:p w14:paraId="1F9D7F51">
      <w:pPr>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r>
        <w:rPr>
          <w:rFonts w:hint="eastAsia" w:ascii="宋体" w:hAnsi="宋体" w:cs="宋体"/>
          <w:color w:val="000000" w:themeColor="text1"/>
          <w14:textFill>
            <w14:solidFill>
              <w14:schemeClr w14:val="tx1"/>
            </w14:solidFill>
          </w14:textFill>
        </w:rPr>
        <w:t>………………………………………………………………………（页码）</w:t>
      </w:r>
    </w:p>
    <w:p w14:paraId="0FCAE664">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r>
        <w:rPr>
          <w:rFonts w:hint="eastAsia" w:ascii="宋体" w:hAnsi="宋体" w:cs="宋体"/>
          <w:color w:val="000000" w:themeColor="text1"/>
          <w14:textFill>
            <w14:solidFill>
              <w14:schemeClr w14:val="tx1"/>
            </w14:solidFill>
          </w14:textFill>
        </w:rPr>
        <w:t>……………………………………………………（页码）</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r>
        <w:rPr>
          <w:rFonts w:hint="eastAsia" w:ascii="宋体" w:hAnsi="宋体" w:cs="宋体"/>
          <w:color w:val="000000" w:themeColor="text1"/>
          <w14:textFill>
            <w14:solidFill>
              <w14:schemeClr w14:val="tx1"/>
            </w14:solidFill>
          </w14:textFill>
        </w:rPr>
        <w:t>…………………………………………………………………………（页码）</w:t>
      </w: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）商务技术偏离表</w:t>
      </w:r>
      <w:r>
        <w:rPr>
          <w:rFonts w:hint="eastAsia" w:ascii="宋体" w:hAnsi="宋体" w:cs="宋体"/>
          <w:color w:val="000000" w:themeColor="text1"/>
          <w14:textFill>
            <w14:solidFill>
              <w14:schemeClr w14:val="tx1"/>
            </w14:solidFill>
          </w14:textFill>
        </w:rPr>
        <w:t>……………………………………………………………………（页码）</w:t>
      </w:r>
    </w:p>
    <w:p w14:paraId="27F4F471">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）政府采购供应商廉洁自律承诺书</w:t>
      </w:r>
      <w:r>
        <w:rPr>
          <w:rFonts w:hint="eastAsia" w:ascii="宋体" w:hAnsi="宋体" w:cs="宋体"/>
          <w:color w:val="000000" w:themeColor="text1"/>
          <w14:textFill>
            <w14:solidFill>
              <w14:schemeClr w14:val="tx1"/>
            </w14:solidFill>
          </w14:textFill>
        </w:rPr>
        <w:t>………………………………………………（页码）</w:t>
      </w:r>
    </w:p>
    <w:p w14:paraId="15930B11">
      <w:pPr>
        <w:snapToGrid w:val="0"/>
        <w:spacing w:line="360" w:lineRule="auto"/>
        <w:ind w:left="479" w:leftChars="228"/>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）承诺函</w:t>
      </w:r>
      <w:r>
        <w:rPr>
          <w:rFonts w:hint="eastAsia" w:ascii="宋体" w:hAnsi="宋体" w:cs="宋体"/>
          <w:color w:val="000000" w:themeColor="text1"/>
          <w14:textFill>
            <w14:solidFill>
              <w14:schemeClr w14:val="tx1"/>
            </w14:solidFill>
          </w14:textFill>
        </w:rPr>
        <w:t>………………………………………………………………………………（页码）</w:t>
      </w:r>
    </w:p>
    <w:p w14:paraId="2337163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0"/>
          <w14:textFill>
            <w14:solidFill>
              <w14:schemeClr w14:val="tx1"/>
            </w14:solidFill>
          </w14:textFill>
        </w:rPr>
        <w:t>▲”是实质性条款，必须提供，否则投标无效。</w:t>
      </w:r>
    </w:p>
    <w:p w14:paraId="3DAAB739">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hint="eastAsia" w:ascii="宋体" w:hAnsi="宋体" w:cs="宋体"/>
          <w:color w:val="auto"/>
          <w:sz w:val="24"/>
        </w:rPr>
        <w:t>10</w:t>
      </w:r>
      <w:r>
        <w:rPr>
          <w:rFonts w:hint="eastAsia" w:ascii="宋体" w:hAnsi="宋体" w:cs="宋体"/>
          <w:color w:val="auto"/>
          <w:sz w:val="24"/>
          <w:lang w:val="zh-CN"/>
        </w:rPr>
        <w:t>）技术解决方案</w:t>
      </w:r>
      <w:r>
        <w:rPr>
          <w:rFonts w:hint="eastAsia" w:ascii="宋体" w:hAnsi="宋体" w:cs="宋体"/>
          <w:color w:val="auto"/>
        </w:rPr>
        <w:t>…………………………………………………………………………（页码）</w:t>
      </w:r>
    </w:p>
    <w:p w14:paraId="343EDC15">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hint="eastAsia" w:ascii="宋体" w:hAnsi="宋体" w:cs="宋体"/>
          <w:color w:val="auto"/>
          <w:sz w:val="24"/>
        </w:rPr>
        <w:t>11</w:t>
      </w:r>
      <w:r>
        <w:rPr>
          <w:rFonts w:hint="eastAsia" w:ascii="宋体" w:hAnsi="宋体" w:cs="宋体"/>
          <w:color w:val="auto"/>
          <w:sz w:val="24"/>
          <w:lang w:val="zh-CN"/>
        </w:rPr>
        <w:t>）组织实施方案</w:t>
      </w:r>
      <w:r>
        <w:rPr>
          <w:rFonts w:hint="eastAsia" w:ascii="宋体" w:hAnsi="宋体" w:cs="宋体"/>
          <w:color w:val="auto"/>
        </w:rPr>
        <w:t>…………………………………………………………………………（页码）</w:t>
      </w:r>
    </w:p>
    <w:p w14:paraId="1A081880">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hint="eastAsia" w:ascii="宋体" w:hAnsi="宋体" w:cs="宋体"/>
          <w:color w:val="auto"/>
          <w:sz w:val="24"/>
        </w:rPr>
        <w:t>12</w:t>
      </w:r>
      <w:r>
        <w:rPr>
          <w:rFonts w:hint="eastAsia" w:ascii="宋体" w:hAnsi="宋体" w:cs="宋体"/>
          <w:color w:val="auto"/>
          <w:sz w:val="24"/>
          <w:lang w:val="zh-CN"/>
        </w:rPr>
        <w:t>）服务方案</w:t>
      </w:r>
      <w:r>
        <w:rPr>
          <w:rFonts w:hint="eastAsia" w:ascii="宋体" w:hAnsi="宋体" w:cs="宋体"/>
          <w:color w:val="auto"/>
        </w:rPr>
        <w:t>…………………………………………………………………………（页码）</w:t>
      </w:r>
    </w:p>
    <w:p w14:paraId="70D90EB1">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6C3230A7">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BA63EC5">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5BC91C17">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CBC1F37">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0798BA13">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48194C3">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DE5911F">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BA18471">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AB2413B">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188BC687">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1D81E4CA">
      <w:pPr>
        <w:snapToGrid w:val="0"/>
        <w:spacing w:line="360" w:lineRule="auto"/>
        <w:rPr>
          <w:rFonts w:ascii="宋体" w:hAnsi="宋体" w:cs="宋体"/>
          <w:sz w:val="24"/>
        </w:rPr>
      </w:pPr>
      <w:r>
        <w:rPr>
          <w:rFonts w:hint="eastAsia" w:ascii="宋体" w:hAnsi="宋体" w:cs="宋体"/>
          <w:sz w:val="24"/>
        </w:rPr>
        <w:t>（采购人）、（采购代理机构）：</w:t>
      </w:r>
    </w:p>
    <w:p w14:paraId="779C7D38">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59E0DADA">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3FD48C86">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44302787">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7C7D6B53">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57852E8C">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503" w:name="_Hlk101257010"/>
      <w:r>
        <w:rPr>
          <w:rFonts w:hint="eastAsia" w:ascii="宋体" w:hAnsi="宋体" w:cs="宋体"/>
          <w:sz w:val="24"/>
        </w:rPr>
        <w:t>（如果有)</w:t>
      </w:r>
      <w:bookmarkEnd w:id="503"/>
      <w:r>
        <w:rPr>
          <w:rFonts w:hint="eastAsia" w:ascii="宋体" w:hAnsi="宋体" w:cs="宋体"/>
          <w:snapToGrid w:val="0"/>
          <w:kern w:val="28"/>
          <w:sz w:val="24"/>
          <w:szCs w:val="20"/>
        </w:rPr>
        <w:t>；</w:t>
      </w:r>
    </w:p>
    <w:p w14:paraId="544F5019">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75625AF4">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0CB9E6E7">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8F9B633">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1DF39533">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3F75BE6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01D0729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67AB8397">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5C69769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54F8BCB4">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45E42478">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5D16E93">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72AFD5DF">
      <w:pPr>
        <w:pStyle w:val="82"/>
        <w:ind w:left="420" w:leftChars="200" w:firstLine="480" w:firstLineChars="200"/>
        <w:rPr>
          <w:rFonts w:cs="宋体"/>
          <w:b w:val="0"/>
          <w:bCs w:val="0"/>
          <w:color w:val="auto"/>
          <w:lang w:val="zh-CN"/>
        </w:rPr>
      </w:pPr>
      <w:r>
        <w:rPr>
          <w:rFonts w:hint="eastAsia" w:cs="宋体"/>
          <w:b w:val="0"/>
          <w:bCs w:val="0"/>
          <w:color w:val="auto"/>
        </w:rPr>
        <w:t>2</w:t>
      </w:r>
      <w:r>
        <w:rPr>
          <w:rFonts w:hint="eastAsia" w:cs="宋体"/>
          <w:b w:val="0"/>
          <w:bCs w:val="0"/>
          <w:color w:val="auto"/>
          <w:lang w:val="zh-CN"/>
        </w:rPr>
        <w:t>.</w:t>
      </w:r>
      <w:r>
        <w:rPr>
          <w:rFonts w:hint="eastAsia" w:cs="宋体"/>
          <w:b w:val="0"/>
          <w:bCs w:val="0"/>
          <w:color w:val="auto"/>
        </w:rPr>
        <w:t>2</w:t>
      </w:r>
      <w:r>
        <w:rPr>
          <w:rFonts w:hint="eastAsia" w:cs="宋体"/>
          <w:b w:val="0"/>
          <w:bCs w:val="0"/>
          <w:color w:val="auto"/>
          <w:lang w:val="zh-CN"/>
        </w:rPr>
        <w:t>.</w:t>
      </w:r>
      <w:r>
        <w:rPr>
          <w:rFonts w:hint="eastAsia" w:cs="宋体"/>
          <w:b w:val="0"/>
          <w:bCs w:val="0"/>
          <w:color w:val="auto"/>
        </w:rPr>
        <w:t>10</w:t>
      </w:r>
      <w:r>
        <w:rPr>
          <w:rFonts w:hint="eastAsia" w:cs="宋体"/>
          <w:b w:val="0"/>
          <w:bCs w:val="0"/>
          <w:color w:val="auto"/>
          <w:lang w:val="zh-CN"/>
        </w:rPr>
        <w:t>技术解决方案</w:t>
      </w:r>
      <w:r>
        <w:rPr>
          <w:rFonts w:hint="eastAsia" w:cs="宋体"/>
          <w:b w:val="0"/>
          <w:bCs w:val="0"/>
          <w:snapToGrid w:val="0"/>
          <w:color w:val="auto"/>
          <w:kern w:val="28"/>
        </w:rPr>
        <w:t>（如果有）</w:t>
      </w:r>
      <w:r>
        <w:rPr>
          <w:rFonts w:hint="eastAsia" w:cs="宋体"/>
          <w:b w:val="0"/>
          <w:bCs w:val="0"/>
          <w:color w:val="auto"/>
          <w:lang w:val="zh-CN"/>
        </w:rPr>
        <w:t>；</w:t>
      </w:r>
    </w:p>
    <w:p w14:paraId="6875FD77">
      <w:pPr>
        <w:pStyle w:val="82"/>
        <w:ind w:left="420" w:leftChars="200" w:firstLine="480" w:firstLineChars="200"/>
        <w:rPr>
          <w:rFonts w:cs="宋体"/>
          <w:b w:val="0"/>
          <w:bCs w:val="0"/>
          <w:color w:val="auto"/>
          <w:lang w:val="zh-CN"/>
        </w:rPr>
      </w:pPr>
      <w:r>
        <w:rPr>
          <w:rFonts w:hint="eastAsia" w:cs="宋体"/>
          <w:b w:val="0"/>
          <w:bCs w:val="0"/>
          <w:color w:val="auto"/>
        </w:rPr>
        <w:t>2</w:t>
      </w:r>
      <w:r>
        <w:rPr>
          <w:rFonts w:hint="eastAsia" w:cs="宋体"/>
          <w:b w:val="0"/>
          <w:bCs w:val="0"/>
          <w:color w:val="auto"/>
          <w:lang w:val="zh-CN"/>
        </w:rPr>
        <w:t>.</w:t>
      </w:r>
      <w:r>
        <w:rPr>
          <w:rFonts w:hint="eastAsia" w:cs="宋体"/>
          <w:b w:val="0"/>
          <w:bCs w:val="0"/>
          <w:color w:val="auto"/>
        </w:rPr>
        <w:t>2</w:t>
      </w:r>
      <w:r>
        <w:rPr>
          <w:rFonts w:hint="eastAsia" w:cs="宋体"/>
          <w:b w:val="0"/>
          <w:bCs w:val="0"/>
          <w:color w:val="auto"/>
          <w:lang w:val="zh-CN"/>
        </w:rPr>
        <w:t>.</w:t>
      </w:r>
      <w:r>
        <w:rPr>
          <w:rFonts w:hint="eastAsia" w:cs="宋体"/>
          <w:b w:val="0"/>
          <w:bCs w:val="0"/>
          <w:color w:val="auto"/>
        </w:rPr>
        <w:t>11</w:t>
      </w:r>
      <w:r>
        <w:rPr>
          <w:rFonts w:hint="eastAsia" w:cs="宋体"/>
          <w:b w:val="0"/>
          <w:bCs w:val="0"/>
          <w:color w:val="auto"/>
          <w:lang w:val="zh-CN"/>
        </w:rPr>
        <w:t>组织实施方案</w:t>
      </w:r>
      <w:r>
        <w:rPr>
          <w:rFonts w:hint="eastAsia" w:cs="宋体"/>
          <w:b w:val="0"/>
          <w:bCs w:val="0"/>
          <w:snapToGrid w:val="0"/>
          <w:color w:val="auto"/>
          <w:kern w:val="28"/>
        </w:rPr>
        <w:t>（如果有）</w:t>
      </w:r>
      <w:r>
        <w:rPr>
          <w:rFonts w:hint="eastAsia" w:cs="宋体"/>
          <w:b w:val="0"/>
          <w:bCs w:val="0"/>
          <w:color w:val="auto"/>
          <w:lang w:val="zh-CN"/>
        </w:rPr>
        <w:t>；</w:t>
      </w:r>
    </w:p>
    <w:p w14:paraId="7B203702">
      <w:pPr>
        <w:pStyle w:val="82"/>
        <w:ind w:left="420" w:leftChars="200" w:firstLine="480" w:firstLineChars="200"/>
        <w:rPr>
          <w:b w:val="0"/>
          <w:bCs w:val="0"/>
          <w:color w:val="auto"/>
        </w:rPr>
      </w:pPr>
      <w:r>
        <w:rPr>
          <w:rFonts w:hint="eastAsia" w:cs="宋体"/>
          <w:b w:val="0"/>
          <w:bCs w:val="0"/>
          <w:color w:val="auto"/>
        </w:rPr>
        <w:t>2</w:t>
      </w:r>
      <w:r>
        <w:rPr>
          <w:rFonts w:hint="eastAsia" w:cs="宋体"/>
          <w:b w:val="0"/>
          <w:bCs w:val="0"/>
          <w:color w:val="auto"/>
          <w:lang w:val="zh-CN"/>
        </w:rPr>
        <w:t>.</w:t>
      </w:r>
      <w:r>
        <w:rPr>
          <w:rFonts w:hint="eastAsia" w:cs="宋体"/>
          <w:b w:val="0"/>
          <w:bCs w:val="0"/>
          <w:color w:val="auto"/>
        </w:rPr>
        <w:t>2</w:t>
      </w:r>
      <w:r>
        <w:rPr>
          <w:rFonts w:hint="eastAsia" w:cs="宋体"/>
          <w:b w:val="0"/>
          <w:bCs w:val="0"/>
          <w:color w:val="auto"/>
          <w:lang w:val="zh-CN"/>
        </w:rPr>
        <w:t>.</w:t>
      </w:r>
      <w:r>
        <w:rPr>
          <w:rFonts w:hint="eastAsia" w:cs="宋体"/>
          <w:b w:val="0"/>
          <w:bCs w:val="0"/>
          <w:color w:val="auto"/>
        </w:rPr>
        <w:t>12</w:t>
      </w:r>
      <w:r>
        <w:rPr>
          <w:rFonts w:hint="eastAsia" w:cs="宋体"/>
          <w:b w:val="0"/>
          <w:bCs w:val="0"/>
          <w:color w:val="auto"/>
          <w:lang w:val="zh-CN"/>
        </w:rPr>
        <w:t>服务方案。</w:t>
      </w:r>
    </w:p>
    <w:p w14:paraId="462F56DC">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5E5DB544">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60B1BDDD">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1E5A5C40">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1BE924EA">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0000B50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22A6D514">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3C9BB7C7">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06E3D6F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4BA65A5A">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3AEB07D3">
      <w:pPr>
        <w:spacing w:line="360" w:lineRule="auto"/>
        <w:ind w:firstLine="3600" w:firstLineChars="1500"/>
        <w:rPr>
          <w:rFonts w:ascii="宋体" w:hAnsi="宋体" w:cs="宋体"/>
          <w:sz w:val="24"/>
        </w:rPr>
      </w:pPr>
      <w:r>
        <w:rPr>
          <w:rFonts w:hint="eastAsia" w:ascii="宋体" w:hAnsi="宋体" w:cs="宋体"/>
          <w:sz w:val="24"/>
        </w:rPr>
        <w:t>投标人名称（公章）：</w:t>
      </w:r>
    </w:p>
    <w:p w14:paraId="25727C73">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29EE868E">
      <w:pPr>
        <w:spacing w:line="360" w:lineRule="auto"/>
        <w:jc w:val="center"/>
        <w:rPr>
          <w:rFonts w:ascii="宋体" w:hAnsi="宋体" w:cs="宋体"/>
          <w:sz w:val="24"/>
        </w:rPr>
      </w:pPr>
      <w:r>
        <w:rPr>
          <w:rFonts w:hint="eastAsia" w:ascii="宋体" w:hAnsi="宋体" w:cs="宋体"/>
          <w:sz w:val="24"/>
        </w:rPr>
        <w:t xml:space="preserve">     日期：  年   月   日</w:t>
      </w:r>
    </w:p>
    <w:p w14:paraId="739FC45A">
      <w:pPr>
        <w:snapToGrid w:val="0"/>
        <w:spacing w:line="360" w:lineRule="auto"/>
        <w:ind w:left="420" w:leftChars="200" w:firstLine="4200" w:firstLineChars="1750"/>
        <w:rPr>
          <w:rFonts w:ascii="宋体" w:hAnsi="宋体" w:cs="宋体"/>
          <w:kern w:val="0"/>
          <w:sz w:val="24"/>
          <w:u w:val="single"/>
        </w:rPr>
      </w:pPr>
    </w:p>
    <w:p w14:paraId="17259717">
      <w:pPr>
        <w:spacing w:line="360" w:lineRule="auto"/>
        <w:ind w:right="420"/>
        <w:rPr>
          <w:rFonts w:ascii="宋体" w:hAnsi="宋体" w:cs="宋体"/>
          <w:sz w:val="24"/>
        </w:rPr>
      </w:pPr>
      <w:r>
        <w:rPr>
          <w:rFonts w:hint="eastAsia" w:ascii="宋体" w:hAnsi="宋体" w:cs="宋体"/>
          <w:sz w:val="24"/>
        </w:rPr>
        <w:t>注：按本格式和要求提供。</w:t>
      </w:r>
    </w:p>
    <w:p w14:paraId="1AD7DC7F">
      <w:pPr>
        <w:snapToGrid w:val="0"/>
        <w:spacing w:line="360" w:lineRule="auto"/>
        <w:jc w:val="center"/>
        <w:rPr>
          <w:rFonts w:ascii="宋体" w:hAnsi="宋体" w:cs="宋体"/>
          <w:b/>
          <w:color w:val="000000" w:themeColor="text1"/>
          <w:kern w:val="0"/>
          <w:sz w:val="32"/>
          <w:szCs w:val="32"/>
          <w14:textFill>
            <w14:solidFill>
              <w14:schemeClr w14:val="tx1"/>
            </w14:solidFill>
          </w14:textFill>
        </w:rPr>
      </w:pPr>
    </w:p>
    <w:p w14:paraId="24F1FBB7">
      <w:pPr>
        <w:snapToGrid w:val="0"/>
        <w:spacing w:line="360" w:lineRule="auto"/>
        <w:rPr>
          <w:rFonts w:ascii="宋体" w:hAnsi="宋体" w:cs="宋体"/>
          <w:color w:val="000000" w:themeColor="text1"/>
          <w:sz w:val="24"/>
          <w14:textFill>
            <w14:solidFill>
              <w14:schemeClr w14:val="tx1"/>
            </w14:solidFill>
          </w14:textFill>
        </w:rPr>
      </w:pPr>
    </w:p>
    <w:p w14:paraId="70FE18DC">
      <w:pPr>
        <w:jc w:val="center"/>
        <w:rPr>
          <w:rFonts w:ascii="宋体" w:hAnsi="宋体" w:cs="宋体"/>
          <w:b/>
          <w:color w:val="000000" w:themeColor="text1"/>
          <w:kern w:val="0"/>
          <w:sz w:val="32"/>
          <w:szCs w:val="32"/>
          <w14:textFill>
            <w14:solidFill>
              <w14:schemeClr w14:val="tx1"/>
            </w14:solidFill>
          </w14:textFill>
        </w:rPr>
      </w:pPr>
    </w:p>
    <w:p w14:paraId="4ADDDBC1">
      <w:pPr>
        <w:jc w:val="center"/>
        <w:rPr>
          <w:rFonts w:ascii="宋体" w:hAnsi="宋体" w:cs="宋体"/>
          <w:b/>
          <w:color w:val="000000" w:themeColor="text1"/>
          <w:kern w:val="0"/>
          <w:sz w:val="32"/>
          <w:szCs w:val="32"/>
          <w14:textFill>
            <w14:solidFill>
              <w14:schemeClr w14:val="tx1"/>
            </w14:solidFill>
          </w14:textFill>
        </w:rPr>
      </w:pPr>
    </w:p>
    <w:p w14:paraId="73507BEA">
      <w:pPr>
        <w:jc w:val="center"/>
        <w:rPr>
          <w:rFonts w:ascii="宋体" w:hAnsi="宋体" w:cs="宋体"/>
          <w:b/>
          <w:color w:val="000000" w:themeColor="text1"/>
          <w:kern w:val="0"/>
          <w:sz w:val="32"/>
          <w:szCs w:val="32"/>
          <w14:textFill>
            <w14:solidFill>
              <w14:schemeClr w14:val="tx1"/>
            </w14:solidFill>
          </w14:textFill>
        </w:rPr>
      </w:pPr>
    </w:p>
    <w:p w14:paraId="07EAF24C">
      <w:pPr>
        <w:jc w:val="center"/>
        <w:rPr>
          <w:rFonts w:ascii="宋体" w:hAnsi="宋体" w:cs="宋体"/>
          <w:b/>
          <w:color w:val="000000" w:themeColor="text1"/>
          <w:kern w:val="0"/>
          <w:sz w:val="32"/>
          <w:szCs w:val="32"/>
          <w14:textFill>
            <w14:solidFill>
              <w14:schemeClr w14:val="tx1"/>
            </w14:solidFill>
          </w14:textFill>
        </w:rPr>
      </w:pPr>
    </w:p>
    <w:p w14:paraId="73BD7E94">
      <w:pPr>
        <w:jc w:val="center"/>
        <w:rPr>
          <w:rFonts w:ascii="宋体" w:hAnsi="宋体" w:cs="宋体"/>
          <w:b/>
          <w:color w:val="000000" w:themeColor="text1"/>
          <w:kern w:val="0"/>
          <w:sz w:val="32"/>
          <w:szCs w:val="32"/>
          <w14:textFill>
            <w14:solidFill>
              <w14:schemeClr w14:val="tx1"/>
            </w14:solidFill>
          </w14:textFill>
        </w:rPr>
      </w:pPr>
    </w:p>
    <w:p w14:paraId="6CEEF685">
      <w:pPr>
        <w:jc w:val="center"/>
        <w:rPr>
          <w:rFonts w:ascii="宋体" w:hAnsi="宋体" w:cs="宋体"/>
          <w:b/>
          <w:color w:val="000000" w:themeColor="text1"/>
          <w:kern w:val="0"/>
          <w:sz w:val="32"/>
          <w:szCs w:val="32"/>
          <w14:textFill>
            <w14:solidFill>
              <w14:schemeClr w14:val="tx1"/>
            </w14:solidFill>
          </w14:textFill>
        </w:rPr>
      </w:pPr>
    </w:p>
    <w:p w14:paraId="3F5E9FD9">
      <w:pPr>
        <w:jc w:val="center"/>
        <w:rPr>
          <w:rFonts w:ascii="宋体" w:hAnsi="宋体" w:cs="宋体"/>
          <w:b/>
          <w:color w:val="000000" w:themeColor="text1"/>
          <w:kern w:val="0"/>
          <w:sz w:val="32"/>
          <w:szCs w:val="32"/>
          <w14:textFill>
            <w14:solidFill>
              <w14:schemeClr w14:val="tx1"/>
            </w14:solidFill>
          </w14:textFill>
        </w:rPr>
      </w:pPr>
    </w:p>
    <w:p w14:paraId="0150CFB0">
      <w:pPr>
        <w:jc w:val="center"/>
        <w:rPr>
          <w:rFonts w:ascii="宋体" w:hAnsi="宋体" w:cs="宋体"/>
          <w:b/>
          <w:color w:val="000000" w:themeColor="text1"/>
          <w:kern w:val="0"/>
          <w:sz w:val="32"/>
          <w:szCs w:val="32"/>
          <w14:textFill>
            <w14:solidFill>
              <w14:schemeClr w14:val="tx1"/>
            </w14:solidFill>
          </w14:textFill>
        </w:rPr>
      </w:pPr>
    </w:p>
    <w:p w14:paraId="1C6837AD">
      <w:pPr>
        <w:jc w:val="center"/>
        <w:rPr>
          <w:rFonts w:ascii="宋体" w:hAnsi="宋体" w:cs="宋体"/>
          <w:b/>
          <w:color w:val="000000" w:themeColor="text1"/>
          <w:kern w:val="0"/>
          <w:sz w:val="32"/>
          <w:szCs w:val="32"/>
          <w14:textFill>
            <w14:solidFill>
              <w14:schemeClr w14:val="tx1"/>
            </w14:solidFill>
          </w14:textFill>
        </w:rPr>
      </w:pPr>
    </w:p>
    <w:p w14:paraId="447D19F2">
      <w:pPr>
        <w:jc w:val="center"/>
        <w:rPr>
          <w:rFonts w:ascii="宋体" w:hAnsi="宋体" w:cs="宋体"/>
          <w:b/>
          <w:color w:val="000000" w:themeColor="text1"/>
          <w:kern w:val="0"/>
          <w:sz w:val="32"/>
          <w:szCs w:val="32"/>
          <w14:textFill>
            <w14:solidFill>
              <w14:schemeClr w14:val="tx1"/>
            </w14:solidFill>
          </w14:textFill>
        </w:rPr>
      </w:pPr>
    </w:p>
    <w:p w14:paraId="17D25F20">
      <w:pPr>
        <w:jc w:val="center"/>
        <w:rPr>
          <w:rFonts w:ascii="宋体" w:hAnsi="宋体" w:cs="宋体"/>
          <w:b/>
          <w:color w:val="000000" w:themeColor="text1"/>
          <w:kern w:val="0"/>
          <w:sz w:val="32"/>
          <w:szCs w:val="32"/>
          <w14:textFill>
            <w14:solidFill>
              <w14:schemeClr w14:val="tx1"/>
            </w14:solidFill>
          </w14:textFill>
        </w:rPr>
      </w:pPr>
    </w:p>
    <w:p w14:paraId="31B4318D">
      <w:pPr>
        <w:jc w:val="center"/>
        <w:rPr>
          <w:rFonts w:ascii="宋体" w:hAnsi="宋体" w:cs="宋体"/>
          <w:b/>
          <w:color w:val="000000" w:themeColor="text1"/>
          <w:kern w:val="0"/>
          <w:sz w:val="32"/>
          <w:szCs w:val="32"/>
          <w14:textFill>
            <w14:solidFill>
              <w14:schemeClr w14:val="tx1"/>
            </w14:solidFill>
          </w14:textFill>
        </w:rPr>
      </w:pPr>
    </w:p>
    <w:p w14:paraId="15940C39">
      <w:pPr>
        <w:jc w:val="center"/>
        <w:rPr>
          <w:rFonts w:ascii="宋体" w:hAnsi="宋体" w:cs="宋体"/>
          <w:b/>
          <w:color w:val="000000" w:themeColor="text1"/>
          <w:kern w:val="0"/>
          <w:sz w:val="32"/>
          <w:szCs w:val="32"/>
          <w14:textFill>
            <w14:solidFill>
              <w14:schemeClr w14:val="tx1"/>
            </w14:solidFill>
          </w14:textFill>
        </w:rPr>
      </w:pPr>
    </w:p>
    <w:p w14:paraId="121F7B54">
      <w:pPr>
        <w:jc w:val="center"/>
        <w:rPr>
          <w:rFonts w:ascii="宋体" w:hAnsi="宋体" w:cs="宋体"/>
          <w:b/>
          <w:color w:val="000000" w:themeColor="text1"/>
          <w:kern w:val="0"/>
          <w:sz w:val="32"/>
          <w:szCs w:val="32"/>
          <w14:textFill>
            <w14:solidFill>
              <w14:schemeClr w14:val="tx1"/>
            </w14:solidFill>
          </w14:textFill>
        </w:rPr>
      </w:pPr>
    </w:p>
    <w:p w14:paraId="33AE4624">
      <w:pPr>
        <w:jc w:val="center"/>
        <w:rPr>
          <w:rFonts w:ascii="宋体" w:hAnsi="宋体" w:cs="宋体"/>
          <w:b/>
          <w:color w:val="000000" w:themeColor="text1"/>
          <w:kern w:val="0"/>
          <w:sz w:val="32"/>
          <w:szCs w:val="32"/>
          <w14:textFill>
            <w14:solidFill>
              <w14:schemeClr w14:val="tx1"/>
            </w14:solidFill>
          </w14:textFill>
        </w:rPr>
      </w:pPr>
    </w:p>
    <w:p w14:paraId="12B4E483">
      <w:pPr>
        <w:jc w:val="center"/>
        <w:rPr>
          <w:rFonts w:ascii="宋体" w:hAnsi="宋体" w:cs="宋体"/>
          <w:b/>
          <w:color w:val="000000" w:themeColor="text1"/>
          <w:kern w:val="0"/>
          <w:sz w:val="32"/>
          <w:szCs w:val="32"/>
          <w14:textFill>
            <w14:solidFill>
              <w14:schemeClr w14:val="tx1"/>
            </w14:solidFill>
          </w14:textFill>
        </w:rPr>
      </w:pPr>
    </w:p>
    <w:p w14:paraId="4EC46E4A">
      <w:pPr>
        <w:pStyle w:val="2"/>
        <w:rPr>
          <w:rFonts w:ascii="宋体" w:hAnsi="宋体" w:cs="宋体"/>
          <w:b/>
          <w:color w:val="000000" w:themeColor="text1"/>
          <w:kern w:val="0"/>
          <w:sz w:val="32"/>
          <w:szCs w:val="32"/>
          <w14:textFill>
            <w14:solidFill>
              <w14:schemeClr w14:val="tx1"/>
            </w14:solidFill>
          </w14:textFill>
        </w:rPr>
      </w:pPr>
    </w:p>
    <w:p w14:paraId="4297A107"/>
    <w:p w14:paraId="7B4534EB">
      <w:pPr>
        <w:jc w:val="center"/>
        <w:rPr>
          <w:rFonts w:ascii="宋体" w:hAnsi="宋体" w:cs="宋体"/>
          <w:b/>
          <w:color w:val="000000" w:themeColor="text1"/>
          <w:kern w:val="0"/>
          <w:sz w:val="32"/>
          <w:szCs w:val="32"/>
          <w14:textFill>
            <w14:solidFill>
              <w14:schemeClr w14:val="tx1"/>
            </w14:solidFill>
          </w14:textFill>
        </w:rPr>
      </w:pPr>
    </w:p>
    <w:p w14:paraId="683BE46C">
      <w:pPr>
        <w:jc w:val="center"/>
        <w:rPr>
          <w:rFonts w:ascii="宋体" w:hAnsi="宋体" w:cs="宋体"/>
          <w:b/>
          <w:color w:val="000000" w:themeColor="text1"/>
          <w:kern w:val="0"/>
          <w:sz w:val="32"/>
          <w:szCs w:val="32"/>
          <w14:textFill>
            <w14:solidFill>
              <w14:schemeClr w14:val="tx1"/>
            </w14:solidFill>
          </w14:textFill>
        </w:rPr>
      </w:pPr>
    </w:p>
    <w:p w14:paraId="7AD2B8D9">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6B347D33">
      <w:pPr>
        <w:snapToGrid w:val="0"/>
        <w:spacing w:line="360" w:lineRule="auto"/>
        <w:rPr>
          <w:rFonts w:ascii="宋体" w:hAnsi="宋体" w:cs="宋体"/>
          <w:sz w:val="24"/>
        </w:rPr>
      </w:pPr>
      <w:r>
        <w:rPr>
          <w:rFonts w:hint="eastAsia" w:ascii="宋体" w:hAnsi="宋体" w:cs="宋体"/>
          <w:sz w:val="24"/>
        </w:rPr>
        <w:t xml:space="preserve">                                </w:t>
      </w:r>
    </w:p>
    <w:p w14:paraId="66388C00">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63DACE0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DFF0EEF">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50DC1438">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12F0EAD">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77E46BF">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14850BFD">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53021277">
      <w:pPr>
        <w:snapToGrid w:val="0"/>
        <w:spacing w:line="360" w:lineRule="auto"/>
        <w:rPr>
          <w:rFonts w:ascii="宋体" w:hAnsi="宋体" w:cs="宋体"/>
          <w:color w:val="auto"/>
          <w:kern w:val="0"/>
          <w:sz w:val="24"/>
          <w:lang w:val="zh-CN"/>
        </w:rPr>
      </w:pPr>
      <w:r>
        <w:rPr>
          <w:rFonts w:hint="eastAsia" w:ascii="宋体" w:hAnsi="宋体" w:cs="宋体"/>
          <w:kern w:val="0"/>
          <w:sz w:val="24"/>
          <w:lang w:val="zh-CN"/>
        </w:rPr>
        <w:t xml:space="preserve">       </w:t>
      </w:r>
      <w:r>
        <w:rPr>
          <w:rFonts w:hint="eastAsia" w:ascii="宋体" w:hAnsi="宋体" w:cs="宋体"/>
          <w:color w:val="auto"/>
          <w:kern w:val="0"/>
          <w:sz w:val="24"/>
          <w:lang w:val="zh-CN"/>
        </w:rPr>
        <w:t xml:space="preserve">                                签发日期：  年  月   日</w:t>
      </w:r>
    </w:p>
    <w:p w14:paraId="4ED251E6">
      <w:pPr>
        <w:adjustRightInd/>
        <w:spacing w:line="360" w:lineRule="auto"/>
        <w:rPr>
          <w:rFonts w:ascii="宋体" w:hAnsi="宋体"/>
          <w:color w:val="auto"/>
          <w:sz w:val="24"/>
          <w:szCs w:val="21"/>
        </w:rPr>
      </w:pPr>
    </w:p>
    <w:p w14:paraId="0A86AC61">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AE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7BB925F">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67C79EB5">
            <w:pPr>
              <w:spacing w:line="360" w:lineRule="auto"/>
              <w:rPr>
                <w:rFonts w:ascii="宋体" w:hAnsi="宋体" w:cs="宋体"/>
                <w:bCs/>
                <w:color w:val="auto"/>
                <w:sz w:val="24"/>
                <w:szCs w:val="21"/>
              </w:rPr>
            </w:pPr>
          </w:p>
          <w:p w14:paraId="131236F3">
            <w:pPr>
              <w:spacing w:line="360" w:lineRule="auto"/>
              <w:rPr>
                <w:rFonts w:ascii="宋体" w:hAnsi="宋体" w:cs="宋体"/>
                <w:bCs/>
                <w:color w:val="auto"/>
                <w:sz w:val="24"/>
                <w:szCs w:val="21"/>
              </w:rPr>
            </w:pPr>
          </w:p>
          <w:p w14:paraId="78A8C149">
            <w:pPr>
              <w:spacing w:line="360" w:lineRule="auto"/>
              <w:rPr>
                <w:rFonts w:ascii="宋体" w:hAnsi="宋体" w:cs="宋体"/>
                <w:bCs/>
                <w:color w:val="auto"/>
                <w:sz w:val="24"/>
                <w:szCs w:val="21"/>
              </w:rPr>
            </w:pPr>
          </w:p>
          <w:p w14:paraId="3625A601">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5652AA43">
            <w:pPr>
              <w:spacing w:line="360" w:lineRule="auto"/>
              <w:rPr>
                <w:rFonts w:ascii="宋体" w:hAnsi="宋体" w:cs="宋体"/>
                <w:bCs/>
                <w:color w:val="auto"/>
                <w:sz w:val="24"/>
                <w:szCs w:val="21"/>
              </w:rPr>
            </w:pPr>
          </w:p>
        </w:tc>
      </w:tr>
    </w:tbl>
    <w:p w14:paraId="2F166B6A">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57CFE713">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0B19033">
      <w:pPr>
        <w:snapToGrid w:val="0"/>
        <w:spacing w:line="360" w:lineRule="auto"/>
        <w:rPr>
          <w:rFonts w:ascii="宋体" w:hAnsi="宋体" w:cs="宋体"/>
          <w:sz w:val="24"/>
        </w:rPr>
      </w:pPr>
    </w:p>
    <w:p w14:paraId="18BDB1E6">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67B5344D">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F166A9E">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2D9AB6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6089C7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31D01AC">
      <w:pPr>
        <w:jc w:val="center"/>
        <w:rPr>
          <w:rFonts w:ascii="宋体" w:hAnsi="宋体" w:cs="宋体"/>
          <w:b/>
          <w:kern w:val="0"/>
          <w:sz w:val="32"/>
          <w:szCs w:val="32"/>
        </w:rPr>
      </w:pPr>
    </w:p>
    <w:p w14:paraId="2DCCAA7A">
      <w:pPr>
        <w:jc w:val="center"/>
        <w:rPr>
          <w:rFonts w:ascii="宋体" w:hAnsi="宋体" w:cs="宋体"/>
          <w:b/>
          <w:kern w:val="0"/>
          <w:sz w:val="32"/>
          <w:szCs w:val="32"/>
        </w:rPr>
      </w:pPr>
    </w:p>
    <w:p w14:paraId="6E8AE797">
      <w:pPr>
        <w:jc w:val="center"/>
        <w:rPr>
          <w:rFonts w:ascii="宋体" w:hAnsi="宋体" w:cs="宋体"/>
          <w:b/>
          <w:kern w:val="0"/>
          <w:sz w:val="32"/>
          <w:szCs w:val="32"/>
        </w:rPr>
      </w:pPr>
    </w:p>
    <w:p w14:paraId="07795259">
      <w:pPr>
        <w:rPr>
          <w:rFonts w:ascii="宋体" w:hAnsi="宋体" w:cs="宋体"/>
        </w:rPr>
      </w:pPr>
    </w:p>
    <w:p w14:paraId="44B767F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3B04F526">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67606D0E">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169ED20A">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5FA5DB18">
      <w:pPr>
        <w:snapToGrid w:val="0"/>
        <w:spacing w:line="360" w:lineRule="auto"/>
        <w:ind w:firstLine="5040" w:firstLineChars="2100"/>
        <w:rPr>
          <w:rFonts w:ascii="宋体" w:hAnsi="宋体" w:cs="宋体"/>
          <w:kern w:val="0"/>
          <w:sz w:val="24"/>
          <w:lang w:val="zh-CN"/>
        </w:rPr>
      </w:pPr>
    </w:p>
    <w:p w14:paraId="5A7CBE68">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483BA34">
      <w:pPr>
        <w:snapToGrid w:val="0"/>
        <w:spacing w:line="360" w:lineRule="auto"/>
        <w:rPr>
          <w:rFonts w:ascii="宋体" w:hAnsi="宋体" w:cs="宋体"/>
          <w:color w:val="auto"/>
          <w:kern w:val="0"/>
          <w:sz w:val="24"/>
          <w:lang w:val="zh-CN"/>
        </w:rPr>
      </w:pPr>
      <w:r>
        <w:rPr>
          <w:rFonts w:hint="eastAsia" w:ascii="宋体" w:hAnsi="宋体" w:cs="宋体"/>
          <w:kern w:val="0"/>
          <w:sz w:val="24"/>
          <w:lang w:val="zh-CN"/>
        </w:rPr>
        <w:t xml:space="preserve">         </w:t>
      </w:r>
      <w:r>
        <w:rPr>
          <w:rFonts w:hint="eastAsia" w:ascii="宋体" w:hAnsi="宋体" w:cs="宋体"/>
          <w:color w:val="auto"/>
          <w:kern w:val="0"/>
          <w:sz w:val="24"/>
          <w:lang w:val="zh-CN"/>
        </w:rPr>
        <w:t xml:space="preserve">                                      日期：  年  月   日</w:t>
      </w:r>
    </w:p>
    <w:p w14:paraId="1869C627">
      <w:pPr>
        <w:adjustRightInd/>
        <w:spacing w:line="360" w:lineRule="auto"/>
        <w:rPr>
          <w:rFonts w:ascii="宋体" w:hAnsi="宋体"/>
          <w:color w:val="auto"/>
          <w:sz w:val="24"/>
          <w:szCs w:val="21"/>
        </w:rPr>
      </w:pPr>
    </w:p>
    <w:p w14:paraId="66A883DE">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7E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5F57C8B">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16EC6971">
            <w:pPr>
              <w:spacing w:line="360" w:lineRule="auto"/>
              <w:rPr>
                <w:rFonts w:ascii="宋体" w:hAnsi="宋体" w:cs="宋体"/>
                <w:bCs/>
                <w:color w:val="auto"/>
                <w:sz w:val="24"/>
                <w:szCs w:val="21"/>
              </w:rPr>
            </w:pPr>
          </w:p>
          <w:p w14:paraId="7880C8F2">
            <w:pPr>
              <w:spacing w:line="360" w:lineRule="auto"/>
              <w:rPr>
                <w:rFonts w:ascii="宋体" w:hAnsi="宋体" w:cs="宋体"/>
                <w:bCs/>
                <w:color w:val="auto"/>
                <w:sz w:val="24"/>
                <w:szCs w:val="21"/>
              </w:rPr>
            </w:pPr>
          </w:p>
          <w:p w14:paraId="6EA7FC52">
            <w:pPr>
              <w:spacing w:line="360" w:lineRule="auto"/>
              <w:rPr>
                <w:rFonts w:ascii="宋体" w:hAnsi="宋体" w:cs="宋体"/>
                <w:bCs/>
                <w:color w:val="auto"/>
                <w:sz w:val="24"/>
                <w:szCs w:val="21"/>
              </w:rPr>
            </w:pPr>
          </w:p>
          <w:p w14:paraId="618136F7">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7FEE2EBD">
            <w:pPr>
              <w:spacing w:line="360" w:lineRule="auto"/>
              <w:rPr>
                <w:rFonts w:ascii="宋体" w:hAnsi="宋体" w:cs="宋体"/>
                <w:bCs/>
                <w:color w:val="auto"/>
                <w:sz w:val="24"/>
                <w:szCs w:val="21"/>
              </w:rPr>
            </w:pPr>
          </w:p>
        </w:tc>
      </w:tr>
    </w:tbl>
    <w:p w14:paraId="3F181835">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496FA22">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441CA47D">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4EC2B0B8">
      <w:pPr>
        <w:adjustRightInd/>
        <w:spacing w:line="360" w:lineRule="auto"/>
        <w:rPr>
          <w:rFonts w:ascii="宋体" w:hAnsi="宋体" w:cs="宋体"/>
          <w:bCs/>
          <w:sz w:val="24"/>
          <w:szCs w:val="21"/>
        </w:rPr>
      </w:pPr>
    </w:p>
    <w:p w14:paraId="1277F1A1">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03447A7B">
      <w:pPr>
        <w:snapToGrid w:val="0"/>
        <w:spacing w:line="276" w:lineRule="auto"/>
        <w:ind w:firstLine="960" w:firstLineChars="400"/>
        <w:rPr>
          <w:rFonts w:ascii="宋体" w:hAnsi="宋体"/>
          <w:color w:val="auto"/>
          <w:sz w:val="24"/>
          <w:u w:val="single"/>
        </w:rPr>
      </w:pPr>
    </w:p>
    <w:p w14:paraId="136F25B3">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184455F1">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5FD97F26">
      <w:pPr>
        <w:snapToGrid w:val="0"/>
        <w:spacing w:line="276" w:lineRule="auto"/>
        <w:rPr>
          <w:rFonts w:ascii="宋体" w:hAnsi="宋体"/>
          <w:color w:val="auto"/>
          <w:sz w:val="24"/>
        </w:rPr>
      </w:pPr>
    </w:p>
    <w:p w14:paraId="1D42FBF2">
      <w:pPr>
        <w:snapToGrid w:val="0"/>
        <w:spacing w:line="276" w:lineRule="auto"/>
        <w:rPr>
          <w:rFonts w:ascii="宋体" w:hAnsi="宋体"/>
          <w:color w:val="auto"/>
          <w:sz w:val="24"/>
        </w:rPr>
      </w:pPr>
      <w:r>
        <w:rPr>
          <w:rFonts w:hint="eastAsia" w:ascii="宋体" w:hAnsi="宋体"/>
          <w:color w:val="auto"/>
          <w:sz w:val="24"/>
        </w:rPr>
        <w:t xml:space="preserve">                        </w:t>
      </w:r>
    </w:p>
    <w:p w14:paraId="55C4DAA3">
      <w:pPr>
        <w:snapToGrid w:val="0"/>
        <w:spacing w:line="276" w:lineRule="auto"/>
        <w:rPr>
          <w:rFonts w:ascii="宋体" w:hAnsi="宋体"/>
          <w:color w:val="auto"/>
          <w:sz w:val="24"/>
        </w:rPr>
      </w:pPr>
    </w:p>
    <w:p w14:paraId="39CD232F">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投标人名称(公章)：                              </w:t>
      </w:r>
    </w:p>
    <w:p w14:paraId="6B4A5AE4">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78FC47B5">
      <w:pPr>
        <w:adjustRightInd/>
        <w:spacing w:line="360" w:lineRule="auto"/>
        <w:rPr>
          <w:rFonts w:ascii="宋体" w:hAnsi="宋体" w:cs="宋体"/>
          <w:bCs/>
          <w:color w:val="auto"/>
          <w:sz w:val="24"/>
          <w:szCs w:val="21"/>
        </w:rPr>
      </w:pPr>
    </w:p>
    <w:p w14:paraId="7C72ABAD">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BF2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4BBEB9E">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382EFC9F">
            <w:pPr>
              <w:spacing w:line="360" w:lineRule="auto"/>
              <w:rPr>
                <w:rFonts w:ascii="宋体" w:hAnsi="宋体" w:cs="宋体"/>
                <w:bCs/>
                <w:color w:val="auto"/>
                <w:sz w:val="24"/>
                <w:szCs w:val="21"/>
              </w:rPr>
            </w:pPr>
          </w:p>
        </w:tc>
      </w:tr>
    </w:tbl>
    <w:p w14:paraId="1CD359BE">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kern w:val="0"/>
          <w:sz w:val="24"/>
          <w:lang w:val="zh-CN"/>
        </w:rPr>
        <w:t xml:space="preserve">   </w:t>
      </w:r>
    </w:p>
    <w:p w14:paraId="34109F5B">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134" w:left="1418" w:header="851" w:footer="992" w:gutter="0"/>
          <w:cols w:space="720" w:num="1"/>
          <w:titlePg/>
          <w:docGrid w:linePitch="312" w:charSpace="0"/>
        </w:sectPr>
      </w:pPr>
    </w:p>
    <w:p w14:paraId="0737F35B">
      <w:pPr>
        <w:snapToGrid w:val="0"/>
        <w:spacing w:line="360" w:lineRule="auto"/>
        <w:ind w:firstLine="3534" w:firstLineChars="11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三、分包意向协议（如果有）</w:t>
      </w:r>
    </w:p>
    <w:p w14:paraId="3E10ACBF">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中标后以分包方式履行合同的，提供分包意向协议(附件6</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49500178">
      <w:pPr>
        <w:snapToGrid w:val="0"/>
        <w:spacing w:line="360" w:lineRule="auto"/>
        <w:rPr>
          <w:rFonts w:ascii="宋体" w:hAnsi="宋体" w:cs="宋体"/>
          <w:color w:val="000000" w:themeColor="text1"/>
          <w:kern w:val="0"/>
          <w:sz w:val="24"/>
          <w14:textFill>
            <w14:solidFill>
              <w14:schemeClr w14:val="tx1"/>
            </w14:solidFill>
          </w14:textFill>
        </w:rPr>
      </w:pPr>
    </w:p>
    <w:p w14:paraId="4D60F43F">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四、符合性审查资料</w:t>
      </w:r>
    </w:p>
    <w:p w14:paraId="51919507">
      <w:pPr>
        <w:jc w:val="center"/>
        <w:rPr>
          <w:rFonts w:ascii="宋体" w:hAnsi="宋体" w:cs="宋体"/>
          <w:b/>
          <w:color w:val="000000" w:themeColor="text1"/>
          <w:kern w:val="0"/>
          <w:sz w:val="32"/>
          <w:szCs w:val="32"/>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744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400B07">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4991" w:type="dxa"/>
            <w:vAlign w:val="center"/>
          </w:tcPr>
          <w:p w14:paraId="2510ED6C">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实质性要求</w:t>
            </w:r>
          </w:p>
        </w:tc>
        <w:tc>
          <w:tcPr>
            <w:tcW w:w="2551" w:type="dxa"/>
            <w:vAlign w:val="center"/>
          </w:tcPr>
          <w:p w14:paraId="3FD3A81D">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需要提供的符合性审查资料</w:t>
            </w:r>
          </w:p>
        </w:tc>
        <w:tc>
          <w:tcPr>
            <w:tcW w:w="1418" w:type="dxa"/>
            <w:vAlign w:val="center"/>
          </w:tcPr>
          <w:p w14:paraId="578C8F10">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投标文件中的</w:t>
            </w:r>
          </w:p>
          <w:p w14:paraId="7240B9A2">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页码位置</w:t>
            </w:r>
          </w:p>
        </w:tc>
      </w:tr>
      <w:tr w14:paraId="4575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94B82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991" w:type="dxa"/>
          </w:tcPr>
          <w:p w14:paraId="37576CA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投标文件按照招标文件要求签署、盖章。</w:t>
            </w:r>
          </w:p>
        </w:tc>
        <w:tc>
          <w:tcPr>
            <w:tcW w:w="2551" w:type="dxa"/>
            <w:vAlign w:val="center"/>
          </w:tcPr>
          <w:p w14:paraId="0DEA51D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需要使用电子签名或者签字盖章的投标文件的组成部分</w:t>
            </w:r>
          </w:p>
        </w:tc>
        <w:tc>
          <w:tcPr>
            <w:tcW w:w="1418" w:type="dxa"/>
          </w:tcPr>
          <w:p w14:paraId="50DA8AC6">
            <w:pPr>
              <w:rPr>
                <w:rFonts w:ascii="宋体" w:hAnsi="宋体" w:cs="宋体"/>
                <w:color w:val="000000" w:themeColor="text1"/>
                <w:sz w:val="24"/>
                <w14:textFill>
                  <w14:solidFill>
                    <w14:schemeClr w14:val="tx1"/>
                  </w14:solidFill>
                </w14:textFill>
              </w:rPr>
            </w:pPr>
          </w:p>
          <w:p w14:paraId="03B8ECD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p w14:paraId="37CD9604">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23D1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4496D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991" w:type="dxa"/>
          </w:tcPr>
          <w:p w14:paraId="14C359A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投标文件中承诺的投标有效期不少于招标文件中载明的投标有效期。</w:t>
            </w:r>
          </w:p>
        </w:tc>
        <w:tc>
          <w:tcPr>
            <w:tcW w:w="2551" w:type="dxa"/>
            <w:vAlign w:val="center"/>
          </w:tcPr>
          <w:p w14:paraId="383BF42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tc>
        <w:tc>
          <w:tcPr>
            <w:tcW w:w="1418" w:type="dxa"/>
          </w:tcPr>
          <w:p w14:paraId="52011AAB">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026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7895E3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991" w:type="dxa"/>
          </w:tcPr>
          <w:p w14:paraId="2C28BE7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投标文件满足招标文件的其它实质性要求。</w:t>
            </w:r>
          </w:p>
        </w:tc>
        <w:tc>
          <w:tcPr>
            <w:tcW w:w="2551" w:type="dxa"/>
            <w:vAlign w:val="center"/>
          </w:tcPr>
          <w:p w14:paraId="740A362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招标文件其它实质性要求相应的材料（“▲” 系指实质性要求条款，招标文件无其它实质性要求的，无需提供）</w:t>
            </w:r>
          </w:p>
        </w:tc>
        <w:tc>
          <w:tcPr>
            <w:tcW w:w="1418" w:type="dxa"/>
          </w:tcPr>
          <w:p w14:paraId="659EE0D9">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bl>
    <w:p w14:paraId="130A1315">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3B96FD9A">
      <w:pPr>
        <w:jc w:val="center"/>
        <w:rPr>
          <w:rFonts w:ascii="宋体" w:hAnsi="宋体" w:cs="宋体"/>
          <w:b/>
          <w:color w:val="000000" w:themeColor="text1"/>
          <w:kern w:val="0"/>
          <w:sz w:val="32"/>
          <w:szCs w:val="32"/>
          <w14:textFill>
            <w14:solidFill>
              <w14:schemeClr w14:val="tx1"/>
            </w14:solidFill>
          </w14:textFill>
        </w:rPr>
      </w:pPr>
    </w:p>
    <w:p w14:paraId="2EF027C9">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 xml:space="preserve">            </w:t>
      </w:r>
    </w:p>
    <w:p w14:paraId="5AB37203">
      <w:pPr>
        <w:jc w:val="center"/>
        <w:rPr>
          <w:rFonts w:ascii="宋体" w:hAnsi="宋体" w:cs="宋体"/>
          <w:b/>
          <w:color w:val="000000" w:themeColor="text1"/>
          <w:kern w:val="0"/>
          <w:sz w:val="32"/>
          <w:szCs w:val="32"/>
          <w14:textFill>
            <w14:solidFill>
              <w14:schemeClr w14:val="tx1"/>
            </w14:solidFill>
          </w14:textFill>
        </w:rPr>
      </w:pPr>
    </w:p>
    <w:p w14:paraId="4502AC69">
      <w:pPr>
        <w:jc w:val="center"/>
        <w:rPr>
          <w:rFonts w:ascii="宋体" w:hAnsi="宋体" w:cs="宋体"/>
          <w:b/>
          <w:color w:val="000000" w:themeColor="text1"/>
          <w:kern w:val="0"/>
          <w:sz w:val="32"/>
          <w:szCs w:val="32"/>
          <w14:textFill>
            <w14:solidFill>
              <w14:schemeClr w14:val="tx1"/>
            </w14:solidFill>
          </w14:textFill>
        </w:rPr>
      </w:pPr>
    </w:p>
    <w:p w14:paraId="08C0A8A4">
      <w:pPr>
        <w:jc w:val="center"/>
        <w:rPr>
          <w:rFonts w:ascii="宋体" w:hAnsi="宋体" w:cs="宋体"/>
          <w:b/>
          <w:color w:val="000000" w:themeColor="text1"/>
          <w:kern w:val="0"/>
          <w:sz w:val="32"/>
          <w:szCs w:val="32"/>
          <w14:textFill>
            <w14:solidFill>
              <w14:schemeClr w14:val="tx1"/>
            </w14:solidFill>
          </w14:textFill>
        </w:rPr>
      </w:pPr>
    </w:p>
    <w:p w14:paraId="62934168">
      <w:pPr>
        <w:jc w:val="center"/>
        <w:rPr>
          <w:rFonts w:ascii="宋体" w:hAnsi="宋体" w:cs="宋体"/>
          <w:b/>
          <w:color w:val="000000" w:themeColor="text1"/>
          <w:kern w:val="0"/>
          <w:sz w:val="32"/>
          <w:szCs w:val="32"/>
          <w14:textFill>
            <w14:solidFill>
              <w14:schemeClr w14:val="tx1"/>
            </w14:solidFill>
          </w14:textFill>
        </w:rPr>
      </w:pPr>
    </w:p>
    <w:p w14:paraId="432E1CE2">
      <w:pPr>
        <w:jc w:val="center"/>
        <w:rPr>
          <w:rFonts w:ascii="宋体" w:hAnsi="宋体" w:cs="宋体"/>
          <w:b/>
          <w:color w:val="000000" w:themeColor="text1"/>
          <w:kern w:val="0"/>
          <w:sz w:val="32"/>
          <w:szCs w:val="32"/>
          <w14:textFill>
            <w14:solidFill>
              <w14:schemeClr w14:val="tx1"/>
            </w14:solidFill>
          </w14:textFill>
        </w:rPr>
      </w:pPr>
    </w:p>
    <w:p w14:paraId="6C21F0A5">
      <w:pPr>
        <w:jc w:val="center"/>
        <w:rPr>
          <w:rFonts w:ascii="宋体" w:hAnsi="宋体" w:cs="宋体"/>
          <w:b/>
          <w:color w:val="000000" w:themeColor="text1"/>
          <w:kern w:val="0"/>
          <w:sz w:val="32"/>
          <w:szCs w:val="32"/>
          <w14:textFill>
            <w14:solidFill>
              <w14:schemeClr w14:val="tx1"/>
            </w14:solidFill>
          </w14:textFill>
        </w:rPr>
      </w:pPr>
    </w:p>
    <w:p w14:paraId="404D0623">
      <w:pPr>
        <w:jc w:val="center"/>
        <w:rPr>
          <w:rFonts w:ascii="宋体" w:hAnsi="宋体" w:cs="宋体"/>
          <w:b/>
          <w:color w:val="000000" w:themeColor="text1"/>
          <w:kern w:val="0"/>
          <w:sz w:val="32"/>
          <w:szCs w:val="32"/>
          <w14:textFill>
            <w14:solidFill>
              <w14:schemeClr w14:val="tx1"/>
            </w14:solidFill>
          </w14:textFill>
        </w:rPr>
      </w:pPr>
    </w:p>
    <w:p w14:paraId="17EBD61E">
      <w:pPr>
        <w:jc w:val="center"/>
        <w:rPr>
          <w:rFonts w:ascii="宋体" w:hAnsi="宋体" w:cs="宋体"/>
          <w:b/>
          <w:color w:val="000000" w:themeColor="text1"/>
          <w:kern w:val="0"/>
          <w:sz w:val="32"/>
          <w:szCs w:val="32"/>
          <w14:textFill>
            <w14:solidFill>
              <w14:schemeClr w14:val="tx1"/>
            </w14:solidFill>
          </w14:textFill>
        </w:rPr>
      </w:pPr>
    </w:p>
    <w:p w14:paraId="0A894381">
      <w:pPr>
        <w:jc w:val="center"/>
        <w:rPr>
          <w:rFonts w:ascii="宋体" w:hAnsi="宋体" w:cs="宋体"/>
          <w:b/>
          <w:color w:val="000000" w:themeColor="text1"/>
          <w:kern w:val="0"/>
          <w:sz w:val="32"/>
          <w:szCs w:val="32"/>
          <w14:textFill>
            <w14:solidFill>
              <w14:schemeClr w14:val="tx1"/>
            </w14:solidFill>
          </w14:textFill>
        </w:rPr>
      </w:pPr>
    </w:p>
    <w:p w14:paraId="4CC65EA5">
      <w:pPr>
        <w:jc w:val="center"/>
        <w:rPr>
          <w:rFonts w:ascii="宋体" w:hAnsi="宋体" w:cs="宋体"/>
          <w:b/>
          <w:color w:val="000000" w:themeColor="text1"/>
          <w:kern w:val="0"/>
          <w:sz w:val="32"/>
          <w:szCs w:val="32"/>
          <w14:textFill>
            <w14:solidFill>
              <w14:schemeClr w14:val="tx1"/>
            </w14:solidFill>
          </w14:textFill>
        </w:rPr>
      </w:pPr>
    </w:p>
    <w:p w14:paraId="069283D1">
      <w:pPr>
        <w:jc w:val="center"/>
        <w:rPr>
          <w:rFonts w:ascii="宋体" w:hAnsi="宋体" w:cs="宋体"/>
          <w:b/>
          <w:color w:val="000000" w:themeColor="text1"/>
          <w:kern w:val="0"/>
          <w:sz w:val="32"/>
          <w:szCs w:val="32"/>
          <w14:textFill>
            <w14:solidFill>
              <w14:schemeClr w14:val="tx1"/>
            </w14:solidFill>
          </w14:textFill>
        </w:rPr>
      </w:pPr>
    </w:p>
    <w:p w14:paraId="13A93F62">
      <w:pPr>
        <w:jc w:val="center"/>
        <w:rPr>
          <w:rFonts w:ascii="宋体" w:hAnsi="宋体" w:cs="宋体"/>
          <w:b/>
          <w:color w:val="000000" w:themeColor="text1"/>
          <w:kern w:val="0"/>
          <w:sz w:val="32"/>
          <w:szCs w:val="32"/>
          <w14:textFill>
            <w14:solidFill>
              <w14:schemeClr w14:val="tx1"/>
            </w14:solidFill>
          </w14:textFill>
        </w:rPr>
      </w:pPr>
    </w:p>
    <w:p w14:paraId="4C4E4239">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五、评标标准相应的商务技术资料</w:t>
      </w:r>
    </w:p>
    <w:p w14:paraId="0665F254">
      <w:pPr>
        <w:snapToGrid w:val="0"/>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（按招标文件第四部分评标办法前附表中“投标文件中评标标准相应的商务技术资料目录”提供资料。）</w:t>
      </w:r>
    </w:p>
    <w:p w14:paraId="654DF97A">
      <w:pPr>
        <w:jc w:val="center"/>
        <w:rPr>
          <w:rFonts w:ascii="宋体" w:hAnsi="宋体" w:cs="宋体"/>
          <w:b/>
          <w:color w:val="000000" w:themeColor="text1"/>
          <w:kern w:val="0"/>
          <w:sz w:val="32"/>
          <w:szCs w:val="32"/>
          <w14:textFill>
            <w14:solidFill>
              <w14:schemeClr w14:val="tx1"/>
            </w14:solidFill>
          </w14:textFill>
        </w:rPr>
      </w:pPr>
    </w:p>
    <w:p w14:paraId="1DBF2360">
      <w:pPr>
        <w:jc w:val="center"/>
        <w:rPr>
          <w:rFonts w:ascii="宋体" w:hAnsi="宋体" w:cs="宋体"/>
          <w:b/>
          <w:color w:val="000000" w:themeColor="text1"/>
          <w:kern w:val="0"/>
          <w:sz w:val="32"/>
          <w:szCs w:val="32"/>
          <w14:textFill>
            <w14:solidFill>
              <w14:schemeClr w14:val="tx1"/>
            </w14:solidFill>
          </w14:textFill>
        </w:rPr>
      </w:pPr>
    </w:p>
    <w:p w14:paraId="4E3F8E10">
      <w:pPr>
        <w:jc w:val="center"/>
        <w:rPr>
          <w:rFonts w:ascii="宋体" w:hAnsi="宋体" w:cs="宋体"/>
          <w:b/>
          <w:color w:val="000000" w:themeColor="text1"/>
          <w:kern w:val="0"/>
          <w:sz w:val="32"/>
          <w:szCs w:val="32"/>
          <w14:textFill>
            <w14:solidFill>
              <w14:schemeClr w14:val="tx1"/>
            </w14:solidFill>
          </w14:textFill>
        </w:rPr>
      </w:pPr>
    </w:p>
    <w:p w14:paraId="2149FA22">
      <w:pPr>
        <w:ind w:firstLine="2891" w:firstLineChars="9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442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BB25684">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5DA2F46">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1073FC4A">
            <w:pPr>
              <w:spacing w:line="360" w:lineRule="auto"/>
              <w:jc w:val="center"/>
              <w:rPr>
                <w:rFonts w:ascii="宋体" w:hAnsi="宋体" w:cs="宋体"/>
                <w:b/>
                <w:color w:val="000000" w:themeColor="text1"/>
                <w:sz w:val="24"/>
                <w14:textFill>
                  <w14:solidFill>
                    <w14:schemeClr w14:val="tx1"/>
                  </w14:solidFill>
                </w14:textFill>
              </w:rPr>
            </w:pPr>
          </w:p>
          <w:p w14:paraId="12AA769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3D66026B">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B74E6F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98EB27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8AA9D4E">
            <w:pPr>
              <w:spacing w:line="360" w:lineRule="auto"/>
              <w:jc w:val="center"/>
              <w:rPr>
                <w:rFonts w:ascii="宋体" w:hAnsi="宋体" w:cs="宋体"/>
                <w:b/>
                <w:color w:val="000000" w:themeColor="text1"/>
                <w:sz w:val="24"/>
                <w14:textFill>
                  <w14:solidFill>
                    <w14:schemeClr w14:val="tx1"/>
                  </w14:solidFill>
                </w14:textFill>
              </w:rPr>
            </w:pPr>
          </w:p>
          <w:p w14:paraId="265B970D">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备注（如果有）</w:t>
            </w:r>
          </w:p>
          <w:p w14:paraId="346F78C0">
            <w:pPr>
              <w:spacing w:line="360" w:lineRule="auto"/>
              <w:jc w:val="center"/>
              <w:rPr>
                <w:rFonts w:ascii="宋体" w:hAnsi="宋体" w:cs="宋体"/>
                <w:b/>
                <w:color w:val="000000" w:themeColor="text1"/>
                <w:sz w:val="24"/>
                <w14:textFill>
                  <w14:solidFill>
                    <w14:schemeClr w14:val="tx1"/>
                  </w14:solidFill>
                </w14:textFill>
              </w:rPr>
            </w:pPr>
          </w:p>
        </w:tc>
      </w:tr>
      <w:tr w14:paraId="48FD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A73C4FF">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09F29572">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47C0A90E">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325232E">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49560BB9">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7FAE714E">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43664540">
            <w:pPr>
              <w:spacing w:line="360" w:lineRule="auto"/>
              <w:jc w:val="center"/>
              <w:rPr>
                <w:rFonts w:ascii="宋体" w:hAnsi="宋体" w:cs="宋体"/>
                <w:color w:val="000000" w:themeColor="text1"/>
                <w:sz w:val="24"/>
                <w14:textFill>
                  <w14:solidFill>
                    <w14:schemeClr w14:val="tx1"/>
                  </w14:solidFill>
                </w14:textFill>
              </w:rPr>
            </w:pPr>
          </w:p>
        </w:tc>
      </w:tr>
      <w:tr w14:paraId="0D2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DF23CF">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699F08C5">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44E2DE98">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297BE20">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693EFAA3">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48C99241">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2F103FCE">
            <w:pPr>
              <w:spacing w:line="360" w:lineRule="auto"/>
              <w:jc w:val="center"/>
              <w:rPr>
                <w:rFonts w:ascii="宋体" w:hAnsi="宋体" w:cs="宋体"/>
                <w:color w:val="000000" w:themeColor="text1"/>
                <w:sz w:val="24"/>
                <w14:textFill>
                  <w14:solidFill>
                    <w14:schemeClr w14:val="tx1"/>
                  </w14:solidFill>
                </w14:textFill>
              </w:rPr>
            </w:pPr>
          </w:p>
        </w:tc>
      </w:tr>
      <w:tr w14:paraId="74E0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D5024F4">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079020D0">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53F480F7">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46EAFB9">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48D4AC9C">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3B85DA63">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33298784">
            <w:pPr>
              <w:spacing w:line="360" w:lineRule="auto"/>
              <w:jc w:val="center"/>
              <w:rPr>
                <w:rFonts w:ascii="宋体" w:hAnsi="宋体" w:cs="宋体"/>
                <w:color w:val="000000" w:themeColor="text1"/>
                <w:sz w:val="24"/>
                <w14:textFill>
                  <w14:solidFill>
                    <w14:schemeClr w14:val="tx1"/>
                  </w14:solidFill>
                </w14:textFill>
              </w:rPr>
            </w:pPr>
          </w:p>
        </w:tc>
      </w:tr>
    </w:tbl>
    <w:p w14:paraId="5CC88C07">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E190C6D">
      <w:pPr>
        <w:jc w:val="center"/>
        <w:rPr>
          <w:rFonts w:ascii="宋体" w:hAnsi="宋体" w:cs="宋体"/>
          <w:b/>
          <w:color w:val="000000" w:themeColor="text1"/>
          <w:kern w:val="0"/>
          <w:sz w:val="32"/>
          <w:szCs w:val="32"/>
          <w14:textFill>
            <w14:solidFill>
              <w14:schemeClr w14:val="tx1"/>
            </w14:solidFill>
          </w14:textFill>
        </w:rPr>
      </w:pPr>
    </w:p>
    <w:p w14:paraId="17DEB7D7">
      <w:pPr>
        <w:jc w:val="center"/>
        <w:rPr>
          <w:rFonts w:ascii="宋体" w:hAnsi="宋体" w:cs="宋体"/>
          <w:b/>
          <w:color w:val="000000" w:themeColor="text1"/>
          <w:kern w:val="0"/>
          <w:sz w:val="32"/>
          <w:szCs w:val="32"/>
          <w14:textFill>
            <w14:solidFill>
              <w14:schemeClr w14:val="tx1"/>
            </w14:solidFill>
          </w14:textFill>
        </w:rPr>
      </w:pPr>
    </w:p>
    <w:p w14:paraId="31AE97B7">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5F8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6D4B47">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3683" w:type="dxa"/>
          </w:tcPr>
          <w:p w14:paraId="0A26DE9B">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招标文件章节及具体内容</w:t>
            </w:r>
          </w:p>
        </w:tc>
        <w:tc>
          <w:tcPr>
            <w:tcW w:w="3546" w:type="dxa"/>
          </w:tcPr>
          <w:p w14:paraId="31B699A2">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投标文件章节及具体内容</w:t>
            </w:r>
          </w:p>
        </w:tc>
        <w:tc>
          <w:tcPr>
            <w:tcW w:w="1276" w:type="dxa"/>
          </w:tcPr>
          <w:p w14:paraId="72DE7D1E">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偏离说明</w:t>
            </w:r>
          </w:p>
        </w:tc>
      </w:tr>
      <w:tr w14:paraId="5E00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608E02">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683" w:type="dxa"/>
          </w:tcPr>
          <w:p w14:paraId="4EE6F3D4">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554D8BA9">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5F778C50">
            <w:pPr>
              <w:jc w:val="center"/>
              <w:rPr>
                <w:rFonts w:ascii="宋体" w:hAnsi="宋体" w:cs="宋体"/>
                <w:b/>
                <w:color w:val="000000" w:themeColor="text1"/>
                <w:kern w:val="0"/>
                <w:sz w:val="32"/>
                <w:szCs w:val="32"/>
                <w14:textFill>
                  <w14:solidFill>
                    <w14:schemeClr w14:val="tx1"/>
                  </w14:solidFill>
                </w14:textFill>
              </w:rPr>
            </w:pPr>
          </w:p>
        </w:tc>
      </w:tr>
      <w:tr w14:paraId="7C65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7DE9B0">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683" w:type="dxa"/>
          </w:tcPr>
          <w:p w14:paraId="11C9532C">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2CF40B57">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05670470">
            <w:pPr>
              <w:jc w:val="center"/>
              <w:rPr>
                <w:rFonts w:ascii="宋体" w:hAnsi="宋体" w:cs="宋体"/>
                <w:b/>
                <w:color w:val="000000" w:themeColor="text1"/>
                <w:kern w:val="0"/>
                <w:sz w:val="32"/>
                <w:szCs w:val="32"/>
                <w14:textFill>
                  <w14:solidFill>
                    <w14:schemeClr w14:val="tx1"/>
                  </w14:solidFill>
                </w14:textFill>
              </w:rPr>
            </w:pPr>
          </w:p>
        </w:tc>
      </w:tr>
      <w:tr w14:paraId="4FB3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10D6C8">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83" w:type="dxa"/>
          </w:tcPr>
          <w:p w14:paraId="4C923661">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7A3481A0">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39921662">
            <w:pPr>
              <w:jc w:val="center"/>
              <w:rPr>
                <w:rFonts w:ascii="宋体" w:hAnsi="宋体" w:cs="宋体"/>
                <w:b/>
                <w:color w:val="000000" w:themeColor="text1"/>
                <w:kern w:val="0"/>
                <w:sz w:val="32"/>
                <w:szCs w:val="32"/>
                <w14:textFill>
                  <w14:solidFill>
                    <w14:schemeClr w14:val="tx1"/>
                  </w14:solidFill>
                </w14:textFill>
              </w:rPr>
            </w:pPr>
          </w:p>
        </w:tc>
      </w:tr>
    </w:tbl>
    <w:p w14:paraId="0C9BC43F">
      <w:pPr>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投标人保证：除商务技术偏离表列出的偏离外，投标人响应招标文件的全部要求</w:t>
      </w:r>
    </w:p>
    <w:p w14:paraId="266A2424">
      <w:pPr>
        <w:spacing w:line="360" w:lineRule="auto"/>
        <w:ind w:firstLine="3600" w:firstLineChars="1500"/>
        <w:rPr>
          <w:rFonts w:ascii="宋体" w:hAnsi="宋体" w:cs="宋体"/>
          <w:color w:val="000000" w:themeColor="text1"/>
          <w:sz w:val="24"/>
          <w14:textFill>
            <w14:solidFill>
              <w14:schemeClr w14:val="tx1"/>
            </w14:solidFill>
          </w14:textFill>
        </w:rPr>
      </w:pPr>
    </w:p>
    <w:p w14:paraId="110B9C40">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7B9C22CE">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4DC39201">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01E27D22">
      <w:pPr>
        <w:jc w:val="center"/>
        <w:rPr>
          <w:rFonts w:ascii="宋体" w:hAnsi="宋体" w:cs="宋体"/>
          <w:b/>
          <w:color w:val="000000" w:themeColor="text1"/>
          <w:kern w:val="0"/>
          <w:sz w:val="32"/>
          <w:szCs w:val="32"/>
          <w14:textFill>
            <w14:solidFill>
              <w14:schemeClr w14:val="tx1"/>
            </w14:solidFill>
          </w14:textFill>
        </w:rPr>
      </w:pPr>
    </w:p>
    <w:p w14:paraId="08BF209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6C586B96">
      <w:pPr>
        <w:ind w:firstLine="1911" w:firstLineChars="595"/>
        <w:rPr>
          <w:rFonts w:ascii="宋体" w:hAnsi="宋体" w:cs="宋体"/>
          <w:b/>
          <w:bCs/>
          <w:color w:val="000000" w:themeColor="text1"/>
          <w:sz w:val="32"/>
          <w:szCs w:val="32"/>
          <w14:textFill>
            <w14:solidFill>
              <w14:schemeClr w14:val="tx1"/>
            </w14:solidFill>
          </w14:textFill>
        </w:rPr>
      </w:pPr>
    </w:p>
    <w:p w14:paraId="4FEE7A81">
      <w:pPr>
        <w:widowControl/>
        <w:adjustRightInd/>
        <w:jc w:val="left"/>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74DB9154">
      <w:pPr>
        <w:ind w:firstLine="1911" w:firstLineChars="595"/>
        <w:rPr>
          <w:rFonts w:ascii="宋体" w:hAnsi="宋体" w:cs="宋体"/>
          <w:b/>
          <w:color w:val="000000" w:themeColor="text1"/>
          <w:kern w:val="0"/>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八</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政府采购供应商廉洁自律承诺书</w:t>
      </w:r>
    </w:p>
    <w:p w14:paraId="05B1F3A2">
      <w:pPr>
        <w:snapToGrid w:val="0"/>
        <w:spacing w:line="360" w:lineRule="auto"/>
        <w:rPr>
          <w:rFonts w:ascii="宋体" w:hAnsi="宋体" w:cs="宋体"/>
          <w:color w:val="000000" w:themeColor="text1"/>
          <w:sz w:val="24"/>
          <w14:textFill>
            <w14:solidFill>
              <w14:schemeClr w14:val="tx1"/>
            </w14:solidFill>
          </w14:textFill>
        </w:rPr>
      </w:pPr>
    </w:p>
    <w:p w14:paraId="5E19E9E3">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14359078">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我单位响应你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项目招标要求参加投标。在这次投标过程中和中标后，我们将严格遵守国家法律法规要求，并郑重承诺：</w:t>
      </w:r>
    </w:p>
    <w:p w14:paraId="4420E89A">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66CE9B75">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二、不为项目有关人员及部门报销应由你方单位或个人支付的费用； </w:t>
      </w:r>
    </w:p>
    <w:p w14:paraId="395450B6">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42DC513E">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四、不为项目有关人员及部门出国（境）、旅游等提供方便；</w:t>
      </w:r>
    </w:p>
    <w:p w14:paraId="3DD40219">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五、不为项目有关人员个人装修住房、婚丧嫁娶、配偶子女工作安排等提供</w:t>
      </w:r>
    </w:p>
    <w:p w14:paraId="7B61243C">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好处；</w:t>
      </w:r>
    </w:p>
    <w:p w14:paraId="55918D16">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六、严格遵守《</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政府采购法》《</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招标投标</w:t>
      </w:r>
    </w:p>
    <w:p w14:paraId="5A2A4C4E">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法》</w:t>
      </w:r>
      <w:r>
        <w:rPr>
          <w:rFonts w:hint="eastAsia" w:ascii="宋体" w:hAnsi="宋体" w:cs="宋体"/>
          <w:color w:val="000000" w:themeColor="text1"/>
          <w:sz w:val="24"/>
          <w:lang w:val="zh-CN"/>
          <w14:textFill>
            <w14:solidFill>
              <w14:schemeClr w14:val="tx1"/>
            </w14:solidFill>
          </w14:textFill>
        </w:rPr>
        <w:t>《中华人民共和国民法典》</w:t>
      </w:r>
      <w:r>
        <w:rPr>
          <w:rFonts w:hint="eastAsia" w:ascii="宋体" w:hAnsi="宋体" w:cs="宋体"/>
          <w:color w:val="000000" w:themeColor="text1"/>
          <w:kern w:val="0"/>
          <w:sz w:val="24"/>
          <w:lang w:val="zh-CN"/>
          <w14:textFill>
            <w14:solidFill>
              <w14:schemeClr w14:val="tx1"/>
            </w14:solidFill>
          </w14:textFill>
        </w:rPr>
        <w:t xml:space="preserve">等法律法规，诚实守信，合法经营，坚决抵制各种违法违纪行为。 </w:t>
      </w:r>
    </w:p>
    <w:p w14:paraId="1D9846D8">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如违反上述承诺，你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00FE3904">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6807DD6A">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7F361749">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6C2348A8">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1190F2C3">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5E0C1EF4">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62158C17">
      <w:pPr>
        <w:spacing w:line="360" w:lineRule="auto"/>
        <w:ind w:left="4620" w:leftChars="2200"/>
        <w:rPr>
          <w:rFonts w:ascii="宋体" w:hAnsi="宋体" w:cs="宋体"/>
          <w:color w:val="000000" w:themeColor="text1"/>
          <w:sz w:val="24"/>
          <w14:textFill>
            <w14:solidFill>
              <w14:schemeClr w14:val="tx1"/>
            </w14:solidFill>
          </w14:textFill>
        </w:rPr>
      </w:pPr>
    </w:p>
    <w:p w14:paraId="2B461F74">
      <w:pPr>
        <w:spacing w:line="360" w:lineRule="auto"/>
        <w:jc w:val="center"/>
        <w:rPr>
          <w:rFonts w:ascii="宋体" w:hAnsi="宋体" w:cs="宋体"/>
          <w:b/>
          <w:bCs/>
          <w:color w:val="000000" w:themeColor="text1"/>
          <w:sz w:val="24"/>
          <w14:textFill>
            <w14:solidFill>
              <w14:schemeClr w14:val="tx1"/>
            </w14:solidFill>
          </w14:textFill>
        </w:rPr>
      </w:pPr>
    </w:p>
    <w:p w14:paraId="783D2519">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5631032D">
      <w:pPr>
        <w:pStyle w:val="82"/>
        <w:rPr>
          <w:color w:val="000000" w:themeColor="text1"/>
          <w14:textFill>
            <w14:solidFill>
              <w14:schemeClr w14:val="tx1"/>
            </w14:solidFill>
          </w14:textFill>
        </w:rPr>
      </w:pPr>
    </w:p>
    <w:p w14:paraId="1292DD41">
      <w:pPr>
        <w:pStyle w:val="82"/>
        <w:rPr>
          <w:color w:val="000000" w:themeColor="text1"/>
          <w14:textFill>
            <w14:solidFill>
              <w14:schemeClr w14:val="tx1"/>
            </w14:solidFill>
          </w14:textFill>
        </w:rPr>
      </w:pPr>
    </w:p>
    <w:p w14:paraId="632772B9">
      <w:pPr>
        <w:jc w:val="center"/>
        <w:rPr>
          <w:rFonts w:ascii="宋体" w:hAnsi="宋体" w:cs="宋体"/>
          <w:b/>
          <w:color w:val="000000" w:themeColor="text1"/>
          <w:kern w:val="0"/>
          <w:sz w:val="32"/>
          <w:szCs w:val="2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九</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435235B5">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3447524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2BA89E0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我方作为本次采购项目的投标人，根据招标文件要求，现郑重承诺如下：</w:t>
      </w:r>
    </w:p>
    <w:p w14:paraId="1B61DCF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1DB8752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二、参加本次招标采购活动，不存在与单位负责人为同一人或者存在直接控股、管理关系的其他供应商参与同一合同项下的政府采购活动的行为。</w:t>
      </w:r>
    </w:p>
    <w:p w14:paraId="5714B5B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2CD1187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3D0BA31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五、投标文件中提供的能够给予我方带来优惠、好处的任何材料资料和技术、服务、商务、响应产品等响应承诺情况都是真实的、有效的、合法的。</w:t>
      </w:r>
    </w:p>
    <w:p w14:paraId="66C811F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0BAEC44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4929B66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八、参加本次招标采购活动，我方完全同意招标文件第二部分关于“投标费用”、“合同分包”、“合同转包”、“履约保证金”的实质性要求，并承诺严格按照招标文件要求履行。</w:t>
      </w:r>
    </w:p>
    <w:p w14:paraId="5D7BD43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029F8FD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我方对上述承诺的内容事项真实性负责。如经查实上述承诺的内容事项存在虚假，我方愿意接受以提供虚假材料谋取中标追究法律责任。</w:t>
      </w:r>
    </w:p>
    <w:p w14:paraId="101E60A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6A334354">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25EB7374">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2C51A78E">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420542B5">
      <w:pPr>
        <w:spacing w:line="360" w:lineRule="auto"/>
        <w:ind w:left="4620" w:leftChars="2200"/>
        <w:rPr>
          <w:rFonts w:ascii="宋体" w:hAnsi="宋体" w:cs="宋体"/>
          <w:color w:val="000000" w:themeColor="text1"/>
          <w:sz w:val="24"/>
          <w14:textFill>
            <w14:solidFill>
              <w14:schemeClr w14:val="tx1"/>
            </w14:solidFill>
          </w14:textFill>
        </w:rPr>
      </w:pPr>
    </w:p>
    <w:p w14:paraId="7697B238">
      <w:pPr>
        <w:spacing w:line="360" w:lineRule="auto"/>
        <w:jc w:val="center"/>
        <w:rPr>
          <w:rFonts w:ascii="宋体" w:hAnsi="宋体" w:cs="宋体"/>
          <w:b/>
          <w:bCs/>
          <w:color w:val="000000" w:themeColor="text1"/>
          <w:sz w:val="24"/>
          <w14:textFill>
            <w14:solidFill>
              <w14:schemeClr w14:val="tx1"/>
            </w14:solidFill>
          </w14:textFill>
        </w:rPr>
      </w:pPr>
    </w:p>
    <w:p w14:paraId="2A0BB3B7">
      <w:pPr>
        <w:spacing w:line="360" w:lineRule="auto"/>
        <w:ind w:righ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4D0C38E7">
      <w:pPr>
        <w:pStyle w:val="2"/>
      </w:pPr>
    </w:p>
    <w:p w14:paraId="13FF9072">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十、技术解决方案</w:t>
      </w:r>
    </w:p>
    <w:p w14:paraId="1271F172">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（由供应商根据采购需求及招标文件要求编制）</w:t>
      </w:r>
    </w:p>
    <w:p w14:paraId="1F99C871">
      <w:pPr>
        <w:spacing w:line="360" w:lineRule="auto"/>
        <w:jc w:val="center"/>
        <w:rPr>
          <w:rFonts w:hint="eastAsia" w:ascii="宋体" w:hAnsi="宋体" w:cs="宋体"/>
          <w:b/>
          <w:bCs/>
          <w:color w:val="000000" w:themeColor="text1"/>
          <w:sz w:val="24"/>
          <w14:textFill>
            <w14:solidFill>
              <w14:schemeClr w14:val="tx1"/>
            </w14:solidFill>
          </w14:textFill>
        </w:rPr>
      </w:pPr>
    </w:p>
    <w:p w14:paraId="6C97AA48">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投标人名称（公章）：                       </w:t>
      </w:r>
    </w:p>
    <w:p w14:paraId="4168F088">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日期：  年  月   日</w:t>
      </w:r>
    </w:p>
    <w:p w14:paraId="069A4BC4">
      <w:pPr>
        <w:spacing w:line="360" w:lineRule="auto"/>
        <w:jc w:val="center"/>
        <w:rPr>
          <w:rFonts w:hint="eastAsia" w:ascii="宋体" w:hAnsi="宋体" w:cs="宋体"/>
          <w:b/>
          <w:bCs/>
          <w:color w:val="000000" w:themeColor="text1"/>
          <w:sz w:val="24"/>
          <w14:textFill>
            <w14:solidFill>
              <w14:schemeClr w14:val="tx1"/>
            </w14:solidFill>
          </w14:textFill>
        </w:rPr>
      </w:pPr>
    </w:p>
    <w:p w14:paraId="6D795C43">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十一、组织实施方案</w:t>
      </w:r>
    </w:p>
    <w:p w14:paraId="615ED12D">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（由供应商根据采购需求及招标文件要求编制）</w:t>
      </w:r>
    </w:p>
    <w:p w14:paraId="4017E41C">
      <w:pPr>
        <w:spacing w:line="360" w:lineRule="auto"/>
        <w:jc w:val="center"/>
        <w:rPr>
          <w:rFonts w:hint="eastAsia" w:ascii="宋体" w:hAnsi="宋体" w:cs="宋体"/>
          <w:b/>
          <w:bCs/>
          <w:color w:val="000000" w:themeColor="text1"/>
          <w:sz w:val="24"/>
          <w14:textFill>
            <w14:solidFill>
              <w14:schemeClr w14:val="tx1"/>
            </w14:solidFill>
          </w14:textFill>
        </w:rPr>
      </w:pPr>
    </w:p>
    <w:p w14:paraId="3F051831">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投标人名称（公章）：                       </w:t>
      </w:r>
    </w:p>
    <w:p w14:paraId="00547261">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日期：  年  月   日</w:t>
      </w:r>
    </w:p>
    <w:p w14:paraId="7632C704">
      <w:pPr>
        <w:spacing w:line="360" w:lineRule="auto"/>
        <w:jc w:val="center"/>
        <w:rPr>
          <w:rFonts w:hint="eastAsia" w:ascii="宋体" w:hAnsi="宋体" w:cs="宋体"/>
          <w:b/>
          <w:bCs/>
          <w:color w:val="000000" w:themeColor="text1"/>
          <w:sz w:val="24"/>
          <w14:textFill>
            <w14:solidFill>
              <w14:schemeClr w14:val="tx1"/>
            </w14:solidFill>
          </w14:textFill>
        </w:rPr>
      </w:pPr>
    </w:p>
    <w:p w14:paraId="4E7E6A02">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十二、售后服务方案</w:t>
      </w:r>
    </w:p>
    <w:p w14:paraId="1C650A59">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（由供应商根据采购需求及招标文件要求编制）</w:t>
      </w:r>
    </w:p>
    <w:p w14:paraId="72679EDD">
      <w:pPr>
        <w:spacing w:line="360" w:lineRule="auto"/>
        <w:jc w:val="center"/>
        <w:rPr>
          <w:rFonts w:hint="eastAsia" w:ascii="宋体" w:hAnsi="宋体" w:cs="宋体"/>
          <w:b/>
          <w:bCs/>
          <w:color w:val="000000" w:themeColor="text1"/>
          <w:sz w:val="24"/>
          <w14:textFill>
            <w14:solidFill>
              <w14:schemeClr w14:val="tx1"/>
            </w14:solidFill>
          </w14:textFill>
        </w:rPr>
      </w:pPr>
    </w:p>
    <w:p w14:paraId="0BEB247F">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投标人名称（公章）：                       </w:t>
      </w:r>
    </w:p>
    <w:p w14:paraId="5BE179DC">
      <w:pPr>
        <w:spacing w:line="360" w:lineRule="auto"/>
        <w:jc w:val="center"/>
        <w:rPr>
          <w:rFonts w:ascii="宋体" w:hAnsi="宋体" w:cs="宋体"/>
          <w:b/>
          <w:bCs/>
          <w:color w:val="000000" w:themeColor="text1"/>
          <w:sz w:val="24"/>
          <w14:textFill>
            <w14:solidFill>
              <w14:schemeClr w14:val="tx1"/>
            </w14:solidFill>
          </w14:textFill>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r>
        <w:rPr>
          <w:rFonts w:hint="eastAsia" w:ascii="宋体" w:hAnsi="宋体" w:cs="宋体"/>
          <w:b/>
          <w:bCs/>
          <w:color w:val="000000" w:themeColor="text1"/>
          <w:sz w:val="24"/>
          <w14:textFill>
            <w14:solidFill>
              <w14:schemeClr w14:val="tx1"/>
            </w14:solidFill>
          </w14:textFill>
        </w:rPr>
        <w:t xml:space="preserve">                                      日期：  年  月   日</w:t>
      </w:r>
    </w:p>
    <w:p w14:paraId="29700C75">
      <w:pPr>
        <w:spacing w:line="360" w:lineRule="auto"/>
        <w:jc w:val="center"/>
        <w:rPr>
          <w:rFonts w:hint="eastAsia" w:ascii="宋体" w:hAnsi="宋体" w:cs="宋体"/>
          <w:b/>
          <w:color w:val="000000" w:themeColor="text1"/>
          <w:kern w:val="0"/>
          <w:sz w:val="36"/>
          <w:szCs w:val="36"/>
          <w14:textFill>
            <w14:solidFill>
              <w14:schemeClr w14:val="tx1"/>
            </w14:solidFill>
          </w14:textFill>
        </w:rPr>
      </w:pPr>
    </w:p>
    <w:p w14:paraId="15CA1051">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报价文件部分</w:t>
      </w:r>
    </w:p>
    <w:p w14:paraId="2CA24226">
      <w:pPr>
        <w:spacing w:line="360" w:lineRule="auto"/>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6B741D97">
      <w:pPr>
        <w:spacing w:line="360" w:lineRule="auto"/>
        <w:jc w:val="center"/>
        <w:rPr>
          <w:rFonts w:ascii="宋体" w:hAnsi="宋体" w:cs="宋体"/>
          <w:b/>
          <w:color w:val="000000" w:themeColor="text1"/>
          <w:kern w:val="0"/>
          <w:sz w:val="36"/>
          <w:szCs w:val="36"/>
          <w14:textFill>
            <w14:solidFill>
              <w14:schemeClr w14:val="tx1"/>
            </w14:solidFill>
          </w14:textFill>
        </w:rPr>
      </w:pPr>
    </w:p>
    <w:p w14:paraId="141CC9D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（1）开标一览表（报价表）………………………………………………………（页码）</w:t>
      </w:r>
    </w:p>
    <w:p w14:paraId="25B8D91D">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（2）中小企业声明函………………………………………………………………（页码）</w:t>
      </w:r>
    </w:p>
    <w:p w14:paraId="4BDBDAA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0"/>
          <w14:textFill>
            <w14:solidFill>
              <w14:schemeClr w14:val="tx1"/>
            </w14:solidFill>
          </w14:textFill>
        </w:rPr>
        <w:t>▲”是实质性条款，必须提供，否则投标无效。</w:t>
      </w:r>
    </w:p>
    <w:p w14:paraId="038162B7">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79598C1">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5EA7616">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30CA350">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E59CECA">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8E51081">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6397236">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A268E3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2AEDA9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0A1A1D17">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2D2E841">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8152EE3">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E245DF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0BEC30E0">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4E656AB">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59CE476">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4A268E4A">
      <w:pPr>
        <w:pStyle w:val="82"/>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一、开标一览表（报价表）</w:t>
      </w:r>
    </w:p>
    <w:p w14:paraId="5ED58A8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58BDB75E">
      <w:pPr>
        <w:snapToGrid w:val="0"/>
        <w:spacing w:line="360" w:lineRule="auto"/>
        <w:ind w:firstLine="482"/>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kern w:val="0"/>
          <w:sz w:val="24"/>
          <w:lang w:val="zh-CN"/>
          <w14:textFill>
            <w14:solidFill>
              <w14:schemeClr w14:val="tx1"/>
            </w14:solidFill>
          </w14:textFill>
        </w:rPr>
        <w:t>【招标编号：</w:t>
      </w:r>
      <w:r>
        <w:rPr>
          <w:rFonts w:hint="eastAsia" w:ascii="宋体" w:hAnsi="宋体" w:cs="宋体"/>
          <w:color w:val="000000" w:themeColor="text1"/>
          <w:sz w:val="24"/>
          <w14:textFill>
            <w14:solidFill>
              <w14:schemeClr w14:val="tx1"/>
            </w14:solidFill>
          </w14:textFill>
        </w:rPr>
        <w:t>（采购编号）】的实施</w:t>
      </w:r>
      <w:r>
        <w:rPr>
          <w:rFonts w:hint="eastAsia" w:ascii="宋体" w:hAnsi="宋体" w:cs="宋体"/>
          <w:color w:val="000000" w:themeColor="text1"/>
          <w:kern w:val="0"/>
          <w:sz w:val="24"/>
          <w:lang w:val="zh-CN"/>
          <w14:textFill>
            <w14:solidFill>
              <w14:schemeClr w14:val="tx1"/>
            </w14:solidFill>
          </w14:textFill>
        </w:rPr>
        <w:t>。</w:t>
      </w:r>
    </w:p>
    <w:p w14:paraId="71EB06B3">
      <w:pPr>
        <w:spacing w:line="360" w:lineRule="auto"/>
        <w:jc w:val="center"/>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2CDC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AEF69F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992" w:type="dxa"/>
            <w:vAlign w:val="center"/>
          </w:tcPr>
          <w:p w14:paraId="752900E7">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2268" w:type="dxa"/>
          </w:tcPr>
          <w:p w14:paraId="41DF24C6">
            <w:pPr>
              <w:spacing w:line="360" w:lineRule="auto"/>
              <w:jc w:val="center"/>
              <w:rPr>
                <w:rFonts w:ascii="宋体" w:hAnsi="宋体" w:cs="宋体"/>
                <w:b/>
                <w:color w:val="000000" w:themeColor="text1"/>
                <w:sz w:val="24"/>
                <w14:textFill>
                  <w14:solidFill>
                    <w14:schemeClr w14:val="tx1"/>
                  </w14:solidFill>
                </w14:textFill>
              </w:rPr>
            </w:pPr>
          </w:p>
          <w:p w14:paraId="5C453DF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服务范围</w:t>
            </w:r>
          </w:p>
        </w:tc>
        <w:tc>
          <w:tcPr>
            <w:tcW w:w="2410" w:type="dxa"/>
            <w:vAlign w:val="center"/>
          </w:tcPr>
          <w:p w14:paraId="68B957EE">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服务要求</w:t>
            </w:r>
          </w:p>
        </w:tc>
        <w:tc>
          <w:tcPr>
            <w:tcW w:w="2268" w:type="dxa"/>
            <w:vAlign w:val="center"/>
          </w:tcPr>
          <w:p w14:paraId="6D21D0B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服务时间</w:t>
            </w:r>
          </w:p>
        </w:tc>
        <w:tc>
          <w:tcPr>
            <w:tcW w:w="2126" w:type="dxa"/>
            <w:vAlign w:val="center"/>
          </w:tcPr>
          <w:p w14:paraId="3E31C1F3">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服务标准</w:t>
            </w:r>
          </w:p>
        </w:tc>
        <w:tc>
          <w:tcPr>
            <w:tcW w:w="2127" w:type="dxa"/>
          </w:tcPr>
          <w:p w14:paraId="5E96E1BB">
            <w:pPr>
              <w:spacing w:line="360" w:lineRule="auto"/>
              <w:jc w:val="center"/>
              <w:rPr>
                <w:rFonts w:ascii="宋体" w:hAnsi="宋体" w:cs="宋体"/>
                <w:b/>
                <w:color w:val="000000" w:themeColor="text1"/>
                <w:sz w:val="24"/>
                <w14:textFill>
                  <w14:solidFill>
                    <w14:schemeClr w14:val="tx1"/>
                  </w14:solidFill>
                </w14:textFill>
              </w:rPr>
            </w:pPr>
          </w:p>
          <w:p w14:paraId="3185B1B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服务人数</w:t>
            </w:r>
          </w:p>
        </w:tc>
        <w:tc>
          <w:tcPr>
            <w:tcW w:w="2126" w:type="dxa"/>
            <w:vAlign w:val="center"/>
          </w:tcPr>
          <w:p w14:paraId="73A3604C">
            <w:pPr>
              <w:spacing w:line="360" w:lineRule="auto"/>
              <w:jc w:val="center"/>
              <w:rPr>
                <w:rFonts w:ascii="宋体" w:hAnsi="宋体" w:cs="宋体"/>
                <w:b/>
                <w:color w:val="000000" w:themeColor="text1"/>
                <w:sz w:val="24"/>
                <w14:textFill>
                  <w14:solidFill>
                    <w14:schemeClr w14:val="tx1"/>
                  </w14:solidFill>
                </w14:textFill>
              </w:rPr>
            </w:pPr>
          </w:p>
          <w:p w14:paraId="722D269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备注（如果有）</w:t>
            </w:r>
          </w:p>
          <w:p w14:paraId="3413F1D2">
            <w:pPr>
              <w:spacing w:line="360" w:lineRule="auto"/>
              <w:jc w:val="center"/>
              <w:rPr>
                <w:rFonts w:ascii="宋体" w:hAnsi="宋体" w:cs="宋体"/>
                <w:b/>
                <w:color w:val="000000" w:themeColor="text1"/>
                <w:sz w:val="24"/>
                <w14:textFill>
                  <w14:solidFill>
                    <w14:schemeClr w14:val="tx1"/>
                  </w14:solidFill>
                </w14:textFill>
              </w:rPr>
            </w:pPr>
          </w:p>
        </w:tc>
      </w:tr>
      <w:tr w14:paraId="5DE3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71E6EA9">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92" w:type="dxa"/>
            <w:vAlign w:val="center"/>
          </w:tcPr>
          <w:p w14:paraId="4BCF0AF0">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w:t>
            </w:r>
            <w:r>
              <w:rPr>
                <w:rFonts w:ascii="宋体" w:hAnsi="宋体" w:cs="宋体"/>
                <w:color w:val="000000" w:themeColor="text1"/>
                <w:sz w:val="24"/>
                <w14:textFill>
                  <w14:solidFill>
                    <w14:schemeClr w14:val="tx1"/>
                  </w14:solidFill>
                </w14:textFill>
              </w:rPr>
              <w:t>X</w:t>
            </w:r>
          </w:p>
        </w:tc>
        <w:tc>
          <w:tcPr>
            <w:tcW w:w="2268" w:type="dxa"/>
            <w:vAlign w:val="center"/>
          </w:tcPr>
          <w:p w14:paraId="3F5ADF86">
            <w:pPr>
              <w:snapToGrid w:val="0"/>
              <w:spacing w:line="360" w:lineRule="auto"/>
              <w:jc w:val="center"/>
              <w:rPr>
                <w:rFonts w:ascii="宋体" w:hAnsi="宋体" w:cs="宋体"/>
                <w:color w:val="000000" w:themeColor="text1"/>
                <w:sz w:val="24"/>
                <w14:textFill>
                  <w14:solidFill>
                    <w14:schemeClr w14:val="tx1"/>
                  </w14:solidFill>
                </w14:textFill>
              </w:rPr>
            </w:pPr>
          </w:p>
        </w:tc>
        <w:tc>
          <w:tcPr>
            <w:tcW w:w="2410" w:type="dxa"/>
            <w:vAlign w:val="center"/>
          </w:tcPr>
          <w:p w14:paraId="3F4763BD">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2756C4EB">
            <w:pPr>
              <w:snapToGrid w:val="0"/>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3B97403D">
            <w:pPr>
              <w:spacing w:line="360" w:lineRule="auto"/>
              <w:jc w:val="center"/>
              <w:rPr>
                <w:rFonts w:ascii="宋体" w:hAnsi="宋体" w:cs="宋体"/>
                <w:color w:val="000000" w:themeColor="text1"/>
                <w:sz w:val="24"/>
                <w14:textFill>
                  <w14:solidFill>
                    <w14:schemeClr w14:val="tx1"/>
                  </w14:solidFill>
                </w14:textFill>
              </w:rPr>
            </w:pPr>
          </w:p>
        </w:tc>
        <w:tc>
          <w:tcPr>
            <w:tcW w:w="2127" w:type="dxa"/>
          </w:tcPr>
          <w:p w14:paraId="0AA5E98C">
            <w:pPr>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027462D1">
            <w:pPr>
              <w:spacing w:line="360" w:lineRule="auto"/>
              <w:jc w:val="center"/>
              <w:rPr>
                <w:rFonts w:ascii="宋体" w:hAnsi="宋体" w:cs="宋体"/>
                <w:color w:val="000000" w:themeColor="text1"/>
                <w:sz w:val="24"/>
                <w14:textFill>
                  <w14:solidFill>
                    <w14:schemeClr w14:val="tx1"/>
                  </w14:solidFill>
                </w14:textFill>
              </w:rPr>
            </w:pPr>
          </w:p>
        </w:tc>
      </w:tr>
      <w:tr w14:paraId="6698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F73DE6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92" w:type="dxa"/>
            <w:vAlign w:val="center"/>
          </w:tcPr>
          <w:p w14:paraId="2969F8B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w:t>
            </w:r>
            <w:r>
              <w:rPr>
                <w:rFonts w:ascii="宋体" w:hAnsi="宋体" w:cs="宋体"/>
                <w:color w:val="000000" w:themeColor="text1"/>
                <w:sz w:val="24"/>
                <w14:textFill>
                  <w14:solidFill>
                    <w14:schemeClr w14:val="tx1"/>
                  </w14:solidFill>
                </w14:textFill>
              </w:rPr>
              <w:t>X</w:t>
            </w:r>
          </w:p>
        </w:tc>
        <w:tc>
          <w:tcPr>
            <w:tcW w:w="2268" w:type="dxa"/>
            <w:vAlign w:val="center"/>
          </w:tcPr>
          <w:p w14:paraId="77163B43">
            <w:pPr>
              <w:snapToGrid w:val="0"/>
              <w:spacing w:line="360" w:lineRule="auto"/>
              <w:jc w:val="center"/>
              <w:rPr>
                <w:rFonts w:ascii="宋体" w:hAnsi="宋体" w:cs="宋体"/>
                <w:color w:val="000000" w:themeColor="text1"/>
                <w:sz w:val="24"/>
                <w14:textFill>
                  <w14:solidFill>
                    <w14:schemeClr w14:val="tx1"/>
                  </w14:solidFill>
                </w14:textFill>
              </w:rPr>
            </w:pPr>
          </w:p>
        </w:tc>
        <w:tc>
          <w:tcPr>
            <w:tcW w:w="2410" w:type="dxa"/>
            <w:vAlign w:val="center"/>
          </w:tcPr>
          <w:p w14:paraId="5DC902CE">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645B871D">
            <w:pPr>
              <w:snapToGrid w:val="0"/>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647BD886">
            <w:pPr>
              <w:spacing w:line="360" w:lineRule="auto"/>
              <w:jc w:val="center"/>
              <w:rPr>
                <w:rFonts w:ascii="宋体" w:hAnsi="宋体" w:cs="宋体"/>
                <w:color w:val="000000" w:themeColor="text1"/>
                <w:sz w:val="24"/>
                <w14:textFill>
                  <w14:solidFill>
                    <w14:schemeClr w14:val="tx1"/>
                  </w14:solidFill>
                </w14:textFill>
              </w:rPr>
            </w:pPr>
          </w:p>
        </w:tc>
        <w:tc>
          <w:tcPr>
            <w:tcW w:w="2127" w:type="dxa"/>
          </w:tcPr>
          <w:p w14:paraId="3D0ADED9">
            <w:pPr>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2E478994">
            <w:pPr>
              <w:spacing w:line="360" w:lineRule="auto"/>
              <w:jc w:val="center"/>
              <w:rPr>
                <w:rFonts w:ascii="宋体" w:hAnsi="宋体" w:cs="宋体"/>
                <w:color w:val="000000" w:themeColor="text1"/>
                <w:sz w:val="24"/>
                <w14:textFill>
                  <w14:solidFill>
                    <w14:schemeClr w14:val="tx1"/>
                  </w14:solidFill>
                </w14:textFill>
              </w:rPr>
            </w:pPr>
          </w:p>
        </w:tc>
      </w:tr>
      <w:tr w14:paraId="4B57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A45C41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992" w:type="dxa"/>
            <w:vAlign w:val="center"/>
          </w:tcPr>
          <w:p w14:paraId="39146C90">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3D8A95DD">
            <w:pPr>
              <w:snapToGrid w:val="0"/>
              <w:spacing w:line="360" w:lineRule="auto"/>
              <w:jc w:val="center"/>
              <w:rPr>
                <w:rFonts w:ascii="宋体" w:hAnsi="宋体" w:cs="宋体"/>
                <w:color w:val="000000" w:themeColor="text1"/>
                <w:sz w:val="24"/>
                <w14:textFill>
                  <w14:solidFill>
                    <w14:schemeClr w14:val="tx1"/>
                  </w14:solidFill>
                </w14:textFill>
              </w:rPr>
            </w:pPr>
          </w:p>
        </w:tc>
        <w:tc>
          <w:tcPr>
            <w:tcW w:w="2410" w:type="dxa"/>
            <w:vAlign w:val="center"/>
          </w:tcPr>
          <w:p w14:paraId="78E5960C">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4D59BFD7">
            <w:pPr>
              <w:snapToGrid w:val="0"/>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65433DA3">
            <w:pPr>
              <w:spacing w:line="360" w:lineRule="auto"/>
              <w:jc w:val="center"/>
              <w:rPr>
                <w:rFonts w:ascii="宋体" w:hAnsi="宋体" w:cs="宋体"/>
                <w:color w:val="000000" w:themeColor="text1"/>
                <w:sz w:val="24"/>
                <w14:textFill>
                  <w14:solidFill>
                    <w14:schemeClr w14:val="tx1"/>
                  </w14:solidFill>
                </w14:textFill>
              </w:rPr>
            </w:pPr>
          </w:p>
        </w:tc>
        <w:tc>
          <w:tcPr>
            <w:tcW w:w="2127" w:type="dxa"/>
          </w:tcPr>
          <w:p w14:paraId="767EFFF8">
            <w:pPr>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0AB257F2">
            <w:pPr>
              <w:spacing w:line="360" w:lineRule="auto"/>
              <w:jc w:val="center"/>
              <w:rPr>
                <w:rFonts w:ascii="宋体" w:hAnsi="宋体" w:cs="宋体"/>
                <w:color w:val="000000" w:themeColor="text1"/>
                <w:sz w:val="24"/>
                <w14:textFill>
                  <w14:solidFill>
                    <w14:schemeClr w14:val="tx1"/>
                  </w14:solidFill>
                </w14:textFill>
              </w:rPr>
            </w:pPr>
          </w:p>
        </w:tc>
      </w:tr>
      <w:tr w14:paraId="6C83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9DE591F">
            <w:pPr>
              <w:spacing w:line="360" w:lineRule="auto"/>
              <w:jc w:val="center"/>
              <w:rPr>
                <w:rFonts w:ascii="宋体" w:hAnsi="宋体" w:cs="宋体"/>
                <w:color w:val="000000" w:themeColor="text1"/>
                <w:sz w:val="24"/>
                <w14:textFill>
                  <w14:solidFill>
                    <w14:schemeClr w14:val="tx1"/>
                  </w14:solidFill>
                </w14:textFill>
              </w:rPr>
            </w:pPr>
          </w:p>
        </w:tc>
        <w:tc>
          <w:tcPr>
            <w:tcW w:w="992" w:type="dxa"/>
            <w:vAlign w:val="center"/>
          </w:tcPr>
          <w:p w14:paraId="5CE1EE77">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5E4F7CE4">
            <w:pPr>
              <w:snapToGrid w:val="0"/>
              <w:spacing w:line="360" w:lineRule="auto"/>
              <w:jc w:val="center"/>
              <w:rPr>
                <w:rFonts w:ascii="宋体" w:hAnsi="宋体" w:cs="宋体"/>
                <w:color w:val="000000" w:themeColor="text1"/>
                <w:sz w:val="24"/>
                <w14:textFill>
                  <w14:solidFill>
                    <w14:schemeClr w14:val="tx1"/>
                  </w14:solidFill>
                </w14:textFill>
              </w:rPr>
            </w:pPr>
          </w:p>
        </w:tc>
        <w:tc>
          <w:tcPr>
            <w:tcW w:w="2410" w:type="dxa"/>
            <w:vAlign w:val="center"/>
          </w:tcPr>
          <w:p w14:paraId="0C01B984">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17A651F5">
            <w:pPr>
              <w:snapToGrid w:val="0"/>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70B6D9C0">
            <w:pPr>
              <w:spacing w:line="360" w:lineRule="auto"/>
              <w:jc w:val="center"/>
              <w:rPr>
                <w:rFonts w:ascii="宋体" w:hAnsi="宋体" w:cs="宋体"/>
                <w:color w:val="000000" w:themeColor="text1"/>
                <w:sz w:val="24"/>
                <w14:textFill>
                  <w14:solidFill>
                    <w14:schemeClr w14:val="tx1"/>
                  </w14:solidFill>
                </w14:textFill>
              </w:rPr>
            </w:pPr>
          </w:p>
        </w:tc>
        <w:tc>
          <w:tcPr>
            <w:tcW w:w="2127" w:type="dxa"/>
          </w:tcPr>
          <w:p w14:paraId="79E74435">
            <w:pPr>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4313FC29">
            <w:pPr>
              <w:spacing w:line="360" w:lineRule="auto"/>
              <w:jc w:val="center"/>
              <w:rPr>
                <w:rFonts w:ascii="宋体" w:hAnsi="宋体" w:cs="宋体"/>
                <w:color w:val="000000" w:themeColor="text1"/>
                <w:sz w:val="24"/>
                <w14:textFill>
                  <w14:solidFill>
                    <w14:schemeClr w14:val="tx1"/>
                  </w14:solidFill>
                </w14:textFill>
              </w:rPr>
            </w:pPr>
          </w:p>
        </w:tc>
      </w:tr>
      <w:tr w14:paraId="594D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2548844">
            <w:pPr>
              <w:spacing w:line="360" w:lineRule="auto"/>
              <w:jc w:val="center"/>
              <w:rPr>
                <w:rFonts w:ascii="宋体" w:hAnsi="宋体" w:cs="宋体"/>
                <w:color w:val="000000" w:themeColor="text1"/>
                <w:sz w:val="24"/>
                <w14:textFill>
                  <w14:solidFill>
                    <w14:schemeClr w14:val="tx1"/>
                  </w14:solidFill>
                </w14:textFill>
              </w:rPr>
            </w:pPr>
          </w:p>
        </w:tc>
        <w:tc>
          <w:tcPr>
            <w:tcW w:w="992" w:type="dxa"/>
            <w:vAlign w:val="center"/>
          </w:tcPr>
          <w:p w14:paraId="68AB92B9">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31EF8BE7">
            <w:pPr>
              <w:snapToGrid w:val="0"/>
              <w:spacing w:line="360" w:lineRule="auto"/>
              <w:jc w:val="center"/>
              <w:rPr>
                <w:rFonts w:ascii="宋体" w:hAnsi="宋体" w:cs="宋体"/>
                <w:color w:val="000000" w:themeColor="text1"/>
                <w:sz w:val="24"/>
                <w14:textFill>
                  <w14:solidFill>
                    <w14:schemeClr w14:val="tx1"/>
                  </w14:solidFill>
                </w14:textFill>
              </w:rPr>
            </w:pPr>
          </w:p>
        </w:tc>
        <w:tc>
          <w:tcPr>
            <w:tcW w:w="2410" w:type="dxa"/>
            <w:vAlign w:val="center"/>
          </w:tcPr>
          <w:p w14:paraId="0A84DFBB">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1EFDDC93">
            <w:pPr>
              <w:snapToGrid w:val="0"/>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66A0D0EF">
            <w:pPr>
              <w:spacing w:line="360" w:lineRule="auto"/>
              <w:jc w:val="center"/>
              <w:rPr>
                <w:rFonts w:ascii="宋体" w:hAnsi="宋体" w:cs="宋体"/>
                <w:color w:val="000000" w:themeColor="text1"/>
                <w:sz w:val="24"/>
                <w14:textFill>
                  <w14:solidFill>
                    <w14:schemeClr w14:val="tx1"/>
                  </w14:solidFill>
                </w14:textFill>
              </w:rPr>
            </w:pPr>
          </w:p>
        </w:tc>
        <w:tc>
          <w:tcPr>
            <w:tcW w:w="2127" w:type="dxa"/>
          </w:tcPr>
          <w:p w14:paraId="0C1F879F">
            <w:pPr>
              <w:spacing w:line="360" w:lineRule="auto"/>
              <w:jc w:val="center"/>
              <w:rPr>
                <w:rFonts w:ascii="宋体" w:hAnsi="宋体" w:cs="宋体"/>
                <w:color w:val="000000" w:themeColor="text1"/>
                <w:sz w:val="24"/>
                <w14:textFill>
                  <w14:solidFill>
                    <w14:schemeClr w14:val="tx1"/>
                  </w14:solidFill>
                </w14:textFill>
              </w:rPr>
            </w:pPr>
          </w:p>
        </w:tc>
        <w:tc>
          <w:tcPr>
            <w:tcW w:w="2126" w:type="dxa"/>
            <w:vAlign w:val="center"/>
          </w:tcPr>
          <w:p w14:paraId="059D7163">
            <w:pPr>
              <w:spacing w:line="360" w:lineRule="auto"/>
              <w:jc w:val="center"/>
              <w:rPr>
                <w:rFonts w:ascii="宋体" w:hAnsi="宋体" w:cs="宋体"/>
                <w:color w:val="000000" w:themeColor="text1"/>
                <w:sz w:val="24"/>
                <w14:textFill>
                  <w14:solidFill>
                    <w14:schemeClr w14:val="tx1"/>
                  </w14:solidFill>
                </w14:textFill>
              </w:rPr>
            </w:pPr>
          </w:p>
        </w:tc>
      </w:tr>
      <w:tr w14:paraId="1ACB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BAFFAE4">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投标报价（小写）</w:t>
            </w:r>
          </w:p>
        </w:tc>
        <w:tc>
          <w:tcPr>
            <w:tcW w:w="8647" w:type="dxa"/>
            <w:gridSpan w:val="4"/>
          </w:tcPr>
          <w:p w14:paraId="4A72EC9D">
            <w:pPr>
              <w:spacing w:line="360" w:lineRule="auto"/>
              <w:jc w:val="center"/>
              <w:rPr>
                <w:rFonts w:ascii="宋体" w:hAnsi="宋体" w:cs="宋体"/>
                <w:color w:val="000000" w:themeColor="text1"/>
                <w:sz w:val="24"/>
                <w14:textFill>
                  <w14:solidFill>
                    <w14:schemeClr w14:val="tx1"/>
                  </w14:solidFill>
                </w14:textFill>
              </w:rPr>
            </w:pPr>
          </w:p>
        </w:tc>
      </w:tr>
      <w:tr w14:paraId="1B62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219051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投标报价（大写）</w:t>
            </w:r>
          </w:p>
        </w:tc>
        <w:tc>
          <w:tcPr>
            <w:tcW w:w="8647" w:type="dxa"/>
            <w:gridSpan w:val="4"/>
          </w:tcPr>
          <w:p w14:paraId="40BA8F27">
            <w:pPr>
              <w:spacing w:line="360" w:lineRule="auto"/>
              <w:jc w:val="center"/>
              <w:rPr>
                <w:rFonts w:ascii="宋体" w:hAnsi="宋体" w:cs="宋体"/>
                <w:color w:val="000000" w:themeColor="text1"/>
                <w:sz w:val="24"/>
                <w14:textFill>
                  <w14:solidFill>
                    <w14:schemeClr w14:val="tx1"/>
                  </w14:solidFill>
                </w14:textFill>
              </w:rPr>
            </w:pPr>
          </w:p>
        </w:tc>
      </w:tr>
    </w:tbl>
    <w:p w14:paraId="3D18FAA9">
      <w:pPr>
        <w:snapToGrid w:val="0"/>
        <w:spacing w:line="360" w:lineRule="auto"/>
        <w:ind w:left="480"/>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注：</w:t>
      </w:r>
    </w:p>
    <w:p w14:paraId="24B76A5C">
      <w:pPr>
        <w:spacing w:line="360" w:lineRule="auto"/>
        <w:ind w:left="-2" w:leftChars="-1"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1、投标人需按本表格式填写</w:t>
      </w:r>
      <w:r>
        <w:rPr>
          <w:rFonts w:hint="eastAsia" w:ascii="宋体" w:hAnsi="宋体" w:cs="宋体"/>
          <w:b/>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否则视为</w:t>
      </w:r>
      <w:r>
        <w:rPr>
          <w:rFonts w:hint="eastAsia" w:ascii="宋体" w:hAnsi="宋体" w:cs="宋体"/>
          <w:b/>
          <w:color w:val="000000" w:themeColor="text1"/>
          <w:sz w:val="24"/>
          <w14:textFill>
            <w14:solidFill>
              <w14:schemeClr w14:val="tx1"/>
            </w14:solidFill>
          </w14:textFill>
        </w:rPr>
        <w:t>投标文件含有采购人不能接受的附加条件，投标无效</w:t>
      </w:r>
      <w:r>
        <w:rPr>
          <w:rFonts w:hint="eastAsia" w:ascii="宋体" w:hAnsi="宋体" w:cs="宋体"/>
          <w:b/>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p>
    <w:p w14:paraId="2BC15577">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2、有关本项目实施所涉及的一切费用均计入报价。</w:t>
      </w:r>
      <w:r>
        <w:rPr>
          <w:rFonts w:hint="eastAsia" w:ascii="宋体" w:hAnsi="宋体" w:cs="宋体"/>
          <w:b/>
          <w:color w:val="000000" w:themeColor="text1"/>
          <w:kern w:val="0"/>
          <w:sz w:val="24"/>
          <w:lang w:val="zh-CN"/>
          <w14:textFill>
            <w14:solidFill>
              <w14:schemeClr w14:val="tx1"/>
            </w14:solidFill>
          </w14:textFill>
        </w:rPr>
        <w:t>采购人将以合同形式有偿取得货物或服务，不接受投标人给予的赠品、回扣或者与采购无关的其他商品、服务</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不得出现“0元”“免费赠送”等形式的无偿报价，</w:t>
      </w:r>
      <w:r>
        <w:rPr>
          <w:rFonts w:hint="eastAsia" w:ascii="宋体" w:hAnsi="宋体" w:cs="宋体"/>
          <w:b/>
          <w:color w:val="000000" w:themeColor="text1"/>
          <w:kern w:val="0"/>
          <w:sz w:val="24"/>
          <w14:textFill>
            <w14:solidFill>
              <w14:schemeClr w14:val="tx1"/>
            </w14:solidFill>
          </w14:textFill>
        </w:rPr>
        <w:t>否则视为</w:t>
      </w:r>
      <w:r>
        <w:rPr>
          <w:rFonts w:hint="eastAsia" w:ascii="宋体" w:hAnsi="宋体" w:cs="宋体"/>
          <w:b/>
          <w:color w:val="000000" w:themeColor="text1"/>
          <w:sz w:val="24"/>
          <w14:textFill>
            <w14:solidFill>
              <w14:schemeClr w14:val="tx1"/>
            </w14:solidFill>
          </w14:textFill>
        </w:rPr>
        <w:t>投标文件含有采购人不能接受的附加条件，投标无效</w:t>
      </w:r>
      <w:r>
        <w:rPr>
          <w:rFonts w:hint="eastAsia" w:ascii="宋体" w:hAnsi="宋体" w:cs="宋体"/>
          <w:b/>
          <w:color w:val="000000" w:themeColor="text1"/>
          <w:kern w:val="0"/>
          <w:sz w:val="24"/>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14:textFill>
            <w14:solidFill>
              <w14:schemeClr w14:val="tx1"/>
            </w14:solidFill>
          </w14:textFill>
        </w:rPr>
        <w:t>视为</w:t>
      </w: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75BBEF37">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3、特别提示：采购代理机构将对项目名称和项目编号，中标供应商名称、地址和中标金额，主要中标标的名称、服务范围、服务要求、服务时间、服务标准等予以公示。</w:t>
      </w:r>
    </w:p>
    <w:p w14:paraId="71D1C3F6">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szCs w:val="22"/>
          <w:lang w:val="zh-CN"/>
          <w14:textFill>
            <w14:solidFill>
              <w14:schemeClr w14:val="tx1"/>
            </w14:solidFill>
          </w14:textFill>
        </w:rPr>
        <w:t>4</w:t>
      </w:r>
      <w:r>
        <w:rPr>
          <w:rFonts w:hint="eastAsia" w:ascii="宋体" w:hAnsi="宋体" w:cs="宋体"/>
          <w:color w:val="000000" w:themeColor="text1"/>
          <w:kern w:val="0"/>
          <w:sz w:val="24"/>
          <w:szCs w:val="22"/>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A58039E">
      <w:pPr>
        <w:autoSpaceDE w:val="0"/>
        <w:autoSpaceDN w:val="0"/>
        <w:spacing w:line="360" w:lineRule="auto"/>
        <w:ind w:left="4620" w:leftChars="2200" w:right="1119" w:rightChars="533" w:firstLine="4560" w:firstLineChars="1900"/>
        <w:jc w:val="left"/>
        <w:rPr>
          <w:rFonts w:ascii="宋体" w:hAnsi="宋体" w:cs="宋体"/>
          <w:color w:val="000000" w:themeColor="text1"/>
          <w:kern w:val="0"/>
          <w:sz w:val="24"/>
          <w:lang w:val="zh-CN"/>
          <w14:textFill>
            <w14:solidFill>
              <w14:schemeClr w14:val="tx1"/>
            </w14:solidFill>
          </w14:textFill>
        </w:rPr>
      </w:pPr>
    </w:p>
    <w:p w14:paraId="31C85E00">
      <w:pPr>
        <w:spacing w:line="360" w:lineRule="auto"/>
        <w:ind w:firstLine="6240" w:firstLineChars="2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投标人名称（公章）：</w:t>
      </w:r>
    </w:p>
    <w:p w14:paraId="78990B73">
      <w:pPr>
        <w:spacing w:line="360" w:lineRule="auto"/>
        <w:ind w:firstLine="6240" w:firstLineChars="2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1D6732F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58575D8A">
      <w:pPr>
        <w:spacing w:line="360" w:lineRule="auto"/>
        <w:ind w:firstLine="482" w:firstLineChars="200"/>
        <w:rPr>
          <w:rFonts w:ascii="宋体" w:hAnsi="宋体" w:cs="宋体"/>
          <w:b/>
          <w:color w:val="000000" w:themeColor="text1"/>
          <w:kern w:val="0"/>
          <w:sz w:val="24"/>
          <w14:textFill>
            <w14:solidFill>
              <w14:schemeClr w14:val="tx1"/>
            </w14:solidFill>
          </w14:textFill>
        </w:rPr>
      </w:pPr>
    </w:p>
    <w:p w14:paraId="77B9175D">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p>
    <w:p w14:paraId="713E23C6">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p>
    <w:p w14:paraId="0B144EC6">
      <w:pPr>
        <w:pStyle w:val="82"/>
        <w:jc w:val="center"/>
        <w:rPr>
          <w:b/>
          <w:color w:val="000000" w:themeColor="text1"/>
          <w:sz w:val="32"/>
          <w:szCs w:val="32"/>
          <w14:textFill>
            <w14:solidFill>
              <w14:schemeClr w14:val="tx1"/>
            </w14:solidFill>
          </w14:textFill>
        </w:rPr>
      </w:pPr>
      <w:r>
        <w:rPr>
          <w:rFonts w:hint="eastAsia"/>
          <w:b/>
          <w:color w:val="000000" w:themeColor="text1"/>
          <w:kern w:val="2"/>
          <w:sz w:val="32"/>
          <w:szCs w:val="32"/>
          <w14:textFill>
            <w14:solidFill>
              <w14:schemeClr w14:val="tx1"/>
            </w14:solidFill>
          </w14:textFill>
        </w:rPr>
        <w:t>二、</w:t>
      </w:r>
      <w:r>
        <w:rPr>
          <w:rFonts w:hint="eastAsia"/>
          <w:b/>
          <w:color w:val="000000" w:themeColor="text1"/>
          <w:sz w:val="32"/>
          <w:szCs w:val="32"/>
          <w14:textFill>
            <w14:solidFill>
              <w14:schemeClr w14:val="tx1"/>
            </w14:solidFill>
          </w14:textFill>
        </w:rPr>
        <w:t>中小企业声明函（如果有）</w:t>
      </w:r>
    </w:p>
    <w:p w14:paraId="4F5969E7">
      <w:pPr>
        <w:widowControl/>
        <w:spacing w:line="360" w:lineRule="auto"/>
        <w:ind w:firstLine="120" w:firstLineChars="5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14:textFill>
            <w14:solidFill>
              <w14:schemeClr w14:val="tx1"/>
            </w14:solidFill>
          </w14:textFill>
        </w:rPr>
        <w:t>7</w:t>
      </w:r>
      <w:r>
        <w:rPr>
          <w:rFonts w:hint="eastAsia" w:ascii="宋体" w:hAnsi="宋体" w:cs="宋体"/>
          <w:b/>
          <w:color w:val="000000" w:themeColor="text1"/>
          <w:sz w:val="24"/>
          <w14:textFill>
            <w14:solidFill>
              <w14:schemeClr w14:val="tx1"/>
            </w14:solidFill>
          </w14:textFill>
        </w:rPr>
        <w:t>）。]</w:t>
      </w:r>
    </w:p>
    <w:p w14:paraId="6FE81421">
      <w:pPr>
        <w:pStyle w:val="690"/>
        <w:keepNext w:val="0"/>
        <w:pageBreakBefore w:val="0"/>
        <w:tabs>
          <w:tab w:val="clear" w:pos="720"/>
        </w:tabs>
        <w:snapToGrid w:val="0"/>
        <w:spacing w:before="120" w:after="120"/>
        <w:ind w:firstLine="643"/>
        <w:outlineLvl w:val="9"/>
        <w:rPr>
          <w:rFonts w:ascii="宋体" w:hAnsi="宋体" w:eastAsia="宋体" w:cs="宋体"/>
          <w:b w:val="0"/>
          <w:color w:val="000000" w:themeColor="text1"/>
          <w:sz w:val="32"/>
          <w:szCs w:val="32"/>
          <w14:textFill>
            <w14:solidFill>
              <w14:schemeClr w14:val="tx1"/>
            </w14:solidFill>
          </w14:textFill>
        </w:rPr>
      </w:pPr>
    </w:p>
    <w:p w14:paraId="33870F8F">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6B038A6C">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394074CC">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44CB4F10">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5A7F7B32">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5B46E8AF">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0187AEDA">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7F066C0B">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47204983">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5E616BCF">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40D43FE7">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4A295BC5">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4D8271EF">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3524A02A">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2DC02B63">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1DF27FBE">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7BA286E6">
      <w:pPr>
        <w:pStyle w:val="82"/>
        <w:rPr>
          <w:color w:val="000000" w:themeColor="text1"/>
          <w14:textFill>
            <w14:solidFill>
              <w14:schemeClr w14:val="tx1"/>
            </w14:solidFill>
          </w14:textFill>
        </w:rPr>
      </w:pPr>
    </w:p>
    <w:p w14:paraId="5BBDFDBC">
      <w:pPr>
        <w:pStyle w:val="82"/>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附件</w:t>
      </w:r>
    </w:p>
    <w:p w14:paraId="0BAB9987">
      <w:pPr>
        <w:pStyle w:val="82"/>
        <w:rPr>
          <w:color w:val="000000" w:themeColor="text1"/>
          <w14:textFill>
            <w14:solidFill>
              <w14:schemeClr w14:val="tx1"/>
            </w14:solidFill>
          </w14:textFill>
        </w:rPr>
      </w:pPr>
    </w:p>
    <w:p w14:paraId="7F557A0D">
      <w:pPr>
        <w:spacing w:line="360" w:lineRule="auto"/>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附件1：</w:t>
      </w:r>
    </w:p>
    <w:p w14:paraId="17A36B9F">
      <w:pPr>
        <w:spacing w:line="360" w:lineRule="auto"/>
        <w:jc w:val="center"/>
        <w:rPr>
          <w:rFonts w:ascii="宋体" w:hAnsi="宋体" w:cs="宋体"/>
          <w:b/>
          <w:color w:val="000000" w:themeColor="text1"/>
          <w:spacing w:val="6"/>
          <w:sz w:val="32"/>
          <w:szCs w:val="32"/>
          <w14:textFill>
            <w14:solidFill>
              <w14:schemeClr w14:val="tx1"/>
            </w14:solidFill>
          </w14:textFill>
        </w:rPr>
      </w:pPr>
      <w:bookmarkStart w:id="504" w:name="OLE_LINK13"/>
      <w:bookmarkStart w:id="505" w:name="OLE_LINK14"/>
      <w:r>
        <w:rPr>
          <w:rFonts w:hint="eastAsia" w:ascii="宋体" w:hAnsi="宋体" w:cs="宋体"/>
          <w:b/>
          <w:color w:val="000000" w:themeColor="text1"/>
          <w:spacing w:val="6"/>
          <w:sz w:val="32"/>
          <w:szCs w:val="32"/>
          <w14:textFill>
            <w14:solidFill>
              <w14:schemeClr w14:val="tx1"/>
            </w14:solidFill>
          </w14:textFill>
        </w:rPr>
        <w:t>残疾人福利性单位声明函</w:t>
      </w:r>
    </w:p>
    <w:bookmarkEnd w:id="504"/>
    <w:bookmarkEnd w:id="505"/>
    <w:p w14:paraId="56CC5F64">
      <w:pPr>
        <w:spacing w:line="360" w:lineRule="auto"/>
        <w:rPr>
          <w:rFonts w:ascii="宋体" w:hAnsi="宋体" w:cs="宋体"/>
          <w:b/>
          <w:color w:val="000000" w:themeColor="text1"/>
          <w:spacing w:val="6"/>
          <w:sz w:val="30"/>
          <w:szCs w:val="30"/>
          <w14:textFill>
            <w14:solidFill>
              <w14:schemeClr w14:val="tx1"/>
            </w14:solidFill>
          </w14:textFill>
        </w:rPr>
      </w:pPr>
    </w:p>
    <w:p w14:paraId="61A2250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00" w:themeColor="text1"/>
          <w:sz w:val="24"/>
          <w:u w:val="single"/>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_单位的_</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__项目采购活动提供本单位制造的货物（由本单位承担工程/提供服务），或者提供其他残疾人福利性单位制造的货物（不包括使用非残疾人福利性单位注册商标的货物）。</w:t>
      </w:r>
    </w:p>
    <w:p w14:paraId="1C1F6EE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14:paraId="42807DF9">
      <w:pPr>
        <w:spacing w:line="360" w:lineRule="auto"/>
        <w:ind w:firstLine="480" w:firstLineChars="200"/>
        <w:rPr>
          <w:rFonts w:ascii="宋体" w:hAnsi="宋体" w:cs="宋体"/>
          <w:color w:val="000000" w:themeColor="text1"/>
          <w:sz w:val="24"/>
          <w14:textFill>
            <w14:solidFill>
              <w14:schemeClr w14:val="tx1"/>
            </w14:solidFill>
          </w14:textFill>
        </w:rPr>
      </w:pPr>
    </w:p>
    <w:p w14:paraId="646B64C5">
      <w:pPr>
        <w:spacing w:line="360" w:lineRule="auto"/>
        <w:ind w:firstLine="480" w:firstLineChars="200"/>
        <w:rPr>
          <w:rFonts w:ascii="宋体" w:hAnsi="宋体" w:cs="宋体"/>
          <w:color w:val="000000" w:themeColor="text1"/>
          <w:sz w:val="24"/>
          <w14:textFill>
            <w14:solidFill>
              <w14:schemeClr w14:val="tx1"/>
            </w14:solidFill>
          </w14:textFill>
        </w:rPr>
      </w:pPr>
    </w:p>
    <w:p w14:paraId="3DC28270">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公章</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14:paraId="677EAD29">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7D66512">
      <w:pPr>
        <w:spacing w:line="360" w:lineRule="auto"/>
        <w:ind w:firstLine="480" w:firstLineChars="200"/>
        <w:rPr>
          <w:rFonts w:ascii="宋体" w:hAnsi="宋体" w:cs="宋体"/>
          <w:color w:val="000000" w:themeColor="text1"/>
          <w:sz w:val="24"/>
          <w14:textFill>
            <w14:solidFill>
              <w14:schemeClr w14:val="tx1"/>
            </w14:solidFill>
          </w14:textFill>
        </w:rPr>
      </w:pPr>
    </w:p>
    <w:p w14:paraId="11AE6305">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p>
    <w:p w14:paraId="7B835E9D">
      <w:pPr>
        <w:spacing w:line="360" w:lineRule="auto"/>
        <w:ind w:firstLine="420" w:firstLineChars="200"/>
        <w:rPr>
          <w:rFonts w:ascii="宋体" w:hAnsi="宋体" w:cs="宋体"/>
          <w:color w:val="000000" w:themeColor="text1"/>
          <w14:textFill>
            <w14:solidFill>
              <w14:schemeClr w14:val="tx1"/>
            </w14:solidFill>
          </w14:textFill>
        </w:rPr>
      </w:pPr>
    </w:p>
    <w:p w14:paraId="597A5A8C">
      <w:pPr>
        <w:spacing w:line="360" w:lineRule="auto"/>
        <w:ind w:firstLine="420" w:firstLineChars="200"/>
        <w:rPr>
          <w:rFonts w:ascii="宋体" w:hAnsi="宋体" w:cs="宋体"/>
          <w:color w:val="000000" w:themeColor="text1"/>
          <w14:textFill>
            <w14:solidFill>
              <w14:schemeClr w14:val="tx1"/>
            </w14:solidFill>
          </w14:textFill>
        </w:rPr>
      </w:pPr>
    </w:p>
    <w:p w14:paraId="49A656F5">
      <w:pPr>
        <w:spacing w:line="360" w:lineRule="auto"/>
        <w:ind w:firstLine="420" w:firstLineChars="200"/>
        <w:rPr>
          <w:rFonts w:ascii="宋体" w:hAnsi="宋体" w:cs="宋体"/>
          <w:color w:val="000000" w:themeColor="text1"/>
          <w14:textFill>
            <w14:solidFill>
              <w14:schemeClr w14:val="tx1"/>
            </w14:solidFill>
          </w14:textFill>
        </w:rPr>
      </w:pPr>
    </w:p>
    <w:p w14:paraId="46D62274">
      <w:pPr>
        <w:spacing w:line="360" w:lineRule="auto"/>
        <w:ind w:firstLine="420" w:firstLineChars="200"/>
        <w:rPr>
          <w:rFonts w:ascii="宋体" w:hAnsi="宋体" w:cs="宋体"/>
          <w:color w:val="000000" w:themeColor="text1"/>
          <w14:textFill>
            <w14:solidFill>
              <w14:schemeClr w14:val="tx1"/>
            </w14:solidFill>
          </w14:textFill>
        </w:rPr>
      </w:pPr>
    </w:p>
    <w:p w14:paraId="76706447">
      <w:pPr>
        <w:spacing w:line="360" w:lineRule="auto"/>
        <w:rPr>
          <w:rFonts w:ascii="宋体" w:hAnsi="宋体" w:cs="宋体"/>
          <w:b/>
          <w:color w:val="000000" w:themeColor="text1"/>
          <w:sz w:val="24"/>
          <w14:textFill>
            <w14:solidFill>
              <w14:schemeClr w14:val="tx1"/>
            </w14:solidFill>
          </w14:textFill>
        </w:rPr>
      </w:pPr>
    </w:p>
    <w:p w14:paraId="16B412DB">
      <w:pPr>
        <w:spacing w:line="360" w:lineRule="auto"/>
        <w:rPr>
          <w:rFonts w:ascii="宋体" w:hAnsi="宋体" w:cs="宋体"/>
          <w:b/>
          <w:color w:val="000000" w:themeColor="text1"/>
          <w:sz w:val="24"/>
          <w14:textFill>
            <w14:solidFill>
              <w14:schemeClr w14:val="tx1"/>
            </w14:solidFill>
          </w14:textFill>
        </w:rPr>
      </w:pPr>
    </w:p>
    <w:p w14:paraId="003F22A5">
      <w:pPr>
        <w:spacing w:line="360" w:lineRule="auto"/>
        <w:rPr>
          <w:rFonts w:ascii="宋体" w:hAnsi="宋体" w:cs="宋体"/>
          <w:b/>
          <w:color w:val="000000" w:themeColor="text1"/>
          <w:sz w:val="24"/>
          <w14:textFill>
            <w14:solidFill>
              <w14:schemeClr w14:val="tx1"/>
            </w14:solidFill>
          </w14:textFill>
        </w:rPr>
      </w:pPr>
    </w:p>
    <w:p w14:paraId="6DEF991C">
      <w:pPr>
        <w:spacing w:line="360" w:lineRule="auto"/>
        <w:rPr>
          <w:rFonts w:ascii="宋体" w:hAnsi="宋体" w:cs="宋体"/>
          <w:b/>
          <w:color w:val="000000" w:themeColor="text1"/>
          <w:sz w:val="24"/>
          <w14:textFill>
            <w14:solidFill>
              <w14:schemeClr w14:val="tx1"/>
            </w14:solidFill>
          </w14:textFill>
        </w:rPr>
      </w:pPr>
    </w:p>
    <w:p w14:paraId="507EAC11">
      <w:pPr>
        <w:spacing w:line="360" w:lineRule="auto"/>
        <w:rPr>
          <w:rFonts w:ascii="宋体" w:hAnsi="宋体" w:cs="宋体"/>
          <w:b/>
          <w:color w:val="000000" w:themeColor="text1"/>
          <w:sz w:val="24"/>
          <w14:textFill>
            <w14:solidFill>
              <w14:schemeClr w14:val="tx1"/>
            </w14:solidFill>
          </w14:textFill>
        </w:rPr>
      </w:pPr>
    </w:p>
    <w:p w14:paraId="1EF97A3F">
      <w:pPr>
        <w:spacing w:line="360" w:lineRule="auto"/>
        <w:rPr>
          <w:rFonts w:ascii="宋体" w:hAnsi="宋体" w:cs="宋体"/>
          <w:b/>
          <w:color w:val="000000" w:themeColor="text1"/>
          <w:sz w:val="24"/>
          <w14:textFill>
            <w14:solidFill>
              <w14:schemeClr w14:val="tx1"/>
            </w14:solidFill>
          </w14:textFill>
        </w:rPr>
      </w:pPr>
    </w:p>
    <w:p w14:paraId="549F7F5A">
      <w:pPr>
        <w:spacing w:line="360" w:lineRule="auto"/>
        <w:rPr>
          <w:rFonts w:ascii="宋体" w:hAnsi="宋体" w:cs="宋体"/>
          <w:b/>
          <w:color w:val="000000" w:themeColor="text1"/>
          <w:sz w:val="24"/>
          <w14:textFill>
            <w14:solidFill>
              <w14:schemeClr w14:val="tx1"/>
            </w14:solidFill>
          </w14:textFill>
        </w:rPr>
      </w:pPr>
    </w:p>
    <w:p w14:paraId="2AFE6591">
      <w:pPr>
        <w:spacing w:line="360" w:lineRule="auto"/>
        <w:rPr>
          <w:rFonts w:ascii="宋体" w:hAnsi="宋体" w:cs="宋体"/>
          <w:b/>
          <w:color w:val="000000" w:themeColor="text1"/>
          <w:sz w:val="24"/>
          <w14:textFill>
            <w14:solidFill>
              <w14:schemeClr w14:val="tx1"/>
            </w14:solidFill>
          </w14:textFill>
        </w:rPr>
      </w:pPr>
    </w:p>
    <w:p w14:paraId="7F54F273">
      <w:pPr>
        <w:spacing w:line="360" w:lineRule="auto"/>
        <w:rPr>
          <w:rFonts w:ascii="宋体" w:hAnsi="宋体" w:cs="宋体"/>
          <w:b/>
          <w:color w:val="000000" w:themeColor="text1"/>
          <w:sz w:val="24"/>
          <w14:textFill>
            <w14:solidFill>
              <w14:schemeClr w14:val="tx1"/>
            </w14:solidFill>
          </w14:textFill>
        </w:rPr>
      </w:pPr>
    </w:p>
    <w:p w14:paraId="498E37ED">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附件2：质疑函范本及制作说明</w:t>
      </w:r>
    </w:p>
    <w:p w14:paraId="00E6AEF1">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质疑函范本</w:t>
      </w:r>
    </w:p>
    <w:p w14:paraId="60327A81">
      <w:pPr>
        <w:snapToGrid w:val="0"/>
        <w:spacing w:before="240" w:beforeLines="100"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一、质疑供应商基本信息</w:t>
      </w:r>
    </w:p>
    <w:p w14:paraId="5E1D66B9">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质疑供应商：</w:t>
      </w:r>
      <w:r>
        <w:rPr>
          <w:rFonts w:hint="eastAsia" w:ascii="宋体" w:hAnsi="宋体" w:cs="宋体"/>
          <w:color w:val="000000" w:themeColor="text1"/>
          <w:sz w:val="24"/>
          <w:u w:val="dotted"/>
          <w14:textFill>
            <w14:solidFill>
              <w14:schemeClr w14:val="tx1"/>
            </w14:solidFill>
          </w14:textFill>
        </w:rPr>
        <w:t xml:space="preserve">                                        </w:t>
      </w:r>
    </w:p>
    <w:p w14:paraId="37B99E0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0A92F60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2F396C95">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p>
    <w:p w14:paraId="15A8A5B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63C77ACD">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1F926793">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二、质疑项目基本情况</w:t>
      </w:r>
    </w:p>
    <w:p w14:paraId="11E8801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w:t>
      </w:r>
      <w:r>
        <w:rPr>
          <w:rFonts w:hint="eastAsia" w:ascii="宋体" w:hAnsi="宋体" w:cs="宋体"/>
          <w:color w:val="000000" w:themeColor="text1"/>
          <w:sz w:val="24"/>
          <w:u w:val="dotted"/>
          <w14:textFill>
            <w14:solidFill>
              <w14:schemeClr w14:val="tx1"/>
            </w14:solidFill>
          </w14:textFill>
        </w:rPr>
        <w:t xml:space="preserve">                                      </w:t>
      </w:r>
    </w:p>
    <w:p w14:paraId="05353C28">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2BA20D6A">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p>
    <w:p w14:paraId="289B6E7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采购文件获取日期：</w:t>
      </w:r>
      <w:r>
        <w:rPr>
          <w:rFonts w:hint="eastAsia" w:ascii="宋体" w:hAnsi="宋体" w:cs="宋体"/>
          <w:color w:val="000000" w:themeColor="text1"/>
          <w:sz w:val="24"/>
          <w:u w:val="dotted"/>
          <w14:textFill>
            <w14:solidFill>
              <w14:schemeClr w14:val="tx1"/>
            </w14:solidFill>
          </w14:textFill>
        </w:rPr>
        <w:t xml:space="preserve">                                           </w:t>
      </w:r>
    </w:p>
    <w:p w14:paraId="08FFBAEE">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三、质疑事项具体内容</w:t>
      </w:r>
    </w:p>
    <w:p w14:paraId="42E4BD8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质疑事项1：</w:t>
      </w:r>
      <w:r>
        <w:rPr>
          <w:rFonts w:hint="eastAsia" w:ascii="宋体" w:hAnsi="宋体" w:cs="宋体"/>
          <w:color w:val="000000" w:themeColor="text1"/>
          <w:sz w:val="24"/>
          <w:u w:val="dotted"/>
          <w14:textFill>
            <w14:solidFill>
              <w14:schemeClr w14:val="tx1"/>
            </w14:solidFill>
          </w14:textFill>
        </w:rPr>
        <w:t xml:space="preserve">                                         </w:t>
      </w:r>
    </w:p>
    <w:p w14:paraId="0A1A29D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00117043">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529D2AFD">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19EFA134">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49A52685">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质疑事项2</w:t>
      </w:r>
    </w:p>
    <w:p w14:paraId="0AC75F99">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44F16C20">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四、与质疑事项相关的质疑请求</w:t>
      </w:r>
    </w:p>
    <w:p w14:paraId="256EA98F">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p>
    <w:p w14:paraId="1E32632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4258120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3BA71578">
      <w:pPr>
        <w:spacing w:line="360" w:lineRule="auto"/>
        <w:jc w:val="center"/>
        <w:rPr>
          <w:rFonts w:ascii="宋体" w:hAnsi="宋体" w:cs="宋体"/>
          <w:b/>
          <w:bCs/>
          <w:color w:val="000000" w:themeColor="text1"/>
          <w:sz w:val="24"/>
          <w14:textFill>
            <w14:solidFill>
              <w14:schemeClr w14:val="tx1"/>
            </w14:solidFill>
          </w14:textFill>
        </w:rPr>
      </w:pPr>
    </w:p>
    <w:p w14:paraId="79F47DD6">
      <w:pPr>
        <w:spacing w:line="360" w:lineRule="auto"/>
        <w:rPr>
          <w:rFonts w:ascii="宋体" w:hAnsi="宋体" w:cs="宋体"/>
          <w:b/>
          <w:color w:val="000000" w:themeColor="text1"/>
          <w:sz w:val="24"/>
          <w14:textFill>
            <w14:solidFill>
              <w14:schemeClr w14:val="tx1"/>
            </w14:solidFill>
          </w14:textFill>
        </w:rPr>
      </w:pPr>
    </w:p>
    <w:p w14:paraId="685C1DC8">
      <w:pPr>
        <w:spacing w:line="360" w:lineRule="auto"/>
        <w:rPr>
          <w:rFonts w:ascii="宋体" w:hAnsi="宋体" w:cs="宋体"/>
          <w:b/>
          <w:color w:val="000000" w:themeColor="text1"/>
          <w:sz w:val="24"/>
          <w14:textFill>
            <w14:solidFill>
              <w14:schemeClr w14:val="tx1"/>
            </w14:solidFill>
          </w14:textFill>
        </w:rPr>
      </w:pPr>
    </w:p>
    <w:p w14:paraId="4676CC3D">
      <w:pPr>
        <w:spacing w:line="360" w:lineRule="auto"/>
        <w:rPr>
          <w:rFonts w:ascii="宋体" w:hAnsi="宋体" w:cs="宋体"/>
          <w:b/>
          <w:color w:val="000000" w:themeColor="text1"/>
          <w:sz w:val="24"/>
          <w14:textFill>
            <w14:solidFill>
              <w14:schemeClr w14:val="tx1"/>
            </w14:solidFill>
          </w14:textFill>
        </w:rPr>
      </w:pPr>
    </w:p>
    <w:p w14:paraId="779E29D9">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质疑函制作说明：</w:t>
      </w:r>
    </w:p>
    <w:p w14:paraId="37280D50">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6E4BFAD9">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0F7817B5">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4CB7A20D">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1104B72">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34F35DD8">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6805A2">
      <w:pPr>
        <w:widowControl/>
        <w:spacing w:line="360" w:lineRule="auto"/>
        <w:ind w:firstLine="600" w:firstLineChars="200"/>
        <w:jc w:val="left"/>
        <w:rPr>
          <w:rFonts w:ascii="宋体" w:hAnsi="宋体" w:cs="宋体"/>
          <w:color w:val="000000" w:themeColor="text1"/>
          <w:sz w:val="30"/>
          <w:szCs w:val="30"/>
          <w14:textFill>
            <w14:solidFill>
              <w14:schemeClr w14:val="tx1"/>
            </w14:solidFill>
          </w14:textFill>
        </w:rPr>
      </w:pPr>
    </w:p>
    <w:p w14:paraId="4EE2AD0C">
      <w:pPr>
        <w:spacing w:line="360" w:lineRule="auto"/>
        <w:jc w:val="center"/>
        <w:rPr>
          <w:rFonts w:ascii="宋体" w:hAnsi="宋体" w:cs="宋体"/>
          <w:b/>
          <w:color w:val="000000" w:themeColor="text1"/>
          <w:spacing w:val="6"/>
          <w:sz w:val="32"/>
          <w:szCs w:val="32"/>
          <w14:textFill>
            <w14:solidFill>
              <w14:schemeClr w14:val="tx1"/>
            </w14:solidFill>
          </w14:textFill>
        </w:rPr>
      </w:pPr>
    </w:p>
    <w:p w14:paraId="6815E0BC">
      <w:pPr>
        <w:spacing w:line="360" w:lineRule="auto"/>
        <w:jc w:val="center"/>
        <w:rPr>
          <w:rFonts w:ascii="宋体" w:hAnsi="宋体" w:cs="宋体"/>
          <w:b/>
          <w:color w:val="000000" w:themeColor="text1"/>
          <w:spacing w:val="6"/>
          <w:sz w:val="32"/>
          <w:szCs w:val="32"/>
          <w14:textFill>
            <w14:solidFill>
              <w14:schemeClr w14:val="tx1"/>
            </w14:solidFill>
          </w14:textFill>
        </w:rPr>
      </w:pPr>
    </w:p>
    <w:p w14:paraId="7B1F8FA5">
      <w:pPr>
        <w:spacing w:line="360" w:lineRule="auto"/>
        <w:jc w:val="center"/>
        <w:rPr>
          <w:rFonts w:ascii="宋体" w:hAnsi="宋体" w:cs="宋体"/>
          <w:b/>
          <w:color w:val="000000" w:themeColor="text1"/>
          <w:spacing w:val="6"/>
          <w:sz w:val="32"/>
          <w:szCs w:val="32"/>
          <w14:textFill>
            <w14:solidFill>
              <w14:schemeClr w14:val="tx1"/>
            </w14:solidFill>
          </w14:textFill>
        </w:rPr>
      </w:pPr>
    </w:p>
    <w:p w14:paraId="3A961835">
      <w:pPr>
        <w:spacing w:line="360" w:lineRule="auto"/>
        <w:jc w:val="center"/>
        <w:rPr>
          <w:rFonts w:ascii="宋体" w:hAnsi="宋体" w:cs="宋体"/>
          <w:b/>
          <w:color w:val="000000" w:themeColor="text1"/>
          <w:spacing w:val="6"/>
          <w:sz w:val="32"/>
          <w:szCs w:val="32"/>
          <w14:textFill>
            <w14:solidFill>
              <w14:schemeClr w14:val="tx1"/>
            </w14:solidFill>
          </w14:textFill>
        </w:rPr>
      </w:pPr>
    </w:p>
    <w:p w14:paraId="1DF2396D">
      <w:pPr>
        <w:spacing w:line="360" w:lineRule="auto"/>
        <w:jc w:val="center"/>
        <w:rPr>
          <w:rFonts w:ascii="宋体" w:hAnsi="宋体" w:cs="宋体"/>
          <w:b/>
          <w:color w:val="000000" w:themeColor="text1"/>
          <w:spacing w:val="6"/>
          <w:sz w:val="32"/>
          <w:szCs w:val="32"/>
          <w14:textFill>
            <w14:solidFill>
              <w14:schemeClr w14:val="tx1"/>
            </w14:solidFill>
          </w14:textFill>
        </w:rPr>
      </w:pPr>
    </w:p>
    <w:p w14:paraId="33273864">
      <w:pPr>
        <w:spacing w:line="360" w:lineRule="auto"/>
        <w:jc w:val="center"/>
        <w:rPr>
          <w:rFonts w:ascii="宋体" w:hAnsi="宋体" w:cs="宋体"/>
          <w:b/>
          <w:color w:val="000000" w:themeColor="text1"/>
          <w:spacing w:val="6"/>
          <w:sz w:val="32"/>
          <w:szCs w:val="32"/>
          <w14:textFill>
            <w14:solidFill>
              <w14:schemeClr w14:val="tx1"/>
            </w14:solidFill>
          </w14:textFill>
        </w:rPr>
      </w:pPr>
    </w:p>
    <w:p w14:paraId="38213870">
      <w:pPr>
        <w:spacing w:line="360" w:lineRule="auto"/>
        <w:jc w:val="center"/>
        <w:rPr>
          <w:rFonts w:ascii="宋体" w:hAnsi="宋体" w:cs="宋体"/>
          <w:b/>
          <w:color w:val="000000" w:themeColor="text1"/>
          <w:spacing w:val="6"/>
          <w:sz w:val="32"/>
          <w:szCs w:val="32"/>
          <w14:textFill>
            <w14:solidFill>
              <w14:schemeClr w14:val="tx1"/>
            </w14:solidFill>
          </w14:textFill>
        </w:rPr>
      </w:pPr>
    </w:p>
    <w:p w14:paraId="0D4AC095">
      <w:pPr>
        <w:spacing w:line="360" w:lineRule="auto"/>
        <w:jc w:val="center"/>
        <w:rPr>
          <w:rFonts w:ascii="宋体" w:hAnsi="宋体" w:cs="宋体"/>
          <w:b/>
          <w:color w:val="000000" w:themeColor="text1"/>
          <w:spacing w:val="6"/>
          <w:sz w:val="32"/>
          <w:szCs w:val="32"/>
          <w14:textFill>
            <w14:solidFill>
              <w14:schemeClr w14:val="tx1"/>
            </w14:solidFill>
          </w14:textFill>
        </w:rPr>
      </w:pPr>
    </w:p>
    <w:p w14:paraId="060620DF">
      <w:pPr>
        <w:spacing w:line="360" w:lineRule="auto"/>
        <w:jc w:val="center"/>
        <w:rPr>
          <w:rFonts w:ascii="宋体" w:hAnsi="宋体" w:cs="宋体"/>
          <w:b/>
          <w:color w:val="000000" w:themeColor="text1"/>
          <w:spacing w:val="6"/>
          <w:sz w:val="32"/>
          <w:szCs w:val="32"/>
          <w14:textFill>
            <w14:solidFill>
              <w14:schemeClr w14:val="tx1"/>
            </w14:solidFill>
          </w14:textFill>
        </w:rPr>
      </w:pPr>
    </w:p>
    <w:p w14:paraId="53FDA87A">
      <w:pPr>
        <w:spacing w:line="360" w:lineRule="auto"/>
        <w:jc w:val="center"/>
        <w:rPr>
          <w:rFonts w:ascii="宋体" w:hAnsi="宋体" w:cs="宋体"/>
          <w:b/>
          <w:color w:val="000000" w:themeColor="text1"/>
          <w:spacing w:val="6"/>
          <w:sz w:val="32"/>
          <w:szCs w:val="32"/>
          <w14:textFill>
            <w14:solidFill>
              <w14:schemeClr w14:val="tx1"/>
            </w14:solidFill>
          </w14:textFill>
        </w:rPr>
      </w:pPr>
    </w:p>
    <w:p w14:paraId="59435BAE">
      <w:pPr>
        <w:spacing w:line="360" w:lineRule="auto"/>
        <w:jc w:val="center"/>
        <w:rPr>
          <w:rFonts w:ascii="宋体" w:hAnsi="宋体" w:cs="宋体"/>
          <w:b/>
          <w:color w:val="000000" w:themeColor="text1"/>
          <w:spacing w:val="6"/>
          <w:sz w:val="32"/>
          <w:szCs w:val="32"/>
          <w14:textFill>
            <w14:solidFill>
              <w14:schemeClr w14:val="tx1"/>
            </w14:solidFill>
          </w14:textFill>
        </w:rPr>
      </w:pPr>
    </w:p>
    <w:p w14:paraId="30DCD479">
      <w:pPr>
        <w:spacing w:line="360" w:lineRule="auto"/>
        <w:jc w:val="center"/>
        <w:rPr>
          <w:rFonts w:ascii="宋体" w:hAnsi="宋体" w:cs="宋体"/>
          <w:b/>
          <w:color w:val="000000" w:themeColor="text1"/>
          <w:spacing w:val="6"/>
          <w:sz w:val="32"/>
          <w:szCs w:val="32"/>
          <w14:textFill>
            <w14:solidFill>
              <w14:schemeClr w14:val="tx1"/>
            </w14:solidFill>
          </w14:textFill>
        </w:rPr>
      </w:pPr>
    </w:p>
    <w:p w14:paraId="236B3D6E">
      <w:pPr>
        <w:spacing w:line="360" w:lineRule="auto"/>
        <w:jc w:val="left"/>
        <w:rPr>
          <w:rFonts w:ascii="宋体" w:hAnsi="宋体" w:cs="宋体"/>
          <w:b/>
          <w:color w:val="000000" w:themeColor="text1"/>
          <w:spacing w:val="6"/>
          <w:sz w:val="32"/>
          <w:szCs w:val="32"/>
          <w14:textFill>
            <w14:solidFill>
              <w14:schemeClr w14:val="tx1"/>
            </w14:solidFill>
          </w14:textFill>
        </w:rPr>
      </w:pPr>
    </w:p>
    <w:p w14:paraId="6F401B62">
      <w:pPr>
        <w:spacing w:line="360" w:lineRule="auto"/>
        <w:jc w:val="left"/>
        <w:rPr>
          <w:rFonts w:ascii="宋体" w:hAnsi="宋体" w:cs="宋体"/>
          <w:b/>
          <w:color w:val="000000" w:themeColor="text1"/>
          <w:spacing w:val="6"/>
          <w:sz w:val="32"/>
          <w:szCs w:val="32"/>
          <w14:textFill>
            <w14:solidFill>
              <w14:schemeClr w14:val="tx1"/>
            </w14:solidFill>
          </w14:textFill>
        </w:rPr>
      </w:pPr>
    </w:p>
    <w:p w14:paraId="1B8D2263">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附件3：投诉书范本及制作说明</w:t>
      </w:r>
    </w:p>
    <w:p w14:paraId="16BBC4CA">
      <w:pPr>
        <w:spacing w:line="360" w:lineRule="auto"/>
        <w:jc w:val="center"/>
        <w:rPr>
          <w:rFonts w:ascii="宋体" w:hAnsi="宋体" w:cs="宋体"/>
          <w:b/>
          <w:color w:val="000000" w:themeColor="text1"/>
          <w:sz w:val="24"/>
          <w14:textFill>
            <w14:solidFill>
              <w14:schemeClr w14:val="tx1"/>
            </w14:solidFill>
          </w14:textFill>
        </w:rPr>
      </w:pPr>
    </w:p>
    <w:p w14:paraId="735E24F9">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投诉书范本</w:t>
      </w:r>
    </w:p>
    <w:p w14:paraId="4A44789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一、投诉相关主体基本情况</w:t>
      </w:r>
    </w:p>
    <w:p w14:paraId="0A17193A">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w:t>
      </w:r>
      <w:r>
        <w:rPr>
          <w:rFonts w:hint="eastAsia" w:ascii="宋体" w:hAnsi="宋体" w:cs="宋体"/>
          <w:color w:val="000000" w:themeColor="text1"/>
          <w:sz w:val="24"/>
          <w:u w:val="dotted"/>
          <w14:textFill>
            <w14:solidFill>
              <w14:schemeClr w14:val="tx1"/>
            </w14:solidFill>
          </w14:textFill>
        </w:rPr>
        <w:t xml:space="preserve">                                               </w:t>
      </w:r>
    </w:p>
    <w:p w14:paraId="05EEA0C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45EE51E6">
      <w:pPr>
        <w:tabs>
          <w:tab w:val="left" w:pos="651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法定代表人/主要负责人：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3F2EC0E1">
      <w:pPr>
        <w:tabs>
          <w:tab w:val="left" w:pos="6510"/>
        </w:tabs>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45312F33">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393AC242">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dotted"/>
          <w14:textFill>
            <w14:solidFill>
              <w14:schemeClr w14:val="tx1"/>
            </w14:solidFill>
          </w14:textFill>
        </w:rPr>
        <w:t xml:space="preserve">                   </w:t>
      </w:r>
    </w:p>
    <w:p w14:paraId="7C883441">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被投诉人1：</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44ADC8C6">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5C2D526E">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5EE9BD0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被投诉人2</w:t>
      </w:r>
    </w:p>
    <w:p w14:paraId="2BC0FDC0">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168B4CCB">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相关供应商：</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758E18D5">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6268DE6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7FFAFE5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二、投诉项目基本情况</w:t>
      </w:r>
    </w:p>
    <w:p w14:paraId="2F51D206">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dotted"/>
          <w14:textFill>
            <w14:solidFill>
              <w14:schemeClr w14:val="tx1"/>
            </w14:solidFill>
          </w14:textFill>
        </w:rPr>
        <w:t xml:space="preserve">                                        </w:t>
      </w:r>
    </w:p>
    <w:p w14:paraId="55584490">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5ED30B0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50830954">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代理机构名称：</w:t>
      </w:r>
      <w:r>
        <w:rPr>
          <w:rFonts w:hint="eastAsia" w:ascii="宋体" w:hAnsi="宋体" w:cs="宋体"/>
          <w:color w:val="000000" w:themeColor="text1"/>
          <w:sz w:val="24"/>
          <w:u w:val="dotted"/>
          <w14:textFill>
            <w14:solidFill>
              <w14:schemeClr w14:val="tx1"/>
            </w14:solidFill>
          </w14:textFill>
        </w:rPr>
        <w:t xml:space="preserve">                                         </w:t>
      </w:r>
    </w:p>
    <w:p w14:paraId="4F9B1395">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5659D5E1">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采购结果公告: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270820A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三、质疑基本情况</w:t>
      </w:r>
    </w:p>
    <w:p w14:paraId="47A41D49">
      <w:pPr>
        <w:spacing w:line="360" w:lineRule="auto"/>
        <w:ind w:firstLine="480" w:firstLineChars="200"/>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日,向</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提出质疑，质疑事项为：</w:t>
      </w:r>
      <w:r>
        <w:rPr>
          <w:rFonts w:hint="eastAsia" w:ascii="宋体" w:hAnsi="宋体" w:cs="宋体"/>
          <w:color w:val="000000" w:themeColor="text1"/>
          <w:sz w:val="24"/>
          <w:u w:val="dotted"/>
          <w14:textFill>
            <w14:solidFill>
              <w14:schemeClr w14:val="tx1"/>
            </w14:solidFill>
          </w14:textFill>
        </w:rPr>
        <w:t xml:space="preserve">                                </w:t>
      </w:r>
    </w:p>
    <w:p w14:paraId="27543AD1">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15127DB">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采购人/代理机构</w:t>
      </w:r>
      <w:r>
        <w:rPr>
          <w:rFonts w:hint="eastAsia" w:ascii="宋体" w:hAnsi="宋体" w:cs="宋体"/>
          <w:color w:val="000000" w:themeColor="text1"/>
          <w:sz w:val="24"/>
          <w14:textFill>
            <w14:solidFill>
              <w14:schemeClr w14:val="tx1"/>
            </w14:solidFill>
          </w14:textFill>
        </w:rPr>
        <w:t>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日,就质疑事项作出了答复/没有在法定期限内作出答复。</w:t>
      </w:r>
    </w:p>
    <w:p w14:paraId="03BBB21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四、投诉事项具体内容</w:t>
      </w:r>
    </w:p>
    <w:p w14:paraId="432FAB04">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 1：</w:t>
      </w:r>
      <w:r>
        <w:rPr>
          <w:rFonts w:hint="eastAsia" w:ascii="宋体" w:hAnsi="宋体" w:cs="宋体"/>
          <w:color w:val="000000" w:themeColor="text1"/>
          <w:sz w:val="24"/>
          <w:u w:val="dotted"/>
          <w14:textFill>
            <w14:solidFill>
              <w14:schemeClr w14:val="tx1"/>
            </w14:solidFill>
          </w14:textFill>
        </w:rPr>
        <w:t xml:space="preserve">                                       </w:t>
      </w:r>
    </w:p>
    <w:p w14:paraId="6E291ED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07A8AA5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3EEDE43E">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3FB9CE6E">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07B0EDD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投诉事项2</w:t>
      </w:r>
    </w:p>
    <w:p w14:paraId="49FCDD6D">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1723E1E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五、与投诉事项相关的投诉请求</w:t>
      </w:r>
    </w:p>
    <w:p w14:paraId="48F91D8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25012902">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343C2B1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311D671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7D11F010">
      <w:pPr>
        <w:spacing w:line="360" w:lineRule="auto"/>
        <w:rPr>
          <w:rFonts w:ascii="宋体" w:hAnsi="宋体" w:cs="宋体"/>
          <w:b/>
          <w:color w:val="000000" w:themeColor="text1"/>
          <w:sz w:val="24"/>
          <w14:textFill>
            <w14:solidFill>
              <w14:schemeClr w14:val="tx1"/>
            </w14:solidFill>
          </w14:textFill>
        </w:rPr>
      </w:pPr>
    </w:p>
    <w:p w14:paraId="50B7F56F">
      <w:pPr>
        <w:spacing w:line="360" w:lineRule="auto"/>
        <w:rPr>
          <w:rFonts w:ascii="宋体" w:hAnsi="宋体" w:cs="宋体"/>
          <w:b/>
          <w:color w:val="000000" w:themeColor="text1"/>
          <w:sz w:val="24"/>
          <w14:textFill>
            <w14:solidFill>
              <w14:schemeClr w14:val="tx1"/>
            </w14:solidFill>
          </w14:textFill>
        </w:rPr>
      </w:pPr>
    </w:p>
    <w:p w14:paraId="4832D938">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投诉书制作说明：</w:t>
      </w:r>
    </w:p>
    <w:p w14:paraId="0A800D67">
      <w:pPr>
        <w:widowControl/>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063C4213">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55431B95">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3.投诉人若对项目的某一分包进行投诉，投诉书应列明具体分包号。</w:t>
      </w:r>
    </w:p>
    <w:p w14:paraId="4A0BD9B7">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4.投诉书应简要列明质疑事项，质疑函、质疑答复等作为附件材料提供。</w:t>
      </w:r>
    </w:p>
    <w:p w14:paraId="5E8EEE7E">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5.投诉书的投诉事项应具体、明确，并有必要的事实依据和法律依据。</w:t>
      </w:r>
    </w:p>
    <w:p w14:paraId="6C3F551E">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6.投诉书的投诉请求应与投诉事项相关。</w:t>
      </w:r>
    </w:p>
    <w:p w14:paraId="3F8AEEF4">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230CFF77">
      <w:pPr>
        <w:spacing w:line="360" w:lineRule="auto"/>
        <w:rPr>
          <w:rFonts w:ascii="宋体" w:hAnsi="宋体" w:cs="宋体"/>
          <w:b/>
          <w:color w:val="000000" w:themeColor="text1"/>
          <w:sz w:val="24"/>
          <w14:textFill>
            <w14:solidFill>
              <w14:schemeClr w14:val="tx1"/>
            </w14:solidFill>
          </w14:textFill>
        </w:rPr>
      </w:pPr>
    </w:p>
    <w:p w14:paraId="6006BA4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47F24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12818CF">
      <w:pPr>
        <w:autoSpaceDE w:val="0"/>
        <w:autoSpaceDN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附件4：</w:t>
      </w:r>
      <w:r>
        <w:rPr>
          <w:rFonts w:hint="eastAsia" w:ascii="宋体" w:hAnsi="宋体" w:cs="宋体"/>
          <w:b/>
          <w:bCs/>
          <w:color w:val="000000" w:themeColor="text1"/>
          <w:sz w:val="32"/>
          <w:szCs w:val="32"/>
          <w14:textFill>
            <w14:solidFill>
              <w14:schemeClr w14:val="tx1"/>
            </w14:solidFill>
          </w14:textFill>
        </w:rPr>
        <w:t>业务专用章使用说明函</w:t>
      </w:r>
    </w:p>
    <w:p w14:paraId="7E5008F9">
      <w:pPr>
        <w:spacing w:line="360" w:lineRule="auto"/>
        <w:rPr>
          <w:rFonts w:ascii="宋体" w:hAnsi="宋体" w:cs="宋体"/>
          <w:color w:val="000000" w:themeColor="text1"/>
          <w:sz w:val="24"/>
          <w:u w:val="single"/>
          <w14:textFill>
            <w14:solidFill>
              <w14:schemeClr w14:val="tx1"/>
            </w14:solidFill>
          </w14:textFill>
        </w:rPr>
      </w:pPr>
    </w:p>
    <w:p w14:paraId="3C95E32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（采购人）、（采购代理机构）：</w:t>
      </w:r>
    </w:p>
    <w:p w14:paraId="21D4C22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我方</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(投标人全称)是中华人民共和国依法登记注册的合法企业，</w:t>
      </w:r>
      <w:r>
        <w:rPr>
          <w:rFonts w:hint="eastAsia" w:ascii="宋体" w:hAnsi="宋体" w:cs="宋体"/>
          <w:bCs/>
          <w:color w:val="000000" w:themeColor="text1"/>
          <w:sz w:val="24"/>
          <w14:textFill>
            <w14:solidFill>
              <w14:schemeClr w14:val="tx1"/>
            </w14:solidFill>
          </w14:textFill>
        </w:rPr>
        <w:t>在参加</w:t>
      </w:r>
      <w:r>
        <w:rPr>
          <w:rFonts w:hint="eastAsia" w:ascii="宋体" w:hAnsi="宋体" w:cs="宋体"/>
          <w:color w:val="000000" w:themeColor="text1"/>
          <w:sz w:val="24"/>
          <w14:textFill>
            <w14:solidFill>
              <w14:schemeClr w14:val="tx1"/>
            </w14:solidFill>
          </w14:textFill>
        </w:rPr>
        <w:t>你方组织的（项目名称）【招标编号：（采购编号）】</w:t>
      </w:r>
      <w:r>
        <w:rPr>
          <w:rFonts w:hint="eastAsia" w:ascii="宋体" w:hAnsi="宋体" w:cs="宋体"/>
          <w:bCs/>
          <w:color w:val="000000" w:themeColor="text1"/>
          <w:sz w:val="24"/>
          <w14:textFill>
            <w14:solidFill>
              <w14:schemeClr w14:val="tx1"/>
            </w14:solidFill>
          </w14:textFill>
        </w:rPr>
        <w:t>投标活动中作如下说明：</w:t>
      </w:r>
      <w:r>
        <w:rPr>
          <w:rFonts w:hint="eastAsia" w:ascii="宋体" w:hAnsi="宋体" w:cs="宋体"/>
          <w:color w:val="000000" w:themeColor="text1"/>
          <w:sz w:val="24"/>
          <w14:textFill>
            <w14:solidFill>
              <w14:schemeClr w14:val="tx1"/>
            </w14:solidFill>
          </w14:textFill>
        </w:rPr>
        <w:t xml:space="preserve">我方所使用的“XX专用章”与法定名称章具有同等的法律效力，对使用“XX专用章”的行为予以完全承认，并愿意承担相应责任。   </w:t>
      </w:r>
    </w:p>
    <w:p w14:paraId="6DF37B3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特此说明。</w:t>
      </w:r>
    </w:p>
    <w:p w14:paraId="0C3A5CF7">
      <w:pPr>
        <w:spacing w:line="360" w:lineRule="auto"/>
        <w:ind w:firstLine="494"/>
        <w:rPr>
          <w:rFonts w:ascii="宋体" w:hAnsi="宋体" w:cs="宋体"/>
          <w:color w:val="000000" w:themeColor="text1"/>
          <w:sz w:val="24"/>
          <w14:textFill>
            <w14:solidFill>
              <w14:schemeClr w14:val="tx1"/>
            </w14:solidFill>
          </w14:textFill>
        </w:rPr>
      </w:pPr>
    </w:p>
    <w:p w14:paraId="1EE3B907">
      <w:pPr>
        <w:spacing w:line="360" w:lineRule="auto"/>
        <w:ind w:firstLine="494"/>
        <w:rPr>
          <w:rFonts w:ascii="宋体" w:hAnsi="宋体" w:cs="宋体"/>
          <w:color w:val="000000" w:themeColor="text1"/>
          <w:sz w:val="24"/>
          <w14:textFill>
            <w14:solidFill>
              <w14:schemeClr w14:val="tx1"/>
            </w14:solidFill>
          </w14:textFill>
        </w:rPr>
      </w:pPr>
    </w:p>
    <w:p w14:paraId="61924A1F">
      <w:pPr>
        <w:spacing w:line="360" w:lineRule="auto"/>
        <w:ind w:firstLine="494"/>
        <w:rPr>
          <w:rFonts w:ascii="宋体" w:hAnsi="宋体" w:cs="宋体"/>
          <w:color w:val="000000" w:themeColor="text1"/>
          <w:sz w:val="24"/>
          <w14:textFill>
            <w14:solidFill>
              <w14:schemeClr w14:val="tx1"/>
            </w14:solidFill>
          </w14:textFill>
        </w:rPr>
      </w:pPr>
    </w:p>
    <w:p w14:paraId="59C3D3C1">
      <w:pPr>
        <w:spacing w:line="360" w:lineRule="auto"/>
        <w:ind w:firstLine="494"/>
        <w:rPr>
          <w:rFonts w:ascii="宋体" w:hAnsi="宋体" w:cs="宋体"/>
          <w:color w:val="000000" w:themeColor="text1"/>
          <w:sz w:val="24"/>
          <w14:textFill>
            <w14:solidFill>
              <w14:schemeClr w14:val="tx1"/>
            </w14:solidFill>
          </w14:textFill>
        </w:rPr>
      </w:pPr>
    </w:p>
    <w:p w14:paraId="3A2CCFB0">
      <w:pPr>
        <w:spacing w:line="360" w:lineRule="auto"/>
        <w:ind w:right="480"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投标单位（法定名称章）：</w:t>
      </w:r>
    </w:p>
    <w:p w14:paraId="3377A625">
      <w:pPr>
        <w:ind w:right="1440" w:firstLine="494"/>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4BA8755">
      <w:pP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w:t>
      </w:r>
    </w:p>
    <w:p w14:paraId="1CFDC78A">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14:textFill>
            <w14:solidFill>
              <w14:schemeClr w14:val="tx1"/>
            </w14:solidFill>
          </w14:textFill>
        </w:rPr>
        <w:t>投标单位法定名称章（印模）                投标单位“XX专用章”（印模）</w:t>
      </w:r>
    </w:p>
    <w:p w14:paraId="64CDBCD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106BEA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64FA61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85F13F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912E9D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4D1DA8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AFFE04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F644F4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E83FDE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5A3319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2FE527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6DFFCE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87147F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0FDF24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B64596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AA3B35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BCDB4A9">
      <w:pPr>
        <w:autoSpaceDE w:val="0"/>
        <w:autoSpaceDN w:val="0"/>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w:t>
      </w:r>
      <w:r>
        <w:rPr>
          <w:rFonts w:ascii="宋体" w:hAnsi="宋体" w:cs="宋体"/>
          <w:b/>
          <w:color w:val="000000" w:themeColor="text1"/>
          <w:spacing w:val="6"/>
          <w:sz w:val="32"/>
          <w:szCs w:val="32"/>
          <w14:textFill>
            <w14:solidFill>
              <w14:schemeClr w14:val="tx1"/>
            </w14:solidFill>
          </w14:textFill>
        </w:rPr>
        <w:t>5</w:t>
      </w:r>
      <w:r>
        <w:rPr>
          <w:rFonts w:hint="eastAsia" w:ascii="宋体" w:hAnsi="宋体" w:cs="宋体"/>
          <w:b/>
          <w:color w:val="000000" w:themeColor="text1"/>
          <w:spacing w:val="6"/>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联合协议</w:t>
      </w:r>
    </w:p>
    <w:p w14:paraId="3A6A64E1">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（以联合体形式投标的，提供联合协议；本项目不接受联合体投标或者投标人不以联合体形式投标的，则不需要提供）</w:t>
      </w:r>
    </w:p>
    <w:p w14:paraId="7DB48BF3">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（联合体所有成员名称）</w:t>
      </w:r>
      <w:r>
        <w:rPr>
          <w:rFonts w:hint="eastAsia" w:ascii="宋体" w:hAnsi="宋体" w:cs="宋体"/>
          <w:color w:val="000000" w:themeColor="text1"/>
          <w:kern w:val="0"/>
          <w:sz w:val="24"/>
          <w14:textFill>
            <w14:solidFill>
              <w14:schemeClr w14:val="tx1"/>
            </w14:solidFill>
          </w14:textFill>
        </w:rPr>
        <w:t>自愿</w:t>
      </w:r>
      <w:r>
        <w:rPr>
          <w:rFonts w:hint="eastAsia" w:ascii="宋体" w:hAnsi="宋体" w:cs="宋体"/>
          <w:color w:val="000000" w:themeColor="text1"/>
          <w:kern w:val="0"/>
          <w:sz w:val="24"/>
          <w:lang w:val="zh-CN"/>
          <w14:textFill>
            <w14:solidFill>
              <w14:schemeClr w14:val="tx1"/>
            </w14:solidFill>
          </w14:textFill>
        </w:rPr>
        <w:t>组成一个联合体，以一个投标人的身份</w:t>
      </w:r>
      <w:r>
        <w:rPr>
          <w:rFonts w:hint="eastAsia" w:ascii="宋体" w:hAnsi="宋体" w:cs="宋体"/>
          <w:color w:val="000000" w:themeColor="text1"/>
          <w:kern w:val="0"/>
          <w:sz w:val="24"/>
          <w14:textFill>
            <w14:solidFill>
              <w14:schemeClr w14:val="tx1"/>
            </w14:solidFill>
          </w14:textFill>
        </w:rPr>
        <w:t>参加</w:t>
      </w:r>
      <w:r>
        <w:rPr>
          <w:rFonts w:hint="eastAsia" w:ascii="宋体" w:hAnsi="宋体" w:cs="宋体"/>
          <w:color w:val="000000" w:themeColor="text1"/>
          <w:sz w:val="24"/>
          <w14:textFill>
            <w14:solidFill>
              <w14:schemeClr w14:val="tx1"/>
            </w14:solidFill>
          </w14:textFill>
        </w:rPr>
        <w:t>（项目名称）【招标编号：（采购编号）】</w:t>
      </w:r>
      <w:r>
        <w:rPr>
          <w:rFonts w:hint="eastAsia" w:ascii="宋体" w:hAnsi="宋体" w:cs="宋体"/>
          <w:color w:val="000000" w:themeColor="text1"/>
          <w:kern w:val="0"/>
          <w:sz w:val="24"/>
          <w:lang w:val="zh-CN"/>
          <w14:textFill>
            <w14:solidFill>
              <w14:schemeClr w14:val="tx1"/>
            </w14:solidFill>
          </w14:textFill>
        </w:rPr>
        <w:t xml:space="preserve">投标。 </w:t>
      </w:r>
    </w:p>
    <w:p w14:paraId="2BA4834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一、各方一致决定，</w:t>
      </w:r>
      <w:r>
        <w:rPr>
          <w:rFonts w:hint="eastAsia" w:ascii="宋体" w:hAnsi="宋体" w:cs="宋体"/>
          <w:color w:val="000000" w:themeColor="text1"/>
          <w:kern w:val="0"/>
          <w:sz w:val="24"/>
          <w:u w:val="single"/>
          <w14:textFill>
            <w14:solidFill>
              <w14:schemeClr w14:val="tx1"/>
            </w14:solidFill>
          </w14:textFill>
        </w:rPr>
        <w:t>（某联合体成员名称）</w:t>
      </w:r>
      <w:r>
        <w:rPr>
          <w:rFonts w:hint="eastAsia" w:ascii="宋体" w:hAnsi="宋体" w:cs="宋体"/>
          <w:color w:val="000000" w:themeColor="text1"/>
          <w:kern w:val="0"/>
          <w:sz w:val="24"/>
          <w14:textFill>
            <w14:solidFill>
              <w14:schemeClr w14:val="tx1"/>
            </w14:solidFill>
          </w14:textFill>
        </w:rPr>
        <w:t>为联合体</w:t>
      </w:r>
      <w:r>
        <w:rPr>
          <w:rFonts w:hint="eastAsia" w:ascii="宋体" w:hAnsi="宋体" w:cs="宋体"/>
          <w:color w:val="000000" w:themeColor="text1"/>
          <w:kern w:val="0"/>
          <w:sz w:val="24"/>
          <w:lang w:val="zh-CN"/>
          <w14:textFill>
            <w14:solidFill>
              <w14:schemeClr w14:val="tx1"/>
            </w14:solidFill>
          </w14:textFill>
        </w:rPr>
        <w:t>牵头人</w:t>
      </w:r>
      <w:r>
        <w:rPr>
          <w:rFonts w:hint="eastAsia" w:ascii="宋体" w:hAnsi="宋体" w:cs="宋体"/>
          <w:color w:val="000000" w:themeColor="text1"/>
          <w:sz w:val="24"/>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lang w:val="zh-CN"/>
          <w14:textFill>
            <w14:solidFill>
              <w14:schemeClr w14:val="tx1"/>
            </w14:solidFill>
          </w14:textFill>
        </w:rPr>
        <w:t>。</w:t>
      </w:r>
    </w:p>
    <w:p w14:paraId="364FC4E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所有联合体成员各方签署授权书，授权书载明的</w:t>
      </w:r>
      <w:r>
        <w:rPr>
          <w:rFonts w:hint="eastAsia" w:ascii="宋体" w:hAnsi="宋体" w:cs="宋体"/>
          <w:color w:val="000000" w:themeColor="text1"/>
          <w:kern w:val="0"/>
          <w:sz w:val="24"/>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14:paraId="550025BD">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三、本次联合投标中，分工如下：</w:t>
      </w:r>
    </w:p>
    <w:p w14:paraId="76C51ED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（联合体成员1）</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13B24CDC">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（联合体成员</w:t>
      </w:r>
      <w:r>
        <w:rPr>
          <w:rFonts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2CA6A9AE">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686FA86C">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四、联合体成员中小企业合同份额。</w:t>
      </w:r>
    </w:p>
    <w:p w14:paraId="12DD0D4C">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kern w:val="0"/>
          <w:sz w:val="24"/>
          <w:u w:val="single"/>
          <w14:textFill>
            <w14:solidFill>
              <w14:schemeClr w14:val="tx1"/>
            </w14:solidFill>
          </w14:textFill>
        </w:rPr>
        <w:t>（</w:t>
      </w:r>
      <w:bookmarkStart w:id="506" w:name="_Hlk101131882"/>
      <w:r>
        <w:rPr>
          <w:rFonts w:hint="eastAsia" w:ascii="宋体" w:hAnsi="宋体" w:cs="宋体"/>
          <w:color w:val="000000" w:themeColor="text1"/>
          <w:kern w:val="0"/>
          <w:sz w:val="24"/>
          <w:u w:val="single"/>
          <w14:textFill>
            <w14:solidFill>
              <w14:schemeClr w14:val="tx1"/>
            </w14:solidFill>
          </w14:textFill>
        </w:rPr>
        <w:t>联合体成员X</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bookmarkEnd w:id="506"/>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提供的服务由小微企业承接，其合同份额占到合同总金额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w:t>
      </w:r>
      <w:bookmarkStart w:id="507" w:name="_Hlk101133598"/>
      <w:r>
        <w:rPr>
          <w:rFonts w:hint="eastAsia" w:ascii="宋体" w:hAnsi="宋体" w:cs="宋体"/>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bookmarkEnd w:id="507"/>
      <w:r>
        <w:rPr>
          <w:rFonts w:hint="eastAsia" w:ascii="宋体" w:hAnsi="宋体" w:cs="宋体"/>
          <w:b/>
          <w:color w:val="000000" w:themeColor="text1"/>
          <w:kern w:val="0"/>
          <w:sz w:val="24"/>
          <w:lang w:val="zh-CN"/>
          <w14:textFill>
            <w14:solidFill>
              <w14:schemeClr w14:val="tx1"/>
            </w14:solidFill>
          </w14:textFill>
        </w:rPr>
        <w:t>）</w:t>
      </w:r>
    </w:p>
    <w:p w14:paraId="0C0B0206">
      <w:pPr>
        <w:spacing w:line="360" w:lineRule="auto"/>
        <w:ind w:firstLine="480" w:firstLineChars="200"/>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bookmarkStart w:id="508" w:name="_Hlk101133173"/>
      <w:r>
        <w:rPr>
          <w:rFonts w:hint="eastAsia" w:ascii="宋体" w:hAnsi="宋体" w:cs="宋体"/>
          <w:color w:val="000000" w:themeColor="text1"/>
          <w:sz w:val="24"/>
          <w14:textFill>
            <w14:solidFill>
              <w14:schemeClr w14:val="tx1"/>
            </w14:solidFill>
          </w14:textFill>
        </w:rPr>
        <w:t>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bookmarkEnd w:id="508"/>
    </w:p>
    <w:p w14:paraId="04E1D6EF">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五、如果中标，</w:t>
      </w:r>
      <w:r>
        <w:rPr>
          <w:rFonts w:hint="eastAsia" w:ascii="宋体" w:hAnsi="宋体" w:cs="宋体"/>
          <w:color w:val="000000" w:themeColor="text1"/>
          <w:sz w:val="24"/>
          <w14:textFill>
            <w14:solidFill>
              <w14:schemeClr w14:val="tx1"/>
            </w14:solidFill>
          </w14:textFill>
        </w:rPr>
        <w:t>联合体各成员方共同与采购人签订合同，并就采购合同约定的事项对采购人承担连带责任。</w:t>
      </w:r>
    </w:p>
    <w:p w14:paraId="0271B02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六、有关本次联合投标的其他事宜：</w:t>
      </w:r>
    </w:p>
    <w:p w14:paraId="69955EF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0787E3A8">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6BBD839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37EB8AAA">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588BD1E2">
      <w:pPr>
        <w:snapToGrid w:val="0"/>
        <w:spacing w:line="360" w:lineRule="auto"/>
        <w:ind w:firstLine="5040" w:firstLineChars="2100"/>
        <w:rPr>
          <w:rStyle w:val="81"/>
          <w:color w:val="000000" w:themeColor="text1"/>
          <w14:textFill>
            <w14:solidFill>
              <w14:schemeClr w14:val="tx1"/>
            </w14:solidFill>
          </w14:textFill>
        </w:rPr>
      </w:pPr>
      <w:r>
        <w:rPr>
          <w:rStyle w:val="81"/>
          <w:rFonts w:hint="eastAsia"/>
          <w:color w:val="000000" w:themeColor="text1"/>
          <w14:textFill>
            <w14:solidFill>
              <w14:schemeClr w14:val="tx1"/>
            </w14:solidFill>
          </w14:textFill>
        </w:rPr>
        <w:t>法定代表人（负责人） (签名)：</w:t>
      </w:r>
    </w:p>
    <w:p w14:paraId="29B5BD39">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81"/>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76D70D3C">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法定代表人（负责人） (签名)：</w:t>
      </w:r>
    </w:p>
    <w:p w14:paraId="3D89928F">
      <w:pPr>
        <w:snapToGrid w:val="0"/>
        <w:spacing w:line="360" w:lineRule="auto"/>
        <w:ind w:right="960"/>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2A652130">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  年  月   日</w:t>
      </w:r>
    </w:p>
    <w:p w14:paraId="39F42EBC">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6427EA3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906BAA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582019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57BA9C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F4C727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929A55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23CB08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C7EF68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322F34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9DBC30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629079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70BABB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46C557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56B8F6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98B222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151063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7F522D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31CFBA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968FC7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48C215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0A371C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2AB69D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8DAA9F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9C2B30E">
      <w:pPr>
        <w:widowControl/>
        <w:adjustRightInd/>
        <w:jc w:val="left"/>
        <w:rPr>
          <w:rFonts w:ascii="宋体" w:hAnsi="宋体" w:cs="宋体"/>
          <w:b/>
          <w:color w:val="000000" w:themeColor="text1"/>
          <w:spacing w:val="6"/>
          <w:sz w:val="32"/>
          <w:szCs w:val="32"/>
          <w14:textFill>
            <w14:solidFill>
              <w14:schemeClr w14:val="tx1"/>
            </w14:solidFill>
          </w14:textFill>
        </w:rPr>
      </w:pPr>
    </w:p>
    <w:p w14:paraId="49ABF05F">
      <w:pPr>
        <w:snapToGrid w:val="0"/>
        <w:spacing w:line="360" w:lineRule="auto"/>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w:t>
      </w:r>
      <w:r>
        <w:rPr>
          <w:rFonts w:ascii="宋体" w:hAnsi="宋体" w:cs="宋体"/>
          <w:b/>
          <w:color w:val="000000" w:themeColor="text1"/>
          <w:spacing w:val="6"/>
          <w:sz w:val="32"/>
          <w:szCs w:val="32"/>
          <w14:textFill>
            <w14:solidFill>
              <w14:schemeClr w14:val="tx1"/>
            </w14:solidFill>
          </w14:textFill>
        </w:rPr>
        <w:t>6</w:t>
      </w:r>
      <w:r>
        <w:rPr>
          <w:rFonts w:hint="eastAsia" w:ascii="宋体" w:hAnsi="宋体" w:cs="宋体"/>
          <w:b/>
          <w:color w:val="000000" w:themeColor="text1"/>
          <w:spacing w:val="6"/>
          <w:sz w:val="32"/>
          <w:szCs w:val="32"/>
          <w14:textFill>
            <w14:solidFill>
              <w14:schemeClr w14:val="tx1"/>
            </w14:solidFill>
          </w14:textFill>
        </w:rPr>
        <w:t>：</w:t>
      </w:r>
      <w:r>
        <w:rPr>
          <w:rFonts w:hint="eastAsia" w:ascii="宋体" w:hAnsi="宋体" w:cs="宋体"/>
          <w:b/>
          <w:color w:val="000000" w:themeColor="text1"/>
          <w:kern w:val="0"/>
          <w:sz w:val="32"/>
          <w:szCs w:val="32"/>
          <w14:textFill>
            <w14:solidFill>
              <w14:schemeClr w14:val="tx1"/>
            </w14:solidFill>
          </w14:textFill>
        </w:rPr>
        <w:t>分包意向协议</w:t>
      </w:r>
    </w:p>
    <w:p w14:paraId="65F97956">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5842332D">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若成为</w:t>
      </w:r>
      <w:r>
        <w:rPr>
          <w:rFonts w:hint="eastAsia" w:ascii="宋体" w:hAnsi="宋体" w:cs="宋体"/>
          <w:color w:val="000000" w:themeColor="text1"/>
          <w:sz w:val="24"/>
          <w14:textFill>
            <w14:solidFill>
              <w14:schemeClr w14:val="tx1"/>
            </w14:solidFill>
          </w14:textFill>
        </w:rPr>
        <w:t>（项目名称）【招标编号：（采购编号）】</w:t>
      </w:r>
      <w:r>
        <w:rPr>
          <w:rFonts w:hint="eastAsia" w:ascii="宋体" w:hAnsi="宋体" w:cs="宋体"/>
          <w:color w:val="000000" w:themeColor="text1"/>
          <w:kern w:val="0"/>
          <w:sz w:val="24"/>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14:textFill>
            <w14:solidFill>
              <w14:schemeClr w14:val="tx1"/>
            </w14:solidFill>
          </w14:textFill>
        </w:rPr>
        <w:t>与</w:t>
      </w:r>
      <w:r>
        <w:rPr>
          <w:rFonts w:hint="eastAsia" w:ascii="宋体" w:hAnsi="宋体" w:cs="宋体"/>
          <w:color w:val="000000" w:themeColor="text1"/>
          <w:kern w:val="0"/>
          <w:sz w:val="24"/>
          <w:u w:val="single"/>
          <w14:textFill>
            <w14:solidFill>
              <w14:schemeClr w14:val="tx1"/>
            </w14:solidFill>
          </w14:textFill>
        </w:rPr>
        <w:t>（所有分包供应商名称）</w:t>
      </w:r>
      <w:r>
        <w:rPr>
          <w:rFonts w:hint="eastAsia" w:ascii="宋体" w:hAnsi="宋体" w:cs="宋体"/>
          <w:color w:val="000000" w:themeColor="text1"/>
          <w:kern w:val="0"/>
          <w:sz w:val="24"/>
          <w14:textFill>
            <w14:solidFill>
              <w14:schemeClr w14:val="tx1"/>
            </w14:solidFill>
          </w14:textFill>
        </w:rPr>
        <w:t>达成分包意向协议</w:t>
      </w:r>
      <w:r>
        <w:rPr>
          <w:rFonts w:hint="eastAsia" w:ascii="宋体" w:hAnsi="宋体" w:cs="宋体"/>
          <w:color w:val="000000" w:themeColor="text1"/>
          <w:kern w:val="0"/>
          <w:sz w:val="24"/>
          <w:lang w:val="zh-CN"/>
          <w14:textFill>
            <w14:solidFill>
              <w14:schemeClr w14:val="tx1"/>
            </w14:solidFill>
          </w14:textFill>
        </w:rPr>
        <w:t xml:space="preserve">。 </w:t>
      </w:r>
    </w:p>
    <w:p w14:paraId="36E5571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一、分包标的及数量</w:t>
      </w:r>
    </w:p>
    <w:p w14:paraId="24CB7FD9">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将</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kern w:val="0"/>
          <w:sz w:val="24"/>
          <w:u w:val="single"/>
          <w14:textFill>
            <w14:solidFill>
              <w14:schemeClr w14:val="tx1"/>
            </w14:solidFill>
          </w14:textFill>
        </w:rPr>
        <w:t xml:space="preserve"> XX工作内容   </w:t>
      </w:r>
      <w:r>
        <w:rPr>
          <w:rFonts w:hint="eastAsia" w:ascii="宋体" w:hAnsi="宋体" w:cs="宋体"/>
          <w:color w:val="000000" w:themeColor="text1"/>
          <w:sz w:val="24"/>
          <w14:textFill>
            <w14:solidFill>
              <w14:schemeClr w14:val="tx1"/>
            </w14:solidFill>
          </w14:textFill>
        </w:rPr>
        <w:t>分包给</w:t>
      </w:r>
      <w:r>
        <w:rPr>
          <w:rFonts w:hint="eastAsia" w:ascii="宋体" w:hAnsi="宋体" w:cs="宋体"/>
          <w:color w:val="000000" w:themeColor="text1"/>
          <w:kern w:val="0"/>
          <w:sz w:val="24"/>
          <w:u w:val="single"/>
          <w14:textFill>
            <w14:solidFill>
              <w14:schemeClr w14:val="tx1"/>
            </w14:solidFill>
          </w14:textFill>
        </w:rPr>
        <w:t>（分包供应商1名称）</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（分包供应商2名称），</w:t>
      </w:r>
      <w:r>
        <w:rPr>
          <w:rFonts w:hint="eastAsia" w:ascii="宋体" w:hAnsi="宋体" w:cs="宋体"/>
          <w:color w:val="000000" w:themeColor="text1"/>
          <w:kern w:val="0"/>
          <w:sz w:val="24"/>
          <w:lang w:val="zh-CN"/>
          <w14:textFill>
            <w14:solidFill>
              <w14:schemeClr w14:val="tx1"/>
            </w14:solidFill>
          </w14:textFill>
        </w:rPr>
        <w:t>具备承</w:t>
      </w:r>
      <w:r>
        <w:rPr>
          <w:rFonts w:hint="eastAsia" w:ascii="宋体" w:hAnsi="宋体" w:cs="宋体"/>
          <w:color w:val="000000" w:themeColor="text1"/>
          <w:kern w:val="0"/>
          <w:sz w:val="24"/>
          <w14:textFill>
            <w14:solidFill>
              <w14:schemeClr w14:val="tx1"/>
            </w14:solidFill>
          </w14:textFill>
        </w:rPr>
        <w:t>担</w:t>
      </w:r>
      <w:r>
        <w:rPr>
          <w:rFonts w:hint="eastAsia" w:ascii="宋体" w:hAnsi="宋体" w:cs="宋体"/>
          <w:color w:val="000000" w:themeColor="text1"/>
          <w:kern w:val="0"/>
          <w:sz w:val="24"/>
          <w:u w:val="single"/>
          <w:lang w:val="zh-CN"/>
          <w14:textFill>
            <w14:solidFill>
              <w14:schemeClr w14:val="tx1"/>
            </w14:solidFill>
          </w14:textFill>
        </w:rPr>
        <w:t>XX工作内容</w:t>
      </w:r>
      <w:r>
        <w:rPr>
          <w:rFonts w:hint="eastAsia" w:ascii="宋体" w:hAnsi="宋体" w:cs="宋体"/>
          <w:color w:val="000000" w:themeColor="text1"/>
          <w:kern w:val="0"/>
          <w:sz w:val="24"/>
          <w:lang w:val="zh-CN"/>
          <w14:textFill>
            <w14:solidFill>
              <w14:schemeClr w14:val="tx1"/>
            </w14:solidFill>
          </w14:textFill>
        </w:rPr>
        <w:t>相应资质条件且不得再次分包；</w:t>
      </w:r>
    </w:p>
    <w:p w14:paraId="4793EE2A">
      <w:pPr>
        <w:pStyle w:val="82"/>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0EDD35E4">
      <w:pP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 xml:space="preserve"> </w:t>
      </w:r>
    </w:p>
    <w:p w14:paraId="1DE5E92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二、分包供应商中小企业合同份额</w:t>
      </w:r>
    </w:p>
    <w:p w14:paraId="2A6A648E">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u w:val="single"/>
          <w14:textFill>
            <w14:solidFill>
              <w14:schemeClr w14:val="tx1"/>
            </w14:solidFill>
          </w14:textFill>
        </w:rPr>
        <w:t>（分包供应商X</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……）提供的服务全部由小微企业承接，</w:t>
      </w:r>
      <w:r>
        <w:rPr>
          <w:rFonts w:hint="eastAsia" w:ascii="宋体" w:hAnsi="宋体" w:cs="宋体"/>
          <w:color w:val="000000" w:themeColor="text1"/>
          <w:kern w:val="0"/>
          <w:sz w:val="24"/>
          <w14:textFill>
            <w14:solidFill>
              <w14:schemeClr w14:val="tx1"/>
            </w14:solidFill>
          </w14:textFill>
        </w:rPr>
        <w:t>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r>
        <w:rPr>
          <w:rFonts w:hint="eastAsia" w:ascii="宋体" w:hAnsi="宋体" w:cs="宋体"/>
          <w:b/>
          <w:color w:val="000000" w:themeColor="text1"/>
          <w:kern w:val="0"/>
          <w:sz w:val="24"/>
          <w:lang w:val="zh-CN"/>
          <w14:textFill>
            <w14:solidFill>
              <w14:schemeClr w14:val="tx1"/>
            </w14:solidFill>
          </w14:textFill>
        </w:rPr>
        <w:t>）</w:t>
      </w:r>
    </w:p>
    <w:p w14:paraId="65BF1C6F">
      <w:pPr>
        <w:spacing w:line="360" w:lineRule="auto"/>
        <w:ind w:firstLine="480" w:firstLineChars="200"/>
        <w:rPr>
          <w:rFonts w:ascii="宋体" w:hAnsi="宋体" w:cs="宋体"/>
          <w:b/>
          <w:bCs/>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lang w:val="zh-CN"/>
          <w14:textFill>
            <w14:solidFill>
              <w14:schemeClr w14:val="tx1"/>
            </w14:solidFill>
          </w14:textFill>
        </w:rPr>
        <w:t>分包意向协议</w:t>
      </w:r>
      <w:r>
        <w:rPr>
          <w:rFonts w:hint="eastAsia" w:ascii="宋体" w:hAnsi="宋体" w:cs="宋体"/>
          <w:b/>
          <w:bCs/>
          <w:color w:val="000000" w:themeColor="text1"/>
          <w:sz w:val="24"/>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p>
    <w:p w14:paraId="1549C32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三、分包工作履行期限、地点、方式</w:t>
      </w:r>
    </w:p>
    <w:p w14:paraId="4839958C">
      <w:pPr>
        <w:snapToGrid w:val="0"/>
        <w:spacing w:line="360" w:lineRule="auto"/>
        <w:ind w:firstLine="576"/>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051EAFA3">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四、质量</w:t>
      </w:r>
    </w:p>
    <w:p w14:paraId="19083F0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14F27FC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五、价款或者报酬</w:t>
      </w:r>
    </w:p>
    <w:p w14:paraId="65043C65">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769A8640">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六、违约责任</w:t>
      </w:r>
    </w:p>
    <w:p w14:paraId="5F0D9465">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0A6D2D5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七、争议解决的办法</w:t>
      </w:r>
    </w:p>
    <w:p w14:paraId="54D388CC">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432DDD65">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八、其他</w:t>
      </w:r>
    </w:p>
    <w:p w14:paraId="7EC0C579">
      <w:pPr>
        <w:snapToGrid w:val="0"/>
        <w:spacing w:line="360" w:lineRule="auto"/>
        <w:ind w:left="5758" w:leftChars="342" w:hanging="5040" w:hanging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 xml:space="preserve">  。                                           投标人名称(公章)：</w:t>
      </w:r>
    </w:p>
    <w:p w14:paraId="2C0900FE">
      <w:pPr>
        <w:snapToGrid w:val="0"/>
        <w:spacing w:line="360" w:lineRule="auto"/>
        <w:ind w:left="5758" w:leftChars="2742"/>
        <w:rPr>
          <w:rFonts w:ascii="宋体" w:hAnsi="宋体" w:cs="宋体"/>
          <w:color w:val="000000" w:themeColor="text1"/>
          <w:kern w:val="0"/>
          <w:sz w:val="24"/>
          <w:lang w:val="zh-CN"/>
          <w14:textFill>
            <w14:solidFill>
              <w14:schemeClr w14:val="tx1"/>
            </w14:solidFill>
          </w14:textFill>
        </w:rPr>
      </w:pPr>
      <w:r>
        <w:rPr>
          <w:rStyle w:val="81"/>
          <w:rFonts w:hint="eastAsia"/>
          <w:color w:val="000000" w:themeColor="text1"/>
          <w14:textFill>
            <w14:solidFill>
              <w14:schemeClr w14:val="tx1"/>
            </w14:solidFill>
          </w14:textFill>
        </w:rPr>
        <w:t>法定代表人（负责人） (签名)：</w:t>
      </w:r>
      <w:r>
        <w:rPr>
          <w:rFonts w:hint="eastAsia" w:ascii="宋体" w:hAnsi="宋体" w:cs="宋体"/>
          <w:color w:val="000000" w:themeColor="text1"/>
          <w:kern w:val="0"/>
          <w:sz w:val="24"/>
          <w:lang w:val="zh-CN"/>
          <w14:textFill>
            <w14:solidFill>
              <w14:schemeClr w14:val="tx1"/>
            </w14:solidFill>
          </w14:textFill>
        </w:rPr>
        <w:t>分包供应商名称(公章)：</w:t>
      </w:r>
    </w:p>
    <w:p w14:paraId="69C247FC">
      <w:pPr>
        <w:pStyle w:val="82"/>
        <w:ind w:firstLine="5760" w:firstLineChars="2400"/>
        <w:rPr>
          <w:color w:val="000000" w:themeColor="text1"/>
          <w14:textFill>
            <w14:solidFill>
              <w14:schemeClr w14:val="tx1"/>
            </w14:solidFill>
          </w14:textFill>
        </w:rPr>
      </w:pPr>
      <w:r>
        <w:rPr>
          <w:rStyle w:val="81"/>
          <w:rFonts w:hint="eastAsia"/>
          <w:color w:val="000000" w:themeColor="text1"/>
          <w14:textFill>
            <w14:solidFill>
              <w14:schemeClr w14:val="tx1"/>
            </w14:solidFill>
          </w14:textFill>
        </w:rPr>
        <w:t>法定代表人（负责人） (签名)：</w:t>
      </w:r>
    </w:p>
    <w:p w14:paraId="745CE896">
      <w:pPr>
        <w:snapToGrid w:val="0"/>
        <w:spacing w:line="360" w:lineRule="auto"/>
        <w:jc w:val="right"/>
        <w:rPr>
          <w:rFonts w:ascii="宋体" w:hAnsi="宋体" w:cs="宋体"/>
          <w:color w:val="000000" w:themeColor="text1"/>
          <w:kern w:val="0"/>
          <w:sz w:val="24"/>
          <w:lang w:val="zh-CN"/>
          <w14:textFill>
            <w14:solidFill>
              <w14:schemeClr w14:val="tx1"/>
            </w14:solidFill>
          </w14:textFill>
        </w:rPr>
      </w:pPr>
    </w:p>
    <w:p w14:paraId="2466C041">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31FA92B9">
      <w:pPr>
        <w:snapToGrid w:val="0"/>
        <w:spacing w:line="360" w:lineRule="auto"/>
        <w:ind w:left="5758" w:leftChars="342" w:hanging="5040" w:hanging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0EB9BBDF">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FABE2F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00254B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80CECC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E865A7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FDBD10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6B9E7A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8396B9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F1E6C0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872088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723C47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B4F88C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824DD4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AA7AC1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580757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CFFFA7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75AA9F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342E82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FA9E57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07619A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2F9585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B64283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D458D0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969802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62C9EE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693322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59F84DA">
      <w:pPr>
        <w:spacing w:line="360" w:lineRule="auto"/>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w:t>
      </w:r>
      <w:r>
        <w:rPr>
          <w:rFonts w:ascii="宋体" w:hAnsi="宋体" w:cs="宋体"/>
          <w:b/>
          <w:color w:val="000000" w:themeColor="text1"/>
          <w:sz w:val="32"/>
          <w:szCs w:val="32"/>
          <w14:textFill>
            <w14:solidFill>
              <w14:schemeClr w14:val="tx1"/>
            </w14:solidFill>
          </w14:textFill>
        </w:rPr>
        <w:t>7</w:t>
      </w:r>
      <w:r>
        <w:rPr>
          <w:rFonts w:hint="eastAsia" w:ascii="宋体" w:hAnsi="宋体" w:cs="宋体"/>
          <w:b/>
          <w:color w:val="000000" w:themeColor="text1"/>
          <w:sz w:val="32"/>
          <w:szCs w:val="32"/>
          <w14:textFill>
            <w14:solidFill>
              <w14:schemeClr w14:val="tx1"/>
            </w14:solidFill>
          </w14:textFill>
        </w:rPr>
        <w:t>：中小企业声明函</w:t>
      </w:r>
    </w:p>
    <w:p w14:paraId="31662A82">
      <w:pPr>
        <w:spacing w:line="360" w:lineRule="auto"/>
        <w:jc w:val="center"/>
        <w:rPr>
          <w:rFonts w:ascii="宋体" w:hAnsi="宋体" w:cs="宋体"/>
          <w:color w:val="000000" w:themeColor="text1"/>
          <w:sz w:val="24"/>
          <w:u w:val="single"/>
          <w14:textFill>
            <w14:solidFill>
              <w14:schemeClr w14:val="tx1"/>
            </w14:solidFill>
          </w14:textFill>
        </w:rPr>
      </w:pPr>
    </w:p>
    <w:p w14:paraId="7228E9D1">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中小企业声明函（服务）</w:t>
      </w:r>
    </w:p>
    <w:p w14:paraId="561191A8">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u w:val="single"/>
          <w14:textFill>
            <w14:solidFill>
              <w14:schemeClr w14:val="tx1"/>
            </w14:solidFill>
          </w14:textFill>
        </w:rPr>
        <w:t xml:space="preserve">（采购人）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C99B6D2">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（采购文件中明确的所属行业）</w:t>
      </w:r>
      <w:r>
        <w:rPr>
          <w:rFonts w:hint="eastAsia" w:ascii="宋体" w:hAnsi="宋体" w:cs="宋体"/>
          <w:color w:val="000000" w:themeColor="text1"/>
          <w:sz w:val="24"/>
          <w14:textFill>
            <w14:solidFill>
              <w14:schemeClr w14:val="tx1"/>
            </w14:solidFill>
          </w14:textFill>
        </w:rPr>
        <w:t xml:space="preserve"> ；承建（承接）企业为 </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 </w:t>
      </w:r>
      <w:r>
        <w:rPr>
          <w:rFonts w:hint="eastAsia" w:ascii="宋体" w:hAnsi="宋体" w:cs="宋体"/>
          <w:color w:val="000000" w:themeColor="text1"/>
          <w:sz w:val="24"/>
          <w14:textFill>
            <w14:solidFill>
              <w14:schemeClr w14:val="tx1"/>
            </w14:solidFill>
          </w14:textFill>
        </w:rPr>
        <w:t>；</w:t>
      </w:r>
    </w:p>
    <w:p w14:paraId="75832B69">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 xml:space="preserve"> （标的名称），</w:t>
      </w:r>
      <w:r>
        <w:rPr>
          <w:rFonts w:hint="eastAsia" w:ascii="宋体" w:hAnsi="宋体" w:cs="宋体"/>
          <w:color w:val="000000" w:themeColor="text1"/>
          <w:sz w:val="24"/>
          <w14:textFill>
            <w14:solidFill>
              <w14:schemeClr w14:val="tx1"/>
            </w14:solidFill>
          </w14:textFill>
        </w:rPr>
        <w:t xml:space="preserve">属于 </w:t>
      </w:r>
      <w:r>
        <w:rPr>
          <w:rFonts w:hint="eastAsia" w:ascii="宋体" w:hAnsi="宋体" w:cs="宋体"/>
          <w:color w:val="000000" w:themeColor="text1"/>
          <w:sz w:val="24"/>
          <w:u w:val="single"/>
          <w14:textFill>
            <w14:solidFill>
              <w14:schemeClr w14:val="tx1"/>
            </w14:solidFill>
          </w14:textFill>
        </w:rPr>
        <w:t xml:space="preserve">（采购文件中明确的所属行业） </w:t>
      </w:r>
      <w:r>
        <w:rPr>
          <w:rFonts w:hint="eastAsia" w:ascii="宋体" w:hAnsi="宋体" w:cs="宋体"/>
          <w:color w:val="000000" w:themeColor="text1"/>
          <w:sz w:val="24"/>
          <w14:textFill>
            <w14:solidFill>
              <w14:schemeClr w14:val="tx1"/>
            </w14:solidFill>
          </w14:textFill>
        </w:rPr>
        <w:t xml:space="preserve">；承建（承接）企业为 </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 </w:t>
      </w:r>
      <w:r>
        <w:rPr>
          <w:rFonts w:hint="eastAsia" w:ascii="宋体" w:hAnsi="宋体" w:cs="宋体"/>
          <w:color w:val="000000" w:themeColor="text1"/>
          <w:sz w:val="24"/>
          <w14:textFill>
            <w14:solidFill>
              <w14:schemeClr w14:val="tx1"/>
            </w14:solidFill>
          </w14:textFill>
        </w:rPr>
        <w:t>；</w:t>
      </w:r>
    </w:p>
    <w:p w14:paraId="0E7E6F4E">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608DA363">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5AA088B3">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577EA21F">
      <w:pPr>
        <w:snapToGrid w:val="0"/>
        <w:spacing w:line="360" w:lineRule="auto"/>
        <w:ind w:firstLine="5160" w:firstLineChars="21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投标人名称(公章)：</w:t>
      </w:r>
    </w:p>
    <w:p w14:paraId="30F3AF24">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ADA4170">
      <w:pPr>
        <w:spacing w:line="360" w:lineRule="auto"/>
        <w:ind w:right="420"/>
        <w:rPr>
          <w:rFonts w:ascii="宋体" w:hAnsi="宋体" w:cs="宋体"/>
          <w:color w:val="000000" w:themeColor="text1"/>
          <w:sz w:val="24"/>
          <w14:textFill>
            <w14:solidFill>
              <w14:schemeClr w14:val="tx1"/>
            </w14:solidFill>
          </w14:textFill>
        </w:rPr>
      </w:pPr>
    </w:p>
    <w:p w14:paraId="653CA111">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w:t>
      </w:r>
    </w:p>
    <w:p w14:paraId="57F50F8E">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3E0CE47">
      <w:pPr>
        <w:spacing w:line="360" w:lineRule="auto"/>
        <w:ind w:right="420"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E58B982">
      <w:pPr>
        <w:pStyle w:val="82"/>
        <w:rPr>
          <w:color w:val="000000" w:themeColor="text1"/>
          <w14:textFill>
            <w14:solidFill>
              <w14:schemeClr w14:val="tx1"/>
            </w14:solidFill>
          </w14:textFill>
        </w:rPr>
      </w:pPr>
    </w:p>
    <w:p w14:paraId="33AC0C04">
      <w:pPr>
        <w:spacing w:line="360" w:lineRule="auto"/>
        <w:ind w:right="420"/>
        <w:rPr>
          <w:rFonts w:ascii="宋体" w:hAnsi="宋体" w:cs="宋体"/>
          <w:color w:val="000000" w:themeColor="text1"/>
          <w14:textFill>
            <w14:solidFill>
              <w14:schemeClr w14:val="tx1"/>
            </w14:solidFill>
          </w14:textFill>
        </w:rPr>
      </w:pPr>
    </w:p>
    <w:p w14:paraId="447DE234">
      <w:pPr>
        <w:spacing w:line="360" w:lineRule="auto"/>
        <w:rPr>
          <w:rFonts w:ascii="宋体" w:hAnsi="宋体" w:cs="宋体"/>
          <w:bCs/>
          <w:color w:val="000000" w:themeColor="text1"/>
          <w:sz w:val="24"/>
          <w14:textFill>
            <w14:solidFill>
              <w14:schemeClr w14:val="tx1"/>
            </w14:solidFill>
          </w14:textFill>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Eorzea"/>
    <w:panose1 w:val="00000000000000000000"/>
    <w:charset w:val="00"/>
    <w:family w:val="swiss"/>
    <w:pitch w:val="default"/>
    <w:sig w:usb0="00000000" w:usb1="00000000" w:usb2="00000000" w:usb3="00000000" w:csb0="00000011" w:csb1="00000000"/>
  </w:font>
  <w:font w:name="Eorzea">
    <w:panose1 w:val="02000500000000000000"/>
    <w:charset w:val="00"/>
    <w:family w:val="auto"/>
    <w:pitch w:val="default"/>
    <w:sig w:usb0="800000A7" w:usb1="5000004A" w:usb2="00000000" w:usb3="00000000" w:csb0="20000111" w:csb1="41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Eorzea"/>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方正乙瑛碑隶书 简"/>
    <w:panose1 w:val="00000000000000000000"/>
    <w:charset w:val="00"/>
    <w:family w:val="roman"/>
    <w:pitch w:val="default"/>
    <w:sig w:usb0="00000000" w:usb1="00000000" w:usb2="00000000" w:usb3="00000000" w:csb0="00040001" w:csb1="00000000"/>
  </w:font>
  <w:font w:name="方正乙瑛碑隶书 简">
    <w:panose1 w:val="02000500000000000000"/>
    <w:charset w:val="86"/>
    <w:family w:val="auto"/>
    <w:pitch w:val="default"/>
    <w:sig w:usb0="A00002BF" w:usb1="184F6CFA" w:usb2="00000012"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0" w:usb3="00000000" w:csb0="00000001" w:csb1="00000000"/>
  </w:font>
  <w:font w:name="Cumberland">
    <w:altName w:val="方正乙瑛碑隶书 简"/>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Eorzea"/>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Eorzea"/>
    <w:panose1 w:val="00000000000000000000"/>
    <w:charset w:val="00"/>
    <w:family w:val="roman"/>
    <w:pitch w:val="default"/>
    <w:sig w:usb0="00000000" w:usb1="00000000" w:usb2="00000000" w:usb3="00000000" w:csb0="00000011" w:csb1="00000000"/>
  </w:font>
  <w:font w:name=".PingFang SC">
    <w:altName w:val="方正乙瑛碑隶书 简"/>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CC7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FE3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B4E602A">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06E5">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8C81C39">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1E99">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6BA078D">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9CC8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71D06B1">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FA0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DDA9">
    <w:pPr>
      <w:pStyle w:val="39"/>
      <w:framePr w:wrap="around" w:vAnchor="text" w:hAnchor="margin" w:xAlign="right" w:y="1"/>
      <w:rPr>
        <w:rStyle w:val="72"/>
      </w:rPr>
    </w:pPr>
    <w:r>
      <w:fldChar w:fldCharType="begin"/>
    </w:r>
    <w:r>
      <w:rPr>
        <w:rStyle w:val="72"/>
      </w:rPr>
      <w:instrText xml:space="preserve">PAGE  </w:instrText>
    </w:r>
    <w:r>
      <w:fldChar w:fldCharType="end"/>
    </w:r>
  </w:p>
  <w:p w14:paraId="78C20004">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BC4A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73</w:t>
    </w:r>
    <w:r>
      <w:rPr>
        <w:rFonts w:hint="eastAsia" w:ascii="仿宋_GB2312" w:eastAsia="仿宋_GB2312"/>
        <w:kern w:val="0"/>
        <w:sz w:val="21"/>
        <w:szCs w:val="21"/>
      </w:rPr>
      <w:fldChar w:fldCharType="end"/>
    </w:r>
    <w:bookmarkStart w:id="509" w:name="_Toc91899912"/>
    <w:bookmarkStart w:id="510" w:name="_Toc131845147"/>
    <w:bookmarkStart w:id="511" w:name="_Toc164085800"/>
    <w:bookmarkStart w:id="512" w:name="_Toc36110187"/>
    <w:r>
      <w:rPr>
        <w:rFonts w:hint="eastAsia" w:ascii="仿宋_GB2312" w:eastAsia="仿宋_GB2312"/>
        <w:kern w:val="0"/>
        <w:sz w:val="21"/>
        <w:szCs w:val="21"/>
      </w:rPr>
      <w:t xml:space="preserve"> 页</w:t>
    </w:r>
    <w:bookmarkEnd w:id="509"/>
    <w:bookmarkEnd w:id="510"/>
    <w:bookmarkEnd w:id="511"/>
    <w:bookmarkEnd w:id="51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7DAA">
    <w:pPr>
      <w:pStyle w:val="39"/>
      <w:framePr w:wrap="around" w:vAnchor="text" w:hAnchor="margin" w:xAlign="right" w:y="1"/>
      <w:rPr>
        <w:rStyle w:val="72"/>
      </w:rPr>
    </w:pPr>
    <w:r>
      <w:fldChar w:fldCharType="begin"/>
    </w:r>
    <w:r>
      <w:rPr>
        <w:rStyle w:val="72"/>
      </w:rPr>
      <w:instrText xml:space="preserve">PAGE  </w:instrText>
    </w:r>
    <w:r>
      <w:fldChar w:fldCharType="end"/>
    </w:r>
  </w:p>
  <w:p w14:paraId="0E220C95">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1E2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30B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6E2A002">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071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3D692C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BF6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66EFC58">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503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C1C512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367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62FC9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064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09848D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25E2">
    <w:pPr>
      <w:pStyle w:val="40"/>
      <w:jc w:val="right"/>
      <w:rPr>
        <w:lang w:val="en-US"/>
      </w:rPr>
    </w:pPr>
    <w:r>
      <w:rPr>
        <w:rFonts w:hint="eastAsia"/>
        <w:lang w:val="en-US"/>
      </w:rPr>
      <w:t>北海市政府采购公开招标文件（编号LBZC2025-G3-990131-CGZX）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DEC2">
    <w:pPr>
      <w:pStyle w:val="40"/>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9AE0D">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2994148E">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03CD">
    <w:pPr>
      <w:pStyle w:val="40"/>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35D2">
    <w:pPr>
      <w:pStyle w:val="40"/>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7EFE">
    <w:pPr>
      <w:pStyle w:val="40"/>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D851">
    <w:pPr>
      <w:pStyle w:val="40"/>
      <w:pBdr>
        <w:bottom w:val="single" w:color="auto" w:sz="6" w:space="0"/>
      </w:pBdr>
      <w:tabs>
        <w:tab w:val="center" w:pos="4535"/>
        <w:tab w:val="right" w:pos="9070"/>
        <w:tab w:val="clear" w:pos="4153"/>
        <w:tab w:val="clear" w:pos="8306"/>
      </w:tabs>
      <w:jc w:val="right"/>
      <w:rPr>
        <w:rFonts w:hint="eastAsia" w:eastAsia="宋体"/>
        <w:lang w:eastAsia="zh-CN"/>
      </w:rPr>
    </w:pPr>
    <w:r>
      <w:rPr>
        <w:rFonts w:hint="eastAsia"/>
      </w:rPr>
      <w:t>北海市政府采购公开招标文件</w:t>
    </w:r>
    <w:r>
      <w:rPr>
        <w:rFonts w:hint="eastAsia"/>
        <w:lang w:eastAsia="zh-CN"/>
      </w:rPr>
      <w:t>（</w:t>
    </w:r>
    <w:r>
      <w:rPr>
        <w:rFonts w:hint="eastAsia"/>
      </w:rPr>
      <w:t>编号LBZC2025-G3-990131-CGZX</w:t>
    </w:r>
    <w:r>
      <w:rPr>
        <w:rFonts w:hint="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0331E">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2180">
    <w:pPr>
      <w:pStyle w:val="40"/>
    </w:pPr>
    <w:r>
      <w:t></w:t>
    </w:r>
    <w:r>
      <w:rPr>
        <w:rFonts w:hint="eastAsia"/>
      </w:rPr>
      <w:t xml:space="preserve">         </w:t>
    </w:r>
  </w:p>
  <w:p w14:paraId="71D05D34">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1AF3">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0B76">
    <w:pPr>
      <w:pStyle w:val="40"/>
    </w:pPr>
    <w:r>
      <w:t></w:t>
    </w:r>
    <w:r>
      <w:rPr>
        <w:rFonts w:hint="eastAsia"/>
      </w:rPr>
      <w:t xml:space="preserve">         </w:t>
    </w:r>
  </w:p>
  <w:p w14:paraId="3B68B56A">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1E92">
    <w:pPr>
      <w:pStyle w:val="40"/>
      <w:rPr>
        <w:rFonts w:ascii="仿宋_GB2312" w:eastAsia="仿宋_GB2312"/>
        <w:b/>
        <w:i/>
        <w:sz w:val="21"/>
        <w:szCs w:val="21"/>
        <w:u w:val="single"/>
      </w:rPr>
    </w:pPr>
    <w:r>
      <w:t></w:t>
    </w:r>
    <w:r>
      <w:rPr>
        <w:rFonts w:hint="eastAsia"/>
      </w:rPr>
      <w:t xml:space="preserve">                                                  </w:t>
    </w:r>
    <w:r>
      <w:t xml:space="preserve">           </w:t>
    </w:r>
    <w:r>
      <w:rPr>
        <w:sz w:val="21"/>
        <w:szCs w:val="21"/>
      </w:rPr>
      <w:t xml:space="preserve">  北海市政府采购公开招标文件</w:t>
    </w:r>
  </w:p>
  <w:p w14:paraId="571F3F85">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44DC">
    <w:pPr>
      <w:pStyle w:val="40"/>
    </w:pPr>
    <w:r>
      <w:t></w:t>
    </w:r>
    <w:r>
      <w:rPr>
        <w:rFonts w:hint="eastAsia"/>
      </w:rPr>
      <w:t xml:space="preserve">         </w:t>
    </w:r>
  </w:p>
  <w:p w14:paraId="5F462C04">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6DA0">
    <w:pPr>
      <w:pStyle w:val="40"/>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71BDA812">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19ACA"/>
    <w:multiLevelType w:val="singleLevel"/>
    <w:tmpl w:val="CE419ACA"/>
    <w:lvl w:ilvl="0" w:tentative="0">
      <w:start w:val="1"/>
      <w:numFmt w:val="chineseCounting"/>
      <w:suff w:val="nothing"/>
      <w:lvlText w:val="%1、"/>
      <w:lvlJc w:val="left"/>
      <w:rPr>
        <w:rFonts w:hint="eastAsia"/>
        <w:b/>
        <w:bCs/>
      </w:rPr>
    </w:lvl>
  </w:abstractNum>
  <w:abstractNum w:abstractNumId="1">
    <w:nsid w:val="E0C14987"/>
    <w:multiLevelType w:val="singleLevel"/>
    <w:tmpl w:val="E0C14987"/>
    <w:lvl w:ilvl="0" w:tentative="0">
      <w:start w:val="15"/>
      <w:numFmt w:val="decimal"/>
      <w:lvlText w:val="%1."/>
      <w:lvlJc w:val="left"/>
      <w:pPr>
        <w:tabs>
          <w:tab w:val="left" w:pos="312"/>
        </w:tabs>
      </w:pPr>
    </w:lvl>
  </w:abstractNum>
  <w:abstractNum w:abstractNumId="2">
    <w:nsid w:val="742C8CB9"/>
    <w:multiLevelType w:val="singleLevel"/>
    <w:tmpl w:val="742C8CB9"/>
    <w:lvl w:ilvl="0" w:tentative="0">
      <w:start w:val="3"/>
      <w:numFmt w:val="chineseCounting"/>
      <w:suff w:val="space"/>
      <w:lvlText w:val="第%1部分"/>
      <w:lvlJc w:val="left"/>
      <w:rPr>
        <w:rFonts w:hint="eastAsia"/>
      </w:rPr>
    </w:lvl>
  </w:abstractNum>
  <w:abstractNum w:abstractNumId="3">
    <w:nsid w:val="7EAC9E0B"/>
    <w:multiLevelType w:val="singleLevel"/>
    <w:tmpl w:val="7EAC9E0B"/>
    <w:lvl w:ilvl="0" w:tentative="0">
      <w:start w:val="26"/>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4A15"/>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5CB4"/>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7FB"/>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808"/>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3E18"/>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09F2"/>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3C3"/>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4B"/>
    <w:rsid w:val="00F26265"/>
    <w:rsid w:val="00F266E3"/>
    <w:rsid w:val="00F2689C"/>
    <w:rsid w:val="00F27E44"/>
    <w:rsid w:val="00F30313"/>
    <w:rsid w:val="00F303BC"/>
    <w:rsid w:val="00F30472"/>
    <w:rsid w:val="00F30961"/>
    <w:rsid w:val="00F31052"/>
    <w:rsid w:val="00F31068"/>
    <w:rsid w:val="00F31369"/>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1845"/>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2670EA"/>
    <w:rsid w:val="014C6B51"/>
    <w:rsid w:val="019F7441"/>
    <w:rsid w:val="01B37585"/>
    <w:rsid w:val="01D55165"/>
    <w:rsid w:val="01DF6BF8"/>
    <w:rsid w:val="01EC2C57"/>
    <w:rsid w:val="02094F6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7347B6"/>
    <w:rsid w:val="048F763B"/>
    <w:rsid w:val="049F330E"/>
    <w:rsid w:val="04AA775C"/>
    <w:rsid w:val="04AF1889"/>
    <w:rsid w:val="04F66F48"/>
    <w:rsid w:val="05251E14"/>
    <w:rsid w:val="05A16594"/>
    <w:rsid w:val="05A7762D"/>
    <w:rsid w:val="060E5941"/>
    <w:rsid w:val="06110FAF"/>
    <w:rsid w:val="061F2A86"/>
    <w:rsid w:val="06493CA7"/>
    <w:rsid w:val="065A6178"/>
    <w:rsid w:val="066F1CF3"/>
    <w:rsid w:val="06872F1A"/>
    <w:rsid w:val="06930BB8"/>
    <w:rsid w:val="07245D42"/>
    <w:rsid w:val="07264C62"/>
    <w:rsid w:val="0779354C"/>
    <w:rsid w:val="07A4524A"/>
    <w:rsid w:val="07DD0531"/>
    <w:rsid w:val="08061376"/>
    <w:rsid w:val="08452D77"/>
    <w:rsid w:val="086401F8"/>
    <w:rsid w:val="08751CAA"/>
    <w:rsid w:val="087E4C40"/>
    <w:rsid w:val="088D0E9F"/>
    <w:rsid w:val="089074FE"/>
    <w:rsid w:val="08A871D0"/>
    <w:rsid w:val="08D66AD6"/>
    <w:rsid w:val="08DA33A3"/>
    <w:rsid w:val="08E80F13"/>
    <w:rsid w:val="09272BCC"/>
    <w:rsid w:val="09335624"/>
    <w:rsid w:val="0944690F"/>
    <w:rsid w:val="094615B4"/>
    <w:rsid w:val="09535675"/>
    <w:rsid w:val="095F057D"/>
    <w:rsid w:val="09642282"/>
    <w:rsid w:val="09733572"/>
    <w:rsid w:val="09772C16"/>
    <w:rsid w:val="098353B5"/>
    <w:rsid w:val="098A5DEB"/>
    <w:rsid w:val="09A92330"/>
    <w:rsid w:val="09B06B87"/>
    <w:rsid w:val="09C13146"/>
    <w:rsid w:val="09E04166"/>
    <w:rsid w:val="0A1C0718"/>
    <w:rsid w:val="0A1D5E7B"/>
    <w:rsid w:val="0A3E7710"/>
    <w:rsid w:val="0A5B7E63"/>
    <w:rsid w:val="0AA374A5"/>
    <w:rsid w:val="0AAB0D8C"/>
    <w:rsid w:val="0AAB7649"/>
    <w:rsid w:val="0ABB5096"/>
    <w:rsid w:val="0ABC5606"/>
    <w:rsid w:val="0B30404E"/>
    <w:rsid w:val="0B4A0385"/>
    <w:rsid w:val="0B4C6C14"/>
    <w:rsid w:val="0B547599"/>
    <w:rsid w:val="0B631A88"/>
    <w:rsid w:val="0B683D45"/>
    <w:rsid w:val="0B7F3F11"/>
    <w:rsid w:val="0B884417"/>
    <w:rsid w:val="0BA352C2"/>
    <w:rsid w:val="0BDC72AF"/>
    <w:rsid w:val="0BF6188C"/>
    <w:rsid w:val="0BF73C91"/>
    <w:rsid w:val="0C170175"/>
    <w:rsid w:val="0C571A41"/>
    <w:rsid w:val="0C5C1171"/>
    <w:rsid w:val="0C5E1CBC"/>
    <w:rsid w:val="0C615B50"/>
    <w:rsid w:val="0C8353F1"/>
    <w:rsid w:val="0C8445DA"/>
    <w:rsid w:val="0C87121B"/>
    <w:rsid w:val="0C9622A3"/>
    <w:rsid w:val="0CC007F7"/>
    <w:rsid w:val="0CC617AC"/>
    <w:rsid w:val="0CE31116"/>
    <w:rsid w:val="0CE618DF"/>
    <w:rsid w:val="0CFE707A"/>
    <w:rsid w:val="0D063BDA"/>
    <w:rsid w:val="0D08375F"/>
    <w:rsid w:val="0D184CFB"/>
    <w:rsid w:val="0D4A7419"/>
    <w:rsid w:val="0D5C1B29"/>
    <w:rsid w:val="0D827401"/>
    <w:rsid w:val="0D84094E"/>
    <w:rsid w:val="0D892C1C"/>
    <w:rsid w:val="0D8A00E9"/>
    <w:rsid w:val="0D8D589E"/>
    <w:rsid w:val="0DA01C73"/>
    <w:rsid w:val="0DD63300"/>
    <w:rsid w:val="0DF45274"/>
    <w:rsid w:val="0DF50604"/>
    <w:rsid w:val="0DF702FE"/>
    <w:rsid w:val="0E060E51"/>
    <w:rsid w:val="0E5604B2"/>
    <w:rsid w:val="0E6D5D79"/>
    <w:rsid w:val="0E9D0089"/>
    <w:rsid w:val="0EB803EE"/>
    <w:rsid w:val="0EF94D4B"/>
    <w:rsid w:val="0F4958DC"/>
    <w:rsid w:val="0F515DF7"/>
    <w:rsid w:val="0F596BA8"/>
    <w:rsid w:val="0F6248D2"/>
    <w:rsid w:val="0F687E92"/>
    <w:rsid w:val="0F693536"/>
    <w:rsid w:val="0F7B0511"/>
    <w:rsid w:val="0F7B76D9"/>
    <w:rsid w:val="0F816ACD"/>
    <w:rsid w:val="0F9832DB"/>
    <w:rsid w:val="0FBF3FD2"/>
    <w:rsid w:val="0FBF7FF3"/>
    <w:rsid w:val="10646583"/>
    <w:rsid w:val="107D4B15"/>
    <w:rsid w:val="108A3C80"/>
    <w:rsid w:val="10BA027B"/>
    <w:rsid w:val="10C26171"/>
    <w:rsid w:val="10C61D50"/>
    <w:rsid w:val="10F33360"/>
    <w:rsid w:val="10FC16EA"/>
    <w:rsid w:val="110F1D40"/>
    <w:rsid w:val="11266F33"/>
    <w:rsid w:val="11547F63"/>
    <w:rsid w:val="118963A1"/>
    <w:rsid w:val="119D51A7"/>
    <w:rsid w:val="11C6522A"/>
    <w:rsid w:val="11DC20E9"/>
    <w:rsid w:val="11E104CC"/>
    <w:rsid w:val="11E20309"/>
    <w:rsid w:val="11E224D7"/>
    <w:rsid w:val="12255233"/>
    <w:rsid w:val="12530213"/>
    <w:rsid w:val="127723A9"/>
    <w:rsid w:val="12862074"/>
    <w:rsid w:val="12883966"/>
    <w:rsid w:val="129E45B4"/>
    <w:rsid w:val="12CD386A"/>
    <w:rsid w:val="12D81596"/>
    <w:rsid w:val="13072A44"/>
    <w:rsid w:val="130F3CF2"/>
    <w:rsid w:val="13385A11"/>
    <w:rsid w:val="135F4BE2"/>
    <w:rsid w:val="139B1A0A"/>
    <w:rsid w:val="139D25C7"/>
    <w:rsid w:val="13BF3CE4"/>
    <w:rsid w:val="141008D8"/>
    <w:rsid w:val="14125FE6"/>
    <w:rsid w:val="143A745A"/>
    <w:rsid w:val="146D271E"/>
    <w:rsid w:val="14982588"/>
    <w:rsid w:val="149A5AD9"/>
    <w:rsid w:val="14A7619D"/>
    <w:rsid w:val="150536C3"/>
    <w:rsid w:val="150C1963"/>
    <w:rsid w:val="151447A0"/>
    <w:rsid w:val="154A6454"/>
    <w:rsid w:val="15762120"/>
    <w:rsid w:val="15D83EF3"/>
    <w:rsid w:val="15F958D1"/>
    <w:rsid w:val="16A8729C"/>
    <w:rsid w:val="16AD180E"/>
    <w:rsid w:val="16B33777"/>
    <w:rsid w:val="16BC70A7"/>
    <w:rsid w:val="16C6339E"/>
    <w:rsid w:val="17010EAC"/>
    <w:rsid w:val="172F2D79"/>
    <w:rsid w:val="17557BEF"/>
    <w:rsid w:val="17D349C1"/>
    <w:rsid w:val="1830729E"/>
    <w:rsid w:val="1870062C"/>
    <w:rsid w:val="18817102"/>
    <w:rsid w:val="18830A15"/>
    <w:rsid w:val="18852B28"/>
    <w:rsid w:val="188B5321"/>
    <w:rsid w:val="19262A8E"/>
    <w:rsid w:val="1931131D"/>
    <w:rsid w:val="19932372"/>
    <w:rsid w:val="19A20DD5"/>
    <w:rsid w:val="19AE03F1"/>
    <w:rsid w:val="1A071A03"/>
    <w:rsid w:val="1A1F16AE"/>
    <w:rsid w:val="1A3B5C77"/>
    <w:rsid w:val="1A78700C"/>
    <w:rsid w:val="1A984BAD"/>
    <w:rsid w:val="1AB8220E"/>
    <w:rsid w:val="1AE4166C"/>
    <w:rsid w:val="1AF000F5"/>
    <w:rsid w:val="1AF06CFB"/>
    <w:rsid w:val="1AF11B8D"/>
    <w:rsid w:val="1B11359C"/>
    <w:rsid w:val="1B1C7DC9"/>
    <w:rsid w:val="1B2A271F"/>
    <w:rsid w:val="1B530544"/>
    <w:rsid w:val="1B713184"/>
    <w:rsid w:val="1B943D19"/>
    <w:rsid w:val="1BA209CF"/>
    <w:rsid w:val="1BB4777D"/>
    <w:rsid w:val="1BD75AB8"/>
    <w:rsid w:val="1C0459C2"/>
    <w:rsid w:val="1C1B3B4A"/>
    <w:rsid w:val="1C550B58"/>
    <w:rsid w:val="1C88086E"/>
    <w:rsid w:val="1C907F72"/>
    <w:rsid w:val="1CB11B06"/>
    <w:rsid w:val="1D17159E"/>
    <w:rsid w:val="1D266CE1"/>
    <w:rsid w:val="1D3963AF"/>
    <w:rsid w:val="1D6A673C"/>
    <w:rsid w:val="1D823D48"/>
    <w:rsid w:val="1D9247AE"/>
    <w:rsid w:val="1DB567EC"/>
    <w:rsid w:val="1DF51A98"/>
    <w:rsid w:val="1E3D060F"/>
    <w:rsid w:val="1E3F7D2E"/>
    <w:rsid w:val="1E4134E4"/>
    <w:rsid w:val="1E5062B3"/>
    <w:rsid w:val="1E523514"/>
    <w:rsid w:val="1E714A66"/>
    <w:rsid w:val="1E802593"/>
    <w:rsid w:val="1E8B6156"/>
    <w:rsid w:val="1EA703CC"/>
    <w:rsid w:val="1EB7330C"/>
    <w:rsid w:val="1ED84B4B"/>
    <w:rsid w:val="1EDE09F7"/>
    <w:rsid w:val="1F0A0FF3"/>
    <w:rsid w:val="1F5771FF"/>
    <w:rsid w:val="1F751511"/>
    <w:rsid w:val="1FD52DD5"/>
    <w:rsid w:val="1FE868A9"/>
    <w:rsid w:val="20034907"/>
    <w:rsid w:val="20173E4B"/>
    <w:rsid w:val="203B579E"/>
    <w:rsid w:val="204E48BC"/>
    <w:rsid w:val="208921B3"/>
    <w:rsid w:val="20973DEB"/>
    <w:rsid w:val="20B26522"/>
    <w:rsid w:val="20B44310"/>
    <w:rsid w:val="20D12BB7"/>
    <w:rsid w:val="211116EB"/>
    <w:rsid w:val="2117534C"/>
    <w:rsid w:val="214F28C1"/>
    <w:rsid w:val="215238B8"/>
    <w:rsid w:val="216133FC"/>
    <w:rsid w:val="21885798"/>
    <w:rsid w:val="219200B1"/>
    <w:rsid w:val="21D01108"/>
    <w:rsid w:val="21D56769"/>
    <w:rsid w:val="21E52EF3"/>
    <w:rsid w:val="21ED7384"/>
    <w:rsid w:val="21FB5D7B"/>
    <w:rsid w:val="22015E94"/>
    <w:rsid w:val="220B1C3D"/>
    <w:rsid w:val="221D1D20"/>
    <w:rsid w:val="22334A87"/>
    <w:rsid w:val="226E2973"/>
    <w:rsid w:val="22BE6801"/>
    <w:rsid w:val="230D1610"/>
    <w:rsid w:val="233500BF"/>
    <w:rsid w:val="23377FF7"/>
    <w:rsid w:val="236B425F"/>
    <w:rsid w:val="237815D0"/>
    <w:rsid w:val="23836192"/>
    <w:rsid w:val="238E4215"/>
    <w:rsid w:val="23901F29"/>
    <w:rsid w:val="239C0061"/>
    <w:rsid w:val="23B908A4"/>
    <w:rsid w:val="23E95BEF"/>
    <w:rsid w:val="23FD0064"/>
    <w:rsid w:val="24264234"/>
    <w:rsid w:val="245375B0"/>
    <w:rsid w:val="245666C9"/>
    <w:rsid w:val="24642C0A"/>
    <w:rsid w:val="24B22173"/>
    <w:rsid w:val="24B95AD9"/>
    <w:rsid w:val="24BD643D"/>
    <w:rsid w:val="24BE24DA"/>
    <w:rsid w:val="24CF5825"/>
    <w:rsid w:val="24D663E6"/>
    <w:rsid w:val="24D77F2B"/>
    <w:rsid w:val="24E011DB"/>
    <w:rsid w:val="258B00E2"/>
    <w:rsid w:val="25A917A6"/>
    <w:rsid w:val="25BE27CC"/>
    <w:rsid w:val="25F615A1"/>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626E0"/>
    <w:rsid w:val="289F7086"/>
    <w:rsid w:val="28C32028"/>
    <w:rsid w:val="28CC490F"/>
    <w:rsid w:val="28DE40AA"/>
    <w:rsid w:val="28F16AC5"/>
    <w:rsid w:val="29345E77"/>
    <w:rsid w:val="294C65AD"/>
    <w:rsid w:val="29806583"/>
    <w:rsid w:val="298B3C4C"/>
    <w:rsid w:val="29A749BD"/>
    <w:rsid w:val="29AB7A94"/>
    <w:rsid w:val="29F26D24"/>
    <w:rsid w:val="2A15033F"/>
    <w:rsid w:val="2A1662C1"/>
    <w:rsid w:val="2A1C7367"/>
    <w:rsid w:val="2A2815FA"/>
    <w:rsid w:val="2A6D6092"/>
    <w:rsid w:val="2A7D76B4"/>
    <w:rsid w:val="2A9860B3"/>
    <w:rsid w:val="2AC46EA9"/>
    <w:rsid w:val="2B437463"/>
    <w:rsid w:val="2B7807EE"/>
    <w:rsid w:val="2BA50BF7"/>
    <w:rsid w:val="2BB0247A"/>
    <w:rsid w:val="2BB173D5"/>
    <w:rsid w:val="2BBF00EC"/>
    <w:rsid w:val="2BC37CFD"/>
    <w:rsid w:val="2BD5237F"/>
    <w:rsid w:val="2BE536CE"/>
    <w:rsid w:val="2BE758D9"/>
    <w:rsid w:val="2C09049E"/>
    <w:rsid w:val="2C0A653C"/>
    <w:rsid w:val="2C191F85"/>
    <w:rsid w:val="2C5C383D"/>
    <w:rsid w:val="2C8E5424"/>
    <w:rsid w:val="2CE82D6F"/>
    <w:rsid w:val="2D0A2594"/>
    <w:rsid w:val="2D343236"/>
    <w:rsid w:val="2DD15014"/>
    <w:rsid w:val="2DF72DE4"/>
    <w:rsid w:val="2E0220AF"/>
    <w:rsid w:val="2E4B082A"/>
    <w:rsid w:val="2E5D4E86"/>
    <w:rsid w:val="2E5D790B"/>
    <w:rsid w:val="2E9A3C18"/>
    <w:rsid w:val="2EBB0FEE"/>
    <w:rsid w:val="2EC50E19"/>
    <w:rsid w:val="2EC63002"/>
    <w:rsid w:val="2F0A6B38"/>
    <w:rsid w:val="2F946CCB"/>
    <w:rsid w:val="2FD25781"/>
    <w:rsid w:val="2FDC745C"/>
    <w:rsid w:val="2FFD7934"/>
    <w:rsid w:val="305E1E14"/>
    <w:rsid w:val="30733ACD"/>
    <w:rsid w:val="308C3862"/>
    <w:rsid w:val="309379D8"/>
    <w:rsid w:val="30A270F7"/>
    <w:rsid w:val="30DF1478"/>
    <w:rsid w:val="30EC586F"/>
    <w:rsid w:val="313C3C3D"/>
    <w:rsid w:val="314550B7"/>
    <w:rsid w:val="31992C62"/>
    <w:rsid w:val="319C6071"/>
    <w:rsid w:val="31AC537E"/>
    <w:rsid w:val="31B94F89"/>
    <w:rsid w:val="31E3679B"/>
    <w:rsid w:val="31E732FD"/>
    <w:rsid w:val="32517576"/>
    <w:rsid w:val="32584AA6"/>
    <w:rsid w:val="32BE5C2C"/>
    <w:rsid w:val="32FB6478"/>
    <w:rsid w:val="33263B3F"/>
    <w:rsid w:val="336963EB"/>
    <w:rsid w:val="337C2A16"/>
    <w:rsid w:val="33816EEB"/>
    <w:rsid w:val="338F512A"/>
    <w:rsid w:val="33EB55CD"/>
    <w:rsid w:val="33EC4C02"/>
    <w:rsid w:val="340D2360"/>
    <w:rsid w:val="3410665D"/>
    <w:rsid w:val="34211214"/>
    <w:rsid w:val="342E63AB"/>
    <w:rsid w:val="34950E68"/>
    <w:rsid w:val="34986E94"/>
    <w:rsid w:val="34AF62C9"/>
    <w:rsid w:val="34CB4388"/>
    <w:rsid w:val="34FA6E12"/>
    <w:rsid w:val="353C06AF"/>
    <w:rsid w:val="354D7158"/>
    <w:rsid w:val="358D5588"/>
    <w:rsid w:val="35EA732A"/>
    <w:rsid w:val="36343134"/>
    <w:rsid w:val="363A3B40"/>
    <w:rsid w:val="365302AE"/>
    <w:rsid w:val="36607A0A"/>
    <w:rsid w:val="366E227C"/>
    <w:rsid w:val="366F2E0D"/>
    <w:rsid w:val="367B6A5C"/>
    <w:rsid w:val="36A74ADA"/>
    <w:rsid w:val="36AD60D5"/>
    <w:rsid w:val="36B224F9"/>
    <w:rsid w:val="36EC0CC9"/>
    <w:rsid w:val="373F410B"/>
    <w:rsid w:val="374342B4"/>
    <w:rsid w:val="3761337D"/>
    <w:rsid w:val="37973079"/>
    <w:rsid w:val="379F597B"/>
    <w:rsid w:val="37C56499"/>
    <w:rsid w:val="37ED1DDA"/>
    <w:rsid w:val="37EE7094"/>
    <w:rsid w:val="38296C89"/>
    <w:rsid w:val="383002EB"/>
    <w:rsid w:val="38586797"/>
    <w:rsid w:val="387D65FD"/>
    <w:rsid w:val="389D0C7A"/>
    <w:rsid w:val="389D76B7"/>
    <w:rsid w:val="38BC0149"/>
    <w:rsid w:val="38D87D1C"/>
    <w:rsid w:val="39636459"/>
    <w:rsid w:val="396B7F6C"/>
    <w:rsid w:val="39B417A9"/>
    <w:rsid w:val="39EF4699"/>
    <w:rsid w:val="39FC5695"/>
    <w:rsid w:val="3A006D8E"/>
    <w:rsid w:val="3A3651E5"/>
    <w:rsid w:val="3A744481"/>
    <w:rsid w:val="3A8C7BEF"/>
    <w:rsid w:val="3A906246"/>
    <w:rsid w:val="3AE01E17"/>
    <w:rsid w:val="3B2349B7"/>
    <w:rsid w:val="3B616CFF"/>
    <w:rsid w:val="3B6259F6"/>
    <w:rsid w:val="3B976654"/>
    <w:rsid w:val="3B9A1EA2"/>
    <w:rsid w:val="3BC01EFC"/>
    <w:rsid w:val="3BCA786A"/>
    <w:rsid w:val="3BD31E2F"/>
    <w:rsid w:val="3BDD6417"/>
    <w:rsid w:val="3BF15831"/>
    <w:rsid w:val="3C105946"/>
    <w:rsid w:val="3C192FDF"/>
    <w:rsid w:val="3C412618"/>
    <w:rsid w:val="3C471448"/>
    <w:rsid w:val="3C5F759A"/>
    <w:rsid w:val="3C6C525A"/>
    <w:rsid w:val="3CCE23CB"/>
    <w:rsid w:val="3CD17D17"/>
    <w:rsid w:val="3D0E0C2E"/>
    <w:rsid w:val="3D3C7F39"/>
    <w:rsid w:val="3D440F09"/>
    <w:rsid w:val="3D4504A0"/>
    <w:rsid w:val="3D8734BB"/>
    <w:rsid w:val="3D9062FC"/>
    <w:rsid w:val="3D9A11D4"/>
    <w:rsid w:val="3DA16D89"/>
    <w:rsid w:val="3DA364BE"/>
    <w:rsid w:val="3DE041CB"/>
    <w:rsid w:val="3E0D48F6"/>
    <w:rsid w:val="3E1868B4"/>
    <w:rsid w:val="3E377251"/>
    <w:rsid w:val="3E42664B"/>
    <w:rsid w:val="3E5A7334"/>
    <w:rsid w:val="3E666CAA"/>
    <w:rsid w:val="3E667A57"/>
    <w:rsid w:val="3E7B5D6B"/>
    <w:rsid w:val="3E843E66"/>
    <w:rsid w:val="3E8F51FE"/>
    <w:rsid w:val="3E926F87"/>
    <w:rsid w:val="3E9A59DE"/>
    <w:rsid w:val="3E9E3E95"/>
    <w:rsid w:val="3EA970FE"/>
    <w:rsid w:val="3EAF4836"/>
    <w:rsid w:val="3EC33DFA"/>
    <w:rsid w:val="3F060E16"/>
    <w:rsid w:val="3F125FDD"/>
    <w:rsid w:val="3F1D1096"/>
    <w:rsid w:val="3F2F0234"/>
    <w:rsid w:val="3F4C7741"/>
    <w:rsid w:val="3F6363FE"/>
    <w:rsid w:val="3F756B8F"/>
    <w:rsid w:val="3F95482B"/>
    <w:rsid w:val="4019356B"/>
    <w:rsid w:val="40592157"/>
    <w:rsid w:val="406867FC"/>
    <w:rsid w:val="406E1CAE"/>
    <w:rsid w:val="40A0133A"/>
    <w:rsid w:val="40B43A0A"/>
    <w:rsid w:val="40C31A53"/>
    <w:rsid w:val="40FF545D"/>
    <w:rsid w:val="410067C8"/>
    <w:rsid w:val="41006A35"/>
    <w:rsid w:val="418F0D2A"/>
    <w:rsid w:val="41D01505"/>
    <w:rsid w:val="42042F84"/>
    <w:rsid w:val="42474939"/>
    <w:rsid w:val="424C3C57"/>
    <w:rsid w:val="42613FF3"/>
    <w:rsid w:val="42660D96"/>
    <w:rsid w:val="428667D2"/>
    <w:rsid w:val="42CD1CE0"/>
    <w:rsid w:val="42E1381E"/>
    <w:rsid w:val="42ED6459"/>
    <w:rsid w:val="42FE58DD"/>
    <w:rsid w:val="43174B3D"/>
    <w:rsid w:val="434B790E"/>
    <w:rsid w:val="4360274F"/>
    <w:rsid w:val="43977AB6"/>
    <w:rsid w:val="43A3342B"/>
    <w:rsid w:val="43B753A5"/>
    <w:rsid w:val="43C77C27"/>
    <w:rsid w:val="43DE09EE"/>
    <w:rsid w:val="44002FAD"/>
    <w:rsid w:val="44150C13"/>
    <w:rsid w:val="44564BBE"/>
    <w:rsid w:val="4476098A"/>
    <w:rsid w:val="449101DD"/>
    <w:rsid w:val="44DE1391"/>
    <w:rsid w:val="45135F9D"/>
    <w:rsid w:val="451B225C"/>
    <w:rsid w:val="452410C9"/>
    <w:rsid w:val="45317DFB"/>
    <w:rsid w:val="456D3CE4"/>
    <w:rsid w:val="4579042C"/>
    <w:rsid w:val="457F0571"/>
    <w:rsid w:val="45851176"/>
    <w:rsid w:val="45B95DC5"/>
    <w:rsid w:val="45C63B94"/>
    <w:rsid w:val="460E7DA5"/>
    <w:rsid w:val="46422483"/>
    <w:rsid w:val="4659254A"/>
    <w:rsid w:val="465B0637"/>
    <w:rsid w:val="465E3F0D"/>
    <w:rsid w:val="466A16E6"/>
    <w:rsid w:val="46717A8D"/>
    <w:rsid w:val="46893F2B"/>
    <w:rsid w:val="46C4686E"/>
    <w:rsid w:val="46D12499"/>
    <w:rsid w:val="47520928"/>
    <w:rsid w:val="477B778F"/>
    <w:rsid w:val="478203EC"/>
    <w:rsid w:val="47B025FA"/>
    <w:rsid w:val="48057437"/>
    <w:rsid w:val="4809698F"/>
    <w:rsid w:val="48110588"/>
    <w:rsid w:val="4811697D"/>
    <w:rsid w:val="484511D1"/>
    <w:rsid w:val="487A3E25"/>
    <w:rsid w:val="488B5503"/>
    <w:rsid w:val="48937E21"/>
    <w:rsid w:val="489A0361"/>
    <w:rsid w:val="48B94FF3"/>
    <w:rsid w:val="48E37AAB"/>
    <w:rsid w:val="48FD4B4C"/>
    <w:rsid w:val="490A68E0"/>
    <w:rsid w:val="491055FE"/>
    <w:rsid w:val="495F5B3E"/>
    <w:rsid w:val="496F77D7"/>
    <w:rsid w:val="49701AE3"/>
    <w:rsid w:val="497654FD"/>
    <w:rsid w:val="498D2E30"/>
    <w:rsid w:val="49B64211"/>
    <w:rsid w:val="49E56AF9"/>
    <w:rsid w:val="49EF7324"/>
    <w:rsid w:val="49F11610"/>
    <w:rsid w:val="49F6167F"/>
    <w:rsid w:val="4A064FA0"/>
    <w:rsid w:val="4A16615C"/>
    <w:rsid w:val="4A4424D7"/>
    <w:rsid w:val="4A8755B7"/>
    <w:rsid w:val="4AB82D0F"/>
    <w:rsid w:val="4ABC1315"/>
    <w:rsid w:val="4ABF5254"/>
    <w:rsid w:val="4AEB7664"/>
    <w:rsid w:val="4AFD7C19"/>
    <w:rsid w:val="4B0567D1"/>
    <w:rsid w:val="4B236AAE"/>
    <w:rsid w:val="4B707271"/>
    <w:rsid w:val="4B9739F7"/>
    <w:rsid w:val="4BE1268A"/>
    <w:rsid w:val="4BEE2503"/>
    <w:rsid w:val="4C245A30"/>
    <w:rsid w:val="4CB6685F"/>
    <w:rsid w:val="4CC367FE"/>
    <w:rsid w:val="4CFB27A6"/>
    <w:rsid w:val="4D023B34"/>
    <w:rsid w:val="4D077F3C"/>
    <w:rsid w:val="4D123355"/>
    <w:rsid w:val="4D2A3B31"/>
    <w:rsid w:val="4D312C52"/>
    <w:rsid w:val="4D905305"/>
    <w:rsid w:val="4D964A72"/>
    <w:rsid w:val="4D9C1254"/>
    <w:rsid w:val="4D9F0690"/>
    <w:rsid w:val="4E793892"/>
    <w:rsid w:val="4E800872"/>
    <w:rsid w:val="4E936042"/>
    <w:rsid w:val="4EA824BA"/>
    <w:rsid w:val="4EC569ED"/>
    <w:rsid w:val="4ED50EA1"/>
    <w:rsid w:val="4EEC050C"/>
    <w:rsid w:val="4F104EC3"/>
    <w:rsid w:val="4F47354A"/>
    <w:rsid w:val="4F911C54"/>
    <w:rsid w:val="4F9E3094"/>
    <w:rsid w:val="4FE625E0"/>
    <w:rsid w:val="4FEC39A6"/>
    <w:rsid w:val="5021480F"/>
    <w:rsid w:val="50553766"/>
    <w:rsid w:val="50597E3F"/>
    <w:rsid w:val="50836D3A"/>
    <w:rsid w:val="5091613C"/>
    <w:rsid w:val="50962ECB"/>
    <w:rsid w:val="50A42E38"/>
    <w:rsid w:val="50A4577F"/>
    <w:rsid w:val="50B73D1F"/>
    <w:rsid w:val="50BD5BC9"/>
    <w:rsid w:val="50C11EEE"/>
    <w:rsid w:val="50E97CFC"/>
    <w:rsid w:val="50FA4028"/>
    <w:rsid w:val="510D65B7"/>
    <w:rsid w:val="511157AB"/>
    <w:rsid w:val="5142540C"/>
    <w:rsid w:val="51605A87"/>
    <w:rsid w:val="518832C8"/>
    <w:rsid w:val="519D3C50"/>
    <w:rsid w:val="51A0432A"/>
    <w:rsid w:val="51A86090"/>
    <w:rsid w:val="51B7396D"/>
    <w:rsid w:val="52135808"/>
    <w:rsid w:val="522E4CC3"/>
    <w:rsid w:val="5244074B"/>
    <w:rsid w:val="5244713B"/>
    <w:rsid w:val="52615633"/>
    <w:rsid w:val="526F4DE4"/>
    <w:rsid w:val="52977FD4"/>
    <w:rsid w:val="52A25790"/>
    <w:rsid w:val="52A96B6F"/>
    <w:rsid w:val="52B45975"/>
    <w:rsid w:val="52D94AA4"/>
    <w:rsid w:val="52EA3A62"/>
    <w:rsid w:val="52F50BB8"/>
    <w:rsid w:val="53097272"/>
    <w:rsid w:val="53232554"/>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6D092B"/>
    <w:rsid w:val="55711857"/>
    <w:rsid w:val="557A4C8B"/>
    <w:rsid w:val="558931E1"/>
    <w:rsid w:val="55923347"/>
    <w:rsid w:val="55925180"/>
    <w:rsid w:val="55983B1B"/>
    <w:rsid w:val="55A8376B"/>
    <w:rsid w:val="55DC29B6"/>
    <w:rsid w:val="55DD4241"/>
    <w:rsid w:val="55F748F2"/>
    <w:rsid w:val="566B6D1E"/>
    <w:rsid w:val="569A5A4B"/>
    <w:rsid w:val="57032A2C"/>
    <w:rsid w:val="570F5219"/>
    <w:rsid w:val="57527466"/>
    <w:rsid w:val="575D12B5"/>
    <w:rsid w:val="57610A87"/>
    <w:rsid w:val="577B1140"/>
    <w:rsid w:val="577B7F21"/>
    <w:rsid w:val="577F181B"/>
    <w:rsid w:val="57921984"/>
    <w:rsid w:val="579737F0"/>
    <w:rsid w:val="57AB7B30"/>
    <w:rsid w:val="57AF5251"/>
    <w:rsid w:val="57B26373"/>
    <w:rsid w:val="57B63F04"/>
    <w:rsid w:val="57CD20C2"/>
    <w:rsid w:val="57D675AB"/>
    <w:rsid w:val="57D95FDD"/>
    <w:rsid w:val="587A3343"/>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1E7A67"/>
    <w:rsid w:val="5B2E1A1D"/>
    <w:rsid w:val="5B843A1C"/>
    <w:rsid w:val="5B873E3F"/>
    <w:rsid w:val="5C02690E"/>
    <w:rsid w:val="5C196DA7"/>
    <w:rsid w:val="5C2A048C"/>
    <w:rsid w:val="5C80234E"/>
    <w:rsid w:val="5C8A680C"/>
    <w:rsid w:val="5CF07506"/>
    <w:rsid w:val="5CFE75E9"/>
    <w:rsid w:val="5D0C4701"/>
    <w:rsid w:val="5D0F0395"/>
    <w:rsid w:val="5D221076"/>
    <w:rsid w:val="5D336E8F"/>
    <w:rsid w:val="5D397964"/>
    <w:rsid w:val="5D5A391C"/>
    <w:rsid w:val="5D5F10C0"/>
    <w:rsid w:val="5D891B7B"/>
    <w:rsid w:val="5DA543EB"/>
    <w:rsid w:val="5DAD38EE"/>
    <w:rsid w:val="5DD017B6"/>
    <w:rsid w:val="5E006862"/>
    <w:rsid w:val="5E0207B9"/>
    <w:rsid w:val="5E1834A1"/>
    <w:rsid w:val="5E184793"/>
    <w:rsid w:val="5E261785"/>
    <w:rsid w:val="5E4A7017"/>
    <w:rsid w:val="5E552BBA"/>
    <w:rsid w:val="5E611C10"/>
    <w:rsid w:val="5E7A0F3F"/>
    <w:rsid w:val="5EFC7377"/>
    <w:rsid w:val="5F06174D"/>
    <w:rsid w:val="5F3A3602"/>
    <w:rsid w:val="5F45733B"/>
    <w:rsid w:val="5F6277C6"/>
    <w:rsid w:val="5F6D0B1D"/>
    <w:rsid w:val="5F8D0B82"/>
    <w:rsid w:val="5FAF2A28"/>
    <w:rsid w:val="5FCC5339"/>
    <w:rsid w:val="5FE34A5B"/>
    <w:rsid w:val="5FFE1E36"/>
    <w:rsid w:val="60232584"/>
    <w:rsid w:val="607330CE"/>
    <w:rsid w:val="60825176"/>
    <w:rsid w:val="609F2AC4"/>
    <w:rsid w:val="60C863F4"/>
    <w:rsid w:val="60FA2EE8"/>
    <w:rsid w:val="61054A27"/>
    <w:rsid w:val="610A52BC"/>
    <w:rsid w:val="611D2366"/>
    <w:rsid w:val="61421856"/>
    <w:rsid w:val="615227C4"/>
    <w:rsid w:val="615F3069"/>
    <w:rsid w:val="61654E3F"/>
    <w:rsid w:val="61813A42"/>
    <w:rsid w:val="6182292A"/>
    <w:rsid w:val="619F7F92"/>
    <w:rsid w:val="61F94C26"/>
    <w:rsid w:val="62000E56"/>
    <w:rsid w:val="624F3E49"/>
    <w:rsid w:val="625604B3"/>
    <w:rsid w:val="62632286"/>
    <w:rsid w:val="62885958"/>
    <w:rsid w:val="62E53885"/>
    <w:rsid w:val="62F40B65"/>
    <w:rsid w:val="62FC2CFE"/>
    <w:rsid w:val="63024505"/>
    <w:rsid w:val="633C08FC"/>
    <w:rsid w:val="635600A5"/>
    <w:rsid w:val="635B1DB5"/>
    <w:rsid w:val="63711FED"/>
    <w:rsid w:val="63880DDC"/>
    <w:rsid w:val="638D750D"/>
    <w:rsid w:val="63AA78A9"/>
    <w:rsid w:val="63AC6CC0"/>
    <w:rsid w:val="64055776"/>
    <w:rsid w:val="64240056"/>
    <w:rsid w:val="643E143A"/>
    <w:rsid w:val="64491666"/>
    <w:rsid w:val="648B6EEF"/>
    <w:rsid w:val="649E21B9"/>
    <w:rsid w:val="64C158BF"/>
    <w:rsid w:val="64CE2EAA"/>
    <w:rsid w:val="653C3090"/>
    <w:rsid w:val="656F66BC"/>
    <w:rsid w:val="65854376"/>
    <w:rsid w:val="658767BE"/>
    <w:rsid w:val="65892531"/>
    <w:rsid w:val="660364FC"/>
    <w:rsid w:val="66195831"/>
    <w:rsid w:val="662E75B1"/>
    <w:rsid w:val="66342C2E"/>
    <w:rsid w:val="663E784C"/>
    <w:rsid w:val="668B6A45"/>
    <w:rsid w:val="66F978FF"/>
    <w:rsid w:val="67011F07"/>
    <w:rsid w:val="67283061"/>
    <w:rsid w:val="672F3F24"/>
    <w:rsid w:val="673E055F"/>
    <w:rsid w:val="67551CE3"/>
    <w:rsid w:val="67A22552"/>
    <w:rsid w:val="67B22DCC"/>
    <w:rsid w:val="67BE71AA"/>
    <w:rsid w:val="67C854CF"/>
    <w:rsid w:val="67D90273"/>
    <w:rsid w:val="67DE5875"/>
    <w:rsid w:val="67E55852"/>
    <w:rsid w:val="67EB1AB4"/>
    <w:rsid w:val="67FA1285"/>
    <w:rsid w:val="67FE5296"/>
    <w:rsid w:val="68551F4F"/>
    <w:rsid w:val="687C10C9"/>
    <w:rsid w:val="68840C16"/>
    <w:rsid w:val="68872541"/>
    <w:rsid w:val="68876EFB"/>
    <w:rsid w:val="68884654"/>
    <w:rsid w:val="689F444F"/>
    <w:rsid w:val="68AA36E7"/>
    <w:rsid w:val="68B96DBB"/>
    <w:rsid w:val="68CA2805"/>
    <w:rsid w:val="68E937A3"/>
    <w:rsid w:val="69006EF7"/>
    <w:rsid w:val="691664E5"/>
    <w:rsid w:val="693E15D3"/>
    <w:rsid w:val="69627681"/>
    <w:rsid w:val="6977531D"/>
    <w:rsid w:val="69854D2D"/>
    <w:rsid w:val="69CC2BFF"/>
    <w:rsid w:val="69FD55B8"/>
    <w:rsid w:val="6A0B1C62"/>
    <w:rsid w:val="6A2406C8"/>
    <w:rsid w:val="6ADE0BD1"/>
    <w:rsid w:val="6AE96859"/>
    <w:rsid w:val="6B147746"/>
    <w:rsid w:val="6B24787C"/>
    <w:rsid w:val="6B573233"/>
    <w:rsid w:val="6B5B6274"/>
    <w:rsid w:val="6B74654A"/>
    <w:rsid w:val="6B935D53"/>
    <w:rsid w:val="6BA07176"/>
    <w:rsid w:val="6BDD5BD0"/>
    <w:rsid w:val="6C045F83"/>
    <w:rsid w:val="6C196F71"/>
    <w:rsid w:val="6C226FCB"/>
    <w:rsid w:val="6C31226F"/>
    <w:rsid w:val="6C552F0B"/>
    <w:rsid w:val="6C8C67B7"/>
    <w:rsid w:val="6C9C1458"/>
    <w:rsid w:val="6C9D744C"/>
    <w:rsid w:val="6D167928"/>
    <w:rsid w:val="6D26299B"/>
    <w:rsid w:val="6D3276C6"/>
    <w:rsid w:val="6D4772EC"/>
    <w:rsid w:val="6D9078AF"/>
    <w:rsid w:val="6DAA3FEF"/>
    <w:rsid w:val="6DC0172B"/>
    <w:rsid w:val="6DCB690C"/>
    <w:rsid w:val="6DD41A5B"/>
    <w:rsid w:val="6DF43C2E"/>
    <w:rsid w:val="6DF51CA3"/>
    <w:rsid w:val="6E690D2D"/>
    <w:rsid w:val="6E8335BD"/>
    <w:rsid w:val="6E8E12EF"/>
    <w:rsid w:val="6E972936"/>
    <w:rsid w:val="6ED446C5"/>
    <w:rsid w:val="6F2A7D94"/>
    <w:rsid w:val="6F8331F1"/>
    <w:rsid w:val="6FAE1A09"/>
    <w:rsid w:val="6FD75BF8"/>
    <w:rsid w:val="702B762D"/>
    <w:rsid w:val="70494790"/>
    <w:rsid w:val="704B4683"/>
    <w:rsid w:val="7076641D"/>
    <w:rsid w:val="707723D0"/>
    <w:rsid w:val="70C60851"/>
    <w:rsid w:val="70F5661B"/>
    <w:rsid w:val="71306870"/>
    <w:rsid w:val="71360107"/>
    <w:rsid w:val="713B688E"/>
    <w:rsid w:val="71786888"/>
    <w:rsid w:val="71D43752"/>
    <w:rsid w:val="71F1796A"/>
    <w:rsid w:val="72154626"/>
    <w:rsid w:val="72262B5D"/>
    <w:rsid w:val="72283FF7"/>
    <w:rsid w:val="722E7212"/>
    <w:rsid w:val="72395053"/>
    <w:rsid w:val="723A0474"/>
    <w:rsid w:val="72442376"/>
    <w:rsid w:val="724E761F"/>
    <w:rsid w:val="725923E4"/>
    <w:rsid w:val="72864BF7"/>
    <w:rsid w:val="729023FC"/>
    <w:rsid w:val="73C0646E"/>
    <w:rsid w:val="742222F5"/>
    <w:rsid w:val="74476126"/>
    <w:rsid w:val="74706664"/>
    <w:rsid w:val="747F3682"/>
    <w:rsid w:val="749C4185"/>
    <w:rsid w:val="74AA048A"/>
    <w:rsid w:val="75067759"/>
    <w:rsid w:val="752E6DCD"/>
    <w:rsid w:val="7551380D"/>
    <w:rsid w:val="75600BE5"/>
    <w:rsid w:val="7564475C"/>
    <w:rsid w:val="7571513D"/>
    <w:rsid w:val="7583797F"/>
    <w:rsid w:val="75D20F1D"/>
    <w:rsid w:val="75DA2C18"/>
    <w:rsid w:val="75F54412"/>
    <w:rsid w:val="761D08E0"/>
    <w:rsid w:val="765D347C"/>
    <w:rsid w:val="76826699"/>
    <w:rsid w:val="76946CFC"/>
    <w:rsid w:val="76C87133"/>
    <w:rsid w:val="76CD08D5"/>
    <w:rsid w:val="76DB4B92"/>
    <w:rsid w:val="76FD013A"/>
    <w:rsid w:val="77052AA4"/>
    <w:rsid w:val="77136511"/>
    <w:rsid w:val="77336515"/>
    <w:rsid w:val="77340A39"/>
    <w:rsid w:val="77351FD0"/>
    <w:rsid w:val="77472422"/>
    <w:rsid w:val="776E39F1"/>
    <w:rsid w:val="777F31F2"/>
    <w:rsid w:val="77954AC0"/>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251EC6"/>
    <w:rsid w:val="7A3E5150"/>
    <w:rsid w:val="7A4670D6"/>
    <w:rsid w:val="7A534B63"/>
    <w:rsid w:val="7A615382"/>
    <w:rsid w:val="7A67303B"/>
    <w:rsid w:val="7A9B68AB"/>
    <w:rsid w:val="7AAB1D04"/>
    <w:rsid w:val="7ABA4368"/>
    <w:rsid w:val="7AD05746"/>
    <w:rsid w:val="7B257FFD"/>
    <w:rsid w:val="7B273D20"/>
    <w:rsid w:val="7B343476"/>
    <w:rsid w:val="7B5A2978"/>
    <w:rsid w:val="7B5A7E4C"/>
    <w:rsid w:val="7B667AF9"/>
    <w:rsid w:val="7B7468F8"/>
    <w:rsid w:val="7BA03720"/>
    <w:rsid w:val="7BEE0103"/>
    <w:rsid w:val="7BF79639"/>
    <w:rsid w:val="7C0A0FE4"/>
    <w:rsid w:val="7C254906"/>
    <w:rsid w:val="7C590818"/>
    <w:rsid w:val="7C7C10F6"/>
    <w:rsid w:val="7C80077A"/>
    <w:rsid w:val="7C853BEA"/>
    <w:rsid w:val="7C881368"/>
    <w:rsid w:val="7CE27788"/>
    <w:rsid w:val="7D0C32F1"/>
    <w:rsid w:val="7D0F408D"/>
    <w:rsid w:val="7D491C6C"/>
    <w:rsid w:val="7D5429C0"/>
    <w:rsid w:val="7D6E6D43"/>
    <w:rsid w:val="7DB57A34"/>
    <w:rsid w:val="7DE60973"/>
    <w:rsid w:val="7DEF0916"/>
    <w:rsid w:val="7E1E5218"/>
    <w:rsid w:val="7E1F1009"/>
    <w:rsid w:val="7E9A4E1F"/>
    <w:rsid w:val="7EA7723A"/>
    <w:rsid w:val="7EEB587A"/>
    <w:rsid w:val="7EF56FBB"/>
    <w:rsid w:val="7EFC654D"/>
    <w:rsid w:val="7F0768EB"/>
    <w:rsid w:val="7F143BEC"/>
    <w:rsid w:val="7F220BEF"/>
    <w:rsid w:val="7F715AF2"/>
    <w:rsid w:val="7F886E69"/>
    <w:rsid w:val="7F914D1B"/>
    <w:rsid w:val="7FC433AA"/>
    <w:rsid w:val="BB7FA927"/>
    <w:rsid w:val="F5FFD31F"/>
    <w:rsid w:val="F6FA5EF6"/>
    <w:rsid w:val="FF3FA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2"/>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99"/>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2"/>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99"/>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84</Pages>
  <Words>2577</Words>
  <Characters>3291</Characters>
  <Lines>383</Lines>
  <Paragraphs>107</Paragraphs>
  <TotalTime>0</TotalTime>
  <ScaleCrop>false</ScaleCrop>
  <LinksUpToDate>false</LinksUpToDate>
  <CharactersWithSpaces>3435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北海市政府采购中心</dc:creator>
  <cp:lastModifiedBy>WPS_1526954301</cp:lastModifiedBy>
  <cp:lastPrinted>2025-09-12T03:53:00Z</cp:lastPrinted>
  <dcterms:modified xsi:type="dcterms:W3CDTF">2025-09-16T07:08:12Z</dcterms:modified>
  <dc:title>北海市政府采购中心</dc:title>
  <cp:revision>472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EE7BD0B39CDE4072BEC8731D7676A616_13</vt:lpwstr>
  </property>
  <property fmtid="{D5CDD505-2E9C-101B-9397-08002B2CF9AE}" pid="5" name="KSOTemplateDocerSaveRecord">
    <vt:lpwstr>eyJoZGlkIjoiNmI4NjNjMzYzNDdlYmMzMDAxYjYwOTgwNGI5MjE1NjEiLCJ1c2VySWQiOiIzNzI1ODIwNjgifQ==</vt:lpwstr>
  </property>
</Properties>
</file>