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36DC9D">
      <w:pPr>
        <w:spacing w:line="360" w:lineRule="auto"/>
        <w:jc w:val="center"/>
        <w:rPr>
          <w:rFonts w:ascii="宋体" w:hAnsi="宋体" w:cs="宋体"/>
          <w:b/>
          <w:sz w:val="24"/>
          <w:highlight w:val="none"/>
        </w:rPr>
      </w:pPr>
    </w:p>
    <w:p w14:paraId="73035A85">
      <w:pPr>
        <w:spacing w:line="360" w:lineRule="auto"/>
        <w:jc w:val="center"/>
        <w:rPr>
          <w:rFonts w:ascii="宋体" w:hAnsi="宋体" w:cs="宋体"/>
          <w:b/>
          <w:sz w:val="24"/>
          <w:highlight w:val="none"/>
        </w:rPr>
      </w:pPr>
    </w:p>
    <w:p w14:paraId="6896F4FF">
      <w:pPr>
        <w:adjustRightInd/>
        <w:spacing w:line="360" w:lineRule="auto"/>
        <w:jc w:val="center"/>
        <w:rPr>
          <w:rFonts w:ascii="宋体" w:hAnsi="宋体" w:cs="宋体"/>
          <w:b/>
          <w:sz w:val="44"/>
          <w:szCs w:val="44"/>
          <w:highlight w:val="none"/>
        </w:rPr>
      </w:pPr>
    </w:p>
    <w:p w14:paraId="00098EFD">
      <w:pPr>
        <w:spacing w:line="360" w:lineRule="auto"/>
        <w:jc w:val="center"/>
        <w:rPr>
          <w:rFonts w:ascii="宋体" w:hAnsi="宋体" w:cs="宋体"/>
          <w:b/>
          <w:sz w:val="44"/>
          <w:szCs w:val="44"/>
          <w:highlight w:val="none"/>
        </w:rPr>
      </w:pPr>
    </w:p>
    <w:p w14:paraId="634641DF">
      <w:pPr>
        <w:adjustRightInd/>
        <w:spacing w:line="360" w:lineRule="auto"/>
        <w:jc w:val="center"/>
        <w:rPr>
          <w:rFonts w:ascii="宋体" w:hAnsi="宋体" w:cs="宋体"/>
          <w:b/>
          <w:sz w:val="48"/>
          <w:szCs w:val="48"/>
          <w:highlight w:val="none"/>
        </w:rPr>
      </w:pPr>
    </w:p>
    <w:p w14:paraId="5D904D53">
      <w:pPr>
        <w:adjustRightInd/>
        <w:spacing w:line="360" w:lineRule="auto"/>
        <w:jc w:val="center"/>
        <w:rPr>
          <w:rFonts w:hint="eastAsia" w:ascii="宋体" w:hAnsi="宋体" w:cs="宋体"/>
          <w:sz w:val="48"/>
          <w:szCs w:val="48"/>
          <w:highlight w:val="none"/>
          <w:lang w:eastAsia="zh-CN"/>
        </w:rPr>
      </w:pPr>
      <w:bookmarkStart w:id="0" w:name="OLE_LINK5"/>
      <w:bookmarkStart w:id="1" w:name="OLE_LINK7"/>
      <w:bookmarkStart w:id="2" w:name="OLE_LINK4"/>
      <w:bookmarkStart w:id="3" w:name="OLE_LINK2"/>
      <w:bookmarkStart w:id="4" w:name="OLE_LINK6"/>
      <w:r>
        <w:rPr>
          <w:rFonts w:hint="eastAsia" w:ascii="宋体" w:hAnsi="宋体" w:cs="宋体"/>
          <w:sz w:val="48"/>
          <w:szCs w:val="48"/>
          <w:highlight w:val="none"/>
          <w:lang w:eastAsia="zh-CN"/>
        </w:rPr>
        <w:t>2025年第一批义务教育薄弱环节</w:t>
      </w:r>
    </w:p>
    <w:p w14:paraId="2D5AA36F">
      <w:pPr>
        <w:adjustRightInd/>
        <w:spacing w:line="360" w:lineRule="auto"/>
        <w:jc w:val="center"/>
        <w:rPr>
          <w:rFonts w:hint="eastAsia" w:ascii="宋体" w:hAnsi="宋体" w:cs="宋体"/>
          <w:sz w:val="48"/>
          <w:szCs w:val="48"/>
          <w:highlight w:val="none"/>
          <w:lang w:eastAsia="zh-CN"/>
        </w:rPr>
      </w:pPr>
      <w:r>
        <w:rPr>
          <w:rFonts w:hint="eastAsia" w:ascii="宋体" w:hAnsi="宋体" w:cs="宋体"/>
          <w:sz w:val="48"/>
          <w:szCs w:val="48"/>
          <w:highlight w:val="none"/>
          <w:lang w:eastAsia="zh-CN"/>
        </w:rPr>
        <w:t>改善与能力提升补助资金项目设备</w:t>
      </w:r>
    </w:p>
    <w:p w14:paraId="0916611C">
      <w:pPr>
        <w:adjustRightInd/>
        <w:spacing w:line="360" w:lineRule="auto"/>
        <w:jc w:val="center"/>
        <w:rPr>
          <w:rFonts w:hint="eastAsia" w:ascii="宋体" w:hAnsi="宋体" w:eastAsia="宋体" w:cs="宋体"/>
          <w:sz w:val="48"/>
          <w:szCs w:val="48"/>
          <w:highlight w:val="none"/>
          <w:lang w:eastAsia="zh-CN"/>
        </w:rPr>
      </w:pPr>
      <w:r>
        <w:rPr>
          <w:rFonts w:hint="eastAsia" w:ascii="宋体" w:hAnsi="宋体" w:cs="宋体"/>
          <w:sz w:val="48"/>
          <w:szCs w:val="48"/>
          <w:highlight w:val="none"/>
          <w:lang w:eastAsia="zh-CN"/>
        </w:rPr>
        <w:t>（小学教学一体机）采购项目</w:t>
      </w:r>
    </w:p>
    <w:bookmarkEnd w:id="0"/>
    <w:bookmarkEnd w:id="1"/>
    <w:bookmarkEnd w:id="2"/>
    <w:bookmarkEnd w:id="3"/>
    <w:bookmarkEnd w:id="4"/>
    <w:p w14:paraId="5B166772">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rPr>
        <w:t xml:space="preserve">招标文件 </w:t>
      </w:r>
    </w:p>
    <w:p w14:paraId="257BE1AC">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14:paraId="22C44ABD">
      <w:pPr>
        <w:snapToGrid w:val="0"/>
        <w:spacing w:line="360" w:lineRule="auto"/>
        <w:jc w:val="center"/>
        <w:rPr>
          <w:rFonts w:hint="eastAsia" w:ascii="宋体" w:hAnsi="宋体" w:cs="宋体"/>
          <w:sz w:val="32"/>
          <w:szCs w:val="32"/>
          <w:highlight w:val="none"/>
          <w:lang w:eastAsia="zh-CN"/>
        </w:rPr>
      </w:pPr>
      <w:r>
        <w:rPr>
          <w:rFonts w:hint="eastAsia" w:ascii="宋体" w:hAnsi="宋体" w:cs="宋体"/>
          <w:sz w:val="32"/>
          <w:szCs w:val="32"/>
          <w:highlight w:val="none"/>
        </w:rPr>
        <w:t>编号:</w:t>
      </w:r>
      <w:r>
        <w:rPr>
          <w:rFonts w:hint="eastAsia" w:ascii="宋体" w:hAnsi="宋体" w:cs="宋体"/>
          <w:sz w:val="32"/>
          <w:szCs w:val="32"/>
          <w:highlight w:val="none"/>
          <w:lang w:eastAsia="zh-CN"/>
        </w:rPr>
        <w:t>BHZC2025-G1-210112-CGZX</w:t>
      </w:r>
    </w:p>
    <w:p w14:paraId="5DEA3F0F">
      <w:pPr>
        <w:adjustRightInd/>
        <w:spacing w:line="360" w:lineRule="auto"/>
        <w:rPr>
          <w:rFonts w:ascii="宋体" w:hAnsi="宋体" w:cs="宋体"/>
          <w:sz w:val="28"/>
          <w:szCs w:val="20"/>
          <w:highlight w:val="none"/>
        </w:rPr>
      </w:pPr>
    </w:p>
    <w:p w14:paraId="431EDDCF">
      <w:pPr>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w:t>
      </w:r>
    </w:p>
    <w:p w14:paraId="47CD864F">
      <w:pPr>
        <w:spacing w:line="360" w:lineRule="auto"/>
        <w:jc w:val="center"/>
        <w:rPr>
          <w:rFonts w:ascii="宋体" w:hAnsi="宋体" w:cs="宋体"/>
          <w:sz w:val="24"/>
          <w:highlight w:val="none"/>
        </w:rPr>
      </w:pPr>
    </w:p>
    <w:p w14:paraId="62D79248">
      <w:pPr>
        <w:spacing w:line="360" w:lineRule="auto"/>
        <w:rPr>
          <w:rFonts w:ascii="宋体" w:hAnsi="宋体" w:cs="宋体"/>
          <w:sz w:val="32"/>
          <w:szCs w:val="32"/>
          <w:highlight w:val="none"/>
        </w:rPr>
      </w:pPr>
    </w:p>
    <w:p w14:paraId="363EF5E0">
      <w:pPr>
        <w:snapToGrid w:val="0"/>
        <w:spacing w:line="360" w:lineRule="auto"/>
        <w:jc w:val="center"/>
        <w:rPr>
          <w:rFonts w:ascii="宋体" w:hAnsi="宋体" w:cs="宋体"/>
          <w:sz w:val="32"/>
          <w:szCs w:val="32"/>
          <w:highlight w:val="none"/>
        </w:rPr>
      </w:pPr>
      <w:r>
        <w:rPr>
          <w:rFonts w:hint="eastAsia" w:ascii="宋体" w:hAnsi="宋体" w:cs="宋体"/>
          <w:sz w:val="32"/>
          <w:szCs w:val="32"/>
          <w:highlight w:val="none"/>
        </w:rPr>
        <w:t>合浦县教育局</w:t>
      </w:r>
    </w:p>
    <w:p w14:paraId="451BF35E">
      <w:pPr>
        <w:spacing w:line="360" w:lineRule="auto"/>
        <w:jc w:val="center"/>
        <w:rPr>
          <w:rFonts w:ascii="宋体" w:hAnsi="宋体" w:cs="宋体"/>
          <w:bCs/>
          <w:sz w:val="32"/>
          <w:szCs w:val="32"/>
          <w:highlight w:val="none"/>
        </w:rPr>
      </w:pPr>
      <w:r>
        <w:rPr>
          <w:rFonts w:hint="eastAsia" w:ascii="宋体" w:hAnsi="宋体" w:cs="宋体"/>
          <w:bCs/>
          <w:sz w:val="32"/>
          <w:szCs w:val="32"/>
          <w:highlight w:val="none"/>
        </w:rPr>
        <w:t>北海市政府采购中心</w:t>
      </w:r>
    </w:p>
    <w:p w14:paraId="030DB767">
      <w:pPr>
        <w:snapToGrid w:val="0"/>
        <w:spacing w:line="360" w:lineRule="auto"/>
        <w:jc w:val="center"/>
        <w:rPr>
          <w:rFonts w:hint="eastAsia" w:ascii="宋体" w:hAnsi="宋体" w:eastAsia="宋体" w:cs="宋体"/>
          <w:bCs/>
          <w:sz w:val="32"/>
          <w:szCs w:val="32"/>
          <w:highlight w:val="none"/>
          <w:lang w:eastAsia="zh-CN"/>
        </w:rPr>
      </w:pPr>
      <w:r>
        <w:rPr>
          <w:rFonts w:hint="eastAsia" w:ascii="宋体" w:hAnsi="宋体" w:cs="宋体"/>
          <w:bCs/>
          <w:sz w:val="32"/>
          <w:szCs w:val="32"/>
          <w:highlight w:val="none"/>
        </w:rPr>
        <w:t>二〇二五年</w:t>
      </w:r>
      <w:r>
        <w:rPr>
          <w:rFonts w:hint="eastAsia" w:ascii="宋体" w:hAnsi="宋体" w:cs="宋体"/>
          <w:bCs/>
          <w:sz w:val="32"/>
          <w:szCs w:val="32"/>
          <w:highlight w:val="none"/>
          <w:lang w:eastAsia="zh-CN"/>
        </w:rPr>
        <w:t>七月三十一日</w:t>
      </w:r>
    </w:p>
    <w:p w14:paraId="7CC721BD">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5" w:name="_Hlt67893495"/>
      <w:bookmarkEnd w:id="5"/>
    </w:p>
    <w:p w14:paraId="55838909">
      <w:pPr>
        <w:spacing w:line="360" w:lineRule="auto"/>
        <w:jc w:val="center"/>
        <w:rPr>
          <w:rFonts w:ascii="宋体" w:hAnsi="宋体" w:cs="宋体"/>
          <w:sz w:val="24"/>
          <w:highlight w:val="none"/>
        </w:rPr>
      </w:pPr>
    </w:p>
    <w:p w14:paraId="74926AE6">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6E20A080">
      <w:pPr>
        <w:spacing w:line="360" w:lineRule="auto"/>
        <w:rPr>
          <w:rFonts w:ascii="宋体" w:hAnsi="宋体" w:cs="宋体"/>
          <w:sz w:val="32"/>
          <w:szCs w:val="32"/>
          <w:highlight w:val="none"/>
        </w:rPr>
      </w:pPr>
    </w:p>
    <w:p w14:paraId="71C7E850">
      <w:pPr>
        <w:spacing w:line="360" w:lineRule="auto"/>
        <w:rPr>
          <w:rFonts w:ascii="宋体" w:hAnsi="宋体" w:cs="宋体"/>
          <w:sz w:val="32"/>
          <w:szCs w:val="32"/>
          <w:highlight w:val="none"/>
        </w:rPr>
      </w:pPr>
    </w:p>
    <w:p w14:paraId="43811E37">
      <w:pPr>
        <w:pStyle w:val="44"/>
        <w:tabs>
          <w:tab w:val="right" w:leader="dot" w:pos="9060"/>
        </w:tabs>
        <w:spacing w:line="360" w:lineRule="auto"/>
        <w:rPr>
          <w:rFonts w:ascii="宋体" w:hAnsi="宋体" w:cstheme="minorBidi"/>
          <w:sz w:val="32"/>
          <w:szCs w:val="32"/>
          <w:highlight w:val="none"/>
        </w:rPr>
      </w:pPr>
      <w:bookmarkStart w:id="6" w:name="_Hlt91233176"/>
      <w:bookmarkEnd w:id="6"/>
      <w:bookmarkStart w:id="7" w:name="_Toc91899869"/>
      <w:r>
        <w:rPr>
          <w:rFonts w:ascii="宋体" w:hAnsi="宋体" w:cs="宋体"/>
          <w:sz w:val="32"/>
          <w:szCs w:val="32"/>
          <w:highlight w:val="none"/>
        </w:rPr>
        <w:fldChar w:fldCharType="begin"/>
      </w:r>
      <w:r>
        <w:rPr>
          <w:rFonts w:ascii="宋体" w:hAnsi="宋体" w:cs="宋体"/>
          <w:sz w:val="32"/>
          <w:szCs w:val="32"/>
          <w:highlight w:val="none"/>
        </w:rPr>
        <w:instrText xml:space="preserve"> TOC \o "1-1" \h \z \u </w:instrText>
      </w:r>
      <w:r>
        <w:rPr>
          <w:rFonts w:ascii="宋体" w:hAnsi="宋体" w:cs="宋体"/>
          <w:sz w:val="32"/>
          <w:szCs w:val="32"/>
          <w:highlight w:val="none"/>
        </w:rPr>
        <w:fldChar w:fldCharType="separate"/>
      </w:r>
      <w:r>
        <w:rPr>
          <w:highlight w:val="none"/>
        </w:rPr>
        <w:fldChar w:fldCharType="begin"/>
      </w:r>
      <w:r>
        <w:rPr>
          <w:highlight w:val="none"/>
        </w:rPr>
        <w:instrText xml:space="preserve"> HYPERLINK \l "_Toc176343848" </w:instrText>
      </w:r>
      <w:r>
        <w:rPr>
          <w:highlight w:val="none"/>
        </w:rPr>
        <w:fldChar w:fldCharType="separate"/>
      </w:r>
      <w:r>
        <w:rPr>
          <w:rStyle w:val="76"/>
          <w:rFonts w:hint="eastAsia" w:ascii="宋体" w:hAnsi="宋体" w:eastAsia="宋体" w:cs="宋体"/>
          <w:sz w:val="32"/>
          <w:szCs w:val="32"/>
          <w:highlight w:val="none"/>
        </w:rPr>
        <w:t>第一部分</w:t>
      </w:r>
      <w:r>
        <w:rPr>
          <w:rStyle w:val="76"/>
          <w:rFonts w:ascii="宋体" w:hAnsi="宋体" w:eastAsia="宋体" w:cs="宋体"/>
          <w:sz w:val="32"/>
          <w:szCs w:val="32"/>
          <w:highlight w:val="none"/>
        </w:rPr>
        <w:t xml:space="preserve">  </w:t>
      </w:r>
      <w:r>
        <w:rPr>
          <w:rStyle w:val="76"/>
          <w:rFonts w:hint="eastAsia" w:ascii="宋体" w:hAnsi="宋体" w:eastAsia="宋体" w:cs="宋体"/>
          <w:sz w:val="32"/>
          <w:szCs w:val="32"/>
          <w:highlight w:val="none"/>
        </w:rPr>
        <w:t>招标公告</w:t>
      </w:r>
      <w:r>
        <w:rPr>
          <w:rFonts w:ascii="宋体" w:hAnsi="宋体"/>
          <w:sz w:val="32"/>
          <w:szCs w:val="32"/>
          <w:highlight w:val="none"/>
        </w:rPr>
        <w:tab/>
      </w:r>
      <w:r>
        <w:rPr>
          <w:rFonts w:ascii="宋体" w:hAnsi="宋体"/>
          <w:sz w:val="32"/>
          <w:szCs w:val="32"/>
          <w:highlight w:val="none"/>
        </w:rPr>
        <w:fldChar w:fldCharType="begin"/>
      </w:r>
      <w:r>
        <w:rPr>
          <w:rFonts w:ascii="宋体" w:hAnsi="宋体"/>
          <w:sz w:val="32"/>
          <w:szCs w:val="32"/>
          <w:highlight w:val="none"/>
        </w:rPr>
        <w:instrText xml:space="preserve"> PAGEREF _Toc176343848 \h </w:instrText>
      </w:r>
      <w:r>
        <w:rPr>
          <w:rFonts w:ascii="宋体" w:hAnsi="宋体"/>
          <w:sz w:val="32"/>
          <w:szCs w:val="32"/>
          <w:highlight w:val="none"/>
        </w:rPr>
        <w:fldChar w:fldCharType="separate"/>
      </w:r>
      <w:r>
        <w:rPr>
          <w:rFonts w:ascii="宋体" w:hAnsi="宋体"/>
          <w:sz w:val="32"/>
          <w:szCs w:val="32"/>
          <w:highlight w:val="none"/>
        </w:rPr>
        <w:t>3</w:t>
      </w:r>
      <w:r>
        <w:rPr>
          <w:rFonts w:ascii="宋体" w:hAnsi="宋体"/>
          <w:sz w:val="32"/>
          <w:szCs w:val="32"/>
          <w:highlight w:val="none"/>
        </w:rPr>
        <w:fldChar w:fldCharType="end"/>
      </w:r>
      <w:r>
        <w:rPr>
          <w:rFonts w:ascii="宋体" w:hAnsi="宋体"/>
          <w:sz w:val="32"/>
          <w:szCs w:val="32"/>
          <w:highlight w:val="none"/>
        </w:rPr>
        <w:fldChar w:fldCharType="end"/>
      </w:r>
    </w:p>
    <w:p w14:paraId="70C1E33D">
      <w:pPr>
        <w:pStyle w:val="44"/>
        <w:tabs>
          <w:tab w:val="right" w:leader="dot" w:pos="9060"/>
        </w:tabs>
        <w:spacing w:line="360" w:lineRule="auto"/>
        <w:rPr>
          <w:rFonts w:ascii="宋体" w:hAnsi="宋体" w:cstheme="minorBidi"/>
          <w:sz w:val="32"/>
          <w:szCs w:val="32"/>
          <w:highlight w:val="none"/>
        </w:rPr>
      </w:pPr>
      <w:r>
        <w:rPr>
          <w:highlight w:val="none"/>
        </w:rPr>
        <w:fldChar w:fldCharType="begin"/>
      </w:r>
      <w:r>
        <w:rPr>
          <w:highlight w:val="none"/>
        </w:rPr>
        <w:instrText xml:space="preserve"> HYPERLINK \l "_Toc176343849" </w:instrText>
      </w:r>
      <w:r>
        <w:rPr>
          <w:highlight w:val="none"/>
        </w:rPr>
        <w:fldChar w:fldCharType="separate"/>
      </w:r>
      <w:r>
        <w:rPr>
          <w:rStyle w:val="76"/>
          <w:rFonts w:hint="eastAsia" w:ascii="宋体" w:hAnsi="宋体" w:eastAsia="宋体" w:cs="宋体"/>
          <w:sz w:val="32"/>
          <w:szCs w:val="32"/>
          <w:highlight w:val="none"/>
        </w:rPr>
        <w:t>第二部分</w:t>
      </w:r>
      <w:r>
        <w:rPr>
          <w:rStyle w:val="76"/>
          <w:rFonts w:ascii="宋体" w:hAnsi="宋体" w:eastAsia="宋体" w:cs="宋体"/>
          <w:sz w:val="32"/>
          <w:szCs w:val="32"/>
          <w:highlight w:val="none"/>
        </w:rPr>
        <w:t xml:space="preserve">  </w:t>
      </w:r>
      <w:r>
        <w:rPr>
          <w:rStyle w:val="76"/>
          <w:rFonts w:hint="eastAsia" w:ascii="宋体" w:hAnsi="宋体" w:eastAsia="宋体" w:cs="宋体"/>
          <w:sz w:val="32"/>
          <w:szCs w:val="32"/>
          <w:highlight w:val="none"/>
        </w:rPr>
        <w:t>投标人须知</w:t>
      </w:r>
      <w:r>
        <w:rPr>
          <w:rFonts w:ascii="宋体" w:hAnsi="宋体"/>
          <w:sz w:val="32"/>
          <w:szCs w:val="32"/>
          <w:highlight w:val="none"/>
        </w:rPr>
        <w:tab/>
      </w:r>
      <w:r>
        <w:rPr>
          <w:rFonts w:ascii="宋体" w:hAnsi="宋体"/>
          <w:sz w:val="32"/>
          <w:szCs w:val="32"/>
          <w:highlight w:val="none"/>
        </w:rPr>
        <w:fldChar w:fldCharType="begin"/>
      </w:r>
      <w:r>
        <w:rPr>
          <w:rFonts w:ascii="宋体" w:hAnsi="宋体"/>
          <w:sz w:val="32"/>
          <w:szCs w:val="32"/>
          <w:highlight w:val="none"/>
        </w:rPr>
        <w:instrText xml:space="preserve"> PAGEREF _Toc176343849 \h </w:instrText>
      </w:r>
      <w:r>
        <w:rPr>
          <w:rFonts w:ascii="宋体" w:hAnsi="宋体"/>
          <w:sz w:val="32"/>
          <w:szCs w:val="32"/>
          <w:highlight w:val="none"/>
        </w:rPr>
        <w:fldChar w:fldCharType="separate"/>
      </w:r>
      <w:r>
        <w:rPr>
          <w:rFonts w:ascii="宋体" w:hAnsi="宋体"/>
          <w:sz w:val="32"/>
          <w:szCs w:val="32"/>
          <w:highlight w:val="none"/>
        </w:rPr>
        <w:t>7</w:t>
      </w:r>
      <w:r>
        <w:rPr>
          <w:rFonts w:ascii="宋体" w:hAnsi="宋体"/>
          <w:sz w:val="32"/>
          <w:szCs w:val="32"/>
          <w:highlight w:val="none"/>
        </w:rPr>
        <w:fldChar w:fldCharType="end"/>
      </w:r>
      <w:r>
        <w:rPr>
          <w:rFonts w:ascii="宋体" w:hAnsi="宋体"/>
          <w:sz w:val="32"/>
          <w:szCs w:val="32"/>
          <w:highlight w:val="none"/>
        </w:rPr>
        <w:fldChar w:fldCharType="end"/>
      </w:r>
    </w:p>
    <w:p w14:paraId="5851171F">
      <w:pPr>
        <w:pStyle w:val="44"/>
        <w:tabs>
          <w:tab w:val="right" w:leader="dot" w:pos="9060"/>
        </w:tabs>
        <w:spacing w:line="360" w:lineRule="auto"/>
        <w:rPr>
          <w:rFonts w:ascii="宋体" w:hAnsi="宋体" w:cstheme="minorBidi"/>
          <w:sz w:val="32"/>
          <w:szCs w:val="32"/>
          <w:highlight w:val="none"/>
        </w:rPr>
      </w:pPr>
      <w:r>
        <w:rPr>
          <w:highlight w:val="none"/>
        </w:rPr>
        <w:fldChar w:fldCharType="begin"/>
      </w:r>
      <w:r>
        <w:rPr>
          <w:highlight w:val="none"/>
        </w:rPr>
        <w:instrText xml:space="preserve"> HYPERLINK \l "_Toc176343850" </w:instrText>
      </w:r>
      <w:r>
        <w:rPr>
          <w:highlight w:val="none"/>
        </w:rPr>
        <w:fldChar w:fldCharType="separate"/>
      </w:r>
      <w:r>
        <w:rPr>
          <w:rStyle w:val="76"/>
          <w:rFonts w:hint="eastAsia" w:ascii="宋体" w:hAnsi="宋体" w:eastAsia="宋体" w:cs="宋体"/>
          <w:sz w:val="32"/>
          <w:szCs w:val="32"/>
          <w:highlight w:val="none"/>
        </w:rPr>
        <w:t>第三部分</w:t>
      </w:r>
      <w:r>
        <w:rPr>
          <w:rStyle w:val="76"/>
          <w:rFonts w:ascii="宋体" w:hAnsi="宋体" w:eastAsia="宋体" w:cs="宋体"/>
          <w:sz w:val="32"/>
          <w:szCs w:val="32"/>
          <w:highlight w:val="none"/>
        </w:rPr>
        <w:t xml:space="preserve">  </w:t>
      </w:r>
      <w:r>
        <w:rPr>
          <w:rStyle w:val="76"/>
          <w:rFonts w:hint="eastAsia" w:ascii="宋体" w:hAnsi="宋体" w:eastAsia="宋体" w:cs="宋体"/>
          <w:sz w:val="32"/>
          <w:szCs w:val="32"/>
          <w:highlight w:val="none"/>
        </w:rPr>
        <w:t>采购需求</w:t>
      </w:r>
      <w:r>
        <w:rPr>
          <w:rFonts w:ascii="宋体" w:hAnsi="宋体"/>
          <w:sz w:val="32"/>
          <w:szCs w:val="32"/>
          <w:highlight w:val="none"/>
        </w:rPr>
        <w:tab/>
      </w:r>
      <w:r>
        <w:rPr>
          <w:rFonts w:ascii="宋体" w:hAnsi="宋体"/>
          <w:sz w:val="32"/>
          <w:szCs w:val="32"/>
          <w:highlight w:val="none"/>
        </w:rPr>
        <w:fldChar w:fldCharType="begin"/>
      </w:r>
      <w:r>
        <w:rPr>
          <w:rFonts w:ascii="宋体" w:hAnsi="宋体"/>
          <w:sz w:val="32"/>
          <w:szCs w:val="32"/>
          <w:highlight w:val="none"/>
        </w:rPr>
        <w:instrText xml:space="preserve"> PAGEREF _Toc176343850 \h </w:instrText>
      </w:r>
      <w:r>
        <w:rPr>
          <w:rFonts w:ascii="宋体" w:hAnsi="宋体"/>
          <w:sz w:val="32"/>
          <w:szCs w:val="32"/>
          <w:highlight w:val="none"/>
        </w:rPr>
        <w:fldChar w:fldCharType="separate"/>
      </w:r>
      <w:r>
        <w:rPr>
          <w:rFonts w:ascii="宋体" w:hAnsi="宋体"/>
          <w:sz w:val="32"/>
          <w:szCs w:val="32"/>
          <w:highlight w:val="none"/>
        </w:rPr>
        <w:t>27</w:t>
      </w:r>
      <w:r>
        <w:rPr>
          <w:rFonts w:ascii="宋体" w:hAnsi="宋体"/>
          <w:sz w:val="32"/>
          <w:szCs w:val="32"/>
          <w:highlight w:val="none"/>
        </w:rPr>
        <w:fldChar w:fldCharType="end"/>
      </w:r>
      <w:r>
        <w:rPr>
          <w:rFonts w:ascii="宋体" w:hAnsi="宋体"/>
          <w:sz w:val="32"/>
          <w:szCs w:val="32"/>
          <w:highlight w:val="none"/>
        </w:rPr>
        <w:fldChar w:fldCharType="end"/>
      </w:r>
    </w:p>
    <w:p w14:paraId="33729D1C">
      <w:pPr>
        <w:pStyle w:val="44"/>
        <w:tabs>
          <w:tab w:val="right" w:leader="dot" w:pos="9060"/>
        </w:tabs>
        <w:spacing w:line="360" w:lineRule="auto"/>
        <w:rPr>
          <w:rFonts w:ascii="宋体" w:hAnsi="宋体" w:cstheme="minorBidi"/>
          <w:sz w:val="32"/>
          <w:szCs w:val="32"/>
          <w:highlight w:val="none"/>
        </w:rPr>
      </w:pPr>
      <w:r>
        <w:rPr>
          <w:highlight w:val="none"/>
        </w:rPr>
        <w:fldChar w:fldCharType="begin"/>
      </w:r>
      <w:r>
        <w:rPr>
          <w:highlight w:val="none"/>
        </w:rPr>
        <w:instrText xml:space="preserve"> HYPERLINK \l "_Toc176343851" </w:instrText>
      </w:r>
      <w:r>
        <w:rPr>
          <w:highlight w:val="none"/>
        </w:rPr>
        <w:fldChar w:fldCharType="separate"/>
      </w:r>
      <w:r>
        <w:rPr>
          <w:rStyle w:val="76"/>
          <w:rFonts w:hint="eastAsia" w:ascii="宋体" w:hAnsi="宋体" w:eastAsia="宋体" w:cs="宋体"/>
          <w:sz w:val="32"/>
          <w:szCs w:val="32"/>
          <w:highlight w:val="none"/>
        </w:rPr>
        <w:t>第四部分</w:t>
      </w:r>
      <w:r>
        <w:rPr>
          <w:rStyle w:val="76"/>
          <w:rFonts w:ascii="宋体" w:hAnsi="宋体" w:eastAsia="宋体" w:cs="宋体"/>
          <w:sz w:val="32"/>
          <w:szCs w:val="32"/>
          <w:highlight w:val="none"/>
        </w:rPr>
        <w:t xml:space="preserve">  </w:t>
      </w:r>
      <w:r>
        <w:rPr>
          <w:rStyle w:val="76"/>
          <w:rFonts w:hint="eastAsia" w:ascii="宋体" w:hAnsi="宋体" w:eastAsia="宋体" w:cs="宋体"/>
          <w:sz w:val="32"/>
          <w:szCs w:val="32"/>
          <w:highlight w:val="none"/>
        </w:rPr>
        <w:t>评标办法</w:t>
      </w:r>
      <w:r>
        <w:rPr>
          <w:rFonts w:ascii="宋体" w:hAnsi="宋体"/>
          <w:sz w:val="32"/>
          <w:szCs w:val="32"/>
          <w:highlight w:val="none"/>
        </w:rPr>
        <w:tab/>
      </w:r>
      <w:r>
        <w:rPr>
          <w:rFonts w:ascii="宋体" w:hAnsi="宋体"/>
          <w:sz w:val="32"/>
          <w:szCs w:val="32"/>
          <w:highlight w:val="none"/>
        </w:rPr>
        <w:fldChar w:fldCharType="begin"/>
      </w:r>
      <w:r>
        <w:rPr>
          <w:rFonts w:ascii="宋体" w:hAnsi="宋体"/>
          <w:sz w:val="32"/>
          <w:szCs w:val="32"/>
          <w:highlight w:val="none"/>
        </w:rPr>
        <w:instrText xml:space="preserve"> PAGEREF _Toc176343851 \h </w:instrText>
      </w:r>
      <w:r>
        <w:rPr>
          <w:rFonts w:ascii="宋体" w:hAnsi="宋体"/>
          <w:sz w:val="32"/>
          <w:szCs w:val="32"/>
          <w:highlight w:val="none"/>
        </w:rPr>
        <w:fldChar w:fldCharType="separate"/>
      </w:r>
      <w:r>
        <w:rPr>
          <w:rFonts w:ascii="宋体" w:hAnsi="宋体"/>
          <w:sz w:val="32"/>
          <w:szCs w:val="32"/>
          <w:highlight w:val="none"/>
        </w:rPr>
        <w:t>48</w:t>
      </w:r>
      <w:r>
        <w:rPr>
          <w:rFonts w:ascii="宋体" w:hAnsi="宋体"/>
          <w:sz w:val="32"/>
          <w:szCs w:val="32"/>
          <w:highlight w:val="none"/>
        </w:rPr>
        <w:fldChar w:fldCharType="end"/>
      </w:r>
      <w:r>
        <w:rPr>
          <w:rFonts w:ascii="宋体" w:hAnsi="宋体"/>
          <w:sz w:val="32"/>
          <w:szCs w:val="32"/>
          <w:highlight w:val="none"/>
        </w:rPr>
        <w:fldChar w:fldCharType="end"/>
      </w:r>
    </w:p>
    <w:p w14:paraId="155C2A5B">
      <w:pPr>
        <w:pStyle w:val="44"/>
        <w:tabs>
          <w:tab w:val="right" w:leader="dot" w:pos="9060"/>
        </w:tabs>
        <w:spacing w:line="360" w:lineRule="auto"/>
        <w:rPr>
          <w:rFonts w:ascii="宋体" w:hAnsi="宋体" w:cstheme="minorBidi"/>
          <w:sz w:val="32"/>
          <w:szCs w:val="32"/>
          <w:highlight w:val="none"/>
        </w:rPr>
      </w:pPr>
      <w:r>
        <w:rPr>
          <w:highlight w:val="none"/>
        </w:rPr>
        <w:fldChar w:fldCharType="begin"/>
      </w:r>
      <w:r>
        <w:rPr>
          <w:highlight w:val="none"/>
        </w:rPr>
        <w:instrText xml:space="preserve"> HYPERLINK \l "_Toc176343852" </w:instrText>
      </w:r>
      <w:r>
        <w:rPr>
          <w:highlight w:val="none"/>
        </w:rPr>
        <w:fldChar w:fldCharType="separate"/>
      </w:r>
      <w:r>
        <w:rPr>
          <w:rStyle w:val="76"/>
          <w:rFonts w:hint="eastAsia" w:ascii="宋体" w:hAnsi="宋体" w:eastAsia="宋体" w:cs="宋体"/>
          <w:sz w:val="32"/>
          <w:szCs w:val="32"/>
          <w:highlight w:val="none"/>
        </w:rPr>
        <w:t>第五部分</w:t>
      </w:r>
      <w:r>
        <w:rPr>
          <w:rStyle w:val="76"/>
          <w:rFonts w:ascii="宋体" w:hAnsi="宋体" w:eastAsia="宋体" w:cs="宋体"/>
          <w:sz w:val="32"/>
          <w:szCs w:val="32"/>
          <w:highlight w:val="none"/>
        </w:rPr>
        <w:t xml:space="preserve">  </w:t>
      </w:r>
      <w:r>
        <w:rPr>
          <w:rStyle w:val="76"/>
          <w:rFonts w:hint="eastAsia" w:ascii="宋体" w:hAnsi="宋体" w:eastAsia="宋体" w:cs="宋体"/>
          <w:sz w:val="32"/>
          <w:szCs w:val="32"/>
          <w:highlight w:val="none"/>
        </w:rPr>
        <w:t>拟签订的合同文本</w:t>
      </w:r>
      <w:r>
        <w:rPr>
          <w:rFonts w:ascii="宋体" w:hAnsi="宋体"/>
          <w:sz w:val="32"/>
          <w:szCs w:val="32"/>
          <w:highlight w:val="none"/>
        </w:rPr>
        <w:tab/>
      </w:r>
      <w:r>
        <w:rPr>
          <w:rFonts w:ascii="宋体" w:hAnsi="宋体"/>
          <w:sz w:val="32"/>
          <w:szCs w:val="32"/>
          <w:highlight w:val="none"/>
        </w:rPr>
        <w:fldChar w:fldCharType="begin"/>
      </w:r>
      <w:r>
        <w:rPr>
          <w:rFonts w:ascii="宋体" w:hAnsi="宋体"/>
          <w:sz w:val="32"/>
          <w:szCs w:val="32"/>
          <w:highlight w:val="none"/>
        </w:rPr>
        <w:instrText xml:space="preserve"> PAGEREF _Toc176343852 \h </w:instrText>
      </w:r>
      <w:r>
        <w:rPr>
          <w:rFonts w:ascii="宋体" w:hAnsi="宋体"/>
          <w:sz w:val="32"/>
          <w:szCs w:val="32"/>
          <w:highlight w:val="none"/>
        </w:rPr>
        <w:fldChar w:fldCharType="separate"/>
      </w:r>
      <w:r>
        <w:rPr>
          <w:rFonts w:ascii="宋体" w:hAnsi="宋体"/>
          <w:sz w:val="32"/>
          <w:szCs w:val="32"/>
          <w:highlight w:val="none"/>
        </w:rPr>
        <w:t>56</w:t>
      </w:r>
      <w:r>
        <w:rPr>
          <w:rFonts w:ascii="宋体" w:hAnsi="宋体"/>
          <w:sz w:val="32"/>
          <w:szCs w:val="32"/>
          <w:highlight w:val="none"/>
        </w:rPr>
        <w:fldChar w:fldCharType="end"/>
      </w:r>
      <w:r>
        <w:rPr>
          <w:rFonts w:ascii="宋体" w:hAnsi="宋体"/>
          <w:sz w:val="32"/>
          <w:szCs w:val="32"/>
          <w:highlight w:val="none"/>
        </w:rPr>
        <w:fldChar w:fldCharType="end"/>
      </w:r>
    </w:p>
    <w:p w14:paraId="59F9FFDB">
      <w:pPr>
        <w:pStyle w:val="44"/>
        <w:tabs>
          <w:tab w:val="right" w:leader="dot" w:pos="9060"/>
        </w:tabs>
        <w:spacing w:line="360" w:lineRule="auto"/>
        <w:rPr>
          <w:rFonts w:ascii="宋体" w:hAnsi="宋体" w:cstheme="minorBidi"/>
          <w:sz w:val="32"/>
          <w:szCs w:val="32"/>
          <w:highlight w:val="none"/>
        </w:rPr>
      </w:pPr>
      <w:r>
        <w:rPr>
          <w:highlight w:val="none"/>
        </w:rPr>
        <w:fldChar w:fldCharType="begin"/>
      </w:r>
      <w:r>
        <w:rPr>
          <w:highlight w:val="none"/>
        </w:rPr>
        <w:instrText xml:space="preserve"> HYPERLINK \l "_Toc176343853" </w:instrText>
      </w:r>
      <w:r>
        <w:rPr>
          <w:highlight w:val="none"/>
        </w:rPr>
        <w:fldChar w:fldCharType="separate"/>
      </w:r>
      <w:r>
        <w:rPr>
          <w:rStyle w:val="76"/>
          <w:rFonts w:hint="eastAsia" w:ascii="宋体" w:hAnsi="宋体" w:eastAsia="宋体" w:cs="宋体"/>
          <w:sz w:val="32"/>
          <w:szCs w:val="32"/>
          <w:highlight w:val="none"/>
        </w:rPr>
        <w:t>第六部分</w:t>
      </w:r>
      <w:r>
        <w:rPr>
          <w:rStyle w:val="76"/>
          <w:rFonts w:ascii="宋体" w:hAnsi="宋体" w:eastAsia="宋体" w:cs="宋体"/>
          <w:sz w:val="32"/>
          <w:szCs w:val="32"/>
          <w:highlight w:val="none"/>
        </w:rPr>
        <w:t xml:space="preserve">  </w:t>
      </w:r>
      <w:r>
        <w:rPr>
          <w:rStyle w:val="76"/>
          <w:rFonts w:hint="eastAsia" w:ascii="宋体" w:hAnsi="宋体" w:eastAsia="宋体" w:cs="宋体"/>
          <w:sz w:val="32"/>
          <w:szCs w:val="32"/>
          <w:highlight w:val="none"/>
        </w:rPr>
        <w:t>应提交的有关格式范例</w:t>
      </w:r>
      <w:r>
        <w:rPr>
          <w:rFonts w:ascii="宋体" w:hAnsi="宋体"/>
          <w:sz w:val="32"/>
          <w:szCs w:val="32"/>
          <w:highlight w:val="none"/>
        </w:rPr>
        <w:tab/>
      </w:r>
      <w:r>
        <w:rPr>
          <w:rFonts w:ascii="宋体" w:hAnsi="宋体"/>
          <w:sz w:val="32"/>
          <w:szCs w:val="32"/>
          <w:highlight w:val="none"/>
        </w:rPr>
        <w:fldChar w:fldCharType="begin"/>
      </w:r>
      <w:r>
        <w:rPr>
          <w:rFonts w:ascii="宋体" w:hAnsi="宋体"/>
          <w:sz w:val="32"/>
          <w:szCs w:val="32"/>
          <w:highlight w:val="none"/>
        </w:rPr>
        <w:instrText xml:space="preserve"> PAGEREF _Toc176343853 \h </w:instrText>
      </w:r>
      <w:r>
        <w:rPr>
          <w:rFonts w:ascii="宋体" w:hAnsi="宋体"/>
          <w:sz w:val="32"/>
          <w:szCs w:val="32"/>
          <w:highlight w:val="none"/>
        </w:rPr>
        <w:fldChar w:fldCharType="separate"/>
      </w:r>
      <w:r>
        <w:rPr>
          <w:rFonts w:ascii="宋体" w:hAnsi="宋体"/>
          <w:sz w:val="32"/>
          <w:szCs w:val="32"/>
          <w:highlight w:val="none"/>
        </w:rPr>
        <w:t>74</w:t>
      </w:r>
      <w:r>
        <w:rPr>
          <w:rFonts w:ascii="宋体" w:hAnsi="宋体"/>
          <w:sz w:val="32"/>
          <w:szCs w:val="32"/>
          <w:highlight w:val="none"/>
        </w:rPr>
        <w:fldChar w:fldCharType="end"/>
      </w:r>
      <w:r>
        <w:rPr>
          <w:rFonts w:ascii="宋体" w:hAnsi="宋体"/>
          <w:sz w:val="32"/>
          <w:szCs w:val="32"/>
          <w:highlight w:val="none"/>
        </w:rPr>
        <w:fldChar w:fldCharType="end"/>
      </w:r>
    </w:p>
    <w:p w14:paraId="0322AF3D">
      <w:pPr>
        <w:spacing w:line="360" w:lineRule="auto"/>
        <w:ind w:firstLine="732" w:firstLineChars="229"/>
        <w:rPr>
          <w:rFonts w:ascii="宋体" w:hAnsi="宋体" w:cs="宋体"/>
          <w:sz w:val="32"/>
          <w:szCs w:val="32"/>
          <w:highlight w:val="none"/>
        </w:rPr>
      </w:pPr>
      <w:r>
        <w:rPr>
          <w:rFonts w:ascii="宋体" w:hAnsi="宋体" w:cs="宋体"/>
          <w:sz w:val="32"/>
          <w:szCs w:val="32"/>
          <w:highlight w:val="none"/>
        </w:rPr>
        <w:fldChar w:fldCharType="end"/>
      </w:r>
    </w:p>
    <w:p w14:paraId="651E0E07">
      <w:pPr>
        <w:spacing w:line="360" w:lineRule="auto"/>
        <w:ind w:firstLine="549" w:firstLineChars="229"/>
        <w:rPr>
          <w:rFonts w:ascii="宋体" w:hAnsi="宋体" w:cs="宋体"/>
          <w:sz w:val="24"/>
          <w:highlight w:val="none"/>
        </w:rPr>
      </w:pPr>
    </w:p>
    <w:p w14:paraId="3662E220">
      <w:pPr>
        <w:spacing w:line="360" w:lineRule="auto"/>
        <w:ind w:firstLine="549" w:firstLineChars="229"/>
        <w:rPr>
          <w:rFonts w:ascii="宋体" w:hAnsi="宋体" w:cs="宋体"/>
          <w:sz w:val="24"/>
          <w:highlight w:val="none"/>
        </w:rPr>
      </w:pPr>
    </w:p>
    <w:p w14:paraId="01875C4C">
      <w:pPr>
        <w:spacing w:line="360" w:lineRule="auto"/>
        <w:ind w:firstLine="549" w:firstLineChars="229"/>
        <w:rPr>
          <w:rFonts w:ascii="宋体" w:hAnsi="宋体" w:cs="宋体"/>
          <w:sz w:val="24"/>
          <w:highlight w:val="none"/>
        </w:rPr>
      </w:pPr>
    </w:p>
    <w:p w14:paraId="2519D274">
      <w:pPr>
        <w:spacing w:line="360" w:lineRule="auto"/>
        <w:ind w:firstLine="549" w:firstLineChars="229"/>
        <w:rPr>
          <w:rFonts w:ascii="宋体" w:hAnsi="宋体" w:cs="宋体"/>
          <w:sz w:val="24"/>
          <w:highlight w:val="none"/>
        </w:rPr>
      </w:pPr>
    </w:p>
    <w:p w14:paraId="771F1C7D">
      <w:pPr>
        <w:spacing w:line="360" w:lineRule="auto"/>
        <w:ind w:firstLine="549" w:firstLineChars="229"/>
        <w:rPr>
          <w:rFonts w:ascii="宋体" w:hAnsi="宋体" w:cs="宋体"/>
          <w:sz w:val="24"/>
          <w:highlight w:val="none"/>
        </w:rPr>
      </w:pPr>
    </w:p>
    <w:p w14:paraId="0E931CB9">
      <w:pPr>
        <w:spacing w:line="360" w:lineRule="auto"/>
        <w:ind w:firstLine="549" w:firstLineChars="229"/>
        <w:rPr>
          <w:rFonts w:ascii="宋体" w:hAnsi="宋体" w:cs="宋体"/>
          <w:sz w:val="24"/>
          <w:highlight w:val="none"/>
        </w:rPr>
      </w:pPr>
    </w:p>
    <w:p w14:paraId="78D72746">
      <w:pPr>
        <w:spacing w:line="360" w:lineRule="auto"/>
        <w:ind w:firstLine="549" w:firstLineChars="229"/>
        <w:rPr>
          <w:rFonts w:ascii="宋体" w:hAnsi="宋体" w:cs="宋体"/>
          <w:sz w:val="24"/>
          <w:highlight w:val="none"/>
        </w:rPr>
      </w:pPr>
    </w:p>
    <w:p w14:paraId="32290813">
      <w:pPr>
        <w:spacing w:line="360" w:lineRule="auto"/>
        <w:ind w:firstLine="549" w:firstLineChars="229"/>
        <w:rPr>
          <w:rFonts w:ascii="宋体" w:hAnsi="宋体" w:cs="宋体"/>
          <w:sz w:val="24"/>
          <w:highlight w:val="none"/>
        </w:rPr>
      </w:pPr>
    </w:p>
    <w:p w14:paraId="071995AB">
      <w:pPr>
        <w:spacing w:line="360" w:lineRule="auto"/>
        <w:ind w:firstLine="549" w:firstLineChars="229"/>
        <w:rPr>
          <w:rFonts w:ascii="宋体" w:hAnsi="宋体" w:cs="宋体"/>
          <w:sz w:val="24"/>
          <w:highlight w:val="none"/>
        </w:rPr>
      </w:pPr>
    </w:p>
    <w:p w14:paraId="75D36736">
      <w:pPr>
        <w:spacing w:line="360" w:lineRule="auto"/>
        <w:ind w:firstLine="549" w:firstLineChars="229"/>
        <w:rPr>
          <w:rFonts w:ascii="宋体" w:hAnsi="宋体" w:cs="宋体"/>
          <w:sz w:val="24"/>
          <w:highlight w:val="none"/>
        </w:rPr>
      </w:pPr>
    </w:p>
    <w:p w14:paraId="5EE5377E">
      <w:pPr>
        <w:spacing w:line="360" w:lineRule="auto"/>
        <w:ind w:firstLine="549" w:firstLineChars="229"/>
        <w:rPr>
          <w:rFonts w:ascii="宋体" w:hAnsi="宋体" w:cs="宋体"/>
          <w:sz w:val="24"/>
          <w:highlight w:val="none"/>
        </w:rPr>
      </w:pPr>
    </w:p>
    <w:p w14:paraId="08A7E2E7">
      <w:pPr>
        <w:spacing w:line="360" w:lineRule="auto"/>
        <w:rPr>
          <w:rFonts w:ascii="宋体" w:hAnsi="宋体" w:cs="宋体"/>
          <w:sz w:val="24"/>
          <w:highlight w:val="none"/>
        </w:rPr>
      </w:pPr>
    </w:p>
    <w:p w14:paraId="63FF634C">
      <w:pPr>
        <w:adjustRightInd/>
        <w:spacing w:line="360" w:lineRule="auto"/>
        <w:jc w:val="center"/>
        <w:outlineLvl w:val="0"/>
        <w:rPr>
          <w:rFonts w:ascii="宋体" w:hAnsi="宋体" w:cs="宋体"/>
          <w:b/>
          <w:sz w:val="36"/>
          <w:szCs w:val="20"/>
          <w:highlight w:val="none"/>
        </w:rPr>
      </w:pPr>
      <w:bookmarkStart w:id="8" w:name="第一部分"/>
      <w:r>
        <w:rPr>
          <w:rFonts w:hint="eastAsia" w:ascii="宋体" w:hAnsi="宋体" w:cs="宋体"/>
          <w:b/>
          <w:sz w:val="36"/>
          <w:szCs w:val="36"/>
          <w:highlight w:val="none"/>
        </w:rPr>
        <w:br w:type="page"/>
      </w:r>
      <w:bookmarkEnd w:id="7"/>
      <w:bookmarkEnd w:id="8"/>
      <w:bookmarkStart w:id="9" w:name="_Hlt74707423"/>
      <w:bookmarkEnd w:id="9"/>
      <w:bookmarkStart w:id="10" w:name="_Hlt74729822"/>
      <w:bookmarkEnd w:id="10"/>
      <w:bookmarkStart w:id="11" w:name="_Hlt74728647"/>
      <w:bookmarkEnd w:id="11"/>
      <w:bookmarkStart w:id="12" w:name="_Hlt74649545"/>
      <w:bookmarkEnd w:id="12"/>
      <w:bookmarkStart w:id="13" w:name="_Toc176343848"/>
      <w:bookmarkStart w:id="14" w:name="_Toc176185119"/>
      <w:bookmarkStart w:id="15" w:name="第二部分"/>
      <w:bookmarkStart w:id="16" w:name="_Toc91899870"/>
      <w:bookmarkStart w:id="17" w:name="_Toc91899871"/>
      <w:r>
        <w:rPr>
          <w:rFonts w:hint="eastAsia" w:ascii="宋体" w:hAnsi="宋体" w:cs="宋体"/>
          <w:b/>
          <w:sz w:val="36"/>
          <w:szCs w:val="20"/>
          <w:highlight w:val="none"/>
        </w:rPr>
        <w:t>第一部分  招标公告</w:t>
      </w:r>
      <w:bookmarkEnd w:id="13"/>
      <w:bookmarkEnd w:id="14"/>
    </w:p>
    <w:p w14:paraId="0E672ED9">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项目概况</w:t>
      </w:r>
    </w:p>
    <w:p w14:paraId="5B576C6B">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u w:val="single"/>
          <w:lang w:eastAsia="zh-CN"/>
        </w:rPr>
        <w:t>2025年第一批义务教育薄弱环节改善与能力提升补助资金项目设备（小学教学一体机）采购项目</w:t>
      </w:r>
      <w:r>
        <w:rPr>
          <w:rFonts w:hint="eastAsia" w:asciiTheme="minorEastAsia" w:hAnsiTheme="minorEastAsia" w:eastAsiaTheme="minorEastAsia"/>
          <w:sz w:val="24"/>
          <w:highlight w:val="none"/>
        </w:rPr>
        <w:t>招标项目的潜在投标人应在</w:t>
      </w:r>
      <w:r>
        <w:rPr>
          <w:rFonts w:hint="eastAsia" w:ascii="宋体" w:hAnsi="宋体" w:cs="宋体"/>
          <w:sz w:val="24"/>
          <w:highlight w:val="none"/>
        </w:rPr>
        <w:t>广西政府采购云平台（</w:t>
      </w:r>
      <w:r>
        <w:rPr>
          <w:highlight w:val="none"/>
        </w:rPr>
        <w:fldChar w:fldCharType="begin"/>
      </w:r>
      <w:r>
        <w:rPr>
          <w:highlight w:val="none"/>
        </w:rPr>
        <w:instrText xml:space="preserve"> HYPERLINK "https://www.gcy.zfcg.gxzf.gov.cn/）获取（下载）招标文件，并于202" </w:instrText>
      </w:r>
      <w:r>
        <w:rPr>
          <w:highlight w:val="none"/>
        </w:rPr>
        <w:fldChar w:fldCharType="separate"/>
      </w:r>
      <w:r>
        <w:rPr>
          <w:rStyle w:val="76"/>
          <w:rFonts w:hint="eastAsia" w:ascii="宋体" w:hAnsi="宋体" w:eastAsia="宋体" w:cs="宋体"/>
          <w:snapToGrid/>
          <w:kern w:val="2"/>
          <w:sz w:val="24"/>
          <w:szCs w:val="24"/>
          <w:highlight w:val="none"/>
        </w:rPr>
        <w:t>https://www.gcy.zfcg.gxzf.gov.cn/）</w:t>
      </w:r>
      <w:r>
        <w:rPr>
          <w:rStyle w:val="76"/>
          <w:rFonts w:cs="Times New Roman" w:asciiTheme="minorEastAsia" w:hAnsiTheme="minorEastAsia" w:eastAsiaTheme="minorEastAsia"/>
          <w:snapToGrid/>
          <w:kern w:val="2"/>
          <w:sz w:val="24"/>
          <w:szCs w:val="24"/>
          <w:highlight w:val="none"/>
        </w:rPr>
        <w:t>获取（下载）招标文件，并于</w:t>
      </w:r>
      <w:r>
        <w:rPr>
          <w:rStyle w:val="76"/>
          <w:rFonts w:hint="eastAsia" w:cs="Times New Roman" w:asciiTheme="minorEastAsia" w:hAnsiTheme="minorEastAsia" w:eastAsiaTheme="minorEastAsia"/>
          <w:snapToGrid/>
          <w:kern w:val="2"/>
          <w:sz w:val="24"/>
          <w:szCs w:val="24"/>
          <w:highlight w:val="none"/>
        </w:rPr>
        <w:t>202</w:t>
      </w:r>
      <w:r>
        <w:rPr>
          <w:rStyle w:val="76"/>
          <w:rFonts w:hint="eastAsia" w:cs="Times New Roman" w:asciiTheme="minorEastAsia" w:hAnsiTheme="minorEastAsia" w:eastAsiaTheme="minorEastAsia"/>
          <w:snapToGrid/>
          <w:kern w:val="2"/>
          <w:sz w:val="24"/>
          <w:szCs w:val="24"/>
          <w:highlight w:val="none"/>
        </w:rPr>
        <w:fldChar w:fldCharType="end"/>
      </w: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年</w:t>
      </w:r>
      <w:r>
        <w:rPr>
          <w:rFonts w:hint="eastAsia" w:asciiTheme="minorEastAsia" w:hAnsiTheme="minorEastAsia" w:eastAsiaTheme="minorEastAsia"/>
          <w:sz w:val="24"/>
          <w:highlight w:val="none"/>
          <w:lang w:eastAsia="zh-CN"/>
        </w:rPr>
        <w:t>8月25日</w:t>
      </w:r>
      <w:r>
        <w:rPr>
          <w:rFonts w:hint="eastAsia" w:asciiTheme="minorEastAsia" w:hAnsiTheme="minorEastAsia" w:eastAsiaTheme="minorEastAsia"/>
          <w:sz w:val="24"/>
          <w:highlight w:val="none"/>
        </w:rPr>
        <w:t>9点00分</w:t>
      </w:r>
      <w:r>
        <w:rPr>
          <w:rFonts w:hint="eastAsia" w:asciiTheme="minorEastAsia" w:hAnsiTheme="minorEastAsia" w:eastAsiaTheme="minorEastAsia"/>
          <w:bCs/>
          <w:sz w:val="24"/>
          <w:highlight w:val="none"/>
        </w:rPr>
        <w:t>00秒（北京时间）前</w:t>
      </w:r>
      <w:r>
        <w:rPr>
          <w:rFonts w:hint="eastAsia" w:asciiTheme="minorEastAsia" w:hAnsiTheme="minorEastAsia" w:eastAsiaTheme="minorEastAsia"/>
          <w:sz w:val="24"/>
          <w:highlight w:val="none"/>
        </w:rPr>
        <w:t>递交（上传）投标文件。</w:t>
      </w:r>
    </w:p>
    <w:p w14:paraId="66B7F372">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314E8B05">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项目编号：</w:t>
      </w:r>
      <w:r>
        <w:rPr>
          <w:rFonts w:hint="eastAsia" w:ascii="宋体" w:hAnsi="宋体" w:cs="宋体"/>
          <w:sz w:val="24"/>
          <w:highlight w:val="none"/>
          <w:lang w:eastAsia="zh-CN"/>
        </w:rPr>
        <w:t>BHZC2025-G1-210112-CGZX</w:t>
      </w:r>
    </w:p>
    <w:p w14:paraId="444924B8">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项目名称：</w:t>
      </w:r>
      <w:r>
        <w:rPr>
          <w:rFonts w:hint="eastAsia" w:ascii="宋体" w:hAnsi="宋体" w:cs="宋体"/>
          <w:sz w:val="24"/>
          <w:highlight w:val="none"/>
          <w:lang w:eastAsia="zh-CN"/>
        </w:rPr>
        <w:t>2025年第一批义务教育薄弱环节改善与能力提升补助资金项目设备（小学教学一体机）采购项目</w:t>
      </w:r>
    </w:p>
    <w:p w14:paraId="6D45D4C1">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预算总金额（元）：</w:t>
      </w:r>
      <w:r>
        <w:rPr>
          <w:rFonts w:hint="eastAsia" w:ascii="宋体" w:hAnsi="宋体" w:cs="宋体"/>
          <w:sz w:val="24"/>
          <w:highlight w:val="none"/>
          <w:lang w:eastAsia="zh-CN"/>
        </w:rPr>
        <w:t>1805000</w:t>
      </w:r>
    </w:p>
    <w:p w14:paraId="4F7FD059">
      <w:pPr>
        <w:spacing w:line="360" w:lineRule="auto"/>
        <w:ind w:firstLine="480"/>
        <w:rPr>
          <w:rFonts w:ascii="宋体" w:hAnsi="宋体" w:cs="宋体"/>
          <w:sz w:val="24"/>
          <w:highlight w:val="none"/>
        </w:rPr>
      </w:pPr>
      <w:r>
        <w:rPr>
          <w:rFonts w:hint="eastAsia" w:ascii="宋体" w:hAnsi="宋体" w:cs="宋体"/>
          <w:sz w:val="24"/>
          <w:highlight w:val="none"/>
        </w:rPr>
        <w:t>采购需求：</w:t>
      </w:r>
    </w:p>
    <w:p w14:paraId="45E47B62">
      <w:pPr>
        <w:spacing w:line="360" w:lineRule="auto"/>
        <w:ind w:firstLine="480"/>
        <w:rPr>
          <w:rFonts w:ascii="宋体" w:hAnsi="宋体" w:cs="宋体"/>
          <w:sz w:val="24"/>
          <w:highlight w:val="none"/>
        </w:rPr>
      </w:pPr>
    </w:p>
    <w:p w14:paraId="504C79BA">
      <w:pPr>
        <w:spacing w:line="360" w:lineRule="auto"/>
        <w:ind w:firstLine="480"/>
        <w:rPr>
          <w:rFonts w:ascii="宋体" w:hAnsi="宋体" w:cs="宋体"/>
          <w:sz w:val="24"/>
          <w:highlight w:val="none"/>
        </w:rPr>
      </w:pPr>
      <w:r>
        <w:rPr>
          <w:rFonts w:hint="eastAsia" w:ascii="宋体" w:hAnsi="宋体" w:cs="宋体"/>
          <w:sz w:val="24"/>
          <w:highlight w:val="none"/>
        </w:rPr>
        <w:t>标项一</w:t>
      </w:r>
    </w:p>
    <w:p w14:paraId="03CF581E">
      <w:pPr>
        <w:spacing w:line="360" w:lineRule="auto"/>
        <w:ind w:firstLine="480"/>
        <w:rPr>
          <w:rFonts w:ascii="宋体" w:hAnsi="宋体" w:cs="宋体"/>
          <w:sz w:val="24"/>
          <w:highlight w:val="none"/>
        </w:rPr>
      </w:pPr>
      <w:r>
        <w:rPr>
          <w:rFonts w:hint="eastAsia" w:ascii="宋体" w:hAnsi="宋体" w:cs="宋体"/>
          <w:sz w:val="24"/>
          <w:highlight w:val="none"/>
        </w:rPr>
        <w:t>标项名称: 党江、沙岗、石湾、乌家、西场、星岛湖6镇小学教学一体机</w:t>
      </w:r>
    </w:p>
    <w:p w14:paraId="4773F465">
      <w:pPr>
        <w:spacing w:line="360" w:lineRule="auto"/>
        <w:ind w:firstLine="480"/>
        <w:rPr>
          <w:rFonts w:ascii="宋体" w:hAnsi="宋体" w:cs="宋体"/>
          <w:sz w:val="24"/>
          <w:highlight w:val="none"/>
        </w:rPr>
      </w:pPr>
      <w:r>
        <w:rPr>
          <w:rFonts w:hint="eastAsia" w:ascii="宋体" w:hAnsi="宋体" w:cs="宋体"/>
          <w:sz w:val="24"/>
          <w:highlight w:val="none"/>
        </w:rPr>
        <w:t>数量:不限</w:t>
      </w:r>
    </w:p>
    <w:p w14:paraId="686A42E4">
      <w:pPr>
        <w:spacing w:line="360" w:lineRule="auto"/>
        <w:ind w:firstLine="480"/>
        <w:rPr>
          <w:rFonts w:ascii="宋体" w:hAnsi="宋体" w:cs="宋体"/>
          <w:sz w:val="24"/>
          <w:highlight w:val="none"/>
        </w:rPr>
      </w:pPr>
      <w:r>
        <w:rPr>
          <w:rFonts w:hint="eastAsia" w:ascii="宋体" w:hAnsi="宋体" w:cs="宋体"/>
          <w:sz w:val="24"/>
          <w:highlight w:val="none"/>
        </w:rPr>
        <w:t>预算金额（元）:1273000</w:t>
      </w:r>
      <w:r>
        <w:rPr>
          <w:rFonts w:hint="eastAsia" w:ascii="宋体" w:hAnsi="宋体" w:cs="宋体"/>
          <w:sz w:val="24"/>
          <w:highlight w:val="none"/>
        </w:rPr>
        <w:tab/>
      </w:r>
    </w:p>
    <w:p w14:paraId="1B70E533">
      <w:pPr>
        <w:spacing w:line="360" w:lineRule="auto"/>
        <w:ind w:firstLine="480"/>
        <w:rPr>
          <w:rFonts w:ascii="宋体" w:hAnsi="宋体" w:cs="宋体"/>
          <w:sz w:val="24"/>
          <w:highlight w:val="none"/>
        </w:rPr>
      </w:pPr>
      <w:r>
        <w:rPr>
          <w:rFonts w:hint="eastAsia" w:ascii="宋体" w:hAnsi="宋体" w:cs="宋体"/>
          <w:sz w:val="24"/>
          <w:highlight w:val="none"/>
        </w:rPr>
        <w:t>简要规格描述或项目基本概况介绍、用途：</w:t>
      </w:r>
      <w:r>
        <w:rPr>
          <w:rFonts w:hint="eastAsia" w:ascii="宋体" w:hAnsi="宋体" w:cs="宋体"/>
          <w:sz w:val="24"/>
          <w:highlight w:val="none"/>
          <w:lang w:eastAsia="zh-CN"/>
        </w:rPr>
        <w:t>本标项采购</w:t>
      </w:r>
      <w:r>
        <w:rPr>
          <w:rFonts w:hint="eastAsia" w:ascii="宋体" w:hAnsi="宋体" w:cs="宋体"/>
          <w:sz w:val="24"/>
          <w:highlight w:val="none"/>
        </w:rPr>
        <w:t>65寸教学一体机67套</w:t>
      </w:r>
      <w:r>
        <w:rPr>
          <w:rFonts w:hint="eastAsia" w:ascii="宋体" w:hAnsi="宋体" w:cs="宋体"/>
          <w:sz w:val="24"/>
          <w:highlight w:val="none"/>
          <w:lang w:eastAsia="zh-CN"/>
        </w:rPr>
        <w:t>，每套设备包括类纸护眼交互智能平板、AI视频展台、智能笔、2.4G无线有源音箱、2.4G无线话筒、推拉米黄板</w:t>
      </w:r>
      <w:r>
        <w:rPr>
          <w:rFonts w:hint="eastAsia" w:ascii="宋体" w:hAnsi="宋体" w:cs="宋体"/>
          <w:sz w:val="24"/>
          <w:highlight w:val="none"/>
        </w:rPr>
        <w:t>。</w:t>
      </w:r>
      <w:r>
        <w:rPr>
          <w:rFonts w:hint="eastAsia" w:ascii="宋体" w:hAnsi="宋体" w:cs="宋体"/>
          <w:sz w:val="24"/>
          <w:highlight w:val="none"/>
          <w:lang w:eastAsia="zh-CN"/>
        </w:rPr>
        <w:t>具体技术参数</w:t>
      </w:r>
      <w:r>
        <w:rPr>
          <w:rFonts w:hint="eastAsia" w:ascii="宋体" w:hAnsi="宋体" w:cs="宋体"/>
          <w:sz w:val="24"/>
          <w:highlight w:val="none"/>
        </w:rPr>
        <w:t>详见招标文件。</w:t>
      </w:r>
    </w:p>
    <w:p w14:paraId="634C94D7">
      <w:pPr>
        <w:spacing w:line="360" w:lineRule="auto"/>
        <w:ind w:firstLine="480"/>
        <w:rPr>
          <w:rFonts w:ascii="宋体" w:hAnsi="宋体" w:cs="宋体"/>
          <w:sz w:val="24"/>
          <w:highlight w:val="none"/>
        </w:rPr>
      </w:pPr>
      <w:r>
        <w:rPr>
          <w:rFonts w:hint="eastAsia" w:ascii="宋体" w:hAnsi="宋体" w:cs="宋体"/>
          <w:sz w:val="24"/>
          <w:highlight w:val="none"/>
        </w:rPr>
        <w:t>最高限价（如有）：/</w:t>
      </w:r>
    </w:p>
    <w:p w14:paraId="2C09EBEB">
      <w:pPr>
        <w:spacing w:line="360" w:lineRule="auto"/>
        <w:ind w:firstLine="480"/>
        <w:rPr>
          <w:rFonts w:ascii="宋体" w:hAnsi="宋体" w:cs="宋体"/>
          <w:sz w:val="24"/>
          <w:highlight w:val="none"/>
        </w:rPr>
      </w:pPr>
      <w:r>
        <w:rPr>
          <w:rFonts w:hint="eastAsia" w:ascii="宋体" w:hAnsi="宋体" w:cs="宋体"/>
          <w:sz w:val="24"/>
          <w:highlight w:val="none"/>
        </w:rPr>
        <w:t>合同履约期限：自合同签订之日起至项目验收合格。</w:t>
      </w:r>
    </w:p>
    <w:p w14:paraId="0B082F66">
      <w:pPr>
        <w:spacing w:line="360" w:lineRule="auto"/>
        <w:ind w:firstLine="480"/>
        <w:rPr>
          <w:rFonts w:ascii="宋体" w:hAnsi="宋体" w:cs="宋体"/>
          <w:sz w:val="24"/>
          <w:highlight w:val="none"/>
        </w:rPr>
      </w:pPr>
      <w:r>
        <w:rPr>
          <w:rFonts w:hint="eastAsia" w:ascii="宋体" w:hAnsi="宋体" w:cs="宋体"/>
          <w:sz w:val="24"/>
          <w:highlight w:val="none"/>
        </w:rPr>
        <w:t>本标项不接受联合体投标</w:t>
      </w:r>
    </w:p>
    <w:p w14:paraId="773B0997">
      <w:pPr>
        <w:spacing w:line="360" w:lineRule="auto"/>
        <w:ind w:firstLine="480"/>
        <w:rPr>
          <w:rFonts w:ascii="宋体" w:hAnsi="宋体" w:cs="宋体"/>
          <w:sz w:val="24"/>
          <w:highlight w:val="none"/>
        </w:rPr>
      </w:pPr>
      <w:r>
        <w:rPr>
          <w:rFonts w:hint="eastAsia" w:ascii="宋体" w:hAnsi="宋体" w:cs="宋体"/>
          <w:sz w:val="24"/>
          <w:highlight w:val="none"/>
        </w:rPr>
        <w:t>备注：/。</w:t>
      </w:r>
    </w:p>
    <w:p w14:paraId="06674569">
      <w:pPr>
        <w:spacing w:line="360" w:lineRule="auto"/>
        <w:ind w:firstLine="480"/>
        <w:rPr>
          <w:rFonts w:ascii="宋体" w:hAnsi="宋体" w:cs="宋体"/>
          <w:sz w:val="24"/>
          <w:highlight w:val="none"/>
        </w:rPr>
      </w:pPr>
    </w:p>
    <w:p w14:paraId="7C80D92E">
      <w:pPr>
        <w:spacing w:line="360" w:lineRule="auto"/>
        <w:ind w:firstLine="480"/>
        <w:rPr>
          <w:rFonts w:ascii="宋体" w:hAnsi="宋体" w:cs="宋体"/>
          <w:sz w:val="24"/>
          <w:highlight w:val="none"/>
        </w:rPr>
      </w:pPr>
      <w:r>
        <w:rPr>
          <w:rFonts w:hint="eastAsia" w:ascii="宋体" w:hAnsi="宋体" w:cs="宋体"/>
          <w:sz w:val="24"/>
          <w:highlight w:val="none"/>
        </w:rPr>
        <w:t>标项二</w:t>
      </w:r>
    </w:p>
    <w:p w14:paraId="2D5B4A45">
      <w:pPr>
        <w:spacing w:line="360" w:lineRule="auto"/>
        <w:ind w:firstLine="480"/>
        <w:rPr>
          <w:rFonts w:hint="eastAsia" w:ascii="宋体" w:hAnsi="宋体" w:cs="宋体"/>
          <w:sz w:val="24"/>
          <w:highlight w:val="none"/>
        </w:rPr>
      </w:pPr>
      <w:r>
        <w:rPr>
          <w:rFonts w:hint="eastAsia" w:ascii="宋体" w:hAnsi="宋体" w:cs="宋体"/>
          <w:sz w:val="24"/>
          <w:highlight w:val="none"/>
        </w:rPr>
        <w:t>标项名称:石康、常乐2镇小学教学一体机</w:t>
      </w:r>
    </w:p>
    <w:p w14:paraId="609020D8">
      <w:pPr>
        <w:spacing w:line="360" w:lineRule="auto"/>
        <w:ind w:firstLine="480"/>
        <w:rPr>
          <w:rFonts w:ascii="宋体" w:hAnsi="宋体" w:cs="宋体"/>
          <w:sz w:val="24"/>
          <w:highlight w:val="none"/>
        </w:rPr>
      </w:pPr>
      <w:r>
        <w:rPr>
          <w:rFonts w:hint="eastAsia" w:ascii="宋体" w:hAnsi="宋体" w:cs="宋体"/>
          <w:sz w:val="24"/>
          <w:highlight w:val="none"/>
        </w:rPr>
        <w:t>数量:不限</w:t>
      </w:r>
    </w:p>
    <w:p w14:paraId="103D2C17">
      <w:pPr>
        <w:spacing w:line="360" w:lineRule="auto"/>
        <w:ind w:firstLine="480"/>
        <w:rPr>
          <w:rFonts w:hint="eastAsia" w:ascii="宋体" w:hAnsi="宋体" w:cs="宋体"/>
          <w:sz w:val="24"/>
          <w:highlight w:val="none"/>
          <w:lang w:eastAsia="zh-CN"/>
        </w:rPr>
      </w:pPr>
      <w:r>
        <w:rPr>
          <w:rFonts w:hint="eastAsia" w:ascii="宋体" w:hAnsi="宋体" w:cs="宋体"/>
          <w:sz w:val="24"/>
          <w:highlight w:val="none"/>
        </w:rPr>
        <w:t>预算金额（元）:</w:t>
      </w:r>
      <w:r>
        <w:rPr>
          <w:rFonts w:hint="eastAsia" w:ascii="宋体" w:hAnsi="宋体" w:cs="宋体"/>
          <w:sz w:val="24"/>
          <w:highlight w:val="none"/>
          <w:lang w:eastAsia="zh-CN"/>
        </w:rPr>
        <w:t>532000</w:t>
      </w:r>
    </w:p>
    <w:p w14:paraId="1BC687B1">
      <w:pPr>
        <w:spacing w:line="360" w:lineRule="auto"/>
        <w:ind w:firstLine="480"/>
        <w:rPr>
          <w:rFonts w:hint="eastAsia" w:ascii="宋体" w:hAnsi="宋体" w:cs="宋体"/>
          <w:sz w:val="24"/>
          <w:highlight w:val="none"/>
        </w:rPr>
      </w:pPr>
      <w:r>
        <w:rPr>
          <w:rFonts w:hint="eastAsia" w:ascii="宋体" w:hAnsi="宋体" w:cs="宋体"/>
          <w:sz w:val="24"/>
          <w:highlight w:val="none"/>
        </w:rPr>
        <w:t>简要规格描述或项目基本概况介绍、用途：本标项采购65寸教学一体机</w:t>
      </w:r>
      <w:r>
        <w:rPr>
          <w:rFonts w:hint="eastAsia" w:ascii="宋体" w:hAnsi="宋体" w:cs="宋体"/>
          <w:sz w:val="24"/>
          <w:highlight w:val="none"/>
          <w:lang w:val="en-US" w:eastAsia="zh-CN"/>
        </w:rPr>
        <w:t>28</w:t>
      </w:r>
      <w:r>
        <w:rPr>
          <w:rFonts w:hint="eastAsia" w:ascii="宋体" w:hAnsi="宋体" w:cs="宋体"/>
          <w:sz w:val="24"/>
          <w:highlight w:val="none"/>
        </w:rPr>
        <w:t>套，每套设备包括类纸护眼交互智能平板、AI视频展台、智能笔、2.4G无线有源音箱、2.4G无线话筒、推拉米黄板。具体技术参数详见招标文件。</w:t>
      </w:r>
    </w:p>
    <w:p w14:paraId="748ABB62">
      <w:pPr>
        <w:spacing w:line="360" w:lineRule="auto"/>
        <w:ind w:firstLine="480"/>
        <w:rPr>
          <w:rFonts w:ascii="宋体" w:hAnsi="宋体" w:cs="宋体"/>
          <w:sz w:val="24"/>
          <w:highlight w:val="none"/>
        </w:rPr>
      </w:pPr>
      <w:r>
        <w:rPr>
          <w:rFonts w:hint="eastAsia" w:ascii="宋体" w:hAnsi="宋体" w:cs="宋体"/>
          <w:sz w:val="24"/>
          <w:highlight w:val="none"/>
        </w:rPr>
        <w:t>最高限价（如有）：/</w:t>
      </w:r>
    </w:p>
    <w:p w14:paraId="73B9142C">
      <w:pPr>
        <w:spacing w:line="360" w:lineRule="auto"/>
        <w:ind w:firstLine="480"/>
        <w:rPr>
          <w:rFonts w:ascii="宋体" w:hAnsi="宋体" w:cs="宋体"/>
          <w:sz w:val="24"/>
          <w:highlight w:val="none"/>
        </w:rPr>
      </w:pPr>
      <w:r>
        <w:rPr>
          <w:rFonts w:hint="eastAsia" w:ascii="宋体" w:hAnsi="宋体" w:cs="宋体"/>
          <w:sz w:val="24"/>
          <w:highlight w:val="none"/>
        </w:rPr>
        <w:t>合同履约期限：详见招标文件。</w:t>
      </w:r>
    </w:p>
    <w:p w14:paraId="284352C4">
      <w:pPr>
        <w:spacing w:line="360" w:lineRule="auto"/>
        <w:ind w:firstLine="480"/>
        <w:rPr>
          <w:rFonts w:ascii="宋体" w:hAnsi="宋体" w:cs="宋体"/>
          <w:sz w:val="24"/>
          <w:highlight w:val="none"/>
        </w:rPr>
      </w:pPr>
      <w:r>
        <w:rPr>
          <w:rFonts w:hint="eastAsia" w:ascii="宋体" w:hAnsi="宋体" w:cs="宋体"/>
          <w:sz w:val="24"/>
          <w:highlight w:val="none"/>
        </w:rPr>
        <w:t>本标项不接受联合体投标</w:t>
      </w:r>
    </w:p>
    <w:p w14:paraId="27539DBA">
      <w:pPr>
        <w:spacing w:line="360" w:lineRule="auto"/>
        <w:ind w:firstLine="480"/>
        <w:rPr>
          <w:rFonts w:ascii="宋体" w:hAnsi="宋体" w:cs="宋体"/>
          <w:sz w:val="24"/>
          <w:highlight w:val="none"/>
        </w:rPr>
      </w:pPr>
      <w:r>
        <w:rPr>
          <w:rFonts w:hint="eastAsia" w:ascii="宋体" w:hAnsi="宋体" w:cs="宋体"/>
          <w:sz w:val="24"/>
          <w:highlight w:val="none"/>
        </w:rPr>
        <w:t>备注：/。</w:t>
      </w:r>
    </w:p>
    <w:p w14:paraId="206383BA">
      <w:pPr>
        <w:spacing w:line="360" w:lineRule="auto"/>
        <w:rPr>
          <w:rFonts w:ascii="宋体" w:hAnsi="宋体" w:cs="宋体"/>
          <w:b/>
          <w:sz w:val="24"/>
          <w:highlight w:val="none"/>
        </w:rPr>
      </w:pPr>
      <w:r>
        <w:rPr>
          <w:rFonts w:hint="eastAsia" w:ascii="宋体" w:hAnsi="宋体" w:cs="宋体"/>
          <w:b/>
          <w:sz w:val="24"/>
          <w:highlight w:val="none"/>
        </w:rPr>
        <w:t>二、</w:t>
      </w:r>
      <w:bookmarkStart w:id="18" w:name="_Hlk101132948"/>
      <w:r>
        <w:rPr>
          <w:rFonts w:hint="eastAsia" w:ascii="宋体" w:hAnsi="宋体" w:cs="宋体"/>
          <w:b/>
          <w:sz w:val="24"/>
          <w:highlight w:val="none"/>
        </w:rPr>
        <w:t>申请人的资格要求</w:t>
      </w:r>
      <w:bookmarkEnd w:id="18"/>
      <w:r>
        <w:rPr>
          <w:rFonts w:hint="eastAsia" w:ascii="宋体" w:hAnsi="宋体" w:cs="宋体"/>
          <w:b/>
          <w:sz w:val="24"/>
          <w:highlight w:val="none"/>
        </w:rPr>
        <w:t>：</w:t>
      </w:r>
    </w:p>
    <w:p w14:paraId="7E2352F5">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1.满足《中华人民共和国政府采购法》第二十二条规定；</w:t>
      </w:r>
      <w:r>
        <w:rPr>
          <w:rFonts w:ascii="宋体" w:hAnsi="宋体" w:cs="宋体"/>
          <w:snapToGrid w:val="0"/>
          <w:kern w:val="28"/>
          <w:sz w:val="24"/>
          <w:szCs w:val="20"/>
          <w:highlight w:val="none"/>
        </w:rPr>
        <w:t xml:space="preserve"> </w:t>
      </w:r>
    </w:p>
    <w:p w14:paraId="0DD3C045">
      <w:pPr>
        <w:spacing w:line="360" w:lineRule="auto"/>
        <w:ind w:firstLine="480" w:firstLineChars="20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2.落实政府采购政策需满足的资格要求：</w:t>
      </w:r>
      <w:bookmarkStart w:id="19" w:name="OLE_LINK1"/>
      <w:r>
        <w:rPr>
          <w:rFonts w:hint="eastAsia" w:ascii="宋体" w:hAnsi="宋体" w:cs="宋体"/>
          <w:sz w:val="24"/>
          <w:highlight w:val="none"/>
        </w:rPr>
        <w:t>无</w:t>
      </w:r>
      <w:bookmarkEnd w:id="19"/>
      <w:r>
        <w:rPr>
          <w:rFonts w:hint="eastAsia" w:ascii="宋体" w:hAnsi="宋体" w:cs="宋体"/>
          <w:sz w:val="24"/>
          <w:highlight w:val="none"/>
        </w:rPr>
        <w:t>；</w:t>
      </w:r>
    </w:p>
    <w:p w14:paraId="1D0E7A2E">
      <w:pPr>
        <w:spacing w:line="360" w:lineRule="auto"/>
        <w:ind w:firstLine="480" w:firstLineChars="200"/>
        <w:rPr>
          <w:rFonts w:ascii="宋体" w:hAnsi="宋体" w:cs="宋体"/>
          <w:sz w:val="24"/>
          <w:highlight w:val="none"/>
        </w:rPr>
      </w:pPr>
      <w:r>
        <w:rPr>
          <w:rFonts w:hint="eastAsia" w:ascii="宋体" w:hAnsi="宋体" w:cs="宋体"/>
          <w:sz w:val="24"/>
          <w:highlight w:val="none"/>
        </w:rPr>
        <w:t>3.本项目的特定资格要求：无。</w:t>
      </w:r>
    </w:p>
    <w:p w14:paraId="615CB75C">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1380C691">
      <w:pPr>
        <w:spacing w:line="360" w:lineRule="auto"/>
        <w:ind w:firstLine="480" w:firstLineChars="200"/>
        <w:rPr>
          <w:rFonts w:ascii="宋体" w:hAnsi="宋体" w:cs="宋体"/>
          <w:sz w:val="24"/>
          <w:highlight w:val="none"/>
        </w:rPr>
      </w:pPr>
      <w:r>
        <w:rPr>
          <w:rFonts w:hint="eastAsia" w:ascii="宋体" w:hAnsi="宋体" w:cs="宋体"/>
          <w:sz w:val="24"/>
          <w:highlight w:val="none"/>
        </w:rPr>
        <w:t>时间：</w:t>
      </w:r>
      <w:r>
        <w:rPr>
          <w:rFonts w:hint="eastAsia" w:ascii="宋体" w:hAnsi="宋体" w:cs="宋体"/>
          <w:sz w:val="24"/>
          <w:highlight w:val="none"/>
          <w:u w:val="single"/>
        </w:rPr>
        <w:t>2025年</w:t>
      </w:r>
      <w:r>
        <w:rPr>
          <w:rFonts w:hint="eastAsia" w:ascii="宋体" w:hAnsi="宋体" w:cs="宋体"/>
          <w:sz w:val="24"/>
          <w:highlight w:val="none"/>
          <w:u w:val="single"/>
          <w:lang w:eastAsia="zh-CN"/>
        </w:rPr>
        <w:t>7月31日</w:t>
      </w:r>
      <w:r>
        <w:rPr>
          <w:rFonts w:hint="eastAsia" w:ascii="宋体" w:hAnsi="宋体" w:cs="宋体"/>
          <w:sz w:val="24"/>
          <w:highlight w:val="none"/>
        </w:rPr>
        <w:t>至</w:t>
      </w:r>
      <w:r>
        <w:rPr>
          <w:rFonts w:hint="eastAsia" w:ascii="宋体" w:hAnsi="宋体" w:cs="宋体"/>
          <w:sz w:val="24"/>
          <w:highlight w:val="none"/>
          <w:u w:val="single"/>
        </w:rPr>
        <w:t>2025年</w:t>
      </w:r>
      <w:r>
        <w:rPr>
          <w:rFonts w:hint="eastAsia" w:ascii="宋体" w:hAnsi="宋体" w:cs="宋体"/>
          <w:sz w:val="24"/>
          <w:highlight w:val="none"/>
          <w:u w:val="single"/>
          <w:lang w:eastAsia="zh-CN"/>
        </w:rPr>
        <w:t>8月7日</w:t>
      </w:r>
      <w:r>
        <w:rPr>
          <w:rFonts w:hint="eastAsia" w:ascii="宋体" w:hAnsi="宋体" w:cs="宋体"/>
          <w:sz w:val="24"/>
          <w:highlight w:val="none"/>
        </w:rPr>
        <w:t>，每天上午00:00至12:00 ，下午12:00至23:59（北京时间，法定节假日除外）</w:t>
      </w:r>
    </w:p>
    <w:p w14:paraId="07314A1D">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地点（网址）：广西政府采购云平台（https://www.gcy.zfcg.gxzf.gov.cn/） </w:t>
      </w:r>
    </w:p>
    <w:p w14:paraId="35A7BD64">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方式：供应商登录广西政府采购云平台（https://www.gcy.zfcg.gxzf.gov.cn/）在线申请获取采购文件（进入“项目采购”应用，在获取采购文件菜单中选择项目，申请获取采购文件）。 </w:t>
      </w:r>
    </w:p>
    <w:p w14:paraId="30DFC8A4">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售价（元）：0 </w:t>
      </w:r>
      <w:r>
        <w:rPr>
          <w:rFonts w:hint="eastAsia" w:ascii="宋体" w:hAnsi="宋体" w:cs="宋体"/>
          <w:sz w:val="24"/>
          <w:highlight w:val="none"/>
        </w:rPr>
        <w:tab/>
      </w:r>
    </w:p>
    <w:p w14:paraId="41B43059">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387CE9F0">
      <w:pPr>
        <w:spacing w:line="360" w:lineRule="auto"/>
        <w:ind w:firstLine="480" w:firstLineChars="200"/>
        <w:rPr>
          <w:rFonts w:ascii="宋体" w:hAnsi="宋体" w:cs="宋体"/>
          <w:sz w:val="24"/>
          <w:highlight w:val="none"/>
        </w:rPr>
      </w:pPr>
      <w:r>
        <w:rPr>
          <w:rFonts w:hint="eastAsia" w:ascii="宋体" w:hAnsi="宋体" w:cs="宋体"/>
          <w:sz w:val="24"/>
          <w:highlight w:val="none"/>
        </w:rPr>
        <w:t>提交投标文件截止时间：</w:t>
      </w:r>
      <w:r>
        <w:rPr>
          <w:rFonts w:hint="eastAsia" w:ascii="宋体" w:hAnsi="宋体" w:cs="宋体"/>
          <w:sz w:val="24"/>
          <w:highlight w:val="none"/>
          <w:u w:val="single"/>
        </w:rPr>
        <w:t>2025年</w:t>
      </w:r>
      <w:r>
        <w:rPr>
          <w:rFonts w:hint="eastAsia" w:ascii="宋体" w:hAnsi="宋体" w:cs="宋体"/>
          <w:sz w:val="24"/>
          <w:highlight w:val="none"/>
          <w:u w:val="single"/>
          <w:lang w:eastAsia="zh-CN"/>
        </w:rPr>
        <w:t>8月25日</w:t>
      </w:r>
      <w:r>
        <w:rPr>
          <w:rFonts w:hint="eastAsia" w:ascii="宋体" w:hAnsi="宋体" w:cs="宋体"/>
          <w:sz w:val="24"/>
          <w:highlight w:val="none"/>
          <w:u w:val="single"/>
        </w:rPr>
        <w:t>9点00分00秒</w:t>
      </w:r>
      <w:r>
        <w:rPr>
          <w:rFonts w:hint="eastAsia" w:ascii="宋体" w:hAnsi="宋体" w:cs="宋体"/>
          <w:sz w:val="24"/>
          <w:highlight w:val="none"/>
        </w:rPr>
        <w:t>（北京时间）</w:t>
      </w:r>
    </w:p>
    <w:p w14:paraId="64EBD61C">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投标地点（网址）：广西政府采购云平台（https://www.gcy.zfcg.gxzf.gov.cn/） </w:t>
      </w:r>
    </w:p>
    <w:p w14:paraId="7F65E6A7">
      <w:pPr>
        <w:spacing w:line="360" w:lineRule="auto"/>
        <w:ind w:firstLine="480" w:firstLineChars="200"/>
        <w:rPr>
          <w:rFonts w:ascii="宋体" w:hAnsi="宋体" w:cs="宋体"/>
          <w:bCs/>
          <w:sz w:val="24"/>
          <w:highlight w:val="none"/>
          <w:u w:val="single"/>
        </w:rPr>
      </w:pPr>
      <w:r>
        <w:rPr>
          <w:rFonts w:hint="eastAsia" w:ascii="宋体" w:hAnsi="宋体" w:cs="宋体"/>
          <w:sz w:val="24"/>
          <w:highlight w:val="none"/>
        </w:rPr>
        <w:t>开标时间：</w:t>
      </w:r>
      <w:r>
        <w:rPr>
          <w:rFonts w:hint="eastAsia" w:ascii="宋体" w:hAnsi="宋体" w:cs="宋体"/>
          <w:sz w:val="24"/>
          <w:highlight w:val="none"/>
          <w:u w:val="single"/>
        </w:rPr>
        <w:t>2025年</w:t>
      </w:r>
      <w:r>
        <w:rPr>
          <w:rFonts w:hint="eastAsia" w:ascii="宋体" w:hAnsi="宋体" w:cs="宋体"/>
          <w:sz w:val="24"/>
          <w:highlight w:val="none"/>
          <w:u w:val="single"/>
          <w:lang w:eastAsia="zh-CN"/>
        </w:rPr>
        <w:t>8月25日</w:t>
      </w:r>
      <w:r>
        <w:rPr>
          <w:rFonts w:hint="eastAsia" w:ascii="宋体" w:hAnsi="宋体" w:cs="宋体"/>
          <w:sz w:val="24"/>
          <w:highlight w:val="none"/>
          <w:u w:val="single"/>
        </w:rPr>
        <w:t>9点00分00秒</w:t>
      </w:r>
    </w:p>
    <w:p w14:paraId="7420BE77">
      <w:pPr>
        <w:spacing w:line="360" w:lineRule="auto"/>
        <w:ind w:firstLine="480" w:firstLineChars="200"/>
        <w:rPr>
          <w:rFonts w:ascii="宋体" w:hAnsi="宋体" w:cs="宋体"/>
          <w:sz w:val="24"/>
          <w:highlight w:val="none"/>
        </w:rPr>
      </w:pPr>
      <w:r>
        <w:rPr>
          <w:rFonts w:hint="eastAsia" w:ascii="宋体" w:hAnsi="宋体" w:cs="宋体"/>
          <w:sz w:val="24"/>
          <w:highlight w:val="none"/>
        </w:rPr>
        <w:t>开标地点（网址）：广西政府采购云平台（https://www.gcy.zfcg.gxzf.gov.cn/）</w:t>
      </w:r>
    </w:p>
    <w:p w14:paraId="78DABEC5">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518B778D">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7F47964E">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27C0FBB4">
      <w:pPr>
        <w:spacing w:line="360" w:lineRule="auto"/>
        <w:ind w:firstLine="480" w:firstLineChars="200"/>
        <w:rPr>
          <w:rFonts w:ascii="宋体" w:hAnsi="宋体" w:cs="宋体"/>
          <w:sz w:val="24"/>
          <w:highlight w:val="none"/>
        </w:rPr>
      </w:pPr>
      <w:r>
        <w:rPr>
          <w:rFonts w:hint="eastAsia" w:ascii="宋体" w:hAnsi="宋体" w:cs="宋体"/>
          <w:sz w:val="24"/>
          <w:highlight w:val="none"/>
        </w:rPr>
        <w:t>1.投标保证金：本项目不收取。</w:t>
      </w:r>
    </w:p>
    <w:p w14:paraId="742893F8">
      <w:pPr>
        <w:spacing w:line="360" w:lineRule="auto"/>
        <w:ind w:firstLine="480" w:firstLineChars="200"/>
        <w:rPr>
          <w:rFonts w:ascii="宋体" w:hAnsi="宋体" w:cs="宋体"/>
          <w:sz w:val="24"/>
          <w:highlight w:val="none"/>
        </w:rPr>
      </w:pPr>
      <w:r>
        <w:rPr>
          <w:rFonts w:hint="eastAsia" w:ascii="宋体" w:hAnsi="宋体" w:cs="宋体"/>
          <w:sz w:val="24"/>
          <w:highlight w:val="none"/>
        </w:rPr>
        <w:t>2.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对于未预留份额专门面向中小企业采购的政府采购项目，以及预留份额政府采购项目中的非预留部分标项，对小型和微型企业的投标报价给予20%的扣除，用扣除后的价格参与评审。（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14:paraId="4DFA8866">
      <w:pPr>
        <w:spacing w:line="360" w:lineRule="auto"/>
        <w:ind w:firstLine="480" w:firstLineChars="200"/>
        <w:rPr>
          <w:highlight w:val="none"/>
        </w:rPr>
      </w:pPr>
      <w:r>
        <w:rPr>
          <w:rFonts w:hint="eastAsia" w:ascii="宋体" w:hAnsi="宋体" w:cs="宋体"/>
          <w:snapToGrid w:val="0"/>
          <w:kern w:val="28"/>
          <w:sz w:val="24"/>
          <w:highlight w:val="none"/>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中标后也可在“广西政府采购云”平台申请政采贷：操作路径：登录广西政府采购云平台-金融服务中心-【融资服务】，可在热门申请中选择产品直接申请。</w:t>
      </w:r>
    </w:p>
    <w:p w14:paraId="1A1F2B21">
      <w:pPr>
        <w:spacing w:line="360" w:lineRule="auto"/>
        <w:ind w:firstLine="480" w:firstLineChars="200"/>
        <w:rPr>
          <w:rFonts w:ascii="宋体" w:hAnsi="宋体" w:cs="宋体"/>
          <w:sz w:val="24"/>
          <w:highlight w:val="none"/>
        </w:rPr>
      </w:pPr>
      <w:r>
        <w:rPr>
          <w:rFonts w:hint="eastAsia" w:ascii="宋体" w:hAnsi="宋体" w:cs="宋体"/>
          <w:sz w:val="24"/>
          <w:highlight w:val="none"/>
        </w:rPr>
        <w:t>4.网上公告媒体查询：中国政府采购网、广西政府采购网、北海市政府采购监管网、北海市人民政府网-北海市政府采购中心网站、全国公共资源交易平台（广西•北海）。</w:t>
      </w:r>
    </w:p>
    <w:p w14:paraId="09065A4E">
      <w:pPr>
        <w:spacing w:line="360" w:lineRule="auto"/>
        <w:ind w:firstLine="480" w:firstLineChars="200"/>
        <w:rPr>
          <w:rFonts w:ascii="宋体" w:hAnsi="宋体" w:cs="宋体"/>
          <w:sz w:val="24"/>
          <w:highlight w:val="none"/>
        </w:rPr>
      </w:pPr>
      <w:r>
        <w:rPr>
          <w:rFonts w:hint="eastAsia" w:ascii="宋体" w:hAnsi="宋体" w:cs="宋体"/>
          <w:sz w:val="24"/>
          <w:highlight w:val="none"/>
        </w:rPr>
        <w:t>5.本项目通过广西政府采购云平台实行在线投标响应（电子投标），为确保网上操作合法、有效和安全，</w:t>
      </w:r>
      <w:r>
        <w:rPr>
          <w:rFonts w:hint="eastAsia" w:ascii="宋体" w:hAnsi="宋体" w:cs="宋体"/>
          <w:sz w:val="24"/>
          <w:highlight w:val="none"/>
          <w:lang w:eastAsia="zh-CN"/>
        </w:rPr>
        <w:t>投标人</w:t>
      </w:r>
      <w:r>
        <w:rPr>
          <w:rFonts w:hint="eastAsia" w:ascii="宋体" w:hAnsi="宋体" w:cs="宋体"/>
          <w:sz w:val="24"/>
          <w:highlight w:val="none"/>
        </w:rPr>
        <w:t>应当在</w:t>
      </w:r>
      <w:r>
        <w:rPr>
          <w:rFonts w:hint="eastAsia" w:ascii="宋体" w:hAnsi="宋体" w:cs="宋体"/>
          <w:sz w:val="24"/>
          <w:highlight w:val="none"/>
          <w:lang w:eastAsia="zh-CN"/>
        </w:rPr>
        <w:t>投标</w:t>
      </w:r>
      <w:r>
        <w:rPr>
          <w:rFonts w:hint="eastAsia" w:ascii="宋体" w:hAnsi="宋体" w:cs="宋体"/>
          <w:sz w:val="24"/>
          <w:highlight w:val="none"/>
        </w:rPr>
        <w:t>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14:paraId="5FCAB1B9">
      <w:pPr>
        <w:spacing w:line="360" w:lineRule="auto"/>
        <w:ind w:firstLine="480" w:firstLineChars="200"/>
        <w:rPr>
          <w:rFonts w:ascii="宋体" w:hAnsi="宋体" w:cs="宋体"/>
          <w:sz w:val="24"/>
          <w:highlight w:val="none"/>
        </w:rPr>
      </w:pPr>
      <w:r>
        <w:rPr>
          <w:rFonts w:hint="eastAsia" w:ascii="宋体" w:hAnsi="宋体" w:cs="宋体"/>
          <w:sz w:val="24"/>
          <w:highlight w:val="none"/>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0ED1264B">
      <w:pPr>
        <w:spacing w:line="360" w:lineRule="auto"/>
        <w:ind w:firstLine="480" w:firstLineChars="200"/>
        <w:rPr>
          <w:rFonts w:ascii="宋体" w:hAnsi="宋体" w:cs="宋体"/>
          <w:sz w:val="24"/>
          <w:highlight w:val="none"/>
        </w:rPr>
      </w:pPr>
      <w:r>
        <w:rPr>
          <w:rFonts w:hint="eastAsia" w:ascii="宋体" w:hAnsi="宋体" w:cs="宋体"/>
          <w:sz w:val="24"/>
          <w:highlight w:val="none"/>
        </w:rPr>
        <w:t>7.本项目采用远程异地评标。</w:t>
      </w:r>
    </w:p>
    <w:p w14:paraId="3ABC9015">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47C774E7">
      <w:pPr>
        <w:spacing w:line="360" w:lineRule="auto"/>
        <w:ind w:firstLine="480"/>
        <w:rPr>
          <w:rFonts w:ascii="宋体" w:hAnsi="宋体" w:cs="宋体"/>
          <w:sz w:val="24"/>
          <w:highlight w:val="none"/>
        </w:rPr>
      </w:pPr>
      <w:r>
        <w:rPr>
          <w:rFonts w:hint="eastAsia" w:ascii="宋体" w:hAnsi="宋体" w:cs="宋体"/>
          <w:sz w:val="24"/>
          <w:highlight w:val="none"/>
        </w:rPr>
        <w:t>1.采购人信息</w:t>
      </w:r>
    </w:p>
    <w:p w14:paraId="45AF4B2E">
      <w:pPr>
        <w:spacing w:line="360" w:lineRule="auto"/>
        <w:ind w:firstLine="480"/>
        <w:rPr>
          <w:rFonts w:ascii="宋体" w:hAnsi="宋体" w:cs="宋体"/>
          <w:sz w:val="24"/>
          <w:highlight w:val="none"/>
        </w:rPr>
      </w:pPr>
      <w:r>
        <w:rPr>
          <w:rFonts w:hint="eastAsia" w:ascii="宋体" w:hAnsi="宋体" w:cs="宋体"/>
          <w:sz w:val="24"/>
          <w:highlight w:val="none"/>
        </w:rPr>
        <w:t xml:space="preserve">名    称：合浦县教育局 </w:t>
      </w:r>
    </w:p>
    <w:p w14:paraId="0133420F">
      <w:pPr>
        <w:spacing w:line="360" w:lineRule="auto"/>
        <w:rPr>
          <w:rFonts w:ascii="宋体" w:hAnsi="宋体" w:cs="宋体"/>
          <w:sz w:val="24"/>
          <w:highlight w:val="none"/>
        </w:rPr>
      </w:pPr>
      <w:r>
        <w:rPr>
          <w:rFonts w:hint="eastAsia" w:ascii="宋体" w:hAnsi="宋体" w:cs="宋体"/>
          <w:sz w:val="24"/>
          <w:highlight w:val="none"/>
        </w:rPr>
        <w:t xml:space="preserve">    地    址：合浦县廉州镇小北街44号      </w:t>
      </w:r>
    </w:p>
    <w:p w14:paraId="09329FAF">
      <w:pPr>
        <w:spacing w:line="360" w:lineRule="auto"/>
        <w:ind w:firstLine="480"/>
        <w:rPr>
          <w:rFonts w:ascii="宋体" w:hAnsi="宋体" w:cs="宋体"/>
          <w:sz w:val="24"/>
          <w:highlight w:val="none"/>
        </w:rPr>
      </w:pPr>
      <w:r>
        <w:rPr>
          <w:rFonts w:hint="eastAsia" w:ascii="宋体" w:hAnsi="宋体" w:cs="宋体"/>
          <w:sz w:val="24"/>
          <w:highlight w:val="none"/>
        </w:rPr>
        <w:t xml:space="preserve">项目联系人： </w:t>
      </w:r>
      <w:r>
        <w:rPr>
          <w:rFonts w:hint="eastAsia" w:ascii="宋体" w:hAnsi="宋体" w:cs="宋体"/>
          <w:sz w:val="24"/>
          <w:highlight w:val="none"/>
          <w:lang w:eastAsia="zh-CN"/>
        </w:rPr>
        <w:t>马小军</w:t>
      </w:r>
      <w:r>
        <w:rPr>
          <w:rFonts w:hint="eastAsia" w:ascii="宋体" w:hAnsi="宋体" w:cs="宋体"/>
          <w:sz w:val="24"/>
          <w:highlight w:val="none"/>
        </w:rPr>
        <w:tab/>
      </w:r>
      <w:r>
        <w:rPr>
          <w:rFonts w:hint="eastAsia" w:ascii="宋体" w:hAnsi="宋体" w:cs="宋体"/>
          <w:sz w:val="24"/>
          <w:highlight w:val="none"/>
        </w:rPr>
        <w:tab/>
      </w:r>
    </w:p>
    <w:p w14:paraId="474EA8B1">
      <w:pPr>
        <w:spacing w:line="360" w:lineRule="auto"/>
        <w:rPr>
          <w:rFonts w:ascii="宋体" w:hAnsi="宋体" w:cs="宋体"/>
          <w:sz w:val="24"/>
          <w:highlight w:val="none"/>
        </w:rPr>
      </w:pPr>
      <w:r>
        <w:rPr>
          <w:rFonts w:hint="eastAsia" w:ascii="宋体" w:hAnsi="宋体" w:cs="宋体"/>
          <w:sz w:val="24"/>
          <w:highlight w:val="none"/>
        </w:rPr>
        <w:t xml:space="preserve">    项目联系方式： </w:t>
      </w:r>
      <w:r>
        <w:rPr>
          <w:rFonts w:ascii="宋体" w:hAnsi="宋体" w:cs="宋体"/>
          <w:sz w:val="24"/>
          <w:highlight w:val="none"/>
        </w:rPr>
        <w:t>0779-7293139</w:t>
      </w:r>
    </w:p>
    <w:p w14:paraId="455FC63F">
      <w:pPr>
        <w:spacing w:line="360" w:lineRule="auto"/>
        <w:rPr>
          <w:rFonts w:ascii="宋体" w:hAnsi="宋体" w:cs="宋体"/>
          <w:sz w:val="24"/>
          <w:highlight w:val="none"/>
        </w:rPr>
      </w:pPr>
      <w:r>
        <w:rPr>
          <w:rFonts w:hint="eastAsia" w:ascii="宋体" w:hAnsi="宋体" w:cs="宋体"/>
          <w:sz w:val="24"/>
          <w:highlight w:val="none"/>
        </w:rPr>
        <w:t xml:space="preserve">  </w:t>
      </w:r>
    </w:p>
    <w:p w14:paraId="50E0CD14">
      <w:pPr>
        <w:spacing w:line="360" w:lineRule="auto"/>
        <w:rPr>
          <w:rFonts w:ascii="宋体" w:hAnsi="宋体" w:cs="宋体"/>
          <w:sz w:val="24"/>
          <w:highlight w:val="none"/>
        </w:rPr>
      </w:pPr>
      <w:r>
        <w:rPr>
          <w:rFonts w:hint="eastAsia" w:ascii="宋体" w:hAnsi="宋体" w:cs="宋体"/>
          <w:sz w:val="24"/>
          <w:highlight w:val="none"/>
        </w:rPr>
        <w:t xml:space="preserve">    2.采购代理机构信息            </w:t>
      </w:r>
    </w:p>
    <w:p w14:paraId="3D1A8700">
      <w:pPr>
        <w:spacing w:line="360" w:lineRule="auto"/>
        <w:ind w:firstLine="480"/>
        <w:rPr>
          <w:rFonts w:ascii="宋体" w:hAnsi="宋体" w:cs="宋体"/>
          <w:sz w:val="24"/>
          <w:highlight w:val="none"/>
        </w:rPr>
      </w:pPr>
      <w:r>
        <w:rPr>
          <w:rFonts w:hint="eastAsia" w:ascii="宋体" w:hAnsi="宋体" w:cs="宋体"/>
          <w:sz w:val="24"/>
          <w:highlight w:val="none"/>
        </w:rPr>
        <w:t>名    称：北海市政府采购中心</w:t>
      </w:r>
    </w:p>
    <w:p w14:paraId="60F23CFE">
      <w:pPr>
        <w:spacing w:line="360" w:lineRule="auto"/>
        <w:ind w:firstLine="480"/>
        <w:rPr>
          <w:rFonts w:ascii="宋体" w:hAnsi="宋体" w:cs="宋体"/>
          <w:sz w:val="24"/>
          <w:highlight w:val="none"/>
        </w:rPr>
      </w:pPr>
      <w:r>
        <w:rPr>
          <w:rFonts w:hint="eastAsia" w:ascii="宋体" w:hAnsi="宋体" w:cs="宋体"/>
          <w:sz w:val="24"/>
          <w:highlight w:val="none"/>
        </w:rPr>
        <w:t>地    址：北海市海城区陈文村北路7号市直机关第三办公区2号楼一层</w:t>
      </w:r>
    </w:p>
    <w:p w14:paraId="3C194623">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项目联系人（询问）： </w:t>
      </w:r>
      <w:r>
        <w:rPr>
          <w:rFonts w:hint="eastAsia" w:ascii="宋体" w:hAnsi="宋体" w:cs="宋体"/>
          <w:sz w:val="24"/>
          <w:highlight w:val="none"/>
          <w:lang w:eastAsia="zh-CN"/>
        </w:rPr>
        <w:t>张文敏</w:t>
      </w:r>
    </w:p>
    <w:p w14:paraId="0B68AA01">
      <w:pPr>
        <w:spacing w:line="360" w:lineRule="auto"/>
        <w:rPr>
          <w:rFonts w:ascii="宋体" w:hAnsi="宋体" w:cs="宋体"/>
          <w:sz w:val="24"/>
          <w:highlight w:val="none"/>
        </w:rPr>
      </w:pPr>
      <w:r>
        <w:rPr>
          <w:rFonts w:hint="eastAsia" w:ascii="宋体" w:hAnsi="宋体" w:cs="宋体"/>
          <w:sz w:val="24"/>
          <w:highlight w:val="none"/>
        </w:rPr>
        <w:t xml:space="preserve">    项目联系方式（询问）：</w:t>
      </w:r>
      <w:r>
        <w:rPr>
          <w:rFonts w:ascii="宋体" w:hAnsi="宋体" w:cs="宋体"/>
          <w:sz w:val="24"/>
          <w:highlight w:val="none"/>
        </w:rPr>
        <w:t>0779-3056122</w:t>
      </w:r>
    </w:p>
    <w:p w14:paraId="7F431CCD">
      <w:pPr>
        <w:spacing w:line="360" w:lineRule="auto"/>
        <w:rPr>
          <w:rFonts w:ascii="宋体" w:hAnsi="宋体" w:cs="宋体"/>
          <w:sz w:val="24"/>
          <w:highlight w:val="none"/>
        </w:rPr>
      </w:pPr>
      <w:r>
        <w:rPr>
          <w:rFonts w:hint="eastAsia" w:ascii="宋体" w:hAnsi="宋体" w:cs="宋体"/>
          <w:sz w:val="24"/>
          <w:highlight w:val="none"/>
        </w:rPr>
        <w:t xml:space="preserve">  </w:t>
      </w:r>
    </w:p>
    <w:p w14:paraId="55CBE2D4">
      <w:pPr>
        <w:spacing w:line="360" w:lineRule="auto"/>
        <w:rPr>
          <w:rFonts w:ascii="宋体" w:hAnsi="宋体" w:cs="宋体"/>
          <w:sz w:val="24"/>
          <w:highlight w:val="none"/>
        </w:rPr>
      </w:pPr>
    </w:p>
    <w:p w14:paraId="72B69BA7">
      <w:pPr>
        <w:spacing w:line="360" w:lineRule="auto"/>
        <w:rPr>
          <w:rFonts w:ascii="宋体" w:hAnsi="宋体" w:cs="宋体"/>
          <w:sz w:val="24"/>
          <w:highlight w:val="none"/>
        </w:rPr>
      </w:pPr>
      <w:r>
        <w:rPr>
          <w:rFonts w:hint="eastAsia" w:ascii="宋体" w:hAnsi="宋体" w:cs="宋体"/>
          <w:sz w:val="24"/>
          <w:highlight w:val="none"/>
        </w:rPr>
        <w:t xml:space="preserve">   </w:t>
      </w:r>
    </w:p>
    <w:p w14:paraId="69A0AE69">
      <w:pPr>
        <w:spacing w:line="360" w:lineRule="auto"/>
        <w:ind w:firstLine="480"/>
        <w:rPr>
          <w:rFonts w:ascii="宋体" w:hAnsi="宋体" w:cs="宋体"/>
          <w:sz w:val="24"/>
          <w:highlight w:val="none"/>
        </w:rPr>
      </w:pPr>
      <w:r>
        <w:rPr>
          <w:rFonts w:hint="eastAsia" w:ascii="宋体" w:hAnsi="宋体" w:cs="宋体"/>
          <w:sz w:val="24"/>
          <w:highlight w:val="none"/>
        </w:rPr>
        <w:t xml:space="preserve">    </w:t>
      </w:r>
    </w:p>
    <w:p w14:paraId="5DBE351E">
      <w:pPr>
        <w:spacing w:line="360" w:lineRule="auto"/>
        <w:ind w:firstLine="480" w:firstLineChars="200"/>
        <w:rPr>
          <w:rFonts w:ascii="宋体" w:hAnsi="宋体" w:cs="宋体"/>
          <w:sz w:val="24"/>
          <w:highlight w:val="none"/>
        </w:rPr>
      </w:pPr>
      <w:r>
        <w:rPr>
          <w:rFonts w:hint="eastAsia" w:ascii="宋体" w:hAnsi="宋体" w:cs="宋体"/>
          <w:sz w:val="24"/>
          <w:highlight w:val="none"/>
        </w:rPr>
        <w:t>若对项目采购电子交易系统操作有疑问，可登录广西政府采购云平台（https://www.gcy.zfcg.gxzf.gov.cn/），点击右侧咨询小采，获取采小蜜智能服务管家帮助，或拨打广西政府采购云平台服务热线95763获取热线服务帮助。</w:t>
      </w:r>
    </w:p>
    <w:p w14:paraId="0F791EF1">
      <w:pPr>
        <w:spacing w:line="360" w:lineRule="auto"/>
        <w:ind w:firstLine="480" w:firstLineChars="200"/>
        <w:rPr>
          <w:rFonts w:ascii="宋体" w:hAnsi="宋体" w:cs="宋体"/>
          <w:sz w:val="24"/>
          <w:highlight w:val="none"/>
        </w:rPr>
      </w:pPr>
    </w:p>
    <w:p w14:paraId="05618D26">
      <w:pPr>
        <w:pStyle w:val="35"/>
        <w:spacing w:line="360" w:lineRule="auto"/>
        <w:rPr>
          <w:rFonts w:hAnsi="宋体" w:cs="宋体"/>
          <w:b/>
          <w:sz w:val="36"/>
          <w:szCs w:val="20"/>
          <w:highlight w:val="none"/>
        </w:rPr>
      </w:pPr>
      <w:r>
        <w:rPr>
          <w:rFonts w:hint="eastAsia" w:hAnsi="宋体" w:cs="宋体"/>
          <w:sz w:val="24"/>
          <w:highlight w:val="none"/>
        </w:rPr>
        <w:t xml:space="preserve">                        </w:t>
      </w:r>
      <w:r>
        <w:rPr>
          <w:rFonts w:hAnsi="宋体" w:cs="宋体"/>
          <w:b/>
          <w:sz w:val="36"/>
          <w:szCs w:val="20"/>
          <w:highlight w:val="none"/>
        </w:rPr>
        <w:t xml:space="preserve"> </w:t>
      </w:r>
    </w:p>
    <w:p w14:paraId="5FE02074">
      <w:pPr>
        <w:widowControl/>
        <w:adjustRightInd/>
        <w:jc w:val="left"/>
        <w:rPr>
          <w:rFonts w:ascii="宋体" w:hAnsi="宋体" w:cs="宋体"/>
          <w:b/>
          <w:snapToGrid w:val="0"/>
          <w:sz w:val="36"/>
          <w:szCs w:val="20"/>
          <w:highlight w:val="none"/>
        </w:rPr>
      </w:pPr>
      <w:r>
        <w:rPr>
          <w:rFonts w:hAnsi="宋体" w:cs="宋体"/>
          <w:b/>
          <w:sz w:val="36"/>
          <w:szCs w:val="20"/>
          <w:highlight w:val="none"/>
        </w:rPr>
        <w:br w:type="page"/>
      </w:r>
    </w:p>
    <w:p w14:paraId="5BF0D151">
      <w:pPr>
        <w:pStyle w:val="35"/>
        <w:spacing w:line="360" w:lineRule="auto"/>
        <w:rPr>
          <w:rFonts w:hAnsi="宋体" w:cs="宋体"/>
          <w:b/>
          <w:sz w:val="36"/>
          <w:szCs w:val="20"/>
          <w:highlight w:val="none"/>
        </w:rPr>
      </w:pPr>
    </w:p>
    <w:p w14:paraId="3262A674">
      <w:pPr>
        <w:adjustRightInd/>
        <w:spacing w:line="360" w:lineRule="auto"/>
        <w:jc w:val="center"/>
        <w:outlineLvl w:val="0"/>
        <w:rPr>
          <w:rFonts w:ascii="宋体" w:hAnsi="宋体" w:cs="宋体"/>
          <w:b/>
          <w:sz w:val="36"/>
          <w:szCs w:val="20"/>
          <w:highlight w:val="none"/>
        </w:rPr>
      </w:pPr>
      <w:bookmarkStart w:id="20" w:name="_Toc176185120"/>
      <w:bookmarkStart w:id="21" w:name="_Toc176343849"/>
      <w:r>
        <w:rPr>
          <w:rFonts w:hint="eastAsia" w:ascii="宋体" w:hAnsi="宋体" w:cs="宋体"/>
          <w:b/>
          <w:sz w:val="36"/>
          <w:szCs w:val="20"/>
          <w:highlight w:val="none"/>
        </w:rPr>
        <w:t>第二部分</w:t>
      </w:r>
      <w:bookmarkEnd w:id="15"/>
      <w:r>
        <w:rPr>
          <w:rFonts w:hint="eastAsia" w:ascii="宋体" w:hAnsi="宋体" w:cs="宋体"/>
          <w:b/>
          <w:sz w:val="36"/>
          <w:szCs w:val="20"/>
          <w:highlight w:val="none"/>
        </w:rPr>
        <w:t xml:space="preserve">  投标人须知</w:t>
      </w:r>
      <w:bookmarkEnd w:id="16"/>
      <w:bookmarkEnd w:id="20"/>
      <w:bookmarkEnd w:id="21"/>
    </w:p>
    <w:p w14:paraId="78750CD6">
      <w:pPr>
        <w:adjustRightInd/>
        <w:spacing w:line="360" w:lineRule="auto"/>
        <w:ind w:firstLine="3845" w:firstLineChars="1197"/>
        <w:outlineLvl w:val="1"/>
        <w:rPr>
          <w:rFonts w:ascii="宋体" w:hAnsi="宋体" w:cs="宋体"/>
          <w:b/>
          <w:sz w:val="32"/>
          <w:szCs w:val="20"/>
          <w:highlight w:val="none"/>
        </w:rPr>
      </w:pPr>
      <w:r>
        <w:rPr>
          <w:rFonts w:hint="eastAsia" w:ascii="宋体" w:hAnsi="宋体" w:cs="宋体"/>
          <w:b/>
          <w:sz w:val="32"/>
          <w:szCs w:val="20"/>
          <w:highlight w:val="none"/>
        </w:rPr>
        <w:t>前附表</w:t>
      </w: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412F5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tcPr>
          <w:p w14:paraId="03190F27">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6AAD6C6">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195DE81">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0F5D08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05F9ED7">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75020EE">
            <w:pPr>
              <w:snapToGrid w:val="0"/>
              <w:spacing w:line="360" w:lineRule="auto"/>
              <w:jc w:val="center"/>
              <w:rPr>
                <w:rFonts w:ascii="宋体" w:hAnsi="宋体" w:cs="宋体"/>
                <w:b/>
                <w:sz w:val="24"/>
                <w:highlight w:val="none"/>
              </w:rPr>
            </w:pPr>
            <w:r>
              <w:rPr>
                <w:rFonts w:hint="eastAsia" w:ascii="宋体" w:hAnsi="宋体" w:cs="宋体"/>
                <w:b/>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27C3DF2">
            <w:pPr>
              <w:spacing w:line="480" w:lineRule="exact"/>
              <w:rPr>
                <w:rFonts w:ascii="宋体" w:hAnsi="宋体" w:cs="宋体"/>
                <w:kern w:val="0"/>
                <w:sz w:val="24"/>
                <w:highlight w:val="none"/>
              </w:rPr>
            </w:pPr>
            <w:r>
              <w:rPr>
                <w:rFonts w:hint="eastAsia" w:ascii="宋体" w:hAnsi="宋体" w:cs="宋体"/>
                <w:kern w:val="0"/>
                <w:sz w:val="24"/>
                <w:highlight w:val="none"/>
              </w:rPr>
              <w:t>货物类，单一产品或核心产品为：标项</w:t>
            </w:r>
            <w:r>
              <w:rPr>
                <w:rFonts w:ascii="宋体" w:hAnsi="宋体" w:cs="宋体"/>
                <w:kern w:val="0"/>
                <w:sz w:val="24"/>
                <w:highlight w:val="none"/>
              </w:rPr>
              <w:t>1</w:t>
            </w:r>
            <w:r>
              <w:rPr>
                <w:rFonts w:hint="eastAsia" w:ascii="宋体" w:hAnsi="宋体" w:cs="宋体"/>
                <w:kern w:val="0"/>
                <w:sz w:val="24"/>
                <w:highlight w:val="none"/>
              </w:rPr>
              <w:t>：</w:t>
            </w:r>
            <w:r>
              <w:rPr>
                <w:rFonts w:hint="eastAsia" w:ascii="宋体" w:hAnsi="宋体" w:cs="宋体"/>
                <w:kern w:val="0"/>
                <w:sz w:val="24"/>
                <w:highlight w:val="none"/>
                <w:u w:val="single"/>
              </w:rPr>
              <w:t>技术参数要求表中序号1</w:t>
            </w:r>
            <w:r>
              <w:rPr>
                <w:rFonts w:hint="eastAsia" w:ascii="宋体" w:hAnsi="宋体" w:cs="宋体"/>
                <w:kern w:val="0"/>
                <w:sz w:val="24"/>
                <w:highlight w:val="none"/>
                <w:u w:val="single"/>
                <w:lang w:eastAsia="zh-CN"/>
              </w:rPr>
              <w:t>、“</w:t>
            </w:r>
            <w:r>
              <w:rPr>
                <w:rFonts w:hint="eastAsia" w:ascii="宋体" w:hAnsi="宋体" w:cs="宋体"/>
                <w:kern w:val="0"/>
                <w:sz w:val="24"/>
                <w:highlight w:val="none"/>
                <w:u w:val="single"/>
              </w:rPr>
              <w:t>类纸护眼交互智能平板</w:t>
            </w:r>
            <w:r>
              <w:rPr>
                <w:rFonts w:hint="eastAsia" w:ascii="宋体" w:hAnsi="宋体" w:cs="宋体"/>
                <w:kern w:val="0"/>
                <w:sz w:val="24"/>
                <w:highlight w:val="none"/>
                <w:u w:val="single"/>
                <w:lang w:eastAsia="zh-CN"/>
              </w:rPr>
              <w:t>”</w:t>
            </w:r>
            <w:r>
              <w:rPr>
                <w:rFonts w:hint="eastAsia" w:ascii="宋体" w:hAnsi="宋体" w:cs="宋体"/>
                <w:kern w:val="0"/>
                <w:sz w:val="24"/>
                <w:highlight w:val="none"/>
              </w:rPr>
              <w:t>，标项</w:t>
            </w:r>
            <w:r>
              <w:rPr>
                <w:rFonts w:ascii="宋体" w:hAnsi="宋体" w:cs="宋体"/>
                <w:kern w:val="0"/>
                <w:sz w:val="24"/>
                <w:highlight w:val="none"/>
              </w:rPr>
              <w:t>2</w:t>
            </w:r>
            <w:r>
              <w:rPr>
                <w:rFonts w:hint="eastAsia" w:ascii="宋体" w:hAnsi="宋体" w:cs="宋体"/>
                <w:kern w:val="0"/>
                <w:sz w:val="24"/>
                <w:highlight w:val="none"/>
              </w:rPr>
              <w:t>：</w:t>
            </w:r>
            <w:r>
              <w:rPr>
                <w:rFonts w:hint="eastAsia" w:ascii="宋体" w:hAnsi="宋体" w:cs="宋体"/>
                <w:kern w:val="0"/>
                <w:sz w:val="24"/>
                <w:highlight w:val="none"/>
                <w:u w:val="single"/>
              </w:rPr>
              <w:t>技术参数要求表中序号1</w:t>
            </w:r>
            <w:r>
              <w:rPr>
                <w:rFonts w:hint="eastAsia" w:ascii="宋体" w:hAnsi="宋体" w:cs="宋体"/>
                <w:kern w:val="0"/>
                <w:sz w:val="24"/>
                <w:highlight w:val="none"/>
                <w:u w:val="single"/>
                <w:lang w:eastAsia="zh-CN"/>
              </w:rPr>
              <w:t>、“</w:t>
            </w:r>
            <w:r>
              <w:rPr>
                <w:rFonts w:hint="eastAsia" w:ascii="宋体" w:hAnsi="宋体" w:cs="宋体"/>
                <w:kern w:val="0"/>
                <w:sz w:val="24"/>
                <w:highlight w:val="none"/>
                <w:u w:val="single"/>
              </w:rPr>
              <w:t>类纸护眼交互智能平板</w:t>
            </w:r>
            <w:r>
              <w:rPr>
                <w:rFonts w:hint="eastAsia" w:ascii="宋体" w:hAnsi="宋体" w:cs="宋体"/>
                <w:kern w:val="0"/>
                <w:sz w:val="24"/>
                <w:highlight w:val="none"/>
                <w:u w:val="single"/>
                <w:lang w:eastAsia="zh-CN"/>
              </w:rPr>
              <w:t>”</w:t>
            </w:r>
            <w:r>
              <w:rPr>
                <w:rFonts w:hint="eastAsia" w:ascii="宋体" w:hAnsi="宋体" w:cs="宋体"/>
                <w:kern w:val="0"/>
                <w:sz w:val="24"/>
                <w:highlight w:val="none"/>
              </w:rPr>
              <w:t>。</w:t>
            </w:r>
          </w:p>
        </w:tc>
      </w:tr>
      <w:tr w14:paraId="3FB823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D697F5E">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C1260C7">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F3EAD48">
            <w:pPr>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1</w:t>
            </w:r>
            <w:r>
              <w:rPr>
                <w:rFonts w:hint="eastAsia" w:ascii="宋体" w:hAnsi="宋体" w:cs="宋体"/>
                <w:kern w:val="0"/>
                <w:sz w:val="24"/>
                <w:highlight w:val="none"/>
              </w:rPr>
              <w:t>）标项</w:t>
            </w:r>
            <w:r>
              <w:rPr>
                <w:rFonts w:ascii="宋体" w:hAnsi="宋体" w:cs="宋体"/>
                <w:kern w:val="0"/>
                <w:sz w:val="24"/>
                <w:highlight w:val="none"/>
              </w:rPr>
              <w:t>1</w:t>
            </w:r>
            <w:r>
              <w:rPr>
                <w:rFonts w:hint="eastAsia" w:ascii="宋体" w:hAnsi="宋体" w:cs="宋体"/>
                <w:kern w:val="0"/>
                <w:sz w:val="24"/>
                <w:highlight w:val="none"/>
              </w:rPr>
              <w:t>标的：</w:t>
            </w:r>
            <w:r>
              <w:rPr>
                <w:rFonts w:ascii="宋体" w:hAnsi="宋体" w:cs="宋体"/>
                <w:kern w:val="0"/>
                <w:sz w:val="24"/>
                <w:highlight w:val="none"/>
                <w:u w:val="single"/>
              </w:rPr>
              <w:t xml:space="preserve"> </w:t>
            </w:r>
            <w:r>
              <w:rPr>
                <w:rFonts w:hint="eastAsia" w:ascii="宋体" w:hAnsi="宋体" w:cs="宋体"/>
                <w:kern w:val="0"/>
                <w:sz w:val="24"/>
                <w:highlight w:val="none"/>
                <w:u w:val="single"/>
              </w:rPr>
              <w:t>党江、沙岗、石湾、乌家、西场、星岛湖6镇小学教学一体机采购需求所列货物</w:t>
            </w:r>
            <w:r>
              <w:rPr>
                <w:rFonts w:hint="eastAsia" w:ascii="宋体" w:hAnsi="宋体" w:cs="宋体"/>
                <w:kern w:val="0"/>
                <w:sz w:val="24"/>
                <w:highlight w:val="none"/>
              </w:rPr>
              <w:t>，属于</w:t>
            </w:r>
            <w:r>
              <w:rPr>
                <w:rFonts w:ascii="宋体" w:hAnsi="宋体" w:cs="宋体"/>
                <w:kern w:val="0"/>
                <w:sz w:val="24"/>
                <w:highlight w:val="none"/>
              </w:rPr>
              <w:t xml:space="preserve"> </w:t>
            </w:r>
            <w:r>
              <w:rPr>
                <w:rFonts w:hint="eastAsia" w:ascii="宋体" w:hAnsi="宋体" w:cs="宋体"/>
                <w:kern w:val="0"/>
                <w:sz w:val="24"/>
                <w:highlight w:val="none"/>
                <w:u w:val="single"/>
              </w:rPr>
              <w:t>工业</w:t>
            </w:r>
            <w:r>
              <w:rPr>
                <w:rFonts w:ascii="宋体" w:hAnsi="宋体" w:cs="宋体"/>
                <w:kern w:val="0"/>
                <w:sz w:val="24"/>
                <w:highlight w:val="none"/>
              </w:rPr>
              <w:t xml:space="preserve"> </w:t>
            </w:r>
            <w:r>
              <w:rPr>
                <w:rFonts w:hint="eastAsia" w:ascii="宋体" w:hAnsi="宋体" w:cs="宋体"/>
                <w:kern w:val="0"/>
                <w:sz w:val="24"/>
                <w:highlight w:val="none"/>
              </w:rPr>
              <w:t>行业；</w:t>
            </w:r>
          </w:p>
          <w:p w14:paraId="3A2D1FB5">
            <w:pPr>
              <w:spacing w:line="480" w:lineRule="exact"/>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2</w:t>
            </w:r>
            <w:r>
              <w:rPr>
                <w:rFonts w:hint="eastAsia" w:ascii="宋体" w:hAnsi="宋体" w:cs="宋体"/>
                <w:kern w:val="0"/>
                <w:sz w:val="24"/>
                <w:highlight w:val="none"/>
              </w:rPr>
              <w:t>）标项</w:t>
            </w:r>
            <w:r>
              <w:rPr>
                <w:rFonts w:ascii="宋体" w:hAnsi="宋体" w:cs="宋体"/>
                <w:kern w:val="0"/>
                <w:sz w:val="24"/>
                <w:highlight w:val="none"/>
              </w:rPr>
              <w:t>2</w:t>
            </w:r>
            <w:r>
              <w:rPr>
                <w:rFonts w:hint="eastAsia" w:ascii="宋体" w:hAnsi="宋体" w:cs="宋体"/>
                <w:kern w:val="0"/>
                <w:sz w:val="24"/>
                <w:highlight w:val="none"/>
              </w:rPr>
              <w:t>标的：</w:t>
            </w:r>
            <w:r>
              <w:rPr>
                <w:rFonts w:hint="eastAsia" w:ascii="宋体" w:hAnsi="宋体" w:cs="宋体"/>
                <w:kern w:val="0"/>
                <w:sz w:val="24"/>
                <w:highlight w:val="none"/>
                <w:u w:val="single"/>
              </w:rPr>
              <w:t>石康、常乐2镇小学教学一体机采购需求所列货物</w:t>
            </w:r>
            <w:r>
              <w:rPr>
                <w:rFonts w:hint="eastAsia" w:ascii="宋体" w:hAnsi="宋体" w:cs="宋体"/>
                <w:kern w:val="0"/>
                <w:sz w:val="24"/>
                <w:highlight w:val="none"/>
              </w:rPr>
              <w:t>，属于</w:t>
            </w:r>
            <w:r>
              <w:rPr>
                <w:rFonts w:ascii="宋体" w:hAnsi="宋体" w:cs="宋体"/>
                <w:kern w:val="0"/>
                <w:sz w:val="24"/>
                <w:highlight w:val="none"/>
              </w:rPr>
              <w:t xml:space="preserve"> </w:t>
            </w:r>
            <w:r>
              <w:rPr>
                <w:rFonts w:hint="eastAsia" w:ascii="宋体" w:hAnsi="宋体" w:cs="宋体"/>
                <w:kern w:val="0"/>
                <w:sz w:val="24"/>
                <w:highlight w:val="none"/>
                <w:u w:val="single"/>
              </w:rPr>
              <w:t xml:space="preserve">工业 </w:t>
            </w:r>
            <w:r>
              <w:rPr>
                <w:rFonts w:hint="eastAsia" w:ascii="宋体" w:hAnsi="宋体" w:cs="宋体"/>
                <w:kern w:val="0"/>
                <w:sz w:val="24"/>
                <w:highlight w:val="none"/>
              </w:rPr>
              <w:t>行业；</w:t>
            </w:r>
          </w:p>
        </w:tc>
      </w:tr>
      <w:tr w14:paraId="655674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7CA7737">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56BD6E2">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454FEFA">
            <w:pPr>
              <w:spacing w:line="360" w:lineRule="auto"/>
              <w:rPr>
                <w:rFonts w:ascii="宋体" w:hAnsi="宋体" w:cs="宋体"/>
                <w:kern w:val="0"/>
                <w:sz w:val="24"/>
                <w:highlight w:val="none"/>
              </w:rPr>
            </w:pPr>
            <w:sdt>
              <w:sdtPr>
                <w:rPr>
                  <w:rFonts w:hint="eastAsia" w:ascii="宋体" w:hAnsi="宋体" w:cs="宋体"/>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本项目不允许采购进口产品。</w:t>
            </w:r>
          </w:p>
          <w:p w14:paraId="55C924ED">
            <w:pPr>
              <w:spacing w:line="360" w:lineRule="auto"/>
              <w:rPr>
                <w:rFonts w:ascii="宋体" w:hAnsi="宋体" w:cs="宋体"/>
                <w:highlight w:val="none"/>
              </w:rPr>
            </w:pPr>
            <w:sdt>
              <w:sdtPr>
                <w:rPr>
                  <w:rFonts w:hint="eastAsia" w:ascii="宋体" w:hAnsi="宋体" w:cs="宋体"/>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p>
        </w:tc>
      </w:tr>
      <w:tr w14:paraId="03D21B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B977F09">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20EBE2F">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AAAE0F3">
            <w:pPr>
              <w:spacing w:line="360" w:lineRule="auto"/>
              <w:rPr>
                <w:rFonts w:ascii="宋体" w:hAnsi="宋体" w:cs="宋体"/>
                <w:sz w:val="24"/>
                <w:highlight w:val="none"/>
              </w:rPr>
            </w:pPr>
            <w:sdt>
              <w:sdtPr>
                <w:rPr>
                  <w:rFonts w:hint="eastAsia" w:ascii="宋体" w:hAnsi="宋体" w:cs="宋体"/>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rPr>
              <w:t xml:space="preserve"> A</w:t>
            </w:r>
            <w:r>
              <w:rPr>
                <w:rFonts w:hint="eastAsia" w:ascii="宋体" w:hAnsi="宋体" w:cs="宋体"/>
                <w:sz w:val="24"/>
                <w:highlight w:val="none"/>
              </w:rPr>
              <w:t>同意将非主体、非关键性的</w:t>
            </w:r>
            <w:r>
              <w:rPr>
                <w:rFonts w:hint="eastAsia" w:ascii="宋体" w:hAnsi="宋体" w:cs="宋体"/>
                <w:sz w:val="24"/>
                <w:highlight w:val="none"/>
                <w:u w:val="single"/>
              </w:rPr>
              <w:t xml:space="preserve">             </w:t>
            </w:r>
            <w:r>
              <w:rPr>
                <w:rFonts w:hint="eastAsia" w:ascii="宋体" w:hAnsi="宋体" w:cs="宋体"/>
                <w:sz w:val="24"/>
                <w:highlight w:val="none"/>
              </w:rPr>
              <w:t>工作分包。</w:t>
            </w:r>
            <w:sdt>
              <w:sdtPr>
                <w:rPr>
                  <w:rFonts w:hint="eastAsia" w:ascii="宋体" w:hAnsi="宋体" w:cs="宋体"/>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 xml:space="preserve"> B</w:t>
            </w:r>
            <w:r>
              <w:rPr>
                <w:rFonts w:hint="eastAsia" w:ascii="宋体" w:hAnsi="宋体" w:cs="宋体"/>
                <w:sz w:val="24"/>
                <w:highlight w:val="none"/>
              </w:rPr>
              <w:t>不同意分包。</w:t>
            </w:r>
          </w:p>
          <w:p w14:paraId="3C20E179">
            <w:pPr>
              <w:spacing w:line="360" w:lineRule="auto"/>
              <w:rPr>
                <w:rFonts w:ascii="宋体" w:hAnsi="宋体" w:cs="宋体"/>
                <w:sz w:val="24"/>
                <w:highlight w:val="none"/>
              </w:rPr>
            </w:pPr>
            <w:r>
              <w:rPr>
                <w:rFonts w:hint="eastAsia" w:ascii="宋体" w:hAnsi="宋体" w:cs="宋体"/>
                <w:sz w:val="24"/>
                <w:highlight w:val="none"/>
              </w:rPr>
              <w:t>注：不得限制大中型企业向小微企业合理分包。</w:t>
            </w:r>
          </w:p>
        </w:tc>
      </w:tr>
      <w:tr w14:paraId="7BD446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72D3CB6">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B2052CE">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9B88EC0">
            <w:pPr>
              <w:spacing w:line="360" w:lineRule="auto"/>
              <w:rPr>
                <w:rFonts w:ascii="宋体" w:hAnsi="宋体" w:cs="宋体"/>
                <w:sz w:val="24"/>
                <w:highlight w:val="none"/>
              </w:rPr>
            </w:pPr>
            <w:sdt>
              <w:sdtPr>
                <w:rPr>
                  <w:rFonts w:hint="eastAsia" w:ascii="宋体" w:hAnsi="宋体" w:cs="宋体"/>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A</w:t>
            </w:r>
            <w:r>
              <w:rPr>
                <w:rFonts w:hint="eastAsia" w:ascii="宋体" w:hAnsi="宋体" w:cs="宋体"/>
                <w:sz w:val="24"/>
                <w:highlight w:val="none"/>
              </w:rPr>
              <w:t>不组织。</w:t>
            </w:r>
          </w:p>
          <w:p w14:paraId="4E8EF269">
            <w:pPr>
              <w:spacing w:line="360" w:lineRule="auto"/>
              <w:rPr>
                <w:rFonts w:ascii="宋体" w:hAnsi="宋体" w:cs="宋体"/>
                <w:sz w:val="24"/>
                <w:szCs w:val="20"/>
                <w:highlight w:val="none"/>
              </w:rPr>
            </w:pPr>
            <w:sdt>
              <w:sdtPr>
                <w:rPr>
                  <w:rFonts w:hint="eastAsia" w:ascii="宋体" w:hAnsi="宋体" w:cs="宋体"/>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tc>
      </w:tr>
      <w:tr w14:paraId="5FF987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01197D4">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98C6841">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E9A77C6">
            <w:pPr>
              <w:spacing w:line="360" w:lineRule="auto"/>
              <w:rPr>
                <w:rFonts w:ascii="宋体" w:hAnsi="宋体" w:cs="宋体"/>
                <w:sz w:val="24"/>
                <w:highlight w:val="none"/>
              </w:rPr>
            </w:pPr>
            <w:sdt>
              <w:sdtPr>
                <w:rPr>
                  <w:rFonts w:hint="eastAsia" w:ascii="宋体" w:hAnsi="宋体" w:cs="宋体"/>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A</w:t>
            </w:r>
            <w:r>
              <w:rPr>
                <w:rFonts w:hint="eastAsia" w:ascii="宋体" w:hAnsi="宋体" w:cs="宋体"/>
                <w:sz w:val="24"/>
                <w:highlight w:val="none"/>
              </w:rPr>
              <w:t>不要求提供。</w:t>
            </w:r>
          </w:p>
          <w:p w14:paraId="04A466AE">
            <w:pPr>
              <w:spacing w:line="360" w:lineRule="auto"/>
              <w:rPr>
                <w:rFonts w:ascii="宋体" w:hAnsi="宋体" w:cs="宋体"/>
                <w:kern w:val="0"/>
                <w:sz w:val="24"/>
                <w:highlight w:val="none"/>
              </w:rPr>
            </w:pPr>
            <w:sdt>
              <w:sdtPr>
                <w:rPr>
                  <w:rFonts w:hint="eastAsia" w:ascii="宋体" w:hAnsi="宋体" w:cs="宋体"/>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rPr>
              <w:t>B要求提供，</w:t>
            </w:r>
          </w:p>
          <w:p w14:paraId="721FE081">
            <w:pPr>
              <w:spacing w:line="360" w:lineRule="auto"/>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01B18DB8">
            <w:pPr>
              <w:spacing w:line="360" w:lineRule="auto"/>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0D3094A2">
            <w:pPr>
              <w:spacing w:line="360" w:lineRule="auto"/>
              <w:rPr>
                <w:rFonts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z w:val="24"/>
                <w:highlight w:val="none"/>
                <w:u w:val="single"/>
              </w:rPr>
              <w:t>评标办法</w:t>
            </w:r>
            <w:r>
              <w:rPr>
                <w:rFonts w:hint="eastAsia" w:ascii="宋体" w:hAnsi="宋体" w:cs="宋体"/>
                <w:kern w:val="0"/>
                <w:sz w:val="24"/>
                <w:highlight w:val="none"/>
              </w:rPr>
              <w:t>；</w:t>
            </w:r>
          </w:p>
          <w:p w14:paraId="53C26E05">
            <w:pPr>
              <w:spacing w:line="360" w:lineRule="auto"/>
              <w:rPr>
                <w:rFonts w:ascii="宋体" w:hAnsi="宋体" w:cs="宋体"/>
                <w:kern w:val="0"/>
                <w:sz w:val="24"/>
                <w:highlight w:val="none"/>
              </w:rPr>
            </w:pPr>
            <w:r>
              <w:rPr>
                <w:rFonts w:hint="eastAsia" w:ascii="宋体" w:hAnsi="宋体" w:cs="宋体"/>
                <w:kern w:val="0"/>
                <w:sz w:val="24"/>
                <w:highlight w:val="none"/>
              </w:rPr>
              <w:t>（4）是否需要随样品提交检测报告：</w:t>
            </w:r>
            <w:sdt>
              <w:sdtPr>
                <w:rPr>
                  <w:rFonts w:hint="eastAsia" w:ascii="宋体" w:hAnsi="宋体" w:cs="宋体"/>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rPr>
              <w:t>否；</w:t>
            </w:r>
            <w:sdt>
              <w:sdtPr>
                <w:rPr>
                  <w:rFonts w:hint="eastAsia" w:ascii="宋体" w:hAnsi="宋体" w:cs="宋体"/>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是，检测机构的要求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5DBF844A">
            <w:pPr>
              <w:spacing w:line="360" w:lineRule="auto"/>
              <w:rPr>
                <w:rFonts w:ascii="宋体" w:hAnsi="宋体" w:cs="宋体"/>
                <w:sz w:val="24"/>
                <w:highlight w:val="none"/>
              </w:rPr>
            </w:pPr>
            <w:r>
              <w:rPr>
                <w:rFonts w:hint="eastAsia" w:ascii="宋体" w:hAnsi="宋体" w:cs="宋体"/>
                <w:sz w:val="24"/>
                <w:highlight w:val="none"/>
              </w:rPr>
              <w:t>（5）提供样品的时间：</w:t>
            </w:r>
            <w:r>
              <w:rPr>
                <w:rFonts w:hint="eastAsia" w:ascii="宋体" w:hAnsi="宋体" w:cs="宋体"/>
                <w:sz w:val="24"/>
                <w:highlight w:val="none"/>
                <w:u w:val="single"/>
              </w:rPr>
              <w:t xml:space="preserve">    </w:t>
            </w:r>
            <w:r>
              <w:rPr>
                <w:rFonts w:hint="eastAsia" w:ascii="宋体" w:hAnsi="宋体" w:cs="宋体"/>
                <w:kern w:val="0"/>
                <w:sz w:val="24"/>
                <w:highlight w:val="none"/>
              </w:rPr>
              <w:t>；地点：</w:t>
            </w:r>
            <w:r>
              <w:rPr>
                <w:rFonts w:hint="eastAsia" w:ascii="宋体" w:hAnsi="宋体" w:cs="宋体"/>
                <w:sz w:val="24"/>
                <w:highlight w:val="none"/>
                <w:u w:val="single"/>
              </w:rPr>
              <w:t xml:space="preserve">    </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rPr>
              <w:t>。请投标人在上述时间内提供样品并按规定位置安装完毕。超过截止时间的，采购人或采购代理机构将不予接收，并将清场并封闭样品现场。</w:t>
            </w:r>
          </w:p>
          <w:p w14:paraId="12C1B3B2">
            <w:pPr>
              <w:spacing w:line="360" w:lineRule="auto"/>
              <w:rPr>
                <w:rFonts w:ascii="宋体" w:hAnsi="宋体" w:cs="宋体"/>
                <w:sz w:val="24"/>
                <w:highlight w:val="none"/>
              </w:rPr>
            </w:pPr>
            <w:r>
              <w:rPr>
                <w:rFonts w:hint="eastAsia" w:ascii="宋体" w:hAnsi="宋体" w:cs="宋体"/>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F18AD78">
            <w:pPr>
              <w:spacing w:line="360" w:lineRule="auto"/>
              <w:rPr>
                <w:rFonts w:ascii="宋体" w:hAnsi="宋体" w:cs="宋体"/>
                <w:b/>
                <w:sz w:val="24"/>
                <w:highlight w:val="none"/>
              </w:rPr>
            </w:pPr>
            <w:r>
              <w:rPr>
                <w:rFonts w:hint="eastAsia" w:ascii="宋体" w:hAnsi="宋体" w:cs="宋体"/>
                <w:sz w:val="24"/>
                <w:highlight w:val="none"/>
              </w:rPr>
              <w:t>（7）制作、运输、安装和保管样品所发生的一切费用由投标人自理。</w:t>
            </w:r>
          </w:p>
        </w:tc>
      </w:tr>
      <w:tr w14:paraId="3763ED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9ED1FF3">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DA5ED1F">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3BB6BAC">
            <w:pPr>
              <w:spacing w:line="360" w:lineRule="auto"/>
              <w:rPr>
                <w:rFonts w:ascii="宋体" w:hAnsi="宋体" w:cs="宋体"/>
                <w:sz w:val="24"/>
                <w:highlight w:val="none"/>
              </w:rPr>
            </w:pPr>
            <w:sdt>
              <w:sdtPr>
                <w:rPr>
                  <w:rFonts w:hint="eastAsia" w:ascii="宋体" w:hAnsi="宋体" w:cs="宋体"/>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A</w:t>
            </w:r>
            <w:r>
              <w:rPr>
                <w:rFonts w:hint="eastAsia" w:ascii="宋体" w:hAnsi="宋体" w:cs="宋体"/>
                <w:sz w:val="24"/>
                <w:highlight w:val="none"/>
              </w:rPr>
              <w:t>不组织。</w:t>
            </w:r>
          </w:p>
          <w:p w14:paraId="4BE96573">
            <w:pPr>
              <w:spacing w:line="360" w:lineRule="auto"/>
              <w:rPr>
                <w:rFonts w:ascii="宋体" w:hAnsi="宋体" w:cs="宋体"/>
                <w:kern w:val="0"/>
                <w:sz w:val="24"/>
                <w:highlight w:val="none"/>
              </w:rPr>
            </w:pPr>
            <w:sdt>
              <w:sdtPr>
                <w:rPr>
                  <w:rFonts w:hint="eastAsia" w:ascii="宋体" w:hAnsi="宋体" w:cs="宋体"/>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p>
          <w:p w14:paraId="756C3319">
            <w:pPr>
              <w:snapToGrid w:val="0"/>
              <w:spacing w:line="360" w:lineRule="auto"/>
              <w:rPr>
                <w:rFonts w:ascii="宋体" w:hAnsi="宋体" w:cs="宋体"/>
                <w:kern w:val="0"/>
                <w:sz w:val="24"/>
                <w:highlight w:val="none"/>
              </w:rPr>
            </w:pPr>
            <w:r>
              <w:rPr>
                <w:rFonts w:hint="eastAsia" w:ascii="宋体" w:hAnsi="宋体" w:cs="宋体"/>
                <w:kern w:val="0"/>
                <w:sz w:val="24"/>
                <w:highlight w:val="none"/>
              </w:rPr>
              <w:t>（1）在评标时安排每个投标人进行方案讲解演示。每个投标人时间不超过</w:t>
            </w:r>
            <w:r>
              <w:rPr>
                <w:rFonts w:hint="eastAsia" w:ascii="宋体" w:hAnsi="宋体" w:cs="宋体"/>
                <w:kern w:val="0"/>
                <w:sz w:val="24"/>
                <w:highlight w:val="none"/>
                <w:u w:val="single"/>
              </w:rPr>
              <w:t>20（编制时可根据项目情况进行调整）</w:t>
            </w:r>
            <w:r>
              <w:rPr>
                <w:rFonts w:hint="eastAsia" w:ascii="宋体" w:hAnsi="宋体" w:cs="宋体"/>
                <w:kern w:val="0"/>
                <w:sz w:val="24"/>
                <w:highlight w:val="none"/>
              </w:rPr>
              <w:t>分钟，讲解次序以投标文件解密时间先后次序为准，讲解演示人员不超过</w:t>
            </w:r>
            <w:r>
              <w:rPr>
                <w:rFonts w:hint="eastAsia" w:ascii="宋体" w:hAnsi="宋体" w:cs="宋体"/>
                <w:kern w:val="0"/>
                <w:sz w:val="24"/>
                <w:highlight w:val="none"/>
                <w:u w:val="single"/>
              </w:rPr>
              <w:t>3（编制时可根据项目情况进行调整）</w:t>
            </w:r>
            <w:r>
              <w:rPr>
                <w:rFonts w:hint="eastAsia" w:ascii="宋体" w:hAnsi="宋体" w:cs="宋体"/>
                <w:kern w:val="0"/>
                <w:sz w:val="24"/>
                <w:highlight w:val="none"/>
              </w:rPr>
              <w:t>人。讲解演示结束后按要求解答评标委员会提问。</w:t>
            </w:r>
          </w:p>
          <w:p w14:paraId="2DB93E6C">
            <w:pPr>
              <w:snapToGrid w:val="0"/>
              <w:spacing w:line="360" w:lineRule="auto"/>
              <w:rPr>
                <w:rFonts w:ascii="宋体" w:hAnsi="宋体" w:cs="宋体"/>
                <w:kern w:val="0"/>
                <w:sz w:val="24"/>
                <w:highlight w:val="none"/>
              </w:rPr>
            </w:pPr>
            <w:r>
              <w:rPr>
                <w:rFonts w:hint="eastAsia" w:ascii="宋体" w:hAnsi="宋体" w:cs="宋体"/>
                <w:kern w:val="0"/>
                <w:sz w:val="24"/>
                <w:highlight w:val="none"/>
              </w:rPr>
              <w:t>（2）方案讲解演示可选择以下其中一种方式：</w:t>
            </w:r>
          </w:p>
          <w:p w14:paraId="26B9CDBF">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方式一：广西政府采购云平台在线讲解演示。广西政府采购云平台在线讲解需投标人根据广西政府采购云平台操作要求做好准备工作，提前完善软硬件配置环境。</w:t>
            </w:r>
          </w:p>
          <w:p w14:paraId="61E383A3">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方式二：评审现场讲解演示。现场讲解地点为</w:t>
            </w:r>
            <w:r>
              <w:rPr>
                <w:rFonts w:hint="eastAsia" w:ascii="宋体" w:hAnsi="宋体" w:cs="宋体"/>
                <w:sz w:val="24"/>
                <w:highlight w:val="none"/>
                <w:u w:val="single"/>
              </w:rPr>
              <w:t xml:space="preserve">       </w:t>
            </w:r>
            <w:r>
              <w:rPr>
                <w:rFonts w:hint="eastAsia" w:ascii="宋体" w:hAnsi="宋体" w:cs="宋体"/>
                <w:kern w:val="0"/>
                <w:sz w:val="24"/>
                <w:highlight w:val="none"/>
              </w:rPr>
              <w:t>，讲解演示所用电脑等设备由投标人自备。现场讲解演示人员进场时提供讲解人员名单（加盖公章或授权代表签名）及身份证明，否则不得讲解演示。</w:t>
            </w:r>
          </w:p>
          <w:p w14:paraId="76F32631">
            <w:pPr>
              <w:snapToGrid w:val="0"/>
              <w:spacing w:line="360" w:lineRule="auto"/>
              <w:rPr>
                <w:rFonts w:ascii="宋体" w:hAnsi="宋体" w:cs="宋体"/>
                <w:b/>
                <w:kern w:val="0"/>
                <w:sz w:val="24"/>
                <w:highlight w:val="none"/>
                <w:lang w:val="zh-CN"/>
              </w:rPr>
            </w:pPr>
            <w:r>
              <w:rPr>
                <w:rFonts w:hint="eastAsia" w:ascii="宋体" w:hAnsi="宋体" w:cs="宋体"/>
                <w:kern w:val="0"/>
                <w:sz w:val="24"/>
                <w:highlight w:val="none"/>
              </w:rPr>
              <w:t>注：因投标人自身原因导致无法演示或者演示效果不理想的，责任自负。因平台原因导致本项目方案讲解演示环节无法顺利开展，按照相关规定执行。</w:t>
            </w:r>
          </w:p>
        </w:tc>
      </w:tr>
      <w:tr w14:paraId="5C7CFA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jc w:val="center"/>
        </w:trPr>
        <w:tc>
          <w:tcPr>
            <w:tcW w:w="629" w:type="dxa"/>
            <w:vMerge w:val="restart"/>
            <w:tcBorders>
              <w:top w:val="single" w:color="auto" w:sz="4" w:space="0"/>
              <w:left w:val="single" w:color="auto" w:sz="4" w:space="0"/>
              <w:right w:val="single" w:color="auto" w:sz="4" w:space="0"/>
            </w:tcBorders>
            <w:vAlign w:val="center"/>
          </w:tcPr>
          <w:p w14:paraId="4077682B">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1DF4F5A">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0F04326">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14:paraId="2B8391FC">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56CFEC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5" w:hRule="atLeast"/>
          <w:jc w:val="center"/>
        </w:trPr>
        <w:tc>
          <w:tcPr>
            <w:tcW w:w="629" w:type="dxa"/>
            <w:vMerge w:val="continue"/>
            <w:tcBorders>
              <w:left w:val="single" w:color="auto" w:sz="4" w:space="0"/>
              <w:bottom w:val="single" w:color="auto" w:sz="4" w:space="0"/>
              <w:right w:val="single" w:color="auto" w:sz="4" w:space="0"/>
            </w:tcBorders>
            <w:vAlign w:val="center"/>
          </w:tcPr>
          <w:p w14:paraId="17A7FBF9">
            <w:pPr>
              <w:snapToGrid w:val="0"/>
              <w:spacing w:line="360" w:lineRule="auto"/>
              <w:jc w:val="center"/>
              <w:rPr>
                <w:rFonts w:ascii="宋体" w:hAnsi="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7D71590">
            <w:pPr>
              <w:snapToGrid w:val="0"/>
              <w:spacing w:line="360" w:lineRule="auto"/>
              <w:jc w:val="center"/>
              <w:rPr>
                <w:rFonts w:ascii="宋体" w:hAnsi="宋体" w:cs="宋体"/>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6E96327">
            <w:pPr>
              <w:spacing w:line="360" w:lineRule="auto"/>
              <w:rPr>
                <w:rFonts w:ascii="宋体" w:hAnsi="宋体" w:cs="宋体"/>
                <w:sz w:val="24"/>
                <w:highlight w:val="none"/>
              </w:rPr>
            </w:pPr>
            <w:r>
              <w:rPr>
                <w:rFonts w:hint="eastAsia" w:ascii="宋体" w:hAnsi="宋体" w:cs="宋体"/>
                <w:sz w:val="24"/>
                <w:highlight w:val="none"/>
              </w:rPr>
              <w:t>（2）资信证明文件：根据招标文件第三部分采购需求及第四部分评标标准的要求提供。</w:t>
            </w:r>
          </w:p>
        </w:tc>
      </w:tr>
      <w:tr w14:paraId="3DF32C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BDB5BE6">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01D817E">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5258E1F">
            <w:pPr>
              <w:snapToGrid w:val="0"/>
              <w:spacing w:line="360" w:lineRule="auto"/>
              <w:rPr>
                <w:rFonts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15272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18497CC">
            <w:pPr>
              <w:snapToGrid w:val="0"/>
              <w:spacing w:line="360" w:lineRule="auto"/>
              <w:jc w:val="center"/>
              <w:rPr>
                <w:highlight w:val="none"/>
              </w:rPr>
            </w:pPr>
            <w:r>
              <w:rPr>
                <w:rFonts w:hint="eastAsia" w:ascii="宋体" w:hAnsi="宋体" w:cs="宋体"/>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736631C">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7D858B0">
            <w:pPr>
              <w:snapToGrid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Cs/>
                <w:kern w:val="0"/>
                <w:sz w:val="24"/>
                <w:highlight w:val="none"/>
                <w:lang w:val="zh-CN"/>
              </w:rPr>
              <w:t>投标文件</w:t>
            </w:r>
            <w:r>
              <w:rPr>
                <w:rFonts w:hint="eastAsia" w:ascii="宋体" w:hAnsi="宋体" w:cs="宋体"/>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投标文件中价格全部采用人民币报价。招标文件未列明，而投标人认为必需的费用也需列入报价。提醒：验收时检测费用由采购人承担，不包含在投标总价中。</w:t>
            </w:r>
          </w:p>
          <w:p w14:paraId="5587F5AF">
            <w:pPr>
              <w:snapToGrid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投标报价出现下列情形的，投标无效：</w:t>
            </w:r>
          </w:p>
          <w:p w14:paraId="23531FD2">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投标文件出现不是唯一的、有选择性投标报价的；</w:t>
            </w:r>
          </w:p>
          <w:p w14:paraId="15E8439E">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投标报价超过招标文件中规定的预算金额或者最高限价的;</w:t>
            </w:r>
          </w:p>
          <w:p w14:paraId="6EB5312C">
            <w:pPr>
              <w:spacing w:line="360" w:lineRule="auto"/>
              <w:ind w:firstLine="480" w:firstLineChars="200"/>
              <w:rPr>
                <w:rFonts w:ascii="宋体" w:hAnsi="宋体" w:cs="宋体"/>
                <w:sz w:val="24"/>
                <w:highlight w:val="none"/>
              </w:rPr>
            </w:pPr>
            <w:r>
              <w:rPr>
                <w:rFonts w:hint="eastAsia" w:ascii="宋体" w:hAnsi="宋体" w:cs="宋体"/>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sz w:val="24"/>
                <w:szCs w:val="21"/>
                <w:highlight w:val="none"/>
              </w:rPr>
              <w:t>;</w:t>
            </w:r>
          </w:p>
          <w:p w14:paraId="4C32848F">
            <w:pPr>
              <w:spacing w:line="360" w:lineRule="auto"/>
              <w:ind w:firstLine="480" w:firstLineChars="200"/>
              <w:rPr>
                <w:rFonts w:ascii="宋体" w:hAnsi="宋体" w:cs="宋体"/>
                <w:sz w:val="24"/>
                <w:highlight w:val="none"/>
              </w:rPr>
            </w:pPr>
            <w:r>
              <w:rPr>
                <w:rFonts w:hint="eastAsia" w:ascii="宋体" w:hAnsi="宋体" w:cs="宋体"/>
                <w:kern w:val="0"/>
                <w:sz w:val="24"/>
                <w:highlight w:val="none"/>
              </w:rPr>
              <w:t>投标人对根据修正原则修正后的报价不确认的</w:t>
            </w:r>
            <w:r>
              <w:rPr>
                <w:rFonts w:hint="eastAsia" w:ascii="宋体" w:hAnsi="宋体" w:cs="宋体"/>
                <w:sz w:val="24"/>
                <w:highlight w:val="none"/>
              </w:rPr>
              <w:t>。</w:t>
            </w:r>
          </w:p>
        </w:tc>
      </w:tr>
      <w:tr w14:paraId="7B91DE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jc w:val="center"/>
        </w:trPr>
        <w:tc>
          <w:tcPr>
            <w:tcW w:w="629" w:type="dxa"/>
            <w:tcBorders>
              <w:top w:val="single" w:color="auto" w:sz="4" w:space="0"/>
              <w:left w:val="single" w:color="000000" w:sz="8" w:space="0"/>
              <w:right w:val="single" w:color="000000" w:sz="2" w:space="0"/>
            </w:tcBorders>
            <w:vAlign w:val="center"/>
          </w:tcPr>
          <w:p w14:paraId="4361130D">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1843" w:type="dxa"/>
            <w:tcBorders>
              <w:top w:val="single" w:color="000000" w:sz="8" w:space="0"/>
              <w:left w:val="single" w:color="000000" w:sz="2" w:space="0"/>
              <w:right w:val="single" w:color="000000" w:sz="8" w:space="0"/>
            </w:tcBorders>
            <w:vAlign w:val="center"/>
          </w:tcPr>
          <w:p w14:paraId="45BDE1CB">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404BFAF1">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64AB6B6D">
            <w:pPr>
              <w:spacing w:line="360" w:lineRule="auto"/>
              <w:ind w:firstLine="480" w:firstLineChars="200"/>
              <w:rPr>
                <w:rFonts w:ascii="宋体" w:hAnsi="宋体" w:cs="宋体"/>
                <w:sz w:val="24"/>
                <w:highlight w:val="none"/>
              </w:rPr>
            </w:pPr>
            <w:r>
              <w:rPr>
                <w:rFonts w:hint="eastAsia" w:ascii="宋体" w:hAnsi="宋体" w:cs="宋体"/>
                <w:snapToGrid w:val="0"/>
                <w:kern w:val="28"/>
                <w:sz w:val="24"/>
                <w:highlight w:val="none"/>
              </w:rPr>
              <w:t>供应商中标后也可在“广西政府采购云”平台申请政采贷：操作路径：登录广西政府采购云平台-金融服务中心-【融资服务】，可在热门申请中选择产品直接申请。</w:t>
            </w:r>
          </w:p>
        </w:tc>
      </w:tr>
      <w:tr w14:paraId="5FF31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17EA9CE">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5B9342CE">
            <w:pPr>
              <w:snapToGrid w:val="0"/>
              <w:spacing w:line="360" w:lineRule="auto"/>
              <w:jc w:val="center"/>
              <w:rPr>
                <w:rFonts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14:paraId="66DC81FC">
            <w:pPr>
              <w:spacing w:line="360" w:lineRule="auto"/>
              <w:rPr>
                <w:rFonts w:ascii="宋体" w:hAnsi="宋体" w:cs="宋体"/>
                <w:sz w:val="24"/>
                <w:highlight w:val="none"/>
              </w:rPr>
            </w:pPr>
            <w:sdt>
              <w:sdtPr>
                <w:rPr>
                  <w:rFonts w:hint="eastAsia" w:ascii="宋体" w:hAnsi="宋体" w:cs="宋体"/>
                  <w:kern w:val="0"/>
                  <w:sz w:val="24"/>
                  <w:highlight w:val="none"/>
                </w:rPr>
                <w:id w:val="129772492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A</w:t>
            </w:r>
            <w:r>
              <w:rPr>
                <w:rFonts w:hint="eastAsia" w:ascii="宋体" w:hAnsi="宋体" w:cs="宋体"/>
                <w:sz w:val="24"/>
                <w:highlight w:val="none"/>
              </w:rPr>
              <w:t>不接受。</w:t>
            </w:r>
          </w:p>
          <w:p w14:paraId="20A6BC1C">
            <w:pPr>
              <w:spacing w:line="360" w:lineRule="auto"/>
              <w:rPr>
                <w:rFonts w:hAnsi="宋体" w:cs="宋体"/>
                <w:kern w:val="28"/>
                <w:sz w:val="24"/>
                <w:highlight w:val="none"/>
              </w:rPr>
            </w:pPr>
            <w:sdt>
              <w:sdtPr>
                <w:rPr>
                  <w:rFonts w:hint="eastAsia" w:ascii="宋体" w:hAnsi="宋体" w:cs="宋体"/>
                  <w:kern w:val="0"/>
                  <w:sz w:val="24"/>
                  <w:highlight w:val="none"/>
                </w:rPr>
                <w:id w:val="120660486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Mincho" w:hAnsi="MS Mincho" w:eastAsia="MS Mincho" w:cs="MS Mincho"/>
                    <w:kern w:val="0"/>
                    <w:sz w:val="24"/>
                    <w:highlight w:val="none"/>
                  </w:rPr>
                  <w:t>☐</w:t>
                </w:r>
              </w:sdtContent>
            </w:sdt>
            <w:r>
              <w:rPr>
                <w:rFonts w:hint="eastAsia" w:ascii="宋体" w:hAnsi="宋体" w:cs="宋体"/>
                <w:kern w:val="0"/>
                <w:sz w:val="24"/>
                <w:highlight w:val="none"/>
              </w:rPr>
              <w:t>B</w:t>
            </w:r>
            <w:r>
              <w:rPr>
                <w:rFonts w:hint="eastAsia" w:ascii="宋体" w:hAnsi="宋体" w:cs="宋体"/>
                <w:sz w:val="24"/>
                <w:highlight w:val="none"/>
              </w:rPr>
              <w:t>接受</w:t>
            </w:r>
            <w:r>
              <w:rPr>
                <w:rFonts w:hint="eastAsia" w:ascii="宋体" w:hAnsi="宋体" w:cs="宋体"/>
                <w:kern w:val="0"/>
                <w:sz w:val="24"/>
                <w:highlight w:val="none"/>
              </w:rPr>
              <w:t>：</w:t>
            </w:r>
            <w:r>
              <w:rPr>
                <w:rFonts w:hint="eastAsia" w:hAnsi="宋体" w:cs="宋体"/>
                <w:kern w:val="28"/>
                <w:sz w:val="24"/>
                <w:highlight w:val="none"/>
              </w:rPr>
              <w:t>备份投标文件送达地点：</w:t>
            </w:r>
            <w:r>
              <w:rPr>
                <w:rFonts w:hint="eastAsia" w:hAnsi="宋体" w:cs="宋体"/>
                <w:sz w:val="24"/>
                <w:highlight w:val="none"/>
                <w:u w:val="single"/>
              </w:rPr>
              <w:t xml:space="preserve">         </w:t>
            </w:r>
            <w:r>
              <w:rPr>
                <w:rFonts w:hint="eastAsia" w:hAnsi="宋体" w:cs="宋体"/>
                <w:kern w:val="28"/>
                <w:sz w:val="24"/>
                <w:highlight w:val="none"/>
              </w:rPr>
              <w:t>；备份投标文件签收人员联系电话：</w:t>
            </w:r>
            <w:r>
              <w:rPr>
                <w:rFonts w:hint="eastAsia" w:hAnsi="宋体" w:cs="宋体"/>
                <w:sz w:val="24"/>
                <w:highlight w:val="none"/>
                <w:u w:val="single"/>
              </w:rPr>
              <w:t xml:space="preserve">        </w:t>
            </w:r>
            <w:r>
              <w:rPr>
                <w:rFonts w:hint="eastAsia" w:hAnsi="宋体" w:cs="宋体"/>
                <w:sz w:val="24"/>
                <w:highlight w:val="none"/>
              </w:rPr>
              <w:t>。采购人、采购代理机构不强制或变相强制投标人提交备份投标文件。</w:t>
            </w:r>
          </w:p>
        </w:tc>
      </w:tr>
      <w:tr w14:paraId="44FC8B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69AE4314">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2B26D8CD">
            <w:pPr>
              <w:snapToGrid w:val="0"/>
              <w:spacing w:line="360" w:lineRule="auto"/>
              <w:jc w:val="center"/>
              <w:rPr>
                <w:rFonts w:ascii="宋体" w:hAnsi="宋体" w:cs="宋体"/>
                <w:b/>
                <w:sz w:val="24"/>
                <w:highlight w:val="none"/>
              </w:rPr>
            </w:pPr>
            <w:r>
              <w:rPr>
                <w:rFonts w:hint="eastAsia" w:cs="仿宋_GB2312" w:asciiTheme="minorEastAsia" w:hAnsiTheme="minorEastAsia" w:eastAsiaTheme="minorEastAsia"/>
                <w:b/>
                <w:sz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7C637D0F">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072EF7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5FBE470A">
            <w:pPr>
              <w:snapToGrid w:val="0"/>
              <w:spacing w:line="360" w:lineRule="auto"/>
              <w:jc w:val="center"/>
              <w:rPr>
                <w:rFonts w:ascii="宋体" w:hAnsi="宋体" w:cs="宋体"/>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4793EB69">
            <w:pPr>
              <w:snapToGrid w:val="0"/>
              <w:spacing w:line="360" w:lineRule="auto"/>
              <w:jc w:val="center"/>
              <w:rPr>
                <w:rFonts w:ascii="宋体" w:hAnsi="宋体" w:cs="宋体"/>
                <w:b/>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69F5334F">
            <w:pPr>
              <w:spacing w:line="360" w:lineRule="auto"/>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14:paraId="2ACB509B">
            <w:pPr>
              <w:spacing w:line="360" w:lineRule="auto"/>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1052570136"/>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Gothic" w:hAnsi="MS Gothic" w:eastAsia="MS Gothic" w:cs="Arial"/>
                    <w:kern w:val="0"/>
                    <w:sz w:val="24"/>
                    <w:highlight w:val="none"/>
                  </w:rPr>
                  <w:t>☐</w:t>
                </w:r>
              </w:sdtContent>
            </w:sdt>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r w14:paraId="675CA0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3062D95">
            <w:pPr>
              <w:snapToGrid w:val="0"/>
              <w:spacing w:line="360" w:lineRule="auto"/>
              <w:jc w:val="center"/>
              <w:rPr>
                <w:rFonts w:ascii="宋体" w:hAnsi="宋体" w:cs="宋体"/>
                <w:sz w:val="24"/>
                <w:highlight w:val="none"/>
              </w:rPr>
            </w:pPr>
            <w:r>
              <w:rPr>
                <w:rFonts w:hint="eastAsia" w:ascii="宋体" w:hAnsi="宋体" w:cs="宋体"/>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6D3A9C6">
            <w:pPr>
              <w:snapToGrid w:val="0"/>
              <w:spacing w:line="360" w:lineRule="auto"/>
              <w:jc w:val="center"/>
              <w:rPr>
                <w:rFonts w:ascii="宋体" w:hAnsi="宋体" w:cs="宋体"/>
                <w:b/>
                <w:sz w:val="24"/>
                <w:highlight w:val="none"/>
              </w:rPr>
            </w:pPr>
            <w:r>
              <w:rPr>
                <w:rFonts w:hint="eastAsia" w:ascii="宋体" w:hAnsi="宋体" w:cs="宋体"/>
                <w:b/>
                <w:sz w:val="24"/>
                <w:highlight w:val="none"/>
              </w:rPr>
              <w:t>解释权</w:t>
            </w:r>
          </w:p>
        </w:tc>
        <w:tc>
          <w:tcPr>
            <w:tcW w:w="6095" w:type="dxa"/>
            <w:tcBorders>
              <w:top w:val="single" w:color="auto" w:sz="4" w:space="0"/>
              <w:left w:val="single" w:color="auto" w:sz="4" w:space="0"/>
              <w:bottom w:val="single" w:color="auto" w:sz="4" w:space="0"/>
              <w:right w:val="single" w:color="auto" w:sz="4" w:space="0"/>
            </w:tcBorders>
            <w:vAlign w:val="center"/>
          </w:tcPr>
          <w:p w14:paraId="250B80D8">
            <w:pPr>
              <w:spacing w:line="360" w:lineRule="auto"/>
              <w:rPr>
                <w:rFonts w:cs="Arial" w:asciiTheme="minorEastAsia" w:hAnsiTheme="minorEastAsia" w:eastAsiaTheme="minorEastAsia"/>
                <w:kern w:val="0"/>
                <w:sz w:val="24"/>
                <w:highlight w:val="none"/>
              </w:rPr>
            </w:pPr>
            <w:r>
              <w:rPr>
                <w:rFonts w:hint="eastAsia" w:cs="Arial" w:asciiTheme="minorEastAsia" w:hAnsiTheme="minorEastAsia" w:eastAsiaTheme="minorEastAsia"/>
                <w:kern w:val="0"/>
                <w:sz w:val="24"/>
                <w:highlight w:val="none"/>
              </w:rPr>
              <w:t>本招标文件解释权属采购人及代理机构。</w:t>
            </w:r>
          </w:p>
        </w:tc>
      </w:tr>
    </w:tbl>
    <w:p w14:paraId="69BE8266">
      <w:pPr>
        <w:snapToGrid w:val="0"/>
        <w:spacing w:line="360" w:lineRule="auto"/>
        <w:jc w:val="center"/>
        <w:rPr>
          <w:rFonts w:ascii="宋体" w:hAnsi="宋体" w:cs="宋体"/>
          <w:b/>
          <w:sz w:val="32"/>
          <w:szCs w:val="20"/>
          <w:highlight w:val="none"/>
        </w:rPr>
      </w:pPr>
    </w:p>
    <w:bookmarkEnd w:id="17"/>
    <w:p w14:paraId="2E6BAA68">
      <w:pPr>
        <w:adjustRightInd/>
        <w:spacing w:line="360" w:lineRule="auto"/>
        <w:ind w:firstLine="3845" w:firstLineChars="1197"/>
        <w:outlineLvl w:val="1"/>
        <w:rPr>
          <w:rFonts w:ascii="宋体" w:hAnsi="宋体" w:cs="宋体"/>
          <w:b/>
          <w:sz w:val="32"/>
          <w:szCs w:val="20"/>
          <w:highlight w:val="none"/>
        </w:rPr>
      </w:pPr>
      <w:bookmarkStart w:id="22" w:name="第三部分"/>
      <w:bookmarkStart w:id="23" w:name="_Toc164416483"/>
      <w:r>
        <w:rPr>
          <w:rFonts w:hint="eastAsia" w:ascii="宋体" w:hAnsi="宋体" w:cs="宋体"/>
          <w:b/>
          <w:sz w:val="32"/>
          <w:szCs w:val="20"/>
          <w:highlight w:val="none"/>
        </w:rPr>
        <w:t>一、总则</w:t>
      </w:r>
    </w:p>
    <w:p w14:paraId="18810F9E">
      <w:pPr>
        <w:snapToGrid w:val="0"/>
        <w:spacing w:line="360" w:lineRule="auto"/>
        <w:jc w:val="left"/>
        <w:rPr>
          <w:rFonts w:ascii="宋体" w:hAnsi="宋体" w:cs="宋体"/>
          <w:b/>
          <w:sz w:val="24"/>
          <w:highlight w:val="none"/>
        </w:rPr>
      </w:pPr>
      <w:r>
        <w:rPr>
          <w:rFonts w:hint="eastAsia" w:ascii="宋体" w:hAnsi="宋体" w:cs="宋体"/>
          <w:b/>
          <w:sz w:val="24"/>
          <w:highlight w:val="none"/>
        </w:rPr>
        <w:t>1. 适用范围</w:t>
      </w:r>
    </w:p>
    <w:p w14:paraId="754E7C37">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02764AA4">
      <w:pPr>
        <w:adjustRightInd/>
        <w:spacing w:line="360" w:lineRule="auto"/>
        <w:rPr>
          <w:rFonts w:ascii="宋体" w:hAnsi="宋体" w:cs="宋体"/>
          <w:b/>
          <w:sz w:val="24"/>
          <w:highlight w:val="none"/>
        </w:rPr>
      </w:pPr>
      <w:r>
        <w:rPr>
          <w:rFonts w:hint="eastAsia" w:ascii="宋体" w:hAnsi="宋体" w:cs="宋体"/>
          <w:b/>
          <w:sz w:val="24"/>
          <w:highlight w:val="none"/>
        </w:rPr>
        <w:t>2.定义</w:t>
      </w:r>
    </w:p>
    <w:p w14:paraId="586567BF">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14:paraId="1AF7908B">
      <w:pPr>
        <w:spacing w:line="360" w:lineRule="auto"/>
        <w:ind w:firstLine="480" w:firstLineChars="200"/>
        <w:rPr>
          <w:rFonts w:ascii="宋体" w:hAnsi="宋体" w:cs="宋体"/>
          <w:sz w:val="24"/>
          <w:highlight w:val="none"/>
        </w:rPr>
      </w:pPr>
      <w:r>
        <w:rPr>
          <w:rFonts w:hint="eastAsia" w:ascii="宋体" w:hAnsi="宋体" w:cs="宋体"/>
          <w:sz w:val="24"/>
          <w:highlight w:val="none"/>
        </w:rPr>
        <w:t>2.2 “采购代理机构”系指招标公告中载明的本项目的采购代理机构。</w:t>
      </w:r>
    </w:p>
    <w:p w14:paraId="5B19456B">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14:paraId="4F9B168D">
      <w:pPr>
        <w:spacing w:line="360" w:lineRule="auto"/>
        <w:ind w:firstLine="480" w:firstLineChars="200"/>
        <w:rPr>
          <w:rFonts w:ascii="宋体" w:hAnsi="宋体" w:cs="宋体"/>
          <w:sz w:val="24"/>
          <w:highlight w:val="none"/>
        </w:rPr>
      </w:pPr>
      <w:r>
        <w:rPr>
          <w:rFonts w:hint="eastAsia" w:ascii="宋体" w:hAnsi="宋体" w:cs="宋体"/>
          <w:sz w:val="24"/>
          <w:highlight w:val="none"/>
        </w:rPr>
        <w:t>2.4 “法定代表人（负责人）”系指法人企业的法定负责人，或其他组织为法律、行政法规规定代表单位行使职权的主要负责人，或自然人本人。</w:t>
      </w:r>
    </w:p>
    <w:p w14:paraId="1D021B22">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3658D9D">
      <w:pPr>
        <w:spacing w:line="360" w:lineRule="auto"/>
        <w:ind w:firstLine="480" w:firstLineChars="200"/>
        <w:rPr>
          <w:rFonts w:ascii="宋体" w:hAnsi="宋体" w:cs="宋体"/>
          <w:sz w:val="24"/>
          <w:highlight w:val="none"/>
        </w:rPr>
      </w:pPr>
      <w:r>
        <w:rPr>
          <w:rFonts w:hint="eastAsia" w:ascii="宋体" w:hAnsi="宋体" w:cs="宋体"/>
          <w:sz w:val="24"/>
          <w:highlight w:val="none"/>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投标文件加盖公章部分均采用CA签章。</w:t>
      </w:r>
    </w:p>
    <w:p w14:paraId="16155D96">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2.6“电子交易平台”系指本项目政府采购活动所依托的广西政府采购云平台（https://www.gcy.zfcg.gxzf.gov.cn/）。</w:t>
      </w:r>
    </w:p>
    <w:p w14:paraId="50FC8318">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r>
        <w:rPr>
          <w:rFonts w:hint="eastAsia" w:ascii="宋体" w:hAnsi="宋体" w:cs="宋体"/>
          <w:kern w:val="0"/>
          <w:sz w:val="24"/>
          <w:highlight w:val="none"/>
        </w:rPr>
        <w:sym w:font="Wingdings" w:char="F0FE"/>
      </w:r>
      <w:r>
        <w:rPr>
          <w:rFonts w:ascii="宋体" w:hAnsi="宋体" w:cs="宋体"/>
          <w:kern w:val="0"/>
          <w:sz w:val="24"/>
          <w:highlight w:val="none"/>
        </w:rPr>
        <w:t>”</w:t>
      </w:r>
      <w:r>
        <w:rPr>
          <w:rFonts w:hint="eastAsia" w:ascii="宋体" w:hAnsi="宋体" w:cs="宋体"/>
          <w:sz w:val="24"/>
          <w:highlight w:val="none"/>
        </w:rPr>
        <w:t>系指适用本项目的要求，“</w:t>
      </w:r>
      <w:r>
        <w:rPr>
          <w:rFonts w:hint="eastAsia" w:ascii="宋体" w:hAnsi="宋体" w:cs="宋体"/>
          <w:kern w:val="0"/>
          <w:sz w:val="24"/>
          <w:highlight w:val="none"/>
        </w:rPr>
        <w:t>□</w:t>
      </w:r>
      <w:r>
        <w:rPr>
          <w:rFonts w:ascii="宋体" w:hAnsi="宋体" w:cs="宋体"/>
          <w:kern w:val="0"/>
          <w:sz w:val="24"/>
          <w:highlight w:val="none"/>
        </w:rPr>
        <w:t>”</w:t>
      </w:r>
      <w:r>
        <w:rPr>
          <w:rFonts w:hint="eastAsia" w:ascii="宋体" w:hAnsi="宋体" w:cs="宋体"/>
          <w:sz w:val="24"/>
          <w:highlight w:val="none"/>
        </w:rPr>
        <w:t>系指不适用本项目的要求。</w:t>
      </w:r>
    </w:p>
    <w:p w14:paraId="5018E188">
      <w:pPr>
        <w:spacing w:line="360" w:lineRule="auto"/>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19C27247">
      <w:pPr>
        <w:spacing w:line="360" w:lineRule="auto"/>
        <w:ind w:firstLine="480" w:firstLineChars="200"/>
        <w:rPr>
          <w:rFonts w:ascii="宋体" w:hAnsi="宋体" w:cs="宋体"/>
          <w:sz w:val="24"/>
          <w:highlight w:val="none"/>
        </w:rPr>
      </w:pPr>
      <w:r>
        <w:rPr>
          <w:rFonts w:hint="eastAsia" w:ascii="宋体" w:hAnsi="宋体" w:cs="宋体"/>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3CD3EFCC">
      <w:pPr>
        <w:spacing w:line="360" w:lineRule="auto"/>
        <w:ind w:firstLine="480" w:firstLineChars="200"/>
        <w:rPr>
          <w:rFonts w:ascii="宋体" w:hAnsi="宋体" w:cs="宋体"/>
          <w:sz w:val="24"/>
          <w:highlight w:val="none"/>
        </w:rPr>
      </w:pPr>
      <w:r>
        <w:rPr>
          <w:rFonts w:hint="eastAsia" w:ascii="宋体" w:hAnsi="宋体" w:cs="宋体"/>
          <w:sz w:val="24"/>
          <w:highlight w:val="none"/>
        </w:rPr>
        <w:t>3.2 支持绿色发展</w:t>
      </w:r>
    </w:p>
    <w:p w14:paraId="16EC5BFC">
      <w:pPr>
        <w:spacing w:line="360" w:lineRule="auto"/>
        <w:ind w:firstLine="480" w:firstLineChars="200"/>
        <w:rPr>
          <w:rFonts w:ascii="宋体" w:hAnsi="宋体" w:cs="宋体"/>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14:paraId="57C442E8">
      <w:pPr>
        <w:spacing w:line="360" w:lineRule="auto"/>
        <w:ind w:firstLine="480" w:firstLineChars="200"/>
        <w:rPr>
          <w:rFonts w:ascii="宋体" w:hAnsi="宋体" w:cs="宋体"/>
          <w:sz w:val="24"/>
          <w:highlight w:val="none"/>
        </w:rPr>
      </w:pPr>
      <w:r>
        <w:rPr>
          <w:rFonts w:hint="eastAsia" w:ascii="宋体" w:hAnsi="宋体" w:cs="宋体"/>
          <w:sz w:val="24"/>
          <w:highlight w:val="none"/>
        </w:rPr>
        <w:t>3.2.2 纳入政府采购管理的修缮、装修类项目采购建材的，鼓励</w:t>
      </w:r>
      <w:r>
        <w:rPr>
          <w:rFonts w:hint="eastAsia" w:ascii="宋体" w:hAnsi="宋体" w:cs="宋体"/>
          <w:sz w:val="24"/>
          <w:highlight w:val="none"/>
          <w:lang w:eastAsia="zh-CN"/>
        </w:rPr>
        <w:t>采购人</w:t>
      </w:r>
      <w:r>
        <w:rPr>
          <w:rFonts w:hint="eastAsia" w:ascii="宋体" w:hAnsi="宋体" w:cs="宋体"/>
          <w:sz w:val="24"/>
          <w:highlight w:val="none"/>
        </w:rPr>
        <w:t>将绿色建材性能、指标等作为实质性条件纳入采购文件和合同，具体性能指标要求参考相关绿色建材政府采购需求标准。</w:t>
      </w:r>
    </w:p>
    <w:p w14:paraId="1905C2B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24" w:name="_Hlk107568539"/>
      <w:r>
        <w:rPr>
          <w:rFonts w:hint="eastAsia" w:ascii="宋体" w:hAnsi="宋体" w:cs="宋体"/>
          <w:color w:val="000000" w:themeColor="text1"/>
          <w:sz w:val="24"/>
          <w:highlight w:val="none"/>
          <w14:textFill>
            <w14:solidFill>
              <w14:schemeClr w14:val="tx1"/>
            </w14:solidFill>
          </w14:textFill>
        </w:rPr>
        <w:t>鼓励</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优先采购秸秆环保板材等资源综合利用产品。鼓励</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优先采购绿色物流配送服务、提供新能源交通工具的租赁服务。</w:t>
      </w:r>
    </w:p>
    <w:p w14:paraId="095D729F">
      <w:pPr>
        <w:spacing w:line="360" w:lineRule="auto"/>
        <w:ind w:firstLine="480" w:firstLineChars="200"/>
        <w:rPr>
          <w:rFonts w:ascii="宋体" w:hAnsi="宋体" w:cs="宋体"/>
          <w:sz w:val="24"/>
          <w:highlight w:val="none"/>
        </w:rPr>
      </w:pPr>
      <w:r>
        <w:rPr>
          <w:rFonts w:hint="eastAsia" w:ascii="宋体" w:hAnsi="宋体" w:cs="宋体"/>
          <w:sz w:val="24"/>
          <w:highlight w:val="none"/>
        </w:rPr>
        <w:t>3.2.4 鼓励供应商在参加政府采购过程中开展绿色设计、选择绿色材料、打造绿色制造工艺、开展绿色运输、做好废弃产品回收处理，实现产品全周期的绿色环保。鼓励</w:t>
      </w:r>
      <w:r>
        <w:rPr>
          <w:rFonts w:hint="eastAsia" w:ascii="宋体" w:hAnsi="宋体" w:cs="宋体"/>
          <w:sz w:val="24"/>
          <w:highlight w:val="none"/>
          <w:lang w:eastAsia="zh-CN"/>
        </w:rPr>
        <w:t>采购人</w:t>
      </w:r>
      <w:r>
        <w:rPr>
          <w:rFonts w:hint="eastAsia" w:ascii="宋体" w:hAnsi="宋体" w:cs="宋体"/>
          <w:sz w:val="24"/>
          <w:highlight w:val="none"/>
        </w:rPr>
        <w:t>对其提高预付款比例、免收履约保证金。</w:t>
      </w:r>
      <w:bookmarkEnd w:id="24"/>
    </w:p>
    <w:p w14:paraId="5E9D5DEE">
      <w:pPr>
        <w:spacing w:line="360" w:lineRule="auto"/>
        <w:ind w:firstLine="480" w:firstLineChars="200"/>
        <w:rPr>
          <w:rFonts w:ascii="宋体" w:hAnsi="宋体" w:cs="宋体"/>
          <w:sz w:val="24"/>
          <w:highlight w:val="none"/>
        </w:rPr>
      </w:pPr>
      <w:r>
        <w:rPr>
          <w:rFonts w:hint="eastAsia" w:ascii="宋体" w:hAnsi="宋体" w:cs="宋体"/>
          <w:sz w:val="24"/>
          <w:highlight w:val="none"/>
        </w:rPr>
        <w:t>3.3支持中小企业发展</w:t>
      </w:r>
    </w:p>
    <w:p w14:paraId="129B0DB3">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8B35320">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767E4D8A">
      <w:pPr>
        <w:widowControl/>
        <w:spacing w:line="360" w:lineRule="auto"/>
        <w:ind w:firstLine="480" w:firstLineChars="200"/>
        <w:jc w:val="left"/>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042BB0B">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651DA027">
      <w:pPr>
        <w:spacing w:line="360" w:lineRule="auto"/>
        <w:ind w:firstLine="480" w:firstLineChars="200"/>
        <w:rPr>
          <w:rFonts w:cs="宋体" w:asciiTheme="minorEastAsia" w:hAnsiTheme="minorEastAsia" w:eastAsiaTheme="minorEastAsia"/>
          <w:sz w:val="24"/>
          <w:highlight w:val="none"/>
        </w:rPr>
      </w:pPr>
      <w:r>
        <w:rPr>
          <w:rFonts w:hint="eastAsia" w:ascii="宋体" w:hAnsi="宋体" w:cs="宋体"/>
          <w:sz w:val="24"/>
          <w:highlight w:val="none"/>
        </w:rPr>
        <w:t>3.3.3对于未预留份额专门面向中小企业采购的政府采购项目，以及预留份额政府采购项目中的非预留部分标项，对小型和微型企业的投标报价给予</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%的扣除，用扣除后的价格参与评审。接受大中型企业与小微企业组成联合体或者允许大中型企业向一家或者多家小微企业分包的政府采购项目，对于</w:t>
      </w:r>
      <w:bookmarkStart w:id="25" w:name="_Hlk101132181"/>
      <w:r>
        <w:rPr>
          <w:rFonts w:hint="eastAsia" w:ascii="宋体" w:hAnsi="宋体" w:cs="宋体"/>
          <w:sz w:val="24"/>
          <w:highlight w:val="none"/>
        </w:rPr>
        <w:t>联合协议或者分包意向协议约定小微企业的合同份额占到合同总金额30%以上的</w:t>
      </w:r>
      <w:bookmarkEnd w:id="25"/>
      <w:r>
        <w:rPr>
          <w:rFonts w:hint="eastAsia" w:ascii="宋体" w:hAnsi="宋体" w:cs="宋体"/>
          <w:sz w:val="24"/>
          <w:highlight w:val="none"/>
        </w:rPr>
        <w:t>，对联合体或者大中型企业的报价给予</w:t>
      </w:r>
      <w:r>
        <w:rPr>
          <w:rFonts w:ascii="宋体" w:hAnsi="宋体" w:cs="宋体"/>
          <w:sz w:val="24"/>
          <w:highlight w:val="none"/>
        </w:rPr>
        <w:t>6</w:t>
      </w:r>
      <w:r>
        <w:rPr>
          <w:rFonts w:hint="eastAsia" w:ascii="宋体" w:hAnsi="宋体" w:cs="宋体"/>
          <w:sz w:val="24"/>
          <w:highlight w:val="none"/>
        </w:rPr>
        <w:t>%的扣除，用扣除后的价格参加评审。组成联合体或者接受分包的小微企业与联合体内其他企业、分包企业之间存在直接控股、管理关系的，不享受价格扣除优惠政策。专门</w:t>
      </w:r>
      <w:r>
        <w:rPr>
          <w:rFonts w:hint="eastAsia" w:cs="宋体" w:asciiTheme="minorEastAsia" w:hAnsiTheme="minorEastAsia" w:eastAsiaTheme="minorEastAsia"/>
          <w:sz w:val="24"/>
          <w:highlight w:val="none"/>
        </w:rPr>
        <w:t>面向中小企业采购的政府采购项目或者采购包不再执行价格扣除政策。</w:t>
      </w:r>
    </w:p>
    <w:p w14:paraId="1350C46F">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106BCC60">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0EE41F6">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8A64D41">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7F93148A">
      <w:pPr>
        <w:spacing w:line="360" w:lineRule="auto"/>
        <w:ind w:firstLine="480" w:firstLineChars="2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1F3901B0">
      <w:pPr>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14:paraId="57D9F324">
      <w:pPr>
        <w:spacing w:line="360" w:lineRule="auto"/>
        <w:ind w:firstLine="480" w:firstLineChars="200"/>
        <w:rPr>
          <w:rFonts w:ascii="宋体" w:hAnsi="宋体" w:cs="宋体"/>
          <w:sz w:val="24"/>
          <w:highlight w:val="none"/>
        </w:rPr>
      </w:pPr>
      <w:r>
        <w:rPr>
          <w:rFonts w:hint="eastAsia" w:ascii="宋体" w:hAnsi="宋体" w:cs="宋体"/>
          <w:sz w:val="24"/>
          <w:highlight w:val="none"/>
        </w:rPr>
        <w:t>3.4.2首台套产品被纳入《首台套产品推广应用指导目录》之日起</w:t>
      </w:r>
      <w:r>
        <w:rPr>
          <w:rFonts w:ascii="宋体" w:hAnsi="宋体" w:cs="宋体"/>
          <w:sz w:val="24"/>
          <w:highlight w:val="none"/>
        </w:rPr>
        <w:t>3</w:t>
      </w:r>
      <w:r>
        <w:rPr>
          <w:rFonts w:hint="eastAsia" w:ascii="宋体" w:hAnsi="宋体" w:cs="宋体"/>
          <w:sz w:val="24"/>
          <w:highlight w:val="none"/>
        </w:rPr>
        <w:t>年内，以及产品核心技术高于国内领先水平，并具有明晰自主知识产权的“制造精品”产品，自认定之日起2年内视同已具备相应销售业绩，参加政府采购活动时业绩分值为满分。</w:t>
      </w:r>
    </w:p>
    <w:p w14:paraId="55197FA4">
      <w:pPr>
        <w:spacing w:line="360" w:lineRule="auto"/>
        <w:ind w:firstLine="480" w:firstLineChars="200"/>
        <w:rPr>
          <w:rFonts w:ascii="宋体" w:hAnsi="宋体" w:cs="宋体"/>
          <w:sz w:val="24"/>
          <w:highlight w:val="none"/>
        </w:rPr>
      </w:pPr>
      <w:r>
        <w:rPr>
          <w:rFonts w:hint="eastAsia" w:ascii="宋体" w:hAnsi="宋体" w:cs="宋体"/>
          <w:sz w:val="24"/>
          <w:highlight w:val="none"/>
        </w:rPr>
        <w:t>3.5平等对待内外资企业</w:t>
      </w:r>
    </w:p>
    <w:p w14:paraId="2E2B868D">
      <w:pPr>
        <w:spacing w:line="360" w:lineRule="auto"/>
        <w:ind w:firstLine="480" w:firstLineChars="200"/>
        <w:rPr>
          <w:rFonts w:ascii="宋体" w:hAnsi="宋体" w:cs="宋体"/>
          <w:sz w:val="24"/>
          <w:highlight w:val="none"/>
        </w:rPr>
      </w:pPr>
      <w:r>
        <w:rPr>
          <w:rFonts w:hint="eastAsia" w:ascii="宋体" w:hAnsi="宋体" w:cs="宋体"/>
          <w:sz w:val="24"/>
          <w:highlight w:val="none"/>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1A828D47">
      <w:pPr>
        <w:pStyle w:val="82"/>
        <w:rPr>
          <w:bCs/>
          <w:highlight w:val="none"/>
        </w:rPr>
      </w:pPr>
      <w:r>
        <w:rPr>
          <w:rFonts w:hint="eastAsia"/>
          <w:highlight w:val="none"/>
        </w:rPr>
        <w:t>3.6平等对待符合条件的破产重整企业</w:t>
      </w:r>
    </w:p>
    <w:p w14:paraId="44EFDCB9">
      <w:pPr>
        <w:spacing w:line="360" w:lineRule="auto"/>
        <w:ind w:firstLine="480" w:firstLineChars="200"/>
        <w:rPr>
          <w:rFonts w:ascii="宋体" w:hAnsi="宋体" w:cs="宋体"/>
          <w:sz w:val="24"/>
          <w:highlight w:val="none"/>
        </w:rPr>
      </w:pPr>
      <w:r>
        <w:rPr>
          <w:rFonts w:hint="eastAsia" w:ascii="宋体" w:hAnsi="宋体" w:cs="宋体"/>
          <w:sz w:val="24"/>
          <w:highlight w:val="none"/>
        </w:rPr>
        <w:t>平等对待符合条件的破产重整企业，切实保障企业公平竞争，平等维护企业的合法利益。</w:t>
      </w:r>
    </w:p>
    <w:p w14:paraId="4471336C">
      <w:pPr>
        <w:spacing w:line="360" w:lineRule="auto"/>
        <w:ind w:firstLine="482" w:firstLineChars="200"/>
        <w:rPr>
          <w:rFonts w:asciiTheme="minorEastAsia" w:hAnsiTheme="minorEastAsia" w:eastAsiaTheme="minorEastAsia"/>
          <w:b/>
          <w:highlight w:val="none"/>
        </w:rPr>
      </w:pPr>
      <w:r>
        <w:rPr>
          <w:rFonts w:hint="eastAsia" w:ascii="宋体" w:hAnsi="宋体"/>
          <w:b/>
          <w:sz w:val="24"/>
          <w:highlight w:val="none"/>
        </w:rPr>
        <w:t>4. 询问、质疑、投诉</w:t>
      </w:r>
    </w:p>
    <w:p w14:paraId="460138AA">
      <w:pPr>
        <w:spacing w:line="360" w:lineRule="auto"/>
        <w:ind w:firstLine="480" w:firstLineChars="200"/>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4.1在线询问、质疑、投诉</w:t>
      </w:r>
    </w:p>
    <w:p w14:paraId="401F5939">
      <w:pPr>
        <w:spacing w:line="360" w:lineRule="auto"/>
        <w:ind w:firstLine="480" w:firstLineChars="200"/>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51A53BB9">
      <w:pPr>
        <w:spacing w:line="360" w:lineRule="auto"/>
        <w:ind w:firstLine="480" w:firstLineChars="200"/>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询问联系部门：北海市政府采购中心采购二科，联系电话：0779-3056122，地址：北海市海城区陈文村北路7号市直机关第三办公区2号楼一层。</w:t>
      </w:r>
    </w:p>
    <w:p w14:paraId="1313F38A">
      <w:pPr>
        <w:spacing w:line="360" w:lineRule="auto"/>
        <w:ind w:firstLine="480" w:firstLineChars="200"/>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 xml:space="preserve">质疑联系部门：北海市政府采购中心监督科，联系电话：0779-3960826，地址：北海市海城区陈文村北路7号市直机关第三办公区2号楼一层。 </w:t>
      </w:r>
    </w:p>
    <w:p w14:paraId="0CF20440">
      <w:pPr>
        <w:spacing w:line="360" w:lineRule="auto"/>
        <w:ind w:firstLine="480" w:firstLineChars="200"/>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投诉联系部门：合浦县财政局，联系电话：0779-7213187，地址：合浦县廉州镇明园南路50号。</w:t>
      </w:r>
    </w:p>
    <w:p w14:paraId="53739A7D">
      <w:pPr>
        <w:pStyle w:val="886"/>
        <w:shd w:val="clear" w:color="auto" w:fill="FFFFFF"/>
        <w:snapToGrid w:val="0"/>
        <w:spacing w:before="0" w:beforeAutospacing="0" w:after="0" w:afterAutospacing="0" w:line="360" w:lineRule="auto"/>
        <w:ind w:firstLine="480" w:firstLineChars="200"/>
        <w:contextualSpacing/>
        <w:rPr>
          <w:highlight w:val="none"/>
          <w:lang w:val="zh-CN"/>
        </w:rPr>
      </w:pPr>
      <w:r>
        <w:rPr>
          <w:rFonts w:hint="eastAsia"/>
          <w:highlight w:val="none"/>
          <w:lang w:val="zh-CN"/>
        </w:rPr>
        <w:t>4.2供应商询问</w:t>
      </w:r>
    </w:p>
    <w:p w14:paraId="212290C8">
      <w:pPr>
        <w:pStyle w:val="886"/>
        <w:shd w:val="clear" w:color="auto" w:fill="FFFFFF"/>
        <w:snapToGrid w:val="0"/>
        <w:spacing w:before="0" w:beforeAutospacing="0" w:after="0" w:afterAutospacing="0" w:line="360" w:lineRule="auto"/>
        <w:ind w:firstLine="480" w:firstLineChars="200"/>
        <w:contextualSpacing/>
        <w:rPr>
          <w:highlight w:val="none"/>
          <w:lang w:val="zh-CN"/>
        </w:rPr>
      </w:pPr>
      <w:r>
        <w:rPr>
          <w:rFonts w:hint="eastAsia"/>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BB96A0F">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07091ACB">
      <w:pPr>
        <w:pStyle w:val="35"/>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1CF07D82">
      <w:pPr>
        <w:pStyle w:val="35"/>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72E3E22">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2CAD11A6">
      <w:pPr>
        <w:pStyle w:val="35"/>
        <w:spacing w:line="360" w:lineRule="auto"/>
        <w:ind w:left="479"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14:paraId="6618AD44">
      <w:pPr>
        <w:pStyle w:val="35"/>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2CCE2ED2">
      <w:pPr>
        <w:pStyle w:val="35"/>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4.3.3.1供应商的姓名或者名称、地址、邮编、联系人及联系电话；</w:t>
      </w:r>
    </w:p>
    <w:p w14:paraId="2716FCFA">
      <w:pPr>
        <w:pStyle w:val="35"/>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4.3.3.2质疑项目的名称、编号；</w:t>
      </w:r>
    </w:p>
    <w:p w14:paraId="2548B0A7">
      <w:pPr>
        <w:pStyle w:val="35"/>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4.3.3.3具体、明确的质疑事项和与质疑事项相关的请求；</w:t>
      </w:r>
    </w:p>
    <w:p w14:paraId="4F3283B5">
      <w:pPr>
        <w:pStyle w:val="35"/>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4.3.3.4事实依据；</w:t>
      </w:r>
    </w:p>
    <w:p w14:paraId="1300B341">
      <w:pPr>
        <w:pStyle w:val="35"/>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4.3.3.5必要的法律依据；</w:t>
      </w:r>
    </w:p>
    <w:p w14:paraId="7E206830">
      <w:pPr>
        <w:pStyle w:val="35"/>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4.3.3.6提出质疑的日期。</w:t>
      </w:r>
    </w:p>
    <w:p w14:paraId="342E9BE2">
      <w:pPr>
        <w:pStyle w:val="886"/>
        <w:shd w:val="clear" w:color="auto" w:fill="FFFFFF"/>
        <w:snapToGrid w:val="0"/>
        <w:spacing w:after="240" w:afterAutospacing="0" w:line="360" w:lineRule="auto"/>
        <w:ind w:firstLine="480" w:firstLineChars="2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3B78AFB7">
      <w:pPr>
        <w:pStyle w:val="886"/>
        <w:shd w:val="clear" w:color="auto" w:fill="FFFFFF"/>
        <w:snapToGrid w:val="0"/>
        <w:spacing w:after="240" w:afterAutospacing="0" w:line="360" w:lineRule="auto"/>
        <w:ind w:firstLine="480" w:firstLineChars="200"/>
        <w:contextualSpacing/>
        <w:rPr>
          <w:highlight w:val="none"/>
        </w:rPr>
      </w:pPr>
      <w:r>
        <w:rPr>
          <w:rFonts w:hint="eastAsia"/>
          <w:highlight w:val="none"/>
        </w:rPr>
        <w:t>质疑函范本及制作说明详见附件2。</w:t>
      </w:r>
    </w:p>
    <w:p w14:paraId="52A3342A">
      <w:pPr>
        <w:pStyle w:val="886"/>
        <w:shd w:val="clear" w:color="auto" w:fill="FFFFFF"/>
        <w:snapToGrid w:val="0"/>
        <w:spacing w:after="240" w:afterAutospacing="0" w:line="360" w:lineRule="auto"/>
        <w:ind w:firstLine="480" w:firstLineChars="200"/>
        <w:contextualSpacing/>
        <w:rPr>
          <w:highlight w:val="none"/>
        </w:rPr>
      </w:pPr>
      <w:r>
        <w:rPr>
          <w:rFonts w:hint="eastAsia"/>
          <w:highlight w:val="none"/>
        </w:rPr>
        <w:t>4.3.4对同一采购程序环节的质疑，供应商须在法定质疑期内一次性提出。</w:t>
      </w:r>
    </w:p>
    <w:p w14:paraId="199C58F3">
      <w:pPr>
        <w:pStyle w:val="886"/>
        <w:shd w:val="clear" w:color="auto" w:fill="FFFFFF"/>
        <w:snapToGrid w:val="0"/>
        <w:spacing w:before="0" w:beforeAutospacing="0" w:after="0" w:afterAutospacing="0" w:line="360" w:lineRule="auto"/>
        <w:ind w:firstLine="480" w:firstLineChars="200"/>
        <w:contextualSpacing/>
        <w:rPr>
          <w:highlight w:val="none"/>
        </w:rPr>
      </w:pPr>
      <w:r>
        <w:rPr>
          <w:rFonts w:hint="eastAsia"/>
          <w:highlight w:val="none"/>
          <w:lang w:val="zh-CN"/>
        </w:rPr>
        <w:t>4.3</w:t>
      </w:r>
      <w:r>
        <w:rPr>
          <w:rFonts w:hint="eastAsia"/>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14:paraId="3F684721">
      <w:pPr>
        <w:pStyle w:val="35"/>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4.3.6根据采购人与采购代理机构签订的采购委托协议，质疑答复责任主体如下：</w:t>
      </w:r>
      <w:r>
        <w:rPr>
          <w:rFonts w:asciiTheme="minorEastAsia" w:hAnsiTheme="minorEastAsia" w:eastAsiaTheme="minorEastAsia"/>
          <w:sz w:val="24"/>
          <w:highlight w:val="none"/>
        </w:rPr>
        <w:t xml:space="preserve"> </w:t>
      </w:r>
    </w:p>
    <w:p w14:paraId="3DF5A703">
      <w:pPr>
        <w:widowControl/>
        <w:adjustRightInd/>
        <w:spacing w:line="360" w:lineRule="auto"/>
        <w:jc w:val="center"/>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质疑答复责任主体一览表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5FAB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4" w:type="dxa"/>
            <w:gridSpan w:val="2"/>
            <w:tcBorders>
              <w:top w:val="single" w:color="auto" w:sz="4" w:space="0"/>
              <w:left w:val="single" w:color="auto" w:sz="4" w:space="0"/>
              <w:bottom w:val="single" w:color="auto" w:sz="4" w:space="0"/>
              <w:right w:val="single" w:color="auto" w:sz="4" w:space="0"/>
            </w:tcBorders>
            <w:vAlign w:val="center"/>
          </w:tcPr>
          <w:p w14:paraId="7F75F225">
            <w:pPr>
              <w:pStyle w:val="35"/>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质疑内容</w:t>
            </w:r>
          </w:p>
        </w:tc>
        <w:tc>
          <w:tcPr>
            <w:tcW w:w="2232" w:type="dxa"/>
            <w:tcBorders>
              <w:top w:val="single" w:color="auto" w:sz="4" w:space="0"/>
              <w:left w:val="single" w:color="auto" w:sz="4" w:space="0"/>
              <w:bottom w:val="single" w:color="auto" w:sz="4" w:space="0"/>
              <w:right w:val="single" w:color="auto" w:sz="4" w:space="0"/>
            </w:tcBorders>
            <w:vAlign w:val="center"/>
          </w:tcPr>
          <w:p w14:paraId="7828F456">
            <w:pPr>
              <w:pStyle w:val="35"/>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质疑答复责任主体</w:t>
            </w:r>
          </w:p>
        </w:tc>
      </w:tr>
      <w:tr w14:paraId="0E3FA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vAlign w:val="center"/>
          </w:tcPr>
          <w:p w14:paraId="44524CE8">
            <w:pPr>
              <w:pStyle w:val="35"/>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对采购文件提出质疑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57CC0703">
            <w:pPr>
              <w:pStyle w:val="35"/>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对采购文件中特定资格条件、采购需求、评审办法、评审标准提出的质疑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064EC661">
            <w:pPr>
              <w:pStyle w:val="35"/>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采购人</w:t>
            </w:r>
          </w:p>
        </w:tc>
      </w:tr>
      <w:tr w14:paraId="522A4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3BAAD9F">
            <w:pPr>
              <w:widowControl/>
              <w:adjustRightInd/>
              <w:spacing w:line="360" w:lineRule="auto"/>
              <w:jc w:val="left"/>
              <w:rPr>
                <w:rFonts w:asciiTheme="minorEastAsia" w:hAnsiTheme="minorEastAsia" w:eastAsiaTheme="minorEastAsia"/>
                <w:sz w:val="24"/>
                <w:szCs w:val="20"/>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14:paraId="14970447">
            <w:pPr>
              <w:pStyle w:val="35"/>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对采购文件中其他内容提出的质疑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32C0EB2D">
            <w:pPr>
              <w:pStyle w:val="35"/>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采购代理机构</w:t>
            </w:r>
          </w:p>
        </w:tc>
      </w:tr>
      <w:tr w14:paraId="280FA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vAlign w:val="center"/>
          </w:tcPr>
          <w:p w14:paraId="4F3FA8B8">
            <w:pPr>
              <w:pStyle w:val="35"/>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对采购过程提出质疑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21D3451D">
            <w:pPr>
              <w:pStyle w:val="35"/>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有关现场考察或开启响应文件前答疑会事项提出的质疑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0D12866C">
            <w:pPr>
              <w:pStyle w:val="35"/>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采购人</w:t>
            </w:r>
          </w:p>
        </w:tc>
      </w:tr>
      <w:tr w14:paraId="6C55A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0221B88">
            <w:pPr>
              <w:widowControl/>
              <w:adjustRightInd/>
              <w:spacing w:line="360" w:lineRule="auto"/>
              <w:jc w:val="left"/>
              <w:rPr>
                <w:rFonts w:asciiTheme="minorEastAsia" w:hAnsiTheme="minorEastAsia" w:eastAsiaTheme="minorEastAsia"/>
                <w:sz w:val="24"/>
                <w:szCs w:val="20"/>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14:paraId="4C35CE4F">
            <w:pPr>
              <w:pStyle w:val="35"/>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对采购过程中其它事项提出的质疑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49638959">
            <w:pPr>
              <w:pStyle w:val="35"/>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采购代理机构</w:t>
            </w:r>
          </w:p>
        </w:tc>
      </w:tr>
      <w:tr w14:paraId="19DAD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Borders>
              <w:top w:val="single" w:color="auto" w:sz="4" w:space="0"/>
              <w:left w:val="single" w:color="auto" w:sz="4" w:space="0"/>
              <w:bottom w:val="single" w:color="auto" w:sz="4" w:space="0"/>
              <w:right w:val="single" w:color="auto" w:sz="4" w:space="0"/>
            </w:tcBorders>
            <w:vAlign w:val="center"/>
          </w:tcPr>
          <w:p w14:paraId="2A090DEA">
            <w:pPr>
              <w:pStyle w:val="35"/>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对采购结果提出质疑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06A45AEF">
            <w:pPr>
              <w:pStyle w:val="35"/>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对采购结果提出的质疑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67ABFBF6">
            <w:pPr>
              <w:pStyle w:val="35"/>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采购代理机构</w:t>
            </w:r>
          </w:p>
        </w:tc>
      </w:tr>
    </w:tbl>
    <w:p w14:paraId="1EA0EF4F">
      <w:pPr>
        <w:pStyle w:val="886"/>
        <w:shd w:val="clear" w:color="auto" w:fill="FFFFFF"/>
        <w:snapToGrid w:val="0"/>
        <w:spacing w:before="0" w:beforeAutospacing="0" w:after="0" w:afterAutospacing="0" w:line="360" w:lineRule="auto"/>
        <w:ind w:firstLine="480" w:firstLineChars="200"/>
        <w:contextualSpacing/>
        <w:rPr>
          <w:highlight w:val="none"/>
          <w:lang w:val="zh-CN"/>
        </w:rPr>
      </w:pPr>
      <w:r>
        <w:rPr>
          <w:rFonts w:hint="eastAsia"/>
          <w:highlight w:val="none"/>
          <w:lang w:val="zh-CN"/>
        </w:rPr>
        <w:t>注：</w:t>
      </w:r>
      <w:r>
        <w:rPr>
          <w:rFonts w:hint="eastAsia" w:asciiTheme="minorEastAsia" w:hAnsiTheme="minorEastAsia" w:eastAsiaTheme="minorEastAsia"/>
          <w:highlight w:val="none"/>
        </w:rPr>
        <w:t>采购人或代理机构应当协助质疑答复责任主体及时答复</w:t>
      </w:r>
      <w:r>
        <w:rPr>
          <w:rFonts w:hint="eastAsia"/>
          <w:highlight w:val="none"/>
        </w:rPr>
        <w:t>供应商的书面质疑。</w:t>
      </w:r>
    </w:p>
    <w:p w14:paraId="79DC47FF">
      <w:pPr>
        <w:pStyle w:val="886"/>
        <w:shd w:val="clear" w:color="auto" w:fill="FFFFFF"/>
        <w:snapToGrid w:val="0"/>
        <w:spacing w:before="0" w:beforeAutospacing="0" w:after="0" w:afterAutospacing="0" w:line="360" w:lineRule="auto"/>
        <w:ind w:firstLine="480" w:firstLineChars="200"/>
        <w:contextualSpacing/>
        <w:rPr>
          <w:highlight w:val="none"/>
        </w:rPr>
      </w:pPr>
      <w:r>
        <w:rPr>
          <w:rFonts w:hint="eastAsia"/>
          <w:highlight w:val="none"/>
          <w:lang w:val="zh-CN"/>
        </w:rPr>
        <w:t>4.3</w:t>
      </w:r>
      <w:r>
        <w:rPr>
          <w:rFonts w:hint="eastAsia"/>
          <w:highlight w:val="none"/>
        </w:rPr>
        <w:t>.7询问或者质疑事项可能影响采购结果的，采购人应当暂停签订合同，已经签订合同的，应当中止履行合同。</w:t>
      </w:r>
    </w:p>
    <w:p w14:paraId="1A3890D2">
      <w:pPr>
        <w:pStyle w:val="886"/>
        <w:shd w:val="clear" w:color="auto" w:fill="FFFFFF"/>
        <w:snapToGrid w:val="0"/>
        <w:spacing w:after="240" w:afterAutospacing="0" w:line="360" w:lineRule="auto"/>
        <w:ind w:firstLine="480" w:firstLineChars="200"/>
        <w:contextualSpacing/>
        <w:rPr>
          <w:highlight w:val="none"/>
          <w:lang w:val="zh-CN"/>
        </w:rPr>
      </w:pPr>
      <w:r>
        <w:rPr>
          <w:rFonts w:hint="eastAsia"/>
          <w:highlight w:val="none"/>
          <w:lang w:val="zh-CN"/>
        </w:rPr>
        <w:t>4.4供应商投诉</w:t>
      </w:r>
    </w:p>
    <w:p w14:paraId="64933590">
      <w:pPr>
        <w:pStyle w:val="886"/>
        <w:shd w:val="clear" w:color="auto" w:fill="FFFFFF"/>
        <w:snapToGrid w:val="0"/>
        <w:spacing w:after="240" w:afterAutospacing="0" w:line="360" w:lineRule="auto"/>
        <w:ind w:firstLine="480" w:firstLineChars="200"/>
        <w:contextualSpacing/>
        <w:rPr>
          <w:highlight w:val="none"/>
        </w:rPr>
      </w:pPr>
      <w:r>
        <w:rPr>
          <w:rFonts w:hint="eastAsia"/>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59A9F1EB">
      <w:pPr>
        <w:pStyle w:val="886"/>
        <w:shd w:val="clear" w:color="auto" w:fill="FFFFFF"/>
        <w:snapToGrid w:val="0"/>
        <w:spacing w:after="240" w:afterAutospacing="0" w:line="360" w:lineRule="auto"/>
        <w:ind w:firstLine="480" w:firstLineChars="2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3466D0A8">
      <w:pPr>
        <w:pStyle w:val="886"/>
        <w:shd w:val="clear" w:color="auto" w:fill="FFFFFF"/>
        <w:snapToGrid w:val="0"/>
        <w:spacing w:after="240" w:afterAutospacing="0" w:line="360" w:lineRule="auto"/>
        <w:ind w:firstLine="480" w:firstLineChars="200"/>
        <w:contextualSpacing/>
        <w:rPr>
          <w:highlight w:val="none"/>
        </w:rPr>
      </w:pPr>
      <w:r>
        <w:rPr>
          <w:rFonts w:hint="eastAsia"/>
          <w:highlight w:val="none"/>
        </w:rPr>
        <w:t>4.4.3供应商投诉应当有明确的请求和必要的证明材料。</w:t>
      </w:r>
    </w:p>
    <w:p w14:paraId="02C3A908">
      <w:pPr>
        <w:pStyle w:val="886"/>
        <w:shd w:val="clear" w:color="auto" w:fill="FFFFFF"/>
        <w:snapToGrid w:val="0"/>
        <w:spacing w:after="240" w:afterAutospacing="0" w:line="360" w:lineRule="auto"/>
        <w:ind w:firstLine="480" w:firstLineChars="200"/>
        <w:contextualSpacing/>
        <w:rPr>
          <w:highlight w:val="none"/>
        </w:rPr>
      </w:pPr>
      <w:r>
        <w:rPr>
          <w:rFonts w:hint="eastAsia"/>
          <w:highlight w:val="none"/>
        </w:rPr>
        <w:t>4.4.4 以联合体形式参加政府采购活动的，其投诉应当由组成联合体的所有供应商共同提出。</w:t>
      </w:r>
    </w:p>
    <w:p w14:paraId="44ED607D">
      <w:pPr>
        <w:adjustRightInd/>
        <w:spacing w:line="360" w:lineRule="auto"/>
        <w:jc w:val="center"/>
        <w:outlineLvl w:val="1"/>
        <w:rPr>
          <w:rFonts w:ascii="宋体" w:hAnsi="宋体" w:cs="宋体"/>
          <w:b/>
          <w:sz w:val="32"/>
          <w:szCs w:val="20"/>
          <w:highlight w:val="none"/>
        </w:rPr>
      </w:pPr>
      <w:r>
        <w:rPr>
          <w:rFonts w:hint="eastAsia" w:ascii="宋体" w:hAnsi="宋体" w:cs="宋体"/>
          <w:b/>
          <w:sz w:val="32"/>
          <w:szCs w:val="20"/>
          <w:highlight w:val="none"/>
        </w:rPr>
        <w:t>二、招标文件的构成、澄清、修改</w:t>
      </w:r>
    </w:p>
    <w:p w14:paraId="5DCCB349">
      <w:pPr>
        <w:pStyle w:val="35"/>
        <w:spacing w:line="360" w:lineRule="auto"/>
        <w:rPr>
          <w:rFonts w:hAnsi="宋体" w:cs="宋体"/>
          <w:b/>
          <w:sz w:val="24"/>
          <w:szCs w:val="24"/>
          <w:highlight w:val="none"/>
        </w:rPr>
      </w:pPr>
      <w:r>
        <w:rPr>
          <w:rFonts w:hint="eastAsia" w:hAnsi="宋体" w:cs="宋体"/>
          <w:b/>
          <w:sz w:val="24"/>
          <w:szCs w:val="24"/>
          <w:highlight w:val="none"/>
        </w:rPr>
        <w:t>5．招标文件的构成</w:t>
      </w:r>
    </w:p>
    <w:p w14:paraId="5BDE3BA5">
      <w:pPr>
        <w:pStyle w:val="35"/>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14:paraId="53271BE6">
      <w:pPr>
        <w:pStyle w:val="35"/>
        <w:tabs>
          <w:tab w:val="left" w:pos="840"/>
        </w:tabs>
        <w:spacing w:line="360" w:lineRule="auto"/>
        <w:ind w:firstLine="480" w:firstLineChars="200"/>
        <w:rPr>
          <w:rFonts w:hAnsi="宋体" w:cs="宋体"/>
          <w:sz w:val="24"/>
          <w:szCs w:val="24"/>
          <w:highlight w:val="none"/>
        </w:rPr>
      </w:pPr>
      <w:r>
        <w:rPr>
          <w:rFonts w:hint="eastAsia" w:hAnsi="宋体" w:cs="宋体"/>
          <w:sz w:val="24"/>
          <w:szCs w:val="24"/>
          <w:highlight w:val="none"/>
        </w:rPr>
        <w:t>5.1.1招标公告；</w:t>
      </w:r>
    </w:p>
    <w:p w14:paraId="4FA3EEED">
      <w:pPr>
        <w:pStyle w:val="35"/>
        <w:tabs>
          <w:tab w:val="left" w:pos="840"/>
        </w:tabs>
        <w:spacing w:line="360" w:lineRule="auto"/>
        <w:ind w:firstLine="480" w:firstLineChars="200"/>
        <w:rPr>
          <w:rFonts w:hAnsi="宋体" w:cs="宋体"/>
          <w:sz w:val="24"/>
          <w:szCs w:val="24"/>
          <w:highlight w:val="none"/>
        </w:rPr>
      </w:pPr>
      <w:r>
        <w:rPr>
          <w:rFonts w:hint="eastAsia" w:hAnsi="宋体" w:cs="宋体"/>
          <w:sz w:val="24"/>
          <w:szCs w:val="24"/>
          <w:highlight w:val="none"/>
        </w:rPr>
        <w:t>5.1.2投标人须知；</w:t>
      </w:r>
    </w:p>
    <w:p w14:paraId="051648F7">
      <w:pPr>
        <w:pStyle w:val="35"/>
        <w:tabs>
          <w:tab w:val="left" w:pos="840"/>
        </w:tabs>
        <w:spacing w:line="360" w:lineRule="auto"/>
        <w:ind w:firstLine="480" w:firstLineChars="200"/>
        <w:rPr>
          <w:rFonts w:hAnsi="宋体" w:cs="宋体"/>
          <w:sz w:val="24"/>
          <w:szCs w:val="24"/>
          <w:highlight w:val="none"/>
        </w:rPr>
      </w:pPr>
      <w:r>
        <w:rPr>
          <w:rFonts w:hint="eastAsia" w:hAnsi="宋体" w:cs="宋体"/>
          <w:sz w:val="24"/>
          <w:szCs w:val="24"/>
          <w:highlight w:val="none"/>
        </w:rPr>
        <w:t>5.1.3采购需求；</w:t>
      </w:r>
    </w:p>
    <w:p w14:paraId="78753159">
      <w:pPr>
        <w:pStyle w:val="35"/>
        <w:tabs>
          <w:tab w:val="left" w:pos="840"/>
        </w:tabs>
        <w:spacing w:line="360" w:lineRule="auto"/>
        <w:ind w:firstLine="480" w:firstLineChars="200"/>
        <w:rPr>
          <w:rFonts w:hAnsi="宋体" w:cs="宋体"/>
          <w:sz w:val="24"/>
          <w:szCs w:val="24"/>
          <w:highlight w:val="none"/>
        </w:rPr>
      </w:pPr>
      <w:r>
        <w:rPr>
          <w:rFonts w:hint="eastAsia" w:hAnsi="宋体" w:cs="宋体"/>
          <w:sz w:val="24"/>
          <w:szCs w:val="24"/>
          <w:highlight w:val="none"/>
        </w:rPr>
        <w:t>5.1.4评标办法；</w:t>
      </w:r>
    </w:p>
    <w:p w14:paraId="654CE2A7">
      <w:pPr>
        <w:pStyle w:val="35"/>
        <w:tabs>
          <w:tab w:val="left" w:pos="840"/>
        </w:tabs>
        <w:spacing w:line="360" w:lineRule="auto"/>
        <w:ind w:firstLine="480" w:firstLineChars="200"/>
        <w:rPr>
          <w:rFonts w:hAnsi="宋体" w:cs="宋体"/>
          <w:sz w:val="24"/>
          <w:szCs w:val="24"/>
          <w:highlight w:val="none"/>
        </w:rPr>
      </w:pPr>
      <w:r>
        <w:rPr>
          <w:rFonts w:hint="eastAsia" w:hAnsi="宋体" w:cs="宋体"/>
          <w:sz w:val="24"/>
          <w:szCs w:val="24"/>
          <w:highlight w:val="none"/>
        </w:rPr>
        <w:t>5.1.5拟签订的合同文本；</w:t>
      </w:r>
    </w:p>
    <w:p w14:paraId="0EF1C479">
      <w:pPr>
        <w:pStyle w:val="35"/>
        <w:tabs>
          <w:tab w:val="left" w:pos="840"/>
        </w:tabs>
        <w:spacing w:line="360" w:lineRule="auto"/>
        <w:ind w:firstLine="480" w:firstLineChars="2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588EA900">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2C890FD6">
      <w:pPr>
        <w:pStyle w:val="35"/>
        <w:spacing w:line="360" w:lineRule="auto"/>
        <w:rPr>
          <w:rFonts w:hAnsi="宋体" w:cs="宋体"/>
          <w:b/>
          <w:sz w:val="24"/>
          <w:szCs w:val="24"/>
          <w:highlight w:val="none"/>
        </w:rPr>
      </w:pPr>
      <w:r>
        <w:rPr>
          <w:rFonts w:hint="eastAsia" w:hAnsi="宋体" w:cs="宋体"/>
          <w:b/>
          <w:sz w:val="24"/>
          <w:szCs w:val="24"/>
          <w:highlight w:val="none"/>
        </w:rPr>
        <w:t>6. 招标文件的澄清、修改</w:t>
      </w:r>
    </w:p>
    <w:p w14:paraId="093A68D4">
      <w:pPr>
        <w:pStyle w:val="128"/>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6.1已获取招标文件的潜在投标人，若有问题需要澄清，应于投标截止时间前，以书面形式向采购代理机构提出。</w:t>
      </w:r>
    </w:p>
    <w:p w14:paraId="062DC887">
      <w:pPr>
        <w:pStyle w:val="128"/>
        <w:snapToGrid w:val="0"/>
        <w:spacing w:before="0"/>
        <w:ind w:firstLine="480"/>
        <w:rPr>
          <w:rFonts w:ascii="宋体" w:hAnsi="宋体" w:cs="宋体"/>
          <w:highlight w:val="none"/>
        </w:rPr>
      </w:pPr>
      <w:r>
        <w:rPr>
          <w:rFonts w:hint="eastAsia" w:ascii="宋体" w:hAnsi="宋体" w:cs="宋体"/>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BD862EC">
      <w:pPr>
        <w:pStyle w:val="24"/>
        <w:rPr>
          <w:rFonts w:hAnsi="宋体" w:cs="宋体"/>
          <w:sz w:val="18"/>
          <w:szCs w:val="18"/>
          <w:highlight w:val="none"/>
          <w:lang w:val="en-US"/>
        </w:rPr>
      </w:pPr>
      <w:r>
        <w:rPr>
          <w:rFonts w:hint="eastAsia" w:hAnsi="宋体" w:cs="宋体"/>
          <w:szCs w:val="24"/>
          <w:highlight w:val="none"/>
          <w:lang w:val="en-US"/>
        </w:rPr>
        <w:t xml:space="preserve">    </w:t>
      </w:r>
    </w:p>
    <w:p w14:paraId="3A94E794">
      <w:pPr>
        <w:adjustRightInd/>
        <w:spacing w:line="360" w:lineRule="auto"/>
        <w:jc w:val="center"/>
        <w:outlineLvl w:val="1"/>
        <w:rPr>
          <w:rFonts w:ascii="宋体" w:hAnsi="宋体" w:cs="宋体"/>
          <w:b/>
          <w:sz w:val="30"/>
          <w:szCs w:val="20"/>
          <w:highlight w:val="none"/>
        </w:rPr>
      </w:pPr>
      <w:r>
        <w:rPr>
          <w:rFonts w:hint="eastAsia" w:ascii="宋体" w:hAnsi="宋体" w:cs="宋体"/>
          <w:b/>
          <w:sz w:val="30"/>
          <w:szCs w:val="20"/>
          <w:highlight w:val="none"/>
        </w:rPr>
        <w:t>三、投标</w:t>
      </w:r>
    </w:p>
    <w:p w14:paraId="7D026451">
      <w:pPr>
        <w:pStyle w:val="35"/>
        <w:spacing w:line="360" w:lineRule="auto"/>
        <w:rPr>
          <w:rFonts w:hAnsi="宋体" w:cs="宋体"/>
          <w:b/>
          <w:sz w:val="24"/>
          <w:szCs w:val="24"/>
          <w:highlight w:val="none"/>
        </w:rPr>
      </w:pPr>
      <w:r>
        <w:rPr>
          <w:rFonts w:hint="eastAsia" w:hAnsi="宋体" w:cs="宋体"/>
          <w:b/>
          <w:sz w:val="24"/>
          <w:szCs w:val="24"/>
          <w:highlight w:val="none"/>
        </w:rPr>
        <w:t>7. 招标文件的获取</w:t>
      </w:r>
    </w:p>
    <w:p w14:paraId="5B78200F">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22F69D25">
      <w:pPr>
        <w:pStyle w:val="35"/>
        <w:spacing w:line="360" w:lineRule="auto"/>
        <w:rPr>
          <w:rFonts w:hAnsi="宋体" w:cs="宋体"/>
          <w:b/>
          <w:sz w:val="24"/>
          <w:szCs w:val="24"/>
          <w:highlight w:val="none"/>
        </w:rPr>
      </w:pPr>
      <w:r>
        <w:rPr>
          <w:rFonts w:hint="eastAsia" w:hAnsi="宋体" w:cs="宋体"/>
          <w:b/>
          <w:sz w:val="24"/>
          <w:szCs w:val="24"/>
          <w:highlight w:val="none"/>
        </w:rPr>
        <w:t>8.开标前答疑会或现场考察</w:t>
      </w:r>
    </w:p>
    <w:p w14:paraId="171D39ED">
      <w:pPr>
        <w:pStyle w:val="35"/>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5CA4F58D">
      <w:pPr>
        <w:pStyle w:val="35"/>
        <w:spacing w:line="360" w:lineRule="auto"/>
        <w:rPr>
          <w:rFonts w:hAnsi="宋体" w:cs="宋体"/>
          <w:b/>
          <w:szCs w:val="24"/>
          <w:highlight w:val="none"/>
        </w:rPr>
      </w:pPr>
      <w:r>
        <w:rPr>
          <w:rFonts w:hint="eastAsia" w:hAnsi="宋体" w:cs="宋体"/>
          <w:b/>
          <w:kern w:val="28"/>
          <w:sz w:val="24"/>
          <w:szCs w:val="24"/>
          <w:highlight w:val="none"/>
        </w:rPr>
        <w:t>9.投标保证金</w:t>
      </w:r>
    </w:p>
    <w:p w14:paraId="1F36DC0B">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9.1</w:t>
      </w:r>
      <w:r>
        <w:rPr>
          <w:rFonts w:hint="eastAsia" w:hAnsi="宋体" w:cs="宋体"/>
          <w:sz w:val="24"/>
          <w:highlight w:val="none"/>
        </w:rPr>
        <w:t>采购人在采购文件中要求提交投标保证金的，投标保证金的数额不得超过采购项目预算金额的1%，鼓励对诚信记录良好的供应商免收或者减少收取投标保证金，对于需要收取保证金的政府采购项目，政府采购信用白名单供应商可以免于缴纳保证金，降低信用白名单供应商参与政府采购活动成本。</w:t>
      </w:r>
      <w:r>
        <w:rPr>
          <w:rFonts w:hint="eastAsia" w:hAnsi="宋体" w:cs="宋体"/>
          <w:color w:val="auto"/>
          <w:sz w:val="24"/>
          <w:highlight w:val="none"/>
        </w:rPr>
        <w:t>投标保证金应当以支票、汇票、本票或者金融机构、担保机构出具的保函等非现金形式提交。</w:t>
      </w:r>
    </w:p>
    <w:p w14:paraId="1D156827">
      <w:pPr>
        <w:pStyle w:val="82"/>
        <w:ind w:firstLine="480" w:firstLineChars="200"/>
        <w:rPr>
          <w:rFonts w:cs="宋体"/>
          <w:kern w:val="2"/>
          <w:szCs w:val="24"/>
          <w:highlight w:val="none"/>
        </w:rPr>
      </w:pPr>
      <w:r>
        <w:rPr>
          <w:rFonts w:hint="eastAsia" w:cs="宋体"/>
          <w:kern w:val="2"/>
          <w:szCs w:val="24"/>
          <w:highlight w:val="none"/>
        </w:rPr>
        <w:t>投标保证金收取银行账户</w:t>
      </w:r>
    </w:p>
    <w:p w14:paraId="1BD5B08B">
      <w:pPr>
        <w:pStyle w:val="82"/>
        <w:ind w:firstLine="480" w:firstLineChars="200"/>
        <w:rPr>
          <w:rFonts w:cs="宋体"/>
          <w:kern w:val="2"/>
          <w:szCs w:val="24"/>
          <w:highlight w:val="none"/>
        </w:rPr>
      </w:pPr>
      <w:r>
        <w:rPr>
          <w:rFonts w:hint="eastAsia" w:cs="宋体"/>
          <w:kern w:val="2"/>
          <w:szCs w:val="24"/>
          <w:highlight w:val="none"/>
        </w:rPr>
        <w:t xml:space="preserve">开户名称： </w:t>
      </w:r>
    </w:p>
    <w:p w14:paraId="56F93699">
      <w:pPr>
        <w:pStyle w:val="82"/>
        <w:ind w:firstLine="480" w:firstLineChars="200"/>
        <w:rPr>
          <w:rFonts w:cs="宋体"/>
          <w:kern w:val="2"/>
          <w:szCs w:val="24"/>
          <w:highlight w:val="none"/>
        </w:rPr>
      </w:pPr>
      <w:r>
        <w:rPr>
          <w:rFonts w:hint="eastAsia" w:cs="宋体"/>
          <w:kern w:val="2"/>
          <w:szCs w:val="24"/>
          <w:highlight w:val="none"/>
        </w:rPr>
        <w:t xml:space="preserve">开户银行： </w:t>
      </w:r>
    </w:p>
    <w:p w14:paraId="07066B0F">
      <w:pPr>
        <w:pStyle w:val="82"/>
        <w:ind w:firstLine="480" w:firstLineChars="200"/>
        <w:rPr>
          <w:rFonts w:cs="宋体"/>
          <w:kern w:val="2"/>
          <w:szCs w:val="24"/>
          <w:highlight w:val="none"/>
        </w:rPr>
      </w:pPr>
      <w:r>
        <w:rPr>
          <w:rFonts w:hint="eastAsia" w:cs="宋体"/>
          <w:kern w:val="2"/>
          <w:szCs w:val="24"/>
          <w:highlight w:val="none"/>
        </w:rPr>
        <w:t>银行账号：</w:t>
      </w:r>
    </w:p>
    <w:p w14:paraId="403B9A06">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9.2投标人在投标截止时间前撤回已提交的投标文件的，采购人或者采购代理机构应当自收到投标人书面撤回通知之日起５个工作日内，退还已收取的投标保证金，但因投标人自身原因导致无法及时退还的除外。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705EC96A">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采购人或者采购代理机构应当自中标通知书发出之日起5个工作日内退还未中标人的投标保证金，自采购合同签订之日起5个工作日内退还中标人的投标保证金或者转为中标人的履约保证金。</w:t>
      </w:r>
    </w:p>
    <w:p w14:paraId="0836DA32">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采购人或者采购代理机构逾期退还投标保证金的，除应当退还投标保证金本金外，还应当按中国人民银行同期贷款基准利率上浮20％后的利率支付超期资金占用费，但因投标人自身原因导致无法及时退还的除外。</w:t>
      </w:r>
    </w:p>
    <w:p w14:paraId="64E50782">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9.3保证金不予退还情形：（1）投标人在投标有效期内撤销投标文件的；（2）采购文件规定的其他情形。</w:t>
      </w:r>
    </w:p>
    <w:p w14:paraId="4EBAAFA1">
      <w:pPr>
        <w:pStyle w:val="35"/>
        <w:spacing w:line="360" w:lineRule="auto"/>
        <w:rPr>
          <w:rFonts w:hAnsi="宋体" w:cs="宋体"/>
          <w:b/>
          <w:sz w:val="24"/>
          <w:szCs w:val="24"/>
          <w:highlight w:val="none"/>
        </w:rPr>
      </w:pPr>
      <w:r>
        <w:rPr>
          <w:rFonts w:hint="eastAsia" w:hAnsi="宋体" w:cs="宋体"/>
          <w:b/>
          <w:sz w:val="24"/>
          <w:szCs w:val="24"/>
          <w:highlight w:val="none"/>
        </w:rPr>
        <w:t>10. 投标文件的语言</w:t>
      </w:r>
    </w:p>
    <w:p w14:paraId="0628EDB1">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380D10C3">
      <w:pPr>
        <w:pStyle w:val="35"/>
        <w:spacing w:line="360" w:lineRule="auto"/>
        <w:rPr>
          <w:rFonts w:hAnsi="宋体" w:cs="宋体"/>
          <w:b/>
          <w:sz w:val="24"/>
          <w:szCs w:val="24"/>
          <w:highlight w:val="none"/>
        </w:rPr>
      </w:pPr>
      <w:r>
        <w:rPr>
          <w:rFonts w:hint="eastAsia" w:hAnsi="宋体" w:cs="宋体"/>
          <w:b/>
          <w:sz w:val="24"/>
          <w:szCs w:val="24"/>
          <w:highlight w:val="none"/>
        </w:rPr>
        <w:t>11. 投标文件的组成</w:t>
      </w:r>
      <w:r>
        <w:rPr>
          <w:rFonts w:hint="eastAsia" w:hAnsi="宋体" w:cs="宋体"/>
          <w:b/>
          <w:color w:val="FF0000"/>
          <w:sz w:val="24"/>
          <w:szCs w:val="24"/>
          <w:highlight w:val="none"/>
        </w:rPr>
        <w:t>（标注“▲”为实质性要求，供应商必须提供，否则投标无效。相关格式见招标文件第六部分）</w:t>
      </w:r>
    </w:p>
    <w:p w14:paraId="3023B031">
      <w:pPr>
        <w:snapToGrid w:val="0"/>
        <w:spacing w:line="360" w:lineRule="auto"/>
        <w:ind w:firstLine="482" w:firstLineChars="200"/>
        <w:rPr>
          <w:rFonts w:ascii="宋体" w:hAnsi="宋体" w:cs="宋体"/>
          <w:sz w:val="24"/>
          <w:highlight w:val="none"/>
        </w:rPr>
      </w:pPr>
      <w:r>
        <w:rPr>
          <w:rFonts w:hint="eastAsia" w:hAnsi="宋体" w:cs="宋体"/>
          <w:b/>
          <w:sz w:val="24"/>
          <w:highlight w:val="none"/>
        </w:rPr>
        <w:t>▲</w:t>
      </w: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7DD025F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14:paraId="3515E7A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1.1.2</w:t>
      </w:r>
      <w:bookmarkStart w:id="26" w:name="_Hlk101259339"/>
      <w:r>
        <w:rPr>
          <w:rFonts w:hint="eastAsia" w:ascii="宋体" w:hAnsi="宋体" w:cs="宋体"/>
          <w:snapToGrid w:val="0"/>
          <w:kern w:val="28"/>
          <w:sz w:val="24"/>
          <w:szCs w:val="20"/>
          <w:highlight w:val="none"/>
        </w:rPr>
        <w:t>联合协议</w:t>
      </w:r>
      <w:bookmarkEnd w:id="26"/>
      <w:r>
        <w:rPr>
          <w:rFonts w:hint="eastAsia" w:ascii="宋体" w:hAnsi="宋体" w:cs="宋体"/>
          <w:snapToGrid w:val="0"/>
          <w:kern w:val="28"/>
          <w:sz w:val="24"/>
          <w:szCs w:val="20"/>
          <w:highlight w:val="none"/>
        </w:rPr>
        <w:t>（如果有)；</w:t>
      </w:r>
    </w:p>
    <w:p w14:paraId="16D4749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3</w:t>
      </w:r>
      <w:r>
        <w:rPr>
          <w:rFonts w:hint="eastAsia" w:ascii="宋体" w:hAnsi="宋体" w:cs="宋体"/>
          <w:sz w:val="24"/>
          <w:highlight w:val="none"/>
        </w:rPr>
        <w:t>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4468322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0536ABD8">
      <w:pPr>
        <w:snapToGrid w:val="0"/>
        <w:spacing w:line="360" w:lineRule="auto"/>
        <w:ind w:firstLine="482" w:firstLineChars="200"/>
        <w:rPr>
          <w:rFonts w:ascii="宋体" w:hAnsi="宋体" w:cs="宋体"/>
          <w:b/>
          <w:sz w:val="24"/>
          <w:highlight w:val="none"/>
          <w:lang w:val="zh-CN"/>
        </w:rPr>
      </w:pPr>
      <w:r>
        <w:rPr>
          <w:rFonts w:hint="eastAsia" w:ascii="宋体" w:hAnsi="宋体" w:cs="宋体"/>
          <w:b/>
          <w:sz w:val="24"/>
          <w:highlight w:val="none"/>
          <w:lang w:val="zh-CN"/>
        </w:rPr>
        <w:t>11.</w:t>
      </w:r>
      <w:r>
        <w:rPr>
          <w:rFonts w:hint="eastAsia" w:ascii="宋体" w:hAnsi="宋体" w:cs="宋体"/>
          <w:b/>
          <w:sz w:val="24"/>
          <w:highlight w:val="none"/>
        </w:rPr>
        <w:t>2</w:t>
      </w:r>
      <w:r>
        <w:rPr>
          <w:rFonts w:hint="eastAsia" w:ascii="宋体" w:hAnsi="宋体" w:cs="宋体"/>
          <w:b/>
          <w:sz w:val="24"/>
          <w:highlight w:val="none"/>
          <w:lang w:val="zh-CN"/>
        </w:rPr>
        <w:t xml:space="preserve">  </w:t>
      </w:r>
      <w:r>
        <w:rPr>
          <w:rFonts w:hint="eastAsia" w:ascii="宋体" w:hAnsi="宋体" w:cs="宋体"/>
          <w:b/>
          <w:sz w:val="24"/>
          <w:highlight w:val="none"/>
        </w:rPr>
        <w:t>商务技术</w:t>
      </w:r>
      <w:r>
        <w:rPr>
          <w:rFonts w:hint="eastAsia" w:ascii="宋体" w:hAnsi="宋体" w:cs="宋体"/>
          <w:b/>
          <w:sz w:val="24"/>
          <w:highlight w:val="none"/>
          <w:lang w:val="zh-CN"/>
        </w:rPr>
        <w:t>文件：</w:t>
      </w:r>
    </w:p>
    <w:p w14:paraId="6630FAD7">
      <w:pPr>
        <w:snapToGrid w:val="0"/>
        <w:spacing w:line="360" w:lineRule="auto"/>
        <w:ind w:firstLine="482" w:firstLineChars="200"/>
        <w:rPr>
          <w:rFonts w:ascii="宋体" w:hAnsi="宋体" w:cs="宋体"/>
          <w:sz w:val="24"/>
          <w:highlight w:val="none"/>
        </w:rPr>
      </w:pPr>
      <w:r>
        <w:rPr>
          <w:rFonts w:hint="eastAsia" w:hAnsi="宋体" w:cs="宋体"/>
          <w:b/>
          <w:sz w:val="24"/>
          <w:highlight w:val="none"/>
        </w:rPr>
        <w:t>▲</w:t>
      </w:r>
      <w:r>
        <w:rPr>
          <w:rFonts w:hint="eastAsia" w:ascii="宋体" w:hAnsi="宋体" w:cs="宋体"/>
          <w:sz w:val="24"/>
          <w:highlight w:val="none"/>
        </w:rPr>
        <w:t>11.2.1投标函；</w:t>
      </w:r>
      <w:r>
        <w:rPr>
          <w:rFonts w:hint="eastAsia" w:ascii="宋体" w:hAnsi="宋体" w:cs="宋体"/>
          <w:sz w:val="24"/>
          <w:highlight w:val="none"/>
          <w:lang w:val="zh-CN"/>
        </w:rPr>
        <w:t xml:space="preserve"> </w:t>
      </w:r>
    </w:p>
    <w:p w14:paraId="48E9804C">
      <w:pPr>
        <w:snapToGrid w:val="0"/>
        <w:spacing w:line="360" w:lineRule="auto"/>
        <w:ind w:firstLine="482" w:firstLineChars="200"/>
        <w:rPr>
          <w:rFonts w:ascii="宋体" w:hAnsi="宋体" w:cs="宋体"/>
          <w:sz w:val="24"/>
          <w:highlight w:val="none"/>
        </w:rPr>
      </w:pPr>
      <w:r>
        <w:rPr>
          <w:rFonts w:hint="eastAsia" w:hAnsi="宋体" w:cs="宋体"/>
          <w:b/>
          <w:sz w:val="24"/>
          <w:highlight w:val="none"/>
        </w:rPr>
        <w:t>▲</w:t>
      </w:r>
      <w:r>
        <w:rPr>
          <w:rFonts w:hint="eastAsia" w:ascii="宋体" w:hAnsi="宋体" w:cs="宋体"/>
          <w:sz w:val="24"/>
          <w:highlight w:val="none"/>
        </w:rPr>
        <w:t>11.2.2授权委托书或法定代表人（单位负责人、自然人本人）身份证明；</w:t>
      </w:r>
    </w:p>
    <w:p w14:paraId="648CE8E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641A8EB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4</w:t>
      </w:r>
      <w:r>
        <w:rPr>
          <w:rFonts w:hint="eastAsia" w:ascii="宋体" w:hAnsi="宋体" w:cs="宋体"/>
          <w:sz w:val="24"/>
          <w:highlight w:val="none"/>
        </w:rPr>
        <w:t>符合性审查资料</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58667CE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5</w:t>
      </w:r>
      <w:r>
        <w:rPr>
          <w:rFonts w:hint="eastAsia" w:ascii="宋体" w:hAnsi="宋体" w:cs="宋体"/>
          <w:sz w:val="24"/>
          <w:highlight w:val="none"/>
        </w:rPr>
        <w:t>评标标准相应的商务技术资料</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73CB049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6</w:t>
      </w:r>
      <w:r>
        <w:rPr>
          <w:rFonts w:hint="eastAsia" w:ascii="宋体" w:hAnsi="宋体" w:cs="宋体"/>
          <w:sz w:val="24"/>
          <w:highlight w:val="none"/>
        </w:rPr>
        <w:t>投标标的清单</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61D08ABD">
      <w:pPr>
        <w:snapToGrid w:val="0"/>
        <w:spacing w:line="360" w:lineRule="auto"/>
        <w:ind w:firstLine="482" w:firstLineChars="200"/>
        <w:rPr>
          <w:rFonts w:ascii="宋体" w:hAnsi="宋体" w:cs="宋体"/>
          <w:sz w:val="24"/>
          <w:highlight w:val="none"/>
        </w:rPr>
      </w:pPr>
      <w:r>
        <w:rPr>
          <w:rFonts w:hint="eastAsia" w:hAnsi="宋体" w:cs="宋体"/>
          <w:b/>
          <w:sz w:val="24"/>
          <w:highlight w:val="none"/>
        </w:rPr>
        <w:t>▲</w:t>
      </w:r>
      <w:r>
        <w:rPr>
          <w:rFonts w:hint="eastAsia" w:ascii="宋体" w:hAnsi="宋体" w:cs="宋体"/>
          <w:sz w:val="24"/>
          <w:highlight w:val="none"/>
        </w:rPr>
        <w:t>11.2.</w:t>
      </w:r>
      <w:r>
        <w:rPr>
          <w:rFonts w:ascii="宋体" w:hAnsi="宋体" w:cs="宋体"/>
          <w:sz w:val="24"/>
          <w:highlight w:val="none"/>
        </w:rPr>
        <w:t>7</w:t>
      </w:r>
      <w:r>
        <w:rPr>
          <w:rFonts w:hint="eastAsia" w:ascii="宋体" w:hAnsi="宋体" w:cs="宋体"/>
          <w:sz w:val="24"/>
          <w:highlight w:val="none"/>
        </w:rPr>
        <w:t>商务技术偏离表；</w:t>
      </w:r>
    </w:p>
    <w:p w14:paraId="1E7FD084">
      <w:pPr>
        <w:snapToGrid w:val="0"/>
        <w:spacing w:line="360" w:lineRule="auto"/>
        <w:ind w:firstLine="482" w:firstLineChars="200"/>
        <w:rPr>
          <w:rFonts w:ascii="宋体" w:hAnsi="宋体" w:cs="宋体"/>
          <w:sz w:val="24"/>
          <w:highlight w:val="none"/>
          <w:lang w:val="zh-CN"/>
        </w:rPr>
      </w:pPr>
      <w:r>
        <w:rPr>
          <w:rFonts w:hint="eastAsia" w:hAnsi="宋体" w:cs="宋体"/>
          <w:b/>
          <w:sz w:val="24"/>
          <w:highlight w:val="none"/>
        </w:rPr>
        <w:t>▲</w:t>
      </w: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29CA54EC">
      <w:pPr>
        <w:pStyle w:val="82"/>
        <w:rPr>
          <w:highlight w:val="none"/>
        </w:rPr>
      </w:pPr>
      <w:r>
        <w:rPr>
          <w:rFonts w:hint="eastAsia" w:cs="宋体"/>
          <w:b/>
          <w:szCs w:val="24"/>
          <w:highlight w:val="none"/>
        </w:rPr>
        <w:t>▲</w:t>
      </w:r>
      <w:r>
        <w:rPr>
          <w:rFonts w:hint="eastAsia"/>
          <w:highlight w:val="none"/>
        </w:rPr>
        <w:t>11.2.9承诺函；</w:t>
      </w:r>
    </w:p>
    <w:p w14:paraId="7CAD56FD">
      <w:pPr>
        <w:pStyle w:val="82"/>
        <w:rPr>
          <w:highlight w:val="none"/>
        </w:rPr>
      </w:pPr>
      <w:r>
        <w:rPr>
          <w:rFonts w:hint="eastAsia"/>
          <w:highlight w:val="none"/>
        </w:rPr>
        <w:t>11.2.10技术解决方案</w:t>
      </w:r>
      <w:r>
        <w:rPr>
          <w:rFonts w:hint="eastAsia" w:cs="宋体"/>
          <w:snapToGrid w:val="0"/>
          <w:kern w:val="28"/>
          <w:highlight w:val="none"/>
        </w:rPr>
        <w:t>（如果有)</w:t>
      </w:r>
      <w:r>
        <w:rPr>
          <w:rFonts w:hint="eastAsia"/>
          <w:highlight w:val="none"/>
        </w:rPr>
        <w:t>。可以是针对本项目的完整技术解决方案和实施方案；详细阐述项目方案的实现思路及关键技术；符合本项目对当前和未来发展的要求；以及对功能设计和实施计划的建议；</w:t>
      </w:r>
    </w:p>
    <w:p w14:paraId="258091E4">
      <w:pPr>
        <w:pStyle w:val="82"/>
        <w:rPr>
          <w:highlight w:val="none"/>
        </w:rPr>
      </w:pPr>
      <w:r>
        <w:rPr>
          <w:rFonts w:hint="eastAsia"/>
          <w:highlight w:val="none"/>
        </w:rPr>
        <w:t>11.2.11组织实施方案</w:t>
      </w:r>
      <w:r>
        <w:rPr>
          <w:rFonts w:hint="eastAsia" w:cs="宋体"/>
          <w:snapToGrid w:val="0"/>
          <w:kern w:val="28"/>
          <w:highlight w:val="none"/>
        </w:rPr>
        <w:t>（如果有)</w:t>
      </w:r>
      <w:r>
        <w:rPr>
          <w:rFonts w:hint="eastAsia"/>
          <w:highlight w:val="none"/>
        </w:rPr>
        <w:t>。可以是本项目详细工作实施组织方案，包括(但不限于)以下内容：组织机构、工作时间进度表、工作程序和步骤、管理和协调方法、关键步骤的思路和要点；</w:t>
      </w:r>
    </w:p>
    <w:p w14:paraId="5965E0DB">
      <w:pPr>
        <w:pStyle w:val="82"/>
        <w:rPr>
          <w:highlight w:val="none"/>
        </w:rPr>
      </w:pPr>
      <w:r>
        <w:rPr>
          <w:rFonts w:hint="eastAsia" w:cs="宋体"/>
          <w:b/>
          <w:szCs w:val="24"/>
          <w:highlight w:val="none"/>
        </w:rPr>
        <w:t>▲</w:t>
      </w:r>
      <w:r>
        <w:rPr>
          <w:rFonts w:hint="eastAsia"/>
          <w:highlight w:val="none"/>
        </w:rPr>
        <w:t>11.2.12售后服务方案。可以是项目验收之后的维护方案；针对本项目的维护方案，包括本地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50395DE8">
      <w:pPr>
        <w:snapToGrid w:val="0"/>
        <w:spacing w:line="360" w:lineRule="auto"/>
        <w:ind w:firstLine="482" w:firstLineChars="200"/>
        <w:rPr>
          <w:rFonts w:ascii="宋体" w:hAnsi="宋体" w:cs="宋体"/>
          <w:sz w:val="24"/>
          <w:highlight w:val="none"/>
          <w:u w:val="single"/>
          <w:lang w:val="zh-CN"/>
        </w:rPr>
      </w:pPr>
      <w:r>
        <w:rPr>
          <w:rFonts w:hint="eastAsia" w:ascii="宋体" w:hAnsi="宋体" w:cs="宋体"/>
          <w:b/>
          <w:kern w:val="0"/>
          <w:sz w:val="24"/>
          <w:highlight w:val="none"/>
          <w:lang w:val="zh-CN"/>
        </w:rPr>
        <w:t>11.</w:t>
      </w:r>
      <w:r>
        <w:rPr>
          <w:rFonts w:hint="eastAsia" w:ascii="宋体" w:hAnsi="宋体" w:cs="宋体"/>
          <w:b/>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14:paraId="6DC7D77E">
      <w:pPr>
        <w:snapToGrid w:val="0"/>
        <w:spacing w:line="360" w:lineRule="auto"/>
        <w:ind w:firstLine="482" w:firstLineChars="200"/>
        <w:rPr>
          <w:rFonts w:ascii="宋体" w:hAnsi="宋体" w:cs="宋体"/>
          <w:sz w:val="24"/>
          <w:highlight w:val="none"/>
        </w:rPr>
      </w:pPr>
      <w:r>
        <w:rPr>
          <w:rFonts w:hint="eastAsia" w:hAnsi="宋体" w:cs="宋体"/>
          <w:b/>
          <w:sz w:val="24"/>
          <w:highlight w:val="none"/>
        </w:rPr>
        <w:t>▲</w:t>
      </w:r>
      <w:r>
        <w:rPr>
          <w:rFonts w:hint="eastAsia" w:ascii="宋体" w:hAnsi="宋体" w:cs="宋体"/>
          <w:sz w:val="24"/>
          <w:highlight w:val="none"/>
        </w:rPr>
        <w:t>11.3.1开标一览表（报价表）；</w:t>
      </w:r>
    </w:p>
    <w:p w14:paraId="6C66822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11.3.2中小企业声明函</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7033ABD2">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14:paraId="769A71FF">
      <w:pPr>
        <w:spacing w:line="360" w:lineRule="auto"/>
        <w:ind w:firstLine="482" w:firstLineChars="200"/>
        <w:rPr>
          <w:rFonts w:ascii="宋体" w:hAnsi="宋体" w:cs="宋体"/>
          <w:b/>
          <w:sz w:val="24"/>
          <w:szCs w:val="21"/>
          <w:highlight w:val="none"/>
        </w:rPr>
      </w:pPr>
      <w:r>
        <w:rPr>
          <w:rFonts w:hint="eastAsia" w:ascii="宋体" w:hAnsi="宋体" w:cs="宋体"/>
          <w:b/>
          <w:sz w:val="24"/>
          <w:highlight w:val="none"/>
        </w:rPr>
        <w:t>投标人提供虚假材料投标的，投标无效。</w:t>
      </w:r>
    </w:p>
    <w:p w14:paraId="5A14DEED">
      <w:pPr>
        <w:pStyle w:val="128"/>
        <w:snapToGrid w:val="0"/>
        <w:spacing w:before="0"/>
        <w:ind w:firstLine="0" w:firstLineChars="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p>
    <w:p w14:paraId="1CA4E141">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6685880">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广西政府采购云平台电子交易客户端”，并按照招标文件和电子交易平台的要求编制并加密投标文件。投标人未按规定加密的投标文件，电子交易平台将拒收并提示。</w:t>
      </w:r>
    </w:p>
    <w:p w14:paraId="2D21560B">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12.3使用“广西政府采购云平台电子交易客户端”需要提前申领CA数字证书，申领流程请自行前往“</w:t>
      </w:r>
      <w:r>
        <w:rPr>
          <w:rFonts w:hint="eastAsia" w:ascii="宋体" w:hAnsi="宋体" w:cs="宋体"/>
          <w:sz w:val="24"/>
          <w:highlight w:val="none"/>
        </w:rPr>
        <w:t>广西政府采购网（http://zfcg.gxzf.gov.cn/）—办事服务—下载专区</w:t>
      </w:r>
      <w:r>
        <w:rPr>
          <w:rFonts w:hint="eastAsia" w:ascii="宋体" w:hAnsi="宋体" w:cs="宋体"/>
          <w:kern w:val="0"/>
          <w:sz w:val="24"/>
          <w:highlight w:val="none"/>
          <w:lang w:val="zh-CN"/>
        </w:rPr>
        <w:t>”进行查阅。</w:t>
      </w:r>
    </w:p>
    <w:p w14:paraId="785CCD81">
      <w:pPr>
        <w:snapToGrid w:val="0"/>
        <w:spacing w:line="360" w:lineRule="auto"/>
        <w:rPr>
          <w:rFonts w:ascii="宋体" w:hAnsi="宋体" w:cs="宋体"/>
          <w:b/>
          <w:sz w:val="24"/>
          <w:highlight w:val="none"/>
        </w:rPr>
      </w:pPr>
      <w:r>
        <w:rPr>
          <w:rFonts w:hint="eastAsia" w:ascii="宋体" w:hAnsi="宋体" w:cs="宋体"/>
          <w:b/>
          <w:sz w:val="24"/>
          <w:highlight w:val="none"/>
        </w:rPr>
        <w:t>13.投标文件的签署、盖章</w:t>
      </w:r>
    </w:p>
    <w:p w14:paraId="0914A5CA">
      <w:pPr>
        <w:pStyle w:val="128"/>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234729B8">
      <w:pPr>
        <w:pStyle w:val="128"/>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13.2为确保网上操作合法、有效和安全，投标人应当在投标截止时间前完成在“广西政府采购云平台”的身份认证，确保在电子投标过程中能够对相关数据电文进行加密和使用电子签名。</w:t>
      </w:r>
    </w:p>
    <w:p w14:paraId="7F1C7B7F">
      <w:pPr>
        <w:pStyle w:val="128"/>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13.3招标文件对投标文件签署、盖章的要求适用于电子签名、CA签章以及招标文件明确允许的其他方式。</w:t>
      </w:r>
    </w:p>
    <w:p w14:paraId="6968D184">
      <w:pPr>
        <w:pStyle w:val="128"/>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14:paraId="1A7845D2">
      <w:pPr>
        <w:pStyle w:val="128"/>
        <w:spacing w:before="0"/>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B8E3917">
      <w:pPr>
        <w:pStyle w:val="128"/>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ECA52FE">
      <w:pPr>
        <w:pStyle w:val="128"/>
        <w:spacing w:before="0"/>
        <w:ind w:firstLine="480"/>
        <w:rPr>
          <w:rFonts w:ascii="宋体" w:hAnsi="宋体" w:cs="宋体"/>
          <w:szCs w:val="24"/>
          <w:highlight w:val="none"/>
        </w:rPr>
      </w:pPr>
      <w:r>
        <w:rPr>
          <w:rFonts w:hint="eastAsia" w:ascii="宋体" w:hAnsi="宋体" w:cs="宋体"/>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72FF49CB">
      <w:pPr>
        <w:pStyle w:val="35"/>
        <w:spacing w:line="360" w:lineRule="auto"/>
        <w:rPr>
          <w:rFonts w:hAnsi="宋体" w:cs="宋体"/>
          <w:b/>
          <w:sz w:val="24"/>
          <w:szCs w:val="24"/>
          <w:highlight w:val="none"/>
        </w:rPr>
      </w:pPr>
      <w:r>
        <w:rPr>
          <w:rFonts w:hint="eastAsia" w:hAnsi="宋体" w:cs="宋体"/>
          <w:b/>
          <w:sz w:val="24"/>
          <w:szCs w:val="24"/>
          <w:highlight w:val="none"/>
        </w:rPr>
        <w:t>15.备份投标文件</w:t>
      </w:r>
    </w:p>
    <w:p w14:paraId="433C382C">
      <w:pPr>
        <w:ind w:firstLine="480" w:firstLineChars="200"/>
        <w:rPr>
          <w:rFonts w:ascii="宋体" w:hAnsi="宋体" w:cs="宋体"/>
          <w:sz w:val="24"/>
          <w:highlight w:val="none"/>
        </w:rPr>
      </w:pPr>
      <w:r>
        <w:rPr>
          <w:rFonts w:hint="eastAsia" w:ascii="宋体" w:hAnsi="宋体" w:cs="宋体"/>
          <w:sz w:val="24"/>
          <w:highlight w:val="none"/>
        </w:rPr>
        <w:t>本项目不提交。</w:t>
      </w:r>
    </w:p>
    <w:p w14:paraId="0F4E6AB2">
      <w:pPr>
        <w:pStyle w:val="128"/>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14:paraId="11F387F3">
      <w:pPr>
        <w:pStyle w:val="27"/>
        <w:spacing w:line="360" w:lineRule="auto"/>
        <w:rPr>
          <w:rFonts w:cs="宋体"/>
          <w:szCs w:val="21"/>
          <w:highlight w:val="none"/>
        </w:rPr>
      </w:pPr>
      <w:r>
        <w:rPr>
          <w:rFonts w:hint="eastAsia" w:cs="宋体"/>
          <w:szCs w:val="21"/>
          <w:highlight w:val="none"/>
        </w:rPr>
        <w:t>有招标文件第四部分</w:t>
      </w:r>
      <w:r>
        <w:rPr>
          <w:rFonts w:cs="宋体"/>
          <w:highlight w:val="none"/>
        </w:rPr>
        <w:t>4.2规定</w:t>
      </w:r>
      <w:r>
        <w:rPr>
          <w:rFonts w:hint="eastAsia" w:cs="宋体"/>
          <w:szCs w:val="21"/>
          <w:highlight w:val="none"/>
        </w:rPr>
        <w:t>的情形之一的，投标无效：</w:t>
      </w:r>
    </w:p>
    <w:p w14:paraId="3D580EDB">
      <w:pPr>
        <w:pStyle w:val="128"/>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14:paraId="66F22A5E">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17.1投标有效期为从提交投标文件的截止之日起60天。▲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6CF51FF6">
      <w:pPr>
        <w:pStyle w:val="128"/>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7E4BB948">
      <w:pPr>
        <w:pStyle w:val="128"/>
        <w:spacing w:before="0"/>
        <w:ind w:firstLine="480"/>
        <w:rPr>
          <w:rFonts w:ascii="宋体" w:hAnsi="宋体" w:cs="宋体"/>
          <w:highlight w:val="none"/>
        </w:rPr>
      </w:pPr>
      <w:r>
        <w:rPr>
          <w:rFonts w:hint="eastAsia" w:ascii="宋体" w:hAnsi="宋体" w:cs="宋体"/>
          <w:highlight w:val="none"/>
        </w:rPr>
        <w:t>17.3在原定投标有效期满之前，如果出现特殊情况，</w:t>
      </w:r>
      <w:r>
        <w:rPr>
          <w:rFonts w:hint="eastAsia" w:ascii="宋体" w:hAnsi="宋体" w:cs="宋体"/>
          <w:color w:val="FF0000"/>
          <w:highlight w:val="none"/>
        </w:rPr>
        <w:t>采购人或</w:t>
      </w:r>
      <w:r>
        <w:rPr>
          <w:rFonts w:hint="eastAsia" w:ascii="宋体" w:hAnsi="宋体" w:cs="宋体"/>
          <w:highlight w:val="none"/>
        </w:rPr>
        <w:t>采购代理机构可以以书面形式通知</w:t>
      </w:r>
      <w:r>
        <w:rPr>
          <w:rFonts w:hint="eastAsia" w:ascii="宋体" w:hAnsi="宋体" w:cs="宋体"/>
          <w:color w:val="FF0000"/>
          <w:highlight w:val="none"/>
        </w:rPr>
        <w:t>所有</w:t>
      </w:r>
      <w:r>
        <w:rPr>
          <w:rFonts w:hint="eastAsia" w:ascii="宋体" w:hAnsi="宋体" w:cs="宋体"/>
          <w:highlight w:val="none"/>
        </w:rPr>
        <w:t>投标人延长投标有效期。投标人同意延长的，不得要求或被允许修改其投标文件，投标人拒绝延长的，其投标无效。</w:t>
      </w:r>
    </w:p>
    <w:p w14:paraId="318AFA73">
      <w:pPr>
        <w:pStyle w:val="128"/>
        <w:spacing w:before="0"/>
        <w:ind w:firstLine="643"/>
        <w:rPr>
          <w:rFonts w:ascii="宋体" w:hAnsi="宋体" w:cs="宋体"/>
          <w:b/>
          <w:sz w:val="32"/>
          <w:highlight w:val="none"/>
        </w:rPr>
      </w:pPr>
    </w:p>
    <w:p w14:paraId="1EA77F70">
      <w:pPr>
        <w:pStyle w:val="128"/>
        <w:spacing w:before="0"/>
        <w:ind w:firstLine="1928" w:firstLineChars="600"/>
        <w:outlineLvl w:val="1"/>
        <w:rPr>
          <w:rFonts w:ascii="宋体" w:hAnsi="宋体" w:cs="宋体"/>
          <w:b/>
          <w:sz w:val="32"/>
          <w:highlight w:val="none"/>
        </w:rPr>
      </w:pPr>
      <w:r>
        <w:rPr>
          <w:rFonts w:hint="eastAsia" w:ascii="宋体" w:hAnsi="宋体" w:cs="宋体"/>
          <w:b/>
          <w:sz w:val="32"/>
          <w:highlight w:val="none"/>
        </w:rPr>
        <w:t>四、开标、资格审查与信用信息查询</w:t>
      </w:r>
    </w:p>
    <w:p w14:paraId="7D92B23C">
      <w:pPr>
        <w:pStyle w:val="554"/>
        <w:spacing w:before="0" w:line="360" w:lineRule="auto"/>
        <w:ind w:left="0" w:firstLine="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14:paraId="17238904">
      <w:pPr>
        <w:pStyle w:val="554"/>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18.1采购代理机构按照招标文件规定的时间通过电子交易平台组织开标，所有投标人均应当准时在线参加。投标人不足3家的，不得开标。</w:t>
      </w:r>
    </w:p>
    <w:p w14:paraId="2F73022C">
      <w:pPr>
        <w:pStyle w:val="554"/>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5E74550E">
      <w:pPr>
        <w:pStyle w:val="554"/>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007BB350">
      <w:pPr>
        <w:widowControl/>
        <w:spacing w:line="360" w:lineRule="auto"/>
        <w:jc w:val="left"/>
        <w:rPr>
          <w:rFonts w:ascii="宋体" w:hAnsi="宋体" w:cs="宋体"/>
          <w:b/>
          <w:sz w:val="24"/>
          <w:szCs w:val="20"/>
          <w:highlight w:val="none"/>
        </w:rPr>
      </w:pPr>
      <w:r>
        <w:rPr>
          <w:rFonts w:hint="eastAsia" w:ascii="宋体" w:hAnsi="宋体" w:cs="宋体"/>
          <w:b/>
          <w:sz w:val="24"/>
          <w:szCs w:val="20"/>
          <w:highlight w:val="none"/>
        </w:rPr>
        <w:t>19.资格审查</w:t>
      </w:r>
    </w:p>
    <w:p w14:paraId="05428290">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19.1</w:t>
      </w:r>
      <w:r>
        <w:rPr>
          <w:rFonts w:hint="eastAsia" w:ascii="宋体" w:hAnsi="宋体" w:cs="宋体"/>
          <w:sz w:val="24"/>
          <w:highlight w:val="none"/>
        </w:rPr>
        <w:t>采购人依据法律法规和招标文件的规定，对投标人的资格进行审查。</w:t>
      </w:r>
    </w:p>
    <w:p w14:paraId="473C5FD1">
      <w:pPr>
        <w:pStyle w:val="128"/>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6DD40AF2">
      <w:pPr>
        <w:pStyle w:val="128"/>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3对未通过资格审查的投标人，采购人或采购代理机构告知其未通过的原因。</w:t>
      </w:r>
    </w:p>
    <w:p w14:paraId="0FAF5319">
      <w:pPr>
        <w:pStyle w:val="128"/>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14:paraId="0833219E">
      <w:pPr>
        <w:pStyle w:val="128"/>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14:paraId="205EC27A">
      <w:pPr>
        <w:pStyle w:val="128"/>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w:t>
      </w:r>
      <w:r>
        <w:rPr>
          <w:rFonts w:hint="eastAsia" w:ascii="宋体" w:hAnsi="宋体" w:cs="宋体"/>
          <w:highlight w:val="none"/>
        </w:rPr>
        <w:t>采购人或采购代理机构</w:t>
      </w:r>
      <w:r>
        <w:rPr>
          <w:rFonts w:hint="eastAsia" w:ascii="宋体" w:hAnsi="宋体" w:cs="宋体"/>
          <w:kern w:val="0"/>
          <w:szCs w:val="24"/>
          <w:highlight w:val="none"/>
        </w:rPr>
        <w:t>将在资格审查时通过“信用中国”网站(www.creditchina.gov.cn)、中国政府采购网(www.ccgp.gov.cn)渠道查询投标人接受资格审查时的信用记录。</w:t>
      </w:r>
    </w:p>
    <w:p w14:paraId="0D002F95">
      <w:pPr>
        <w:pStyle w:val="128"/>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7651C6EB">
      <w:pPr>
        <w:pStyle w:val="128"/>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D22506">
      <w:pPr>
        <w:pStyle w:val="128"/>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4E313985">
      <w:pPr>
        <w:pStyle w:val="128"/>
        <w:spacing w:before="0"/>
        <w:ind w:firstLine="0" w:firstLineChars="0"/>
        <w:rPr>
          <w:rFonts w:ascii="宋体" w:hAnsi="宋体" w:cs="宋体"/>
          <w:kern w:val="0"/>
          <w:szCs w:val="24"/>
          <w:highlight w:val="none"/>
        </w:rPr>
      </w:pPr>
    </w:p>
    <w:p w14:paraId="46634606">
      <w:pPr>
        <w:snapToGrid w:val="0"/>
        <w:spacing w:line="360" w:lineRule="auto"/>
        <w:jc w:val="center"/>
        <w:outlineLvl w:val="1"/>
        <w:rPr>
          <w:rFonts w:ascii="宋体" w:hAnsi="宋体" w:cs="宋体"/>
          <w:b/>
          <w:sz w:val="36"/>
          <w:szCs w:val="36"/>
          <w:highlight w:val="none"/>
        </w:rPr>
      </w:pPr>
      <w:r>
        <w:rPr>
          <w:rFonts w:hint="eastAsia" w:ascii="宋体" w:hAnsi="宋体" w:cs="宋体"/>
          <w:b/>
          <w:sz w:val="36"/>
          <w:szCs w:val="36"/>
          <w:highlight w:val="none"/>
        </w:rPr>
        <w:t>五、评标</w:t>
      </w:r>
    </w:p>
    <w:p w14:paraId="7167E200">
      <w:pPr>
        <w:spacing w:line="360" w:lineRule="auto"/>
        <w:rPr>
          <w:rFonts w:ascii="宋体" w:hAnsi="宋体" w:cs="宋体"/>
          <w:b/>
          <w:sz w:val="24"/>
          <w:highlight w:val="none"/>
        </w:rPr>
      </w:pPr>
      <w:bookmarkStart w:id="27" w:name="_Toc91899903"/>
      <w:r>
        <w:rPr>
          <w:rFonts w:hint="eastAsia" w:ascii="宋体" w:hAnsi="宋体" w:cs="宋体"/>
          <w:b/>
          <w:sz w:val="24"/>
          <w:highlight w:val="none"/>
        </w:rPr>
        <w:t>21.评标</w:t>
      </w:r>
    </w:p>
    <w:p w14:paraId="47992247">
      <w:pPr>
        <w:pStyle w:val="82"/>
        <w:rPr>
          <w:highlight w:val="none"/>
        </w:rPr>
      </w:pPr>
      <w:r>
        <w:rPr>
          <w:rFonts w:hint="eastAsia"/>
          <w:highlight w:val="none"/>
        </w:rPr>
        <w:t>21.1本招标采购项目的评标委员会由采购人代表和评审专家组成，成员人数应当为5人以上单数，其中评审专家不得少于成员总数的三分之二。采购项目符合下列情形之一的，评标委员会成员人数应当为7人以上单数：（一）采购预算金额在1000万元以上；（二）技术复杂；（三）社会影响较大。</w:t>
      </w:r>
    </w:p>
    <w:p w14:paraId="0FA16E68">
      <w:pPr>
        <w:pStyle w:val="82"/>
        <w:rPr>
          <w:rFonts w:cs="宋体"/>
          <w:b/>
          <w:highlight w:val="none"/>
        </w:rPr>
      </w:pPr>
      <w:r>
        <w:rPr>
          <w:rFonts w:hint="eastAsia" w:cs="宋体"/>
          <w:b/>
          <w:highlight w:val="none"/>
        </w:rPr>
        <w:t>21.2</w:t>
      </w:r>
      <w:r>
        <w:rPr>
          <w:rFonts w:hint="eastAsia" w:cs="宋体"/>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b/>
          <w:highlight w:val="none"/>
        </w:rPr>
        <w:t>详见招标文件第四部分评标办法。</w:t>
      </w:r>
    </w:p>
    <w:p w14:paraId="032764D0">
      <w:pPr>
        <w:pStyle w:val="82"/>
        <w:rPr>
          <w:highlight w:val="none"/>
        </w:rPr>
      </w:pPr>
    </w:p>
    <w:p w14:paraId="2266075E">
      <w:pPr>
        <w:spacing w:line="360" w:lineRule="auto"/>
        <w:rPr>
          <w:rFonts w:ascii="宋体" w:hAnsi="宋体" w:cs="宋体"/>
          <w:b/>
          <w:sz w:val="24"/>
          <w:highlight w:val="none"/>
        </w:rPr>
      </w:pPr>
    </w:p>
    <w:p w14:paraId="411949BB">
      <w:pPr>
        <w:snapToGrid w:val="0"/>
        <w:spacing w:line="360" w:lineRule="auto"/>
        <w:jc w:val="center"/>
        <w:outlineLvl w:val="1"/>
        <w:rPr>
          <w:rFonts w:ascii="宋体" w:hAnsi="宋体" w:cs="宋体"/>
          <w:b/>
          <w:sz w:val="36"/>
          <w:szCs w:val="36"/>
          <w:highlight w:val="none"/>
        </w:rPr>
      </w:pPr>
      <w:r>
        <w:rPr>
          <w:rFonts w:hint="eastAsia" w:ascii="宋体" w:hAnsi="宋体" w:cs="宋体"/>
          <w:b/>
          <w:sz w:val="36"/>
          <w:szCs w:val="36"/>
          <w:highlight w:val="none"/>
        </w:rPr>
        <w:t>六、定 标</w:t>
      </w:r>
    </w:p>
    <w:p w14:paraId="321D6B14">
      <w:pPr>
        <w:pStyle w:val="27"/>
        <w:spacing w:line="360" w:lineRule="auto"/>
        <w:ind w:left="479" w:hanging="479" w:hangingChars="199"/>
        <w:rPr>
          <w:rFonts w:cs="宋体"/>
          <w:b/>
          <w:highlight w:val="none"/>
        </w:rPr>
      </w:pPr>
      <w:r>
        <w:rPr>
          <w:rFonts w:hint="eastAsia" w:cs="宋体"/>
          <w:b/>
          <w:highlight w:val="none"/>
        </w:rPr>
        <w:t>22. 确定中标供应商</w:t>
      </w:r>
    </w:p>
    <w:p w14:paraId="4B85929C">
      <w:pPr>
        <w:pStyle w:val="128"/>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w:t>
      </w:r>
      <w:r>
        <w:rPr>
          <w:rFonts w:hint="eastAsia" w:ascii="宋体" w:hAnsi="宋体" w:cs="宋体"/>
          <w:szCs w:val="24"/>
          <w:highlight w:val="none"/>
          <w:lang w:eastAsia="zh-CN"/>
        </w:rPr>
        <w:t>采购人</w:t>
      </w:r>
      <w:r>
        <w:rPr>
          <w:rFonts w:hint="eastAsia" w:ascii="宋体" w:hAnsi="宋体" w:cs="宋体"/>
          <w:szCs w:val="24"/>
          <w:highlight w:val="none"/>
        </w:rPr>
        <w:t>应当自收到评审报告之日起</w:t>
      </w:r>
      <w:r>
        <w:rPr>
          <w:rFonts w:hint="eastAsia" w:ascii="宋体" w:hAnsi="宋体" w:cs="宋体"/>
          <w:color w:val="FF0000"/>
          <w:szCs w:val="24"/>
          <w:highlight w:val="none"/>
        </w:rPr>
        <w:t>5</w:t>
      </w:r>
      <w:r>
        <w:rPr>
          <w:rFonts w:hint="eastAsia" w:ascii="宋体" w:hAnsi="宋体" w:cs="宋体"/>
          <w:szCs w:val="24"/>
          <w:highlight w:val="none"/>
        </w:rPr>
        <w:t>个工作日内在线确定中标供应商。中标通知书和中标结果公告应当在规定时间内同时发出。</w:t>
      </w:r>
    </w:p>
    <w:p w14:paraId="123E284B">
      <w:pPr>
        <w:pStyle w:val="128"/>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094C1802">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23.1自中标人确定之日起2个工作日内，采购代理机构通过电子交易平台向中标人发出中标通知书，同时编制发布采购结果公告。采购代理机构也可以以纸质形式进行中标通知。</w:t>
      </w:r>
    </w:p>
    <w:p w14:paraId="3322BD77">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评审专家抽取规则、未中标情况说明、中标公告期限以及评审专家名单。项目采购采用最低评标价法的，公告中标结果时应当同时公告因落实政府采购政策等原因进行价格扣除后中标供应商和未中标供应商的评审报价及排名；项目采购采用综合评分法的，公告中标结果时应当同时公告中标供应商和未中标供应商的评审总得分及排名。鼓励发布中标结果公告时加大评审过程公开力度，但发布内容不得涉及国家秘密和商业秘密。</w:t>
      </w:r>
    </w:p>
    <w:p w14:paraId="2EC5CC89">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14:paraId="46D4CD3C">
      <w:pPr>
        <w:snapToGrid w:val="0"/>
        <w:spacing w:line="360" w:lineRule="auto"/>
        <w:ind w:left="120" w:leftChars="57" w:firstLine="482" w:firstLineChars="150"/>
        <w:jc w:val="center"/>
        <w:rPr>
          <w:rFonts w:ascii="宋体" w:hAnsi="宋体" w:cs="宋体"/>
          <w:b/>
          <w:sz w:val="32"/>
          <w:highlight w:val="none"/>
        </w:rPr>
      </w:pPr>
    </w:p>
    <w:p w14:paraId="04AAEA48">
      <w:pPr>
        <w:snapToGrid w:val="0"/>
        <w:spacing w:line="360" w:lineRule="auto"/>
        <w:ind w:left="120" w:leftChars="57" w:firstLine="482" w:firstLineChars="150"/>
        <w:jc w:val="center"/>
        <w:outlineLvl w:val="1"/>
        <w:rPr>
          <w:rFonts w:hint="eastAsia" w:ascii="宋体" w:hAnsi="宋体" w:cs="宋体"/>
          <w:b/>
          <w:sz w:val="32"/>
          <w:highlight w:val="none"/>
        </w:rPr>
      </w:pPr>
    </w:p>
    <w:p w14:paraId="2AE2F4D2">
      <w:pPr>
        <w:snapToGrid w:val="0"/>
        <w:spacing w:line="360" w:lineRule="auto"/>
        <w:ind w:left="120" w:leftChars="57" w:firstLine="482" w:firstLineChars="150"/>
        <w:jc w:val="center"/>
        <w:outlineLvl w:val="1"/>
        <w:rPr>
          <w:rFonts w:hint="eastAsia" w:ascii="宋体" w:hAnsi="宋体" w:cs="宋体"/>
          <w:b/>
          <w:sz w:val="32"/>
          <w:highlight w:val="none"/>
        </w:rPr>
      </w:pPr>
    </w:p>
    <w:p w14:paraId="467018B4">
      <w:pPr>
        <w:snapToGrid w:val="0"/>
        <w:spacing w:line="360" w:lineRule="auto"/>
        <w:ind w:left="120" w:leftChars="57" w:firstLine="482" w:firstLineChars="150"/>
        <w:jc w:val="center"/>
        <w:outlineLvl w:val="1"/>
        <w:rPr>
          <w:rFonts w:ascii="宋体" w:hAnsi="宋体" w:cs="宋体"/>
          <w:b/>
          <w:sz w:val="32"/>
          <w:highlight w:val="none"/>
        </w:rPr>
      </w:pPr>
      <w:r>
        <w:rPr>
          <w:rFonts w:hint="eastAsia" w:ascii="宋体" w:hAnsi="宋体" w:cs="宋体"/>
          <w:b/>
          <w:sz w:val="32"/>
          <w:highlight w:val="none"/>
        </w:rPr>
        <w:t>七、合同授予</w:t>
      </w:r>
    </w:p>
    <w:p w14:paraId="12DC2AA6">
      <w:pPr>
        <w:pStyle w:val="27"/>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496E70E3">
      <w:pPr>
        <w:pStyle w:val="27"/>
        <w:spacing w:line="360" w:lineRule="auto"/>
        <w:ind w:left="479" w:hanging="479" w:hangingChars="199"/>
        <w:rPr>
          <w:rFonts w:cs="宋体"/>
          <w:b/>
          <w:highlight w:val="none"/>
        </w:rPr>
      </w:pPr>
      <w:r>
        <w:rPr>
          <w:rFonts w:hint="eastAsia" w:cs="宋体"/>
          <w:b/>
          <w:highlight w:val="none"/>
        </w:rPr>
        <w:t>25. 合同的签订</w:t>
      </w:r>
    </w:p>
    <w:p w14:paraId="05A3E85A">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采购人与中标供应商应当自中标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799C834C">
      <w:pPr>
        <w:pStyle w:val="128"/>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A4922C6">
      <w:pPr>
        <w:pStyle w:val="128"/>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7B960129">
      <w:pPr>
        <w:pStyle w:val="128"/>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25.4中标供应商拒绝与采购人签订合同的，采购人可以按照评审报告推荐的中标候选人名单排序，确定下一候选人为中标供应商，也可以重新开展政府采购活动。</w:t>
      </w:r>
    </w:p>
    <w:p w14:paraId="551773E6">
      <w:pPr>
        <w:pStyle w:val="128"/>
        <w:snapToGrid w:val="0"/>
        <w:spacing w:before="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14:paraId="17B95E34">
      <w:pPr>
        <w:pStyle w:val="128"/>
        <w:snapToGrid w:val="0"/>
        <w:spacing w:before="0"/>
        <w:ind w:firstLine="480"/>
        <w:rPr>
          <w:rFonts w:ascii="宋体" w:hAnsi="宋体" w:cs="宋体"/>
          <w:highlight w:val="none"/>
        </w:rPr>
      </w:pPr>
      <w:r>
        <w:rPr>
          <w:rFonts w:hint="eastAsia" w:ascii="宋体" w:hAnsi="宋体" w:cs="宋体"/>
          <w:highlight w:val="none"/>
        </w:rPr>
        <w:t>25.6政采贷</w:t>
      </w:r>
    </w:p>
    <w:p w14:paraId="43492365">
      <w:pPr>
        <w:pStyle w:val="128"/>
        <w:snapToGrid w:val="0"/>
        <w:spacing w:before="0"/>
        <w:ind w:firstLine="480"/>
        <w:rPr>
          <w:rFonts w:ascii="宋体" w:hAnsi="宋体" w:cs="宋体"/>
          <w:highlight w:val="none"/>
        </w:rPr>
      </w:pPr>
      <w:r>
        <w:rPr>
          <w:rFonts w:hint="eastAsia" w:ascii="宋体" w:hAnsi="宋体" w:cs="宋体"/>
          <w:highlight w:val="none"/>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100DD578">
      <w:pPr>
        <w:pStyle w:val="128"/>
        <w:snapToGrid w:val="0"/>
        <w:spacing w:before="0"/>
        <w:ind w:firstLine="480"/>
        <w:rPr>
          <w:rFonts w:ascii="宋体" w:hAnsi="宋体" w:cs="宋体"/>
          <w:highlight w:val="none"/>
        </w:rPr>
      </w:pPr>
      <w:r>
        <w:rPr>
          <w:rFonts w:hint="eastAsia" w:ascii="宋体" w:hAnsi="宋体" w:cs="宋体"/>
          <w:highlight w:val="none"/>
        </w:rPr>
        <w:t>（一）融资申请。有融资需求的供应商取得《中标通知书》后，在签订采购合同前，向贷款金融机构递交融资申请表。中标供应商可以根据贷款需求等实际情况选择是否需要北海市小微企业融资担保有限公司提供担保增信，如需要提供担保增信则同时向北海市小微企业融资担保有限公司递交融资申请表。</w:t>
      </w:r>
    </w:p>
    <w:p w14:paraId="4A5FF1D1">
      <w:pPr>
        <w:pStyle w:val="128"/>
        <w:snapToGrid w:val="0"/>
        <w:spacing w:before="0"/>
        <w:ind w:firstLine="480"/>
        <w:rPr>
          <w:rFonts w:ascii="宋体" w:hAnsi="宋体" w:cs="宋体"/>
          <w:highlight w:val="none"/>
        </w:rPr>
      </w:pPr>
      <w:r>
        <w:rPr>
          <w:rFonts w:hint="eastAsia" w:ascii="宋体" w:hAnsi="宋体" w:cs="宋体"/>
          <w:highlight w:val="none"/>
        </w:rPr>
        <w:t>（二）资料审查。贷款金融机构查看有融资需求供应商有关资料，进行贷前独立评审，决定是否提供融资或融资担保。双方达成融资意向后，确定融资方案和回款账户，供应商与</w:t>
      </w:r>
      <w:r>
        <w:rPr>
          <w:rFonts w:hint="eastAsia" w:ascii="宋体" w:hAnsi="宋体" w:cs="宋体"/>
          <w:highlight w:val="none"/>
          <w:lang w:eastAsia="zh-CN"/>
        </w:rPr>
        <w:t>采购人</w:t>
      </w:r>
      <w:r>
        <w:rPr>
          <w:rFonts w:hint="eastAsia" w:ascii="宋体" w:hAnsi="宋体" w:cs="宋体"/>
          <w:highlight w:val="none"/>
        </w:rPr>
        <w:t>签订《政府采购合同》，并将金融机构监管账户设定为合同收款账户。其中，需北海市小微企业融资担保有限公司提供担保增信的，还需北海市小微企业融资担保有限公司进行保前独立评审。</w:t>
      </w:r>
    </w:p>
    <w:p w14:paraId="32D71CCF">
      <w:pPr>
        <w:pStyle w:val="128"/>
        <w:snapToGrid w:val="0"/>
        <w:spacing w:before="0"/>
        <w:ind w:firstLine="480"/>
        <w:rPr>
          <w:rFonts w:ascii="宋体" w:hAnsi="宋体" w:cs="宋体"/>
          <w:highlight w:val="none"/>
        </w:rPr>
      </w:pPr>
      <w:r>
        <w:rPr>
          <w:rFonts w:hint="eastAsia" w:ascii="宋体" w:hAnsi="宋体" w:cs="宋体"/>
          <w:highlight w:val="none"/>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790B7C24">
      <w:pPr>
        <w:pStyle w:val="128"/>
        <w:snapToGrid w:val="0"/>
        <w:spacing w:before="0"/>
        <w:ind w:firstLine="480"/>
        <w:rPr>
          <w:rFonts w:ascii="宋体" w:hAnsi="宋体" w:cs="宋体"/>
          <w:highlight w:val="none"/>
        </w:rPr>
      </w:pPr>
      <w:r>
        <w:rPr>
          <w:rFonts w:hint="eastAsia" w:ascii="宋体" w:hAnsi="宋体" w:cs="宋体"/>
          <w:highlight w:val="none"/>
        </w:rPr>
        <w:t>（四）贷款发放。贷款金融机构根据贷款协议向供应商发放贷款。</w:t>
      </w:r>
    </w:p>
    <w:p w14:paraId="15926984">
      <w:pPr>
        <w:pStyle w:val="128"/>
        <w:snapToGrid w:val="0"/>
        <w:spacing w:before="0"/>
        <w:ind w:firstLine="480"/>
        <w:rPr>
          <w:rFonts w:ascii="宋体" w:hAnsi="宋体" w:cs="宋体"/>
          <w:highlight w:val="none"/>
        </w:rPr>
      </w:pPr>
      <w:r>
        <w:rPr>
          <w:rFonts w:hint="eastAsia" w:ascii="宋体" w:hAnsi="宋体" w:cs="宋体"/>
          <w:highlight w:val="none"/>
        </w:rPr>
        <w:t>（五）按期还款。供应商获得贷款后应自觉履行政府采购合同，合同履行完毕后，</w:t>
      </w:r>
      <w:r>
        <w:rPr>
          <w:rFonts w:hint="eastAsia" w:ascii="宋体" w:hAnsi="宋体" w:cs="宋体"/>
          <w:highlight w:val="none"/>
          <w:lang w:eastAsia="zh-CN"/>
        </w:rPr>
        <w:t>采购人</w:t>
      </w:r>
      <w:r>
        <w:rPr>
          <w:rFonts w:hint="eastAsia" w:ascii="宋体" w:hAnsi="宋体" w:cs="宋体"/>
          <w:highlight w:val="none"/>
        </w:rPr>
        <w:t>根据合同约定时间和账户信息，严格按照财政资金管理的相关规定，及时将资金支付到采购合同收款账户。</w:t>
      </w:r>
    </w:p>
    <w:p w14:paraId="75C13368">
      <w:pPr>
        <w:pStyle w:val="128"/>
        <w:snapToGrid w:val="0"/>
        <w:spacing w:before="0"/>
        <w:ind w:firstLine="480"/>
        <w:rPr>
          <w:rFonts w:ascii="宋体" w:hAnsi="宋体" w:cs="宋体"/>
          <w:highlight w:val="none"/>
        </w:rPr>
      </w:pPr>
      <w:r>
        <w:rPr>
          <w:rFonts w:hint="eastAsia" w:ascii="宋体" w:hAnsi="宋体" w:cs="宋体"/>
          <w:highlight w:val="none"/>
        </w:rPr>
        <w:t>（六）业务终止。贷款偿清后，贷款金融机构或北海市小微企业融资担保有限公司及时办理应收账款质押注销登记，业务终止。</w:t>
      </w:r>
    </w:p>
    <w:p w14:paraId="5AA971EF">
      <w:pPr>
        <w:pStyle w:val="128"/>
        <w:snapToGrid w:val="0"/>
        <w:spacing w:before="0"/>
        <w:ind w:firstLine="480"/>
        <w:rPr>
          <w:rFonts w:ascii="宋体" w:hAnsi="宋体" w:cs="宋体"/>
          <w:highlight w:val="none"/>
        </w:rPr>
      </w:pPr>
      <w:r>
        <w:rPr>
          <w:rFonts w:hint="eastAsia" w:ascii="宋体" w:hAnsi="宋体" w:cs="宋体"/>
          <w:highlight w:val="none"/>
        </w:rPr>
        <w:t>注：相关合作银行的具体操作流程详见北海市政府采购中心首页“政采贷”板块。</w:t>
      </w:r>
    </w:p>
    <w:p w14:paraId="1A5441B2">
      <w:pPr>
        <w:pStyle w:val="128"/>
        <w:snapToGrid w:val="0"/>
        <w:spacing w:before="0"/>
        <w:ind w:firstLine="480"/>
        <w:rPr>
          <w:rFonts w:ascii="宋体" w:hAnsi="宋体" w:cs="宋体"/>
          <w:highlight w:val="none"/>
        </w:rPr>
      </w:pPr>
      <w:r>
        <w:rPr>
          <w:rFonts w:hint="eastAsia" w:ascii="宋体" w:hAnsi="宋体" w:cs="宋体"/>
          <w:highlight w:val="none"/>
        </w:rPr>
        <w:t>对于列入《政府采购信用白名单》的供应商，在获取“政采贷”流水贷产品时给予更高的授信额度，在申请“政采贷”合同贷产品时，可享受较低的贷款利率，同时信用白名单供应商获得信贷时长进一步缩短。</w:t>
      </w:r>
    </w:p>
    <w:p w14:paraId="58FC7447">
      <w:pPr>
        <w:autoSpaceDE w:val="0"/>
        <w:autoSpaceDN w:val="0"/>
        <w:adjustRightInd/>
        <w:snapToGrid w:val="0"/>
        <w:spacing w:line="360" w:lineRule="auto"/>
        <w:ind w:firstLine="480" w:firstLineChars="200"/>
        <w:textAlignment w:val="bottom"/>
        <w:rPr>
          <w:rFonts w:ascii="宋体" w:hAnsi="宋体" w:cs="宋体"/>
          <w:sz w:val="24"/>
          <w:szCs w:val="20"/>
          <w:highlight w:val="none"/>
        </w:rPr>
      </w:pPr>
      <w:r>
        <w:rPr>
          <w:rFonts w:hint="eastAsia" w:ascii="宋体" w:hAnsi="宋体" w:cs="宋体"/>
          <w:sz w:val="24"/>
          <w:szCs w:val="20"/>
          <w:highlight w:val="none"/>
        </w:rPr>
        <w:t>供应商中标后可在“广西政府采购云”平台申请政采贷：操作路径：登录广西政府采购云平台-金融服务中心-【融资服务】，可在热门申请中选择产品直接申请。详见如下：</w:t>
      </w:r>
    </w:p>
    <w:p w14:paraId="01B882A0">
      <w:pPr>
        <w:pStyle w:val="82"/>
        <w:rPr>
          <w:highlight w:val="none"/>
        </w:rPr>
      </w:pPr>
      <w:r>
        <w:rPr>
          <w:rFonts w:hint="eastAsia"/>
          <w:highlight w:val="none"/>
        </w:rPr>
        <w:t>1.有贷款需求的供应商可以访问“广西政府采购云平台-金融服务-融资服务”栏目办理有关业务（链接：</w:t>
      </w:r>
      <w:r>
        <w:rPr>
          <w:highlight w:val="none"/>
        </w:rPr>
        <w:fldChar w:fldCharType="begin"/>
      </w:r>
      <w:r>
        <w:rPr>
          <w:highlight w:val="none"/>
        </w:rPr>
        <w:instrText xml:space="preserve"> HYPERLINK "https://jinrong.gcy.zfcg.gxzf.gov.cn/finance/loan/gx" </w:instrText>
      </w:r>
      <w:r>
        <w:rPr>
          <w:highlight w:val="none"/>
        </w:rPr>
        <w:fldChar w:fldCharType="separate"/>
      </w:r>
      <w:r>
        <w:rPr>
          <w:rStyle w:val="76"/>
          <w:rFonts w:ascii="宋体" w:hAnsi="宋体" w:eastAsia="宋体" w:cs="Times New Roman"/>
          <w:snapToGrid/>
          <w:sz w:val="24"/>
          <w:szCs w:val="20"/>
          <w:highlight w:val="none"/>
        </w:rPr>
        <w:t>https://jinrong.gcy.zfcg.gxzf.gov.cn/finance/loan/gx</w:t>
      </w:r>
      <w:r>
        <w:rPr>
          <w:rStyle w:val="76"/>
          <w:rFonts w:ascii="宋体" w:hAnsi="宋体" w:eastAsia="宋体" w:cs="Times New Roman"/>
          <w:snapToGrid/>
          <w:sz w:val="24"/>
          <w:szCs w:val="20"/>
          <w:highlight w:val="none"/>
        </w:rPr>
        <w:fldChar w:fldCharType="end"/>
      </w:r>
      <w:r>
        <w:rPr>
          <w:rFonts w:hint="eastAsia"/>
          <w:highlight w:val="none"/>
        </w:rPr>
        <w:t>）</w:t>
      </w:r>
    </w:p>
    <w:p w14:paraId="59F8CCEE">
      <w:pPr>
        <w:pStyle w:val="82"/>
        <w:rPr>
          <w:highlight w:val="none"/>
        </w:rPr>
      </w:pPr>
      <w:r>
        <w:rPr>
          <w:rFonts w:hint="eastAsia"/>
          <w:highlight w:val="none"/>
        </w:rPr>
        <w:t>2.合作银行咨询办理</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229B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7DC93A9C">
            <w:pPr>
              <w:pStyle w:val="82"/>
              <w:ind w:firstLine="0"/>
              <w:jc w:val="center"/>
              <w:rPr>
                <w:highlight w:val="none"/>
              </w:rPr>
            </w:pPr>
            <w:r>
              <w:rPr>
                <w:rFonts w:hint="eastAsia"/>
                <w:highlight w:val="none"/>
              </w:rPr>
              <w:t>银行名称</w:t>
            </w:r>
          </w:p>
        </w:tc>
        <w:tc>
          <w:tcPr>
            <w:tcW w:w="1134" w:type="dxa"/>
            <w:vAlign w:val="center"/>
          </w:tcPr>
          <w:p w14:paraId="4FAA60EE">
            <w:pPr>
              <w:pStyle w:val="82"/>
              <w:ind w:firstLine="0"/>
              <w:jc w:val="center"/>
              <w:rPr>
                <w:highlight w:val="none"/>
              </w:rPr>
            </w:pPr>
            <w:r>
              <w:rPr>
                <w:rFonts w:hint="eastAsia"/>
                <w:highlight w:val="none"/>
              </w:rPr>
              <w:t>联系电话</w:t>
            </w:r>
          </w:p>
        </w:tc>
        <w:tc>
          <w:tcPr>
            <w:tcW w:w="1701" w:type="dxa"/>
            <w:vAlign w:val="center"/>
          </w:tcPr>
          <w:p w14:paraId="78F8B520">
            <w:pPr>
              <w:pStyle w:val="82"/>
              <w:ind w:firstLine="0"/>
              <w:jc w:val="center"/>
              <w:rPr>
                <w:highlight w:val="none"/>
              </w:rPr>
            </w:pPr>
            <w:r>
              <w:rPr>
                <w:rFonts w:hint="eastAsia"/>
                <w:highlight w:val="none"/>
              </w:rPr>
              <w:t>最高授信金额</w:t>
            </w:r>
          </w:p>
        </w:tc>
        <w:tc>
          <w:tcPr>
            <w:tcW w:w="993" w:type="dxa"/>
            <w:vAlign w:val="center"/>
          </w:tcPr>
          <w:p w14:paraId="513C7541">
            <w:pPr>
              <w:pStyle w:val="82"/>
              <w:ind w:firstLine="0"/>
              <w:jc w:val="center"/>
              <w:rPr>
                <w:highlight w:val="none"/>
              </w:rPr>
            </w:pPr>
            <w:r>
              <w:rPr>
                <w:rFonts w:hint="eastAsia"/>
                <w:highlight w:val="none"/>
              </w:rPr>
              <w:t>最长授信期限</w:t>
            </w:r>
          </w:p>
        </w:tc>
        <w:tc>
          <w:tcPr>
            <w:tcW w:w="850" w:type="dxa"/>
            <w:vAlign w:val="center"/>
          </w:tcPr>
          <w:p w14:paraId="589CA2B9">
            <w:pPr>
              <w:pStyle w:val="82"/>
              <w:ind w:firstLine="0"/>
              <w:jc w:val="center"/>
              <w:rPr>
                <w:highlight w:val="none"/>
              </w:rPr>
            </w:pPr>
            <w:r>
              <w:rPr>
                <w:rFonts w:hint="eastAsia"/>
                <w:highlight w:val="none"/>
              </w:rPr>
              <w:t>最低利率</w:t>
            </w:r>
          </w:p>
        </w:tc>
        <w:tc>
          <w:tcPr>
            <w:tcW w:w="3366" w:type="dxa"/>
            <w:vAlign w:val="center"/>
          </w:tcPr>
          <w:p w14:paraId="56AE236F">
            <w:pPr>
              <w:pStyle w:val="82"/>
              <w:ind w:firstLine="0"/>
              <w:jc w:val="center"/>
              <w:rPr>
                <w:highlight w:val="none"/>
              </w:rPr>
            </w:pPr>
            <w:r>
              <w:rPr>
                <w:rFonts w:hint="eastAsia"/>
                <w:highlight w:val="none"/>
              </w:rPr>
              <w:t>流程简介</w:t>
            </w:r>
          </w:p>
        </w:tc>
      </w:tr>
      <w:tr w14:paraId="0593A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CD2AC23">
            <w:pPr>
              <w:pStyle w:val="82"/>
              <w:ind w:firstLine="0"/>
              <w:jc w:val="center"/>
              <w:rPr>
                <w:highlight w:val="none"/>
              </w:rPr>
            </w:pPr>
            <w:r>
              <w:rPr>
                <w:rFonts w:hint="eastAsia"/>
                <w:highlight w:val="none"/>
              </w:rPr>
              <w:t>建设银行</w:t>
            </w:r>
          </w:p>
        </w:tc>
        <w:tc>
          <w:tcPr>
            <w:tcW w:w="1134" w:type="dxa"/>
            <w:vAlign w:val="center"/>
          </w:tcPr>
          <w:p w14:paraId="64ED9B60">
            <w:pPr>
              <w:pStyle w:val="82"/>
              <w:ind w:firstLine="0"/>
              <w:jc w:val="center"/>
              <w:rPr>
                <w:highlight w:val="none"/>
              </w:rPr>
            </w:pPr>
            <w:r>
              <w:rPr>
                <w:rFonts w:hint="eastAsia"/>
                <w:highlight w:val="none"/>
              </w:rPr>
              <w:t>13077729988</w:t>
            </w:r>
          </w:p>
        </w:tc>
        <w:tc>
          <w:tcPr>
            <w:tcW w:w="1701" w:type="dxa"/>
            <w:vAlign w:val="center"/>
          </w:tcPr>
          <w:p w14:paraId="32D2F199">
            <w:pPr>
              <w:pStyle w:val="82"/>
              <w:ind w:firstLine="0"/>
              <w:rPr>
                <w:highlight w:val="none"/>
              </w:rPr>
            </w:pPr>
            <w:r>
              <w:rPr>
                <w:rFonts w:hint="eastAsia"/>
                <w:highlight w:val="none"/>
              </w:rPr>
              <w:t>最高3千万</w:t>
            </w:r>
          </w:p>
        </w:tc>
        <w:tc>
          <w:tcPr>
            <w:tcW w:w="993" w:type="dxa"/>
            <w:vAlign w:val="center"/>
          </w:tcPr>
          <w:p w14:paraId="2226F4D1">
            <w:pPr>
              <w:pStyle w:val="82"/>
              <w:ind w:firstLine="0"/>
              <w:jc w:val="center"/>
              <w:rPr>
                <w:highlight w:val="none"/>
              </w:rPr>
            </w:pPr>
            <w:r>
              <w:rPr>
                <w:rFonts w:hint="eastAsia"/>
                <w:highlight w:val="none"/>
              </w:rPr>
              <w:t>1年</w:t>
            </w:r>
          </w:p>
        </w:tc>
        <w:tc>
          <w:tcPr>
            <w:tcW w:w="850" w:type="dxa"/>
            <w:vAlign w:val="center"/>
          </w:tcPr>
          <w:p w14:paraId="45D3B961">
            <w:pPr>
              <w:pStyle w:val="82"/>
              <w:ind w:firstLine="0"/>
              <w:jc w:val="center"/>
              <w:rPr>
                <w:highlight w:val="none"/>
              </w:rPr>
            </w:pPr>
            <w:r>
              <w:rPr>
                <w:rFonts w:hint="eastAsia"/>
                <w:highlight w:val="none"/>
              </w:rPr>
              <w:t>4%</w:t>
            </w:r>
          </w:p>
        </w:tc>
        <w:tc>
          <w:tcPr>
            <w:tcW w:w="3366" w:type="dxa"/>
            <w:vAlign w:val="center"/>
          </w:tcPr>
          <w:p w14:paraId="0C506894">
            <w:pPr>
              <w:pStyle w:val="82"/>
              <w:ind w:firstLine="0"/>
              <w:rPr>
                <w:highlight w:val="none"/>
              </w:rPr>
            </w:pPr>
            <w:r>
              <w:rPr>
                <w:rFonts w:hint="eastAsia"/>
                <w:highlight w:val="none"/>
              </w:rPr>
              <w:t>开设账号，线下提供申请材料，进入贷款审批流程，贷款审批通过后可自主用款，银行官方网银可自主还款。</w:t>
            </w:r>
          </w:p>
        </w:tc>
      </w:tr>
      <w:tr w14:paraId="59A28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919DB51">
            <w:pPr>
              <w:pStyle w:val="82"/>
              <w:ind w:firstLine="0"/>
              <w:jc w:val="center"/>
              <w:rPr>
                <w:highlight w:val="none"/>
              </w:rPr>
            </w:pPr>
            <w:r>
              <w:rPr>
                <w:rFonts w:hint="eastAsia"/>
                <w:highlight w:val="none"/>
              </w:rPr>
              <w:t>中国银行</w:t>
            </w:r>
          </w:p>
        </w:tc>
        <w:tc>
          <w:tcPr>
            <w:tcW w:w="1134" w:type="dxa"/>
            <w:vAlign w:val="center"/>
          </w:tcPr>
          <w:p w14:paraId="2E440858">
            <w:pPr>
              <w:pStyle w:val="82"/>
              <w:ind w:firstLine="0"/>
              <w:jc w:val="center"/>
              <w:rPr>
                <w:highlight w:val="none"/>
              </w:rPr>
            </w:pPr>
            <w:r>
              <w:rPr>
                <w:rFonts w:hint="eastAsia"/>
                <w:highlight w:val="none"/>
              </w:rPr>
              <w:t>0779-3997084</w:t>
            </w:r>
          </w:p>
        </w:tc>
        <w:tc>
          <w:tcPr>
            <w:tcW w:w="1701" w:type="dxa"/>
            <w:vAlign w:val="center"/>
          </w:tcPr>
          <w:p w14:paraId="10F510C8">
            <w:pPr>
              <w:pStyle w:val="82"/>
              <w:ind w:firstLine="0"/>
              <w:rPr>
                <w:highlight w:val="none"/>
              </w:rPr>
            </w:pPr>
            <w:r>
              <w:rPr>
                <w:rFonts w:hint="eastAsia"/>
                <w:highlight w:val="none"/>
              </w:rPr>
              <w:t>最高1千万</w:t>
            </w:r>
          </w:p>
        </w:tc>
        <w:tc>
          <w:tcPr>
            <w:tcW w:w="993" w:type="dxa"/>
            <w:vAlign w:val="center"/>
          </w:tcPr>
          <w:p w14:paraId="13472A80">
            <w:pPr>
              <w:pStyle w:val="82"/>
              <w:ind w:firstLine="0"/>
              <w:jc w:val="center"/>
              <w:rPr>
                <w:highlight w:val="none"/>
              </w:rPr>
            </w:pPr>
            <w:r>
              <w:rPr>
                <w:rFonts w:hint="eastAsia"/>
                <w:highlight w:val="none"/>
              </w:rPr>
              <w:t>3年</w:t>
            </w:r>
          </w:p>
        </w:tc>
        <w:tc>
          <w:tcPr>
            <w:tcW w:w="850" w:type="dxa"/>
            <w:vAlign w:val="center"/>
          </w:tcPr>
          <w:p w14:paraId="2023F30B">
            <w:pPr>
              <w:pStyle w:val="82"/>
              <w:ind w:firstLine="0"/>
              <w:jc w:val="center"/>
              <w:rPr>
                <w:highlight w:val="none"/>
              </w:rPr>
            </w:pPr>
            <w:r>
              <w:rPr>
                <w:rFonts w:hint="eastAsia"/>
                <w:highlight w:val="none"/>
              </w:rPr>
              <w:t>1.93%</w:t>
            </w:r>
          </w:p>
        </w:tc>
        <w:tc>
          <w:tcPr>
            <w:tcW w:w="3366" w:type="dxa"/>
            <w:vAlign w:val="center"/>
          </w:tcPr>
          <w:p w14:paraId="7E46D81C">
            <w:pPr>
              <w:pStyle w:val="82"/>
              <w:ind w:firstLine="0"/>
              <w:rPr>
                <w:highlight w:val="none"/>
              </w:rPr>
            </w:pPr>
            <w:r>
              <w:rPr>
                <w:rFonts w:hint="eastAsia"/>
                <w:highlight w:val="none"/>
              </w:rPr>
              <w:t>在银行开户，线上申请，上传所需材料，等待审批，审批通过后可直接在手机银行提款。</w:t>
            </w:r>
          </w:p>
        </w:tc>
      </w:tr>
      <w:tr w14:paraId="25229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0CCFF9F">
            <w:pPr>
              <w:pStyle w:val="82"/>
              <w:ind w:firstLine="0"/>
              <w:jc w:val="center"/>
              <w:rPr>
                <w:highlight w:val="none"/>
              </w:rPr>
            </w:pPr>
            <w:r>
              <w:rPr>
                <w:rFonts w:hint="eastAsia"/>
                <w:highlight w:val="none"/>
              </w:rPr>
              <w:t>兴业银行</w:t>
            </w:r>
          </w:p>
        </w:tc>
        <w:tc>
          <w:tcPr>
            <w:tcW w:w="1134" w:type="dxa"/>
            <w:vAlign w:val="center"/>
          </w:tcPr>
          <w:p w14:paraId="4C886D85">
            <w:pPr>
              <w:pStyle w:val="82"/>
              <w:ind w:firstLine="0"/>
              <w:jc w:val="center"/>
              <w:rPr>
                <w:highlight w:val="none"/>
              </w:rPr>
            </w:pPr>
            <w:r>
              <w:rPr>
                <w:rFonts w:hint="eastAsia"/>
                <w:highlight w:val="none"/>
              </w:rPr>
              <w:t>0779-3158330</w:t>
            </w:r>
          </w:p>
        </w:tc>
        <w:tc>
          <w:tcPr>
            <w:tcW w:w="1701" w:type="dxa"/>
            <w:vAlign w:val="center"/>
          </w:tcPr>
          <w:p w14:paraId="4D7463BF">
            <w:pPr>
              <w:pStyle w:val="82"/>
              <w:ind w:firstLine="0"/>
              <w:rPr>
                <w:highlight w:val="none"/>
              </w:rPr>
            </w:pPr>
            <w:r>
              <w:rPr>
                <w:rFonts w:hint="eastAsia"/>
                <w:highlight w:val="none"/>
              </w:rPr>
              <w:t>最高1千万（单笔提款金额达合同金额70%）</w:t>
            </w:r>
          </w:p>
        </w:tc>
        <w:tc>
          <w:tcPr>
            <w:tcW w:w="993" w:type="dxa"/>
            <w:vAlign w:val="center"/>
          </w:tcPr>
          <w:p w14:paraId="4523A2C5">
            <w:pPr>
              <w:pStyle w:val="82"/>
              <w:ind w:firstLine="0"/>
              <w:jc w:val="center"/>
              <w:rPr>
                <w:highlight w:val="none"/>
              </w:rPr>
            </w:pPr>
            <w:r>
              <w:rPr>
                <w:rFonts w:hint="eastAsia"/>
                <w:highlight w:val="none"/>
              </w:rPr>
              <w:t>1年</w:t>
            </w:r>
          </w:p>
        </w:tc>
        <w:tc>
          <w:tcPr>
            <w:tcW w:w="850" w:type="dxa"/>
            <w:vAlign w:val="center"/>
          </w:tcPr>
          <w:p w14:paraId="226D8D9F">
            <w:pPr>
              <w:pStyle w:val="82"/>
              <w:ind w:firstLine="0"/>
              <w:jc w:val="center"/>
              <w:rPr>
                <w:highlight w:val="none"/>
              </w:rPr>
            </w:pPr>
            <w:r>
              <w:rPr>
                <w:rFonts w:hint="eastAsia"/>
                <w:highlight w:val="none"/>
              </w:rPr>
              <w:t>3.70%</w:t>
            </w:r>
          </w:p>
        </w:tc>
        <w:tc>
          <w:tcPr>
            <w:tcW w:w="3366" w:type="dxa"/>
            <w:vAlign w:val="center"/>
          </w:tcPr>
          <w:p w14:paraId="7D4B328C">
            <w:pPr>
              <w:pStyle w:val="82"/>
              <w:ind w:firstLine="0"/>
              <w:rPr>
                <w:highlight w:val="none"/>
              </w:rPr>
            </w:pPr>
            <w:r>
              <w:rPr>
                <w:rFonts w:hint="eastAsia"/>
                <w:highlight w:val="none"/>
              </w:rPr>
              <w:t>全流程线上，初次申请开立账户，提供营业执照、采购合同、信用材料等，申请复审，签订合同，提交单笔贷款使用需求，贷款到账后受托使用。</w:t>
            </w:r>
          </w:p>
        </w:tc>
      </w:tr>
      <w:tr w14:paraId="0284F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17ABD9A">
            <w:pPr>
              <w:pStyle w:val="82"/>
              <w:ind w:firstLine="0"/>
              <w:jc w:val="center"/>
              <w:rPr>
                <w:highlight w:val="none"/>
              </w:rPr>
            </w:pPr>
            <w:r>
              <w:rPr>
                <w:rFonts w:hint="eastAsia"/>
                <w:highlight w:val="none"/>
              </w:rPr>
              <w:t>工商银行</w:t>
            </w:r>
          </w:p>
        </w:tc>
        <w:tc>
          <w:tcPr>
            <w:tcW w:w="1134" w:type="dxa"/>
            <w:vAlign w:val="center"/>
          </w:tcPr>
          <w:p w14:paraId="50810D11">
            <w:pPr>
              <w:pStyle w:val="82"/>
              <w:ind w:firstLine="0"/>
              <w:jc w:val="center"/>
              <w:rPr>
                <w:highlight w:val="none"/>
              </w:rPr>
            </w:pPr>
            <w:r>
              <w:rPr>
                <w:rFonts w:hint="eastAsia"/>
                <w:highlight w:val="none"/>
              </w:rPr>
              <w:t>0779-3050645</w:t>
            </w:r>
          </w:p>
        </w:tc>
        <w:tc>
          <w:tcPr>
            <w:tcW w:w="1701" w:type="dxa"/>
            <w:vAlign w:val="center"/>
          </w:tcPr>
          <w:p w14:paraId="2C8EE637">
            <w:pPr>
              <w:pStyle w:val="82"/>
              <w:ind w:firstLine="0"/>
              <w:rPr>
                <w:highlight w:val="none"/>
              </w:rPr>
            </w:pPr>
            <w:r>
              <w:rPr>
                <w:rFonts w:hint="eastAsia"/>
                <w:highlight w:val="none"/>
              </w:rPr>
              <w:t>最高1千万且不超过合同金额70%</w:t>
            </w:r>
          </w:p>
        </w:tc>
        <w:tc>
          <w:tcPr>
            <w:tcW w:w="993" w:type="dxa"/>
            <w:vAlign w:val="center"/>
          </w:tcPr>
          <w:p w14:paraId="6836945B">
            <w:pPr>
              <w:pStyle w:val="82"/>
              <w:ind w:firstLine="0"/>
              <w:jc w:val="center"/>
              <w:rPr>
                <w:highlight w:val="none"/>
              </w:rPr>
            </w:pPr>
            <w:r>
              <w:rPr>
                <w:rFonts w:hint="eastAsia"/>
                <w:highlight w:val="none"/>
              </w:rPr>
              <w:t>货物类1年</w:t>
            </w:r>
          </w:p>
          <w:p w14:paraId="2AB1AD51">
            <w:pPr>
              <w:pStyle w:val="82"/>
              <w:ind w:firstLine="0"/>
              <w:jc w:val="center"/>
              <w:rPr>
                <w:highlight w:val="none"/>
              </w:rPr>
            </w:pPr>
            <w:r>
              <w:rPr>
                <w:rFonts w:hint="eastAsia"/>
                <w:highlight w:val="none"/>
              </w:rPr>
              <w:t>服务类3年</w:t>
            </w:r>
          </w:p>
          <w:p w14:paraId="5698DA3A">
            <w:pPr>
              <w:pStyle w:val="82"/>
              <w:ind w:firstLine="0"/>
              <w:jc w:val="center"/>
              <w:rPr>
                <w:highlight w:val="none"/>
              </w:rPr>
            </w:pPr>
            <w:r>
              <w:rPr>
                <w:rFonts w:hint="eastAsia"/>
                <w:highlight w:val="none"/>
              </w:rPr>
              <w:t>工程类5年</w:t>
            </w:r>
          </w:p>
        </w:tc>
        <w:tc>
          <w:tcPr>
            <w:tcW w:w="850" w:type="dxa"/>
            <w:vAlign w:val="center"/>
          </w:tcPr>
          <w:p w14:paraId="3DBFA9C4">
            <w:pPr>
              <w:pStyle w:val="82"/>
              <w:ind w:firstLine="0"/>
              <w:jc w:val="center"/>
              <w:rPr>
                <w:highlight w:val="none"/>
              </w:rPr>
            </w:pPr>
            <w:r>
              <w:rPr>
                <w:rFonts w:hint="eastAsia"/>
                <w:highlight w:val="none"/>
              </w:rPr>
              <w:t>3.45%</w:t>
            </w:r>
          </w:p>
        </w:tc>
        <w:tc>
          <w:tcPr>
            <w:tcW w:w="3366" w:type="dxa"/>
            <w:vAlign w:val="center"/>
          </w:tcPr>
          <w:p w14:paraId="50BAE1A4">
            <w:pPr>
              <w:pStyle w:val="82"/>
              <w:ind w:firstLine="0"/>
              <w:rPr>
                <w:highlight w:val="none"/>
              </w:rPr>
            </w:pPr>
            <w:r>
              <w:rPr>
                <w:rFonts w:hint="eastAsia"/>
                <w:highlight w:val="none"/>
              </w:rPr>
              <w:t>为中征系统白名单企业，提供相关要求材料，内部审批后放款自主借还。</w:t>
            </w:r>
          </w:p>
        </w:tc>
      </w:tr>
      <w:tr w14:paraId="0DCB7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30C660B">
            <w:pPr>
              <w:pStyle w:val="82"/>
              <w:ind w:firstLine="0"/>
              <w:jc w:val="center"/>
              <w:rPr>
                <w:highlight w:val="none"/>
              </w:rPr>
            </w:pPr>
            <w:r>
              <w:rPr>
                <w:rFonts w:hint="eastAsia"/>
                <w:highlight w:val="none"/>
              </w:rPr>
              <w:t>国民村镇银行</w:t>
            </w:r>
          </w:p>
        </w:tc>
        <w:tc>
          <w:tcPr>
            <w:tcW w:w="1134" w:type="dxa"/>
            <w:vAlign w:val="center"/>
          </w:tcPr>
          <w:p w14:paraId="73997467">
            <w:pPr>
              <w:pStyle w:val="82"/>
              <w:ind w:firstLine="0"/>
              <w:jc w:val="center"/>
              <w:rPr>
                <w:highlight w:val="none"/>
              </w:rPr>
            </w:pPr>
            <w:r>
              <w:rPr>
                <w:rFonts w:hint="eastAsia"/>
                <w:highlight w:val="none"/>
              </w:rPr>
              <w:t>0779-2668801</w:t>
            </w:r>
          </w:p>
        </w:tc>
        <w:tc>
          <w:tcPr>
            <w:tcW w:w="1701" w:type="dxa"/>
            <w:vAlign w:val="center"/>
          </w:tcPr>
          <w:p w14:paraId="0B4F87B8">
            <w:pPr>
              <w:pStyle w:val="82"/>
              <w:ind w:firstLine="0"/>
              <w:rPr>
                <w:highlight w:val="none"/>
              </w:rPr>
            </w:pPr>
            <w:r>
              <w:rPr>
                <w:rFonts w:hint="eastAsia"/>
                <w:highlight w:val="none"/>
              </w:rPr>
              <w:t>最高500万</w:t>
            </w:r>
          </w:p>
        </w:tc>
        <w:tc>
          <w:tcPr>
            <w:tcW w:w="993" w:type="dxa"/>
            <w:vAlign w:val="center"/>
          </w:tcPr>
          <w:p w14:paraId="0FFDC9FA">
            <w:pPr>
              <w:pStyle w:val="82"/>
              <w:ind w:firstLine="0"/>
              <w:jc w:val="center"/>
              <w:rPr>
                <w:highlight w:val="none"/>
              </w:rPr>
            </w:pPr>
            <w:r>
              <w:rPr>
                <w:rFonts w:hint="eastAsia"/>
                <w:highlight w:val="none"/>
              </w:rPr>
              <w:t>5年</w:t>
            </w:r>
          </w:p>
        </w:tc>
        <w:tc>
          <w:tcPr>
            <w:tcW w:w="850" w:type="dxa"/>
            <w:vAlign w:val="center"/>
          </w:tcPr>
          <w:p w14:paraId="2D1753F4">
            <w:pPr>
              <w:pStyle w:val="82"/>
              <w:ind w:firstLine="0"/>
              <w:jc w:val="center"/>
              <w:rPr>
                <w:highlight w:val="none"/>
              </w:rPr>
            </w:pPr>
            <w:r>
              <w:rPr>
                <w:rFonts w:hint="eastAsia"/>
                <w:highlight w:val="none"/>
              </w:rPr>
              <w:t>2.80%</w:t>
            </w:r>
          </w:p>
        </w:tc>
        <w:tc>
          <w:tcPr>
            <w:tcW w:w="3366" w:type="dxa"/>
            <w:vAlign w:val="center"/>
          </w:tcPr>
          <w:p w14:paraId="5B8556DE">
            <w:pPr>
              <w:pStyle w:val="82"/>
              <w:ind w:firstLine="0"/>
              <w:rPr>
                <w:highlight w:val="none"/>
              </w:rPr>
            </w:pPr>
            <w:r>
              <w:rPr>
                <w:rFonts w:hint="eastAsia"/>
                <w:highlight w:val="none"/>
              </w:rPr>
              <w:t>银行开户，线下申请并提供材料，信用良好企业最快1天获批即可提款</w:t>
            </w:r>
          </w:p>
        </w:tc>
      </w:tr>
      <w:tr w14:paraId="412C0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6DD3696">
            <w:pPr>
              <w:pStyle w:val="82"/>
              <w:ind w:firstLine="0"/>
              <w:jc w:val="center"/>
              <w:rPr>
                <w:highlight w:val="none"/>
              </w:rPr>
            </w:pPr>
            <w:r>
              <w:rPr>
                <w:rFonts w:hint="eastAsia"/>
                <w:highlight w:val="none"/>
              </w:rPr>
              <w:t>桂林银行</w:t>
            </w:r>
          </w:p>
        </w:tc>
        <w:tc>
          <w:tcPr>
            <w:tcW w:w="1134" w:type="dxa"/>
            <w:vAlign w:val="center"/>
          </w:tcPr>
          <w:p w14:paraId="17F3FC17">
            <w:pPr>
              <w:pStyle w:val="82"/>
              <w:ind w:firstLine="0"/>
              <w:jc w:val="center"/>
              <w:rPr>
                <w:highlight w:val="none"/>
              </w:rPr>
            </w:pPr>
            <w:r>
              <w:rPr>
                <w:rFonts w:hint="eastAsia"/>
                <w:highlight w:val="none"/>
              </w:rPr>
              <w:t>18577993959</w:t>
            </w:r>
          </w:p>
        </w:tc>
        <w:tc>
          <w:tcPr>
            <w:tcW w:w="1701" w:type="dxa"/>
            <w:vAlign w:val="center"/>
          </w:tcPr>
          <w:p w14:paraId="7B20B6FE">
            <w:pPr>
              <w:pStyle w:val="82"/>
              <w:ind w:firstLine="0"/>
              <w:rPr>
                <w:highlight w:val="none"/>
              </w:rPr>
            </w:pPr>
            <w:r>
              <w:rPr>
                <w:rFonts w:hint="eastAsia"/>
                <w:highlight w:val="none"/>
              </w:rPr>
              <w:t>最高1千万</w:t>
            </w:r>
          </w:p>
        </w:tc>
        <w:tc>
          <w:tcPr>
            <w:tcW w:w="993" w:type="dxa"/>
            <w:vAlign w:val="center"/>
          </w:tcPr>
          <w:p w14:paraId="66011C9B">
            <w:pPr>
              <w:pStyle w:val="82"/>
              <w:ind w:firstLine="0"/>
              <w:jc w:val="center"/>
              <w:rPr>
                <w:highlight w:val="none"/>
              </w:rPr>
            </w:pPr>
            <w:r>
              <w:rPr>
                <w:rFonts w:hint="eastAsia"/>
                <w:highlight w:val="none"/>
              </w:rPr>
              <w:t>1年</w:t>
            </w:r>
          </w:p>
        </w:tc>
        <w:tc>
          <w:tcPr>
            <w:tcW w:w="850" w:type="dxa"/>
            <w:vAlign w:val="center"/>
          </w:tcPr>
          <w:p w14:paraId="71BA4724">
            <w:pPr>
              <w:pStyle w:val="82"/>
              <w:ind w:firstLine="0"/>
              <w:jc w:val="center"/>
              <w:rPr>
                <w:highlight w:val="none"/>
              </w:rPr>
            </w:pPr>
            <w:r>
              <w:rPr>
                <w:rFonts w:hint="eastAsia"/>
                <w:highlight w:val="none"/>
              </w:rPr>
              <w:t>3.45%</w:t>
            </w:r>
          </w:p>
        </w:tc>
        <w:tc>
          <w:tcPr>
            <w:tcW w:w="3366" w:type="dxa"/>
            <w:vAlign w:val="center"/>
          </w:tcPr>
          <w:p w14:paraId="43C7AEC6">
            <w:pPr>
              <w:pStyle w:val="82"/>
              <w:ind w:firstLine="0"/>
              <w:rPr>
                <w:highlight w:val="none"/>
              </w:rPr>
            </w:pPr>
            <w:r>
              <w:rPr>
                <w:rFonts w:hint="eastAsia"/>
                <w:highlight w:val="none"/>
              </w:rPr>
              <w:t>线下申请，材料齐全最快1周内即可放款。</w:t>
            </w:r>
          </w:p>
        </w:tc>
      </w:tr>
      <w:tr w14:paraId="39262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13910F4">
            <w:pPr>
              <w:pStyle w:val="82"/>
              <w:ind w:firstLine="0"/>
              <w:jc w:val="center"/>
              <w:rPr>
                <w:highlight w:val="none"/>
              </w:rPr>
            </w:pPr>
            <w:r>
              <w:rPr>
                <w:rFonts w:hint="eastAsia"/>
                <w:highlight w:val="none"/>
              </w:rPr>
              <w:t>中小微商务服务公司</w:t>
            </w:r>
          </w:p>
        </w:tc>
        <w:tc>
          <w:tcPr>
            <w:tcW w:w="1134" w:type="dxa"/>
            <w:vAlign w:val="center"/>
          </w:tcPr>
          <w:p w14:paraId="214A7D3C">
            <w:pPr>
              <w:pStyle w:val="82"/>
              <w:ind w:firstLine="0"/>
              <w:jc w:val="center"/>
              <w:rPr>
                <w:highlight w:val="none"/>
              </w:rPr>
            </w:pPr>
            <w:r>
              <w:rPr>
                <w:rFonts w:hint="eastAsia"/>
                <w:highlight w:val="none"/>
              </w:rPr>
              <w:t>19907799988</w:t>
            </w:r>
          </w:p>
        </w:tc>
        <w:tc>
          <w:tcPr>
            <w:tcW w:w="1701" w:type="dxa"/>
            <w:vAlign w:val="center"/>
          </w:tcPr>
          <w:p w14:paraId="42B0ECF3">
            <w:pPr>
              <w:pStyle w:val="82"/>
              <w:ind w:firstLine="0"/>
              <w:rPr>
                <w:highlight w:val="none"/>
              </w:rPr>
            </w:pPr>
          </w:p>
        </w:tc>
        <w:tc>
          <w:tcPr>
            <w:tcW w:w="993" w:type="dxa"/>
            <w:vAlign w:val="center"/>
          </w:tcPr>
          <w:p w14:paraId="70A44E93">
            <w:pPr>
              <w:pStyle w:val="82"/>
              <w:ind w:firstLine="0"/>
              <w:jc w:val="center"/>
              <w:rPr>
                <w:highlight w:val="none"/>
              </w:rPr>
            </w:pPr>
          </w:p>
        </w:tc>
        <w:tc>
          <w:tcPr>
            <w:tcW w:w="850" w:type="dxa"/>
            <w:vAlign w:val="center"/>
          </w:tcPr>
          <w:p w14:paraId="096AE33A">
            <w:pPr>
              <w:pStyle w:val="82"/>
              <w:ind w:firstLine="0"/>
              <w:jc w:val="center"/>
              <w:rPr>
                <w:highlight w:val="none"/>
              </w:rPr>
            </w:pPr>
          </w:p>
        </w:tc>
        <w:tc>
          <w:tcPr>
            <w:tcW w:w="3366" w:type="dxa"/>
            <w:vAlign w:val="center"/>
          </w:tcPr>
          <w:p w14:paraId="15C795DB">
            <w:pPr>
              <w:pStyle w:val="82"/>
              <w:ind w:firstLine="0"/>
              <w:rPr>
                <w:highlight w:val="none"/>
              </w:rPr>
            </w:pPr>
            <w:r>
              <w:rPr>
                <w:rFonts w:hint="eastAsia"/>
                <w:highlight w:val="none"/>
              </w:rPr>
              <w:t>具体业务可电话咨询。</w:t>
            </w:r>
          </w:p>
        </w:tc>
      </w:tr>
    </w:tbl>
    <w:p w14:paraId="4CF84330">
      <w:pPr>
        <w:pStyle w:val="82"/>
        <w:rPr>
          <w:highlight w:val="none"/>
        </w:rPr>
      </w:pPr>
      <w:r>
        <w:rPr>
          <w:rFonts w:hint="eastAsia"/>
          <w:highlight w:val="none"/>
        </w:rPr>
        <w:t>注：表中联系电话、授信金额、授信期限、最低利率等信息可能动态更新，仅供参考，具体以办理时相关银行公布的为准。</w:t>
      </w:r>
    </w:p>
    <w:p w14:paraId="5393882D">
      <w:pPr>
        <w:pStyle w:val="27"/>
        <w:spacing w:line="360" w:lineRule="auto"/>
        <w:ind w:left="479" w:hanging="479" w:hangingChars="199"/>
        <w:rPr>
          <w:rFonts w:cs="宋体"/>
          <w:b/>
          <w:highlight w:val="none"/>
        </w:rPr>
      </w:pPr>
      <w:r>
        <w:rPr>
          <w:rFonts w:hint="eastAsia" w:cs="宋体"/>
          <w:b/>
          <w:highlight w:val="none"/>
        </w:rPr>
        <w:t>26. 履约保证金</w:t>
      </w:r>
    </w:p>
    <w:p w14:paraId="77299F85">
      <w:pPr>
        <w:tabs>
          <w:tab w:val="left" w:pos="0"/>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26.1本项目不收取履约保证金。</w:t>
      </w:r>
    </w:p>
    <w:p w14:paraId="2447FA02">
      <w:pPr>
        <w:pStyle w:val="82"/>
        <w:ind w:firstLine="480" w:firstLineChars="200"/>
        <w:rPr>
          <w:snapToGrid w:val="0"/>
          <w:highlight w:val="none"/>
        </w:rPr>
      </w:pPr>
      <w:r>
        <w:rPr>
          <w:rFonts w:hint="eastAsia"/>
          <w:snapToGrid w:val="0"/>
          <w:highlight w:val="none"/>
        </w:rPr>
        <w:t>26.2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广西政府采购云平台金融专线400-903-9583。</w:t>
      </w:r>
    </w:p>
    <w:p w14:paraId="15DE0055">
      <w:pPr>
        <w:pStyle w:val="82"/>
        <w:rPr>
          <w:highlight w:val="none"/>
        </w:rPr>
      </w:pPr>
      <w:r>
        <w:rPr>
          <w:rFonts w:hint="eastAsia"/>
          <w:highlight w:val="none"/>
        </w:rPr>
        <w:t>26.3履约保证金的退还。验收合格的政府采购项目，采购人应当按照合同约定的退还方式，在5个工作日内办理履约保证金退还手续。</w:t>
      </w:r>
    </w:p>
    <w:p w14:paraId="4A450881">
      <w:pPr>
        <w:pStyle w:val="82"/>
        <w:rPr>
          <w:highlight w:val="none"/>
        </w:rPr>
      </w:pPr>
      <w:r>
        <w:rPr>
          <w:rFonts w:hint="eastAsia"/>
          <w:highlight w:val="none"/>
        </w:rPr>
        <w:t>26.4履约保证金不予退还情形：（1）中标供应商未能全部履行政府采购合同的；（2）采购文件规定的其他情形。</w:t>
      </w:r>
    </w:p>
    <w:p w14:paraId="49A392A8">
      <w:pPr>
        <w:pStyle w:val="27"/>
        <w:spacing w:line="360" w:lineRule="auto"/>
        <w:ind w:left="479" w:hanging="479" w:hangingChars="199"/>
        <w:rPr>
          <w:rFonts w:cs="宋体"/>
          <w:b/>
          <w:highlight w:val="none"/>
        </w:rPr>
      </w:pPr>
      <w:r>
        <w:rPr>
          <w:rFonts w:cs="宋体"/>
          <w:b/>
          <w:highlight w:val="none"/>
        </w:rPr>
        <w:t>27.预付款</w:t>
      </w:r>
    </w:p>
    <w:p w14:paraId="1159C7BE">
      <w:pPr>
        <w:pStyle w:val="27"/>
        <w:spacing w:line="360" w:lineRule="auto"/>
        <w:ind w:left="479" w:hanging="479" w:hangingChars="199"/>
        <w:rPr>
          <w:rFonts w:cs="宋体"/>
          <w:b/>
          <w:highlight w:val="none"/>
        </w:rPr>
      </w:pPr>
      <w:r>
        <w:rPr>
          <w:rFonts w:hint="eastAsia" w:cs="宋体"/>
          <w:b/>
          <w:highlight w:val="none"/>
        </w:rPr>
        <w:t xml:space="preserve">    详见“第三部分  采购需求” 。</w:t>
      </w:r>
    </w:p>
    <w:p w14:paraId="1323A7EF">
      <w:pPr>
        <w:adjustRightInd/>
        <w:spacing w:line="360" w:lineRule="auto"/>
        <w:ind w:firstLine="480" w:firstLineChars="200"/>
        <w:rPr>
          <w:rFonts w:ascii="宋体" w:hAnsi="宋体"/>
          <w:sz w:val="24"/>
          <w:highlight w:val="none"/>
        </w:rPr>
      </w:pPr>
      <w:r>
        <w:rPr>
          <w:rFonts w:hint="eastAsia" w:ascii="宋体" w:hAnsi="宋体"/>
          <w:sz w:val="24"/>
          <w:highlight w:val="none"/>
          <w:lang w:eastAsia="zh-CN"/>
        </w:rPr>
        <w:t>采购人</w:t>
      </w:r>
      <w:r>
        <w:rPr>
          <w:rFonts w:hint="eastAsia" w:ascii="宋体" w:hAnsi="宋体"/>
          <w:sz w:val="24"/>
          <w:highlight w:val="none"/>
        </w:rPr>
        <w:t>应当在政府采购合同中约定预付款，对中小企业合同预付款比例原则上不低于合同金额的3</w:t>
      </w:r>
      <w:r>
        <w:rPr>
          <w:rFonts w:ascii="宋体" w:hAnsi="宋体"/>
          <w:sz w:val="24"/>
          <w:highlight w:val="none"/>
        </w:rPr>
        <w:t>0％</w:t>
      </w:r>
      <w:r>
        <w:rPr>
          <w:rFonts w:hint="eastAsia" w:ascii="宋体" w:hAnsi="宋体"/>
          <w:sz w:val="24"/>
          <w:highlight w:val="none"/>
        </w:rPr>
        <w:t>，不高于合同金额的5</w:t>
      </w:r>
      <w:r>
        <w:rPr>
          <w:rFonts w:ascii="宋体" w:hAnsi="宋体"/>
          <w:sz w:val="24"/>
          <w:highlight w:val="none"/>
        </w:rPr>
        <w:t>0%；项目分年安排预算的，每年预付款比例</w:t>
      </w:r>
      <w:r>
        <w:rPr>
          <w:rFonts w:hint="eastAsia" w:ascii="宋体" w:hAnsi="宋体"/>
          <w:sz w:val="24"/>
          <w:highlight w:val="none"/>
        </w:rPr>
        <w:t>不低于</w:t>
      </w:r>
      <w:r>
        <w:rPr>
          <w:rFonts w:ascii="宋体" w:hAnsi="宋体"/>
          <w:sz w:val="24"/>
          <w:highlight w:val="none"/>
        </w:rPr>
        <w:t>项目年度计划支付资金额的</w:t>
      </w:r>
      <w:r>
        <w:rPr>
          <w:rFonts w:hint="eastAsia" w:ascii="宋体" w:hAnsi="宋体"/>
          <w:sz w:val="24"/>
          <w:highlight w:val="none"/>
        </w:rPr>
        <w:t>3</w:t>
      </w:r>
      <w:r>
        <w:rPr>
          <w:rFonts w:ascii="宋体" w:hAnsi="宋体"/>
          <w:sz w:val="24"/>
          <w:highlight w:val="none"/>
        </w:rPr>
        <w:t>0％</w:t>
      </w:r>
      <w:r>
        <w:rPr>
          <w:rFonts w:hint="eastAsia" w:ascii="宋体" w:hAnsi="宋体"/>
          <w:sz w:val="24"/>
          <w:highlight w:val="none"/>
        </w:rPr>
        <w:t>，不高于合同金额的5</w:t>
      </w:r>
      <w:r>
        <w:rPr>
          <w:rFonts w:ascii="宋体" w:hAnsi="宋体"/>
          <w:sz w:val="24"/>
          <w:highlight w:val="none"/>
        </w:rPr>
        <w:t>0%；采购项目实施以人工投入为主的，</w:t>
      </w:r>
      <w:r>
        <w:rPr>
          <w:rFonts w:hint="eastAsia" w:ascii="宋体" w:hAnsi="宋体"/>
          <w:sz w:val="24"/>
          <w:highlight w:val="none"/>
        </w:rPr>
        <w:t>可适当降低预付款比例，但不得低于1</w:t>
      </w:r>
      <w:r>
        <w:rPr>
          <w:rFonts w:ascii="宋体" w:hAnsi="宋体"/>
          <w:sz w:val="24"/>
          <w:highlight w:val="none"/>
        </w:rPr>
        <w:t>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lang w:eastAsia="zh-CN"/>
        </w:rPr>
        <w:t>采购人</w:t>
      </w:r>
      <w:r>
        <w:rPr>
          <w:rFonts w:ascii="宋体" w:hAnsi="宋体"/>
          <w:sz w:val="24"/>
          <w:highlight w:val="none"/>
        </w:rPr>
        <w:t>可不适用前述规定。</w:t>
      </w:r>
      <w:r>
        <w:rPr>
          <w:rFonts w:hint="eastAsia" w:ascii="宋体" w:hAnsi="宋体"/>
          <w:sz w:val="24"/>
          <w:highlight w:val="none"/>
          <w:lang w:eastAsia="zh-CN"/>
        </w:rPr>
        <w:t>采购人</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w:t>
      </w:r>
      <w:r>
        <w:rPr>
          <w:rFonts w:hint="eastAsia" w:ascii="宋体" w:hAnsi="宋体"/>
          <w:sz w:val="24"/>
          <w:highlight w:val="none"/>
        </w:rPr>
        <w:t>5</w:t>
      </w:r>
      <w:r>
        <w:rPr>
          <w:rFonts w:ascii="宋体" w:hAnsi="宋体"/>
          <w:sz w:val="24"/>
          <w:highlight w:val="none"/>
        </w:rPr>
        <w:t>个工作日内支付。</w:t>
      </w:r>
      <w:r>
        <w:rPr>
          <w:rFonts w:hint="eastAsia" w:ascii="宋体" w:hAnsi="宋体"/>
          <w:sz w:val="24"/>
          <w:highlight w:val="none"/>
        </w:rPr>
        <w:t>政府采购工程以及与工程建设有关的货物、服务，采用招标方式采购的，预付款从其相关规定。</w:t>
      </w:r>
    </w:p>
    <w:p w14:paraId="6F9CFCF1">
      <w:pPr>
        <w:adjustRightInd/>
        <w:spacing w:line="360" w:lineRule="auto"/>
        <w:ind w:firstLine="480" w:firstLineChars="200"/>
        <w:rPr>
          <w:rFonts w:ascii="宋体" w:hAnsi="宋体"/>
          <w:sz w:val="24"/>
          <w:highlight w:val="none"/>
        </w:rPr>
      </w:pPr>
      <w:r>
        <w:rPr>
          <w:rFonts w:hint="eastAsia" w:ascii="宋体" w:hAnsi="宋体"/>
          <w:sz w:val="24"/>
          <w:highlight w:val="none"/>
        </w:rPr>
        <w:t>供应商可登录广西政府采购云平台前台大厅选择金融服务</w:t>
      </w:r>
      <w:r>
        <w:rPr>
          <w:rFonts w:ascii="宋体" w:hAnsi="宋体"/>
          <w:sz w:val="24"/>
          <w:highlight w:val="none"/>
        </w:rPr>
        <w:t xml:space="preserve">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/保函受理—确认保单—支付保费—成功出单。广西政府采购云平台</w:t>
      </w:r>
      <w:r>
        <w:rPr>
          <w:rFonts w:hint="eastAsia" w:ascii="宋体" w:hAnsi="宋体"/>
          <w:sz w:val="24"/>
          <w:highlight w:val="none"/>
        </w:rPr>
        <w:t>金融专线</w:t>
      </w:r>
      <w:r>
        <w:rPr>
          <w:rFonts w:ascii="宋体" w:hAnsi="宋体"/>
          <w:sz w:val="24"/>
          <w:highlight w:val="none"/>
        </w:rPr>
        <w:t>400-903-9583。</w:t>
      </w:r>
    </w:p>
    <w:p w14:paraId="247EFD68">
      <w:pPr>
        <w:snapToGrid w:val="0"/>
        <w:spacing w:line="360" w:lineRule="auto"/>
        <w:ind w:firstLine="3357" w:firstLineChars="1045"/>
        <w:rPr>
          <w:rFonts w:ascii="宋体" w:hAnsi="宋体" w:cs="宋体"/>
          <w:b/>
          <w:sz w:val="32"/>
          <w:highlight w:val="none"/>
        </w:rPr>
      </w:pPr>
    </w:p>
    <w:p w14:paraId="6E7EEFA4">
      <w:pPr>
        <w:snapToGrid w:val="0"/>
        <w:spacing w:line="360" w:lineRule="auto"/>
        <w:ind w:firstLine="3357" w:firstLineChars="1045"/>
        <w:outlineLvl w:val="1"/>
        <w:rPr>
          <w:rFonts w:ascii="宋体" w:hAnsi="宋体" w:cs="宋体"/>
          <w:b/>
          <w:sz w:val="24"/>
          <w:highlight w:val="none"/>
        </w:rPr>
      </w:pPr>
      <w:r>
        <w:rPr>
          <w:rFonts w:hint="eastAsia" w:ascii="宋体" w:hAnsi="宋体" w:cs="宋体"/>
          <w:b/>
          <w:sz w:val="32"/>
          <w:highlight w:val="none"/>
        </w:rPr>
        <w:t>八、电子交易活动的中止</w:t>
      </w:r>
    </w:p>
    <w:p w14:paraId="545BFD33">
      <w:pPr>
        <w:pStyle w:val="128"/>
        <w:snapToGrid w:val="0"/>
        <w:spacing w:before="0"/>
        <w:ind w:firstLine="0" w:firstLineChars="0"/>
        <w:rPr>
          <w:rFonts w:ascii="宋体" w:hAnsi="宋体" w:cs="宋体"/>
          <w:highlight w:val="none"/>
        </w:rPr>
      </w:pPr>
      <w:r>
        <w:rPr>
          <w:rFonts w:ascii="宋体" w:hAnsi="宋体" w:cs="宋体"/>
          <w:b/>
          <w:bCs/>
          <w:highlight w:val="none"/>
        </w:rPr>
        <w:t>2</w:t>
      </w:r>
      <w:r>
        <w:rPr>
          <w:rFonts w:ascii="宋体" w:hAnsi="宋体" w:cs="宋体"/>
          <w:b/>
          <w:bCs/>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采购过程中出现以下情形，导致电子交易平台无法正常运行，或者无法保证电子交易的公平、公正和安全时，采购代理机构可中止电子交易活动：</w:t>
      </w:r>
    </w:p>
    <w:p w14:paraId="454D70AF">
      <w:pPr>
        <w:pStyle w:val="128"/>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14:paraId="5250A3D8">
      <w:pPr>
        <w:pStyle w:val="128"/>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14:paraId="7A53A3F8">
      <w:pPr>
        <w:pStyle w:val="128"/>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14:paraId="40FCCE2A">
      <w:pPr>
        <w:pStyle w:val="128"/>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14:paraId="0205751C">
      <w:pPr>
        <w:pStyle w:val="128"/>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14:paraId="08F99F46">
      <w:pPr>
        <w:pStyle w:val="128"/>
        <w:snapToGrid w:val="0"/>
        <w:spacing w:before="0"/>
        <w:ind w:firstLine="0" w:firstLineChars="0"/>
        <w:rPr>
          <w:rFonts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1374F44">
      <w:pPr>
        <w:tabs>
          <w:tab w:val="left" w:pos="0"/>
        </w:tabs>
        <w:spacing w:line="360" w:lineRule="auto"/>
        <w:ind w:firstLine="480"/>
        <w:rPr>
          <w:rFonts w:ascii="宋体" w:hAnsi="宋体" w:cs="宋体"/>
          <w:sz w:val="24"/>
          <w:highlight w:val="none"/>
        </w:rPr>
      </w:pPr>
    </w:p>
    <w:p w14:paraId="61326AA0">
      <w:pPr>
        <w:snapToGrid w:val="0"/>
        <w:spacing w:line="360" w:lineRule="auto"/>
        <w:ind w:left="120" w:leftChars="57" w:firstLine="482" w:firstLineChars="150"/>
        <w:jc w:val="center"/>
        <w:outlineLvl w:val="1"/>
        <w:rPr>
          <w:rFonts w:ascii="宋体" w:hAnsi="宋体" w:cs="宋体"/>
          <w:b/>
          <w:sz w:val="32"/>
          <w:highlight w:val="none"/>
        </w:rPr>
      </w:pPr>
      <w:r>
        <w:rPr>
          <w:rFonts w:hint="eastAsia" w:ascii="宋体" w:hAnsi="宋体" w:cs="宋体"/>
          <w:b/>
          <w:sz w:val="32"/>
          <w:highlight w:val="none"/>
        </w:rPr>
        <w:t>九、验收</w:t>
      </w:r>
    </w:p>
    <w:p w14:paraId="07D9BCF1">
      <w:pPr>
        <w:pStyle w:val="27"/>
        <w:spacing w:line="360" w:lineRule="auto"/>
        <w:ind w:firstLine="0" w:firstLineChars="0"/>
        <w:rPr>
          <w:rFonts w:cs="宋体"/>
          <w:b/>
          <w:highlight w:val="none"/>
        </w:rPr>
      </w:pPr>
      <w:r>
        <w:rPr>
          <w:rFonts w:hint="eastAsia" w:cs="宋体"/>
          <w:b/>
          <w:highlight w:val="none"/>
        </w:rPr>
        <w:t>30.验收</w:t>
      </w:r>
    </w:p>
    <w:p w14:paraId="3A8ABFFF">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1A1D60C">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14:paraId="1640A498">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870263F">
      <w:pPr>
        <w:tabs>
          <w:tab w:val="left" w:pos="0"/>
        </w:tabs>
        <w:spacing w:line="360" w:lineRule="auto"/>
        <w:ind w:firstLine="480"/>
        <w:rPr>
          <w:rFonts w:ascii="宋体" w:hAnsi="宋体" w:cs="宋体"/>
          <w:sz w:val="18"/>
          <w:szCs w:val="18"/>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7"/>
    <w:p w14:paraId="500E2B27">
      <w:pPr>
        <w:tabs>
          <w:tab w:val="left" w:pos="0"/>
        </w:tabs>
        <w:spacing w:line="360" w:lineRule="auto"/>
        <w:ind w:firstLine="480"/>
        <w:rPr>
          <w:rFonts w:ascii="宋体" w:hAnsi="宋体" w:cs="宋体"/>
          <w:kern w:val="0"/>
          <w:sz w:val="24"/>
          <w:highlight w:val="none"/>
        </w:rPr>
      </w:pPr>
      <w:bookmarkStart w:id="28" w:name="_Hlt68073093"/>
      <w:bookmarkEnd w:id="28"/>
      <w:bookmarkStart w:id="29" w:name="_Hlt68403820"/>
      <w:bookmarkEnd w:id="29"/>
      <w:bookmarkStart w:id="30" w:name="_Hlt68057669"/>
      <w:bookmarkEnd w:id="30"/>
      <w:bookmarkStart w:id="31" w:name="_Hlt74729768"/>
      <w:bookmarkEnd w:id="31"/>
      <w:bookmarkStart w:id="32" w:name="_Hlt74714665"/>
      <w:bookmarkEnd w:id="32"/>
      <w:bookmarkStart w:id="33" w:name="_Hlt68072990"/>
      <w:bookmarkEnd w:id="33"/>
      <w:bookmarkStart w:id="34" w:name="_Hlt75236011"/>
      <w:bookmarkEnd w:id="34"/>
      <w:bookmarkStart w:id="35" w:name="_Hlt75236290"/>
      <w:bookmarkEnd w:id="35"/>
      <w:bookmarkStart w:id="36" w:name="_Hlt75236101"/>
      <w:bookmarkEnd w:id="36"/>
      <w:bookmarkStart w:id="37" w:name="_Hlt74730295"/>
      <w:bookmarkEnd w:id="37"/>
      <w:bookmarkStart w:id="38" w:name="_Hlt68072998"/>
      <w:bookmarkEnd w:id="38"/>
      <w:bookmarkStart w:id="39" w:name="_Hlt74707468"/>
      <w:bookmarkEnd w:id="39"/>
    </w:p>
    <w:p w14:paraId="41A98386">
      <w:pPr>
        <w:snapToGrid w:val="0"/>
        <w:spacing w:line="360" w:lineRule="auto"/>
        <w:ind w:left="120" w:leftChars="57" w:firstLine="482" w:firstLineChars="150"/>
        <w:jc w:val="center"/>
        <w:outlineLvl w:val="1"/>
        <w:rPr>
          <w:rFonts w:ascii="宋体" w:hAnsi="宋体" w:cs="宋体"/>
          <w:b/>
          <w:sz w:val="32"/>
          <w:highlight w:val="none"/>
        </w:rPr>
      </w:pPr>
      <w:r>
        <w:rPr>
          <w:rFonts w:hint="eastAsia" w:ascii="宋体" w:hAnsi="宋体" w:cs="宋体"/>
          <w:b/>
          <w:sz w:val="32"/>
          <w:highlight w:val="none"/>
        </w:rPr>
        <w:t>十、代理费用的收取标准和方式</w:t>
      </w:r>
    </w:p>
    <w:p w14:paraId="58A663E6">
      <w:pPr>
        <w:pStyle w:val="27"/>
        <w:spacing w:line="360" w:lineRule="auto"/>
        <w:ind w:firstLine="0" w:firstLineChars="0"/>
        <w:rPr>
          <w:rFonts w:cs="宋体"/>
          <w:b/>
          <w:highlight w:val="none"/>
        </w:rPr>
      </w:pPr>
      <w:r>
        <w:rPr>
          <w:rFonts w:hint="eastAsia" w:cs="宋体"/>
          <w:b/>
          <w:highlight w:val="none"/>
        </w:rPr>
        <w:t>31.</w:t>
      </w:r>
      <w:bookmarkStart w:id="40" w:name="OLE_LINK20"/>
      <w:bookmarkStart w:id="41" w:name="OLE_LINK19"/>
      <w:r>
        <w:rPr>
          <w:rFonts w:hint="eastAsia" w:cs="宋体"/>
          <w:b/>
          <w:highlight w:val="none"/>
        </w:rPr>
        <w:t>代理费用</w:t>
      </w:r>
      <w:bookmarkEnd w:id="40"/>
      <w:bookmarkEnd w:id="41"/>
      <w:r>
        <w:rPr>
          <w:rFonts w:hint="eastAsia" w:cs="宋体"/>
          <w:b/>
          <w:highlight w:val="none"/>
        </w:rPr>
        <w:t>的收取标准和方式（适用于有权收取代理费用的采购代理机构）</w:t>
      </w:r>
    </w:p>
    <w:p w14:paraId="57068BCF">
      <w:pPr>
        <w:snapToGrid w:val="0"/>
        <w:spacing w:line="360" w:lineRule="auto"/>
        <w:ind w:firstLine="480" w:firstLineChars="200"/>
        <w:rPr>
          <w:rFonts w:ascii="宋体" w:hAnsi="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r>
        <w:rPr>
          <w:rFonts w:hint="eastAsia" w:ascii="宋体" w:hAnsi="宋体" w:cs="宋体"/>
          <w:kern w:val="0"/>
          <w:sz w:val="24"/>
          <w:highlight w:val="none"/>
        </w:rPr>
        <w:t>不收取代理费用。</w:t>
      </w:r>
    </w:p>
    <w:bookmarkEnd w:id="22"/>
    <w:bookmarkEnd w:id="23"/>
    <w:p w14:paraId="0CD667E3">
      <w:pPr>
        <w:spacing w:line="360" w:lineRule="auto"/>
        <w:jc w:val="center"/>
        <w:outlineLvl w:val="0"/>
        <w:rPr>
          <w:rFonts w:ascii="宋体" w:hAnsi="宋体" w:cs="宋体"/>
          <w:b/>
          <w:sz w:val="36"/>
          <w:szCs w:val="36"/>
          <w:highlight w:val="none"/>
        </w:rPr>
      </w:pPr>
      <w:bookmarkStart w:id="42" w:name="_Toc176185121"/>
      <w:bookmarkStart w:id="43" w:name="_Toc176343850"/>
      <w:bookmarkStart w:id="44" w:name="第四部分"/>
      <w:r>
        <w:rPr>
          <w:rFonts w:hint="eastAsia" w:ascii="宋体" w:hAnsi="宋体" w:cs="宋体"/>
          <w:b/>
          <w:sz w:val="36"/>
          <w:szCs w:val="36"/>
          <w:highlight w:val="none"/>
        </w:rPr>
        <w:t>第三部分  采购需求</w:t>
      </w:r>
      <w:bookmarkEnd w:id="42"/>
      <w:bookmarkEnd w:id="43"/>
    </w:p>
    <w:p w14:paraId="5FBDF24B">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标项1</w:t>
      </w:r>
    </w:p>
    <w:p w14:paraId="259594C2">
      <w:pPr>
        <w:pStyle w:val="82"/>
        <w:rPr>
          <w:highlight w:val="none"/>
        </w:rPr>
      </w:pPr>
    </w:p>
    <w:p w14:paraId="0FC6C9B2">
      <w:pPr>
        <w:spacing w:line="320" w:lineRule="exact"/>
        <w:ind w:firstLine="440" w:firstLineChars="200"/>
        <w:rPr>
          <w:rFonts w:ascii="宋体" w:hAnsi="宋体" w:cs="宋体"/>
          <w:bCs/>
          <w:sz w:val="22"/>
          <w:szCs w:val="22"/>
          <w:highlight w:val="none"/>
        </w:rPr>
      </w:pPr>
      <w:r>
        <w:rPr>
          <w:rFonts w:hint="eastAsia" w:ascii="宋体" w:hAnsi="宋体" w:cs="宋体"/>
          <w:bCs/>
          <w:sz w:val="22"/>
          <w:szCs w:val="22"/>
          <w:highlight w:val="none"/>
        </w:rPr>
        <w:t>说明:</w:t>
      </w:r>
    </w:p>
    <w:p w14:paraId="0345061E">
      <w:pPr>
        <w:keepNext w:val="0"/>
        <w:keepLines w:val="0"/>
        <w:pageBreakBefore w:val="0"/>
        <w:widowControl w:val="0"/>
        <w:kinsoku/>
        <w:wordWrap/>
        <w:overflowPunct/>
        <w:topLinePunct w:val="0"/>
        <w:autoSpaceDE/>
        <w:autoSpaceDN/>
        <w:bidi w:val="0"/>
        <w:adjustRightInd w:val="0"/>
        <w:spacing w:line="440" w:lineRule="exact"/>
        <w:ind w:firstLine="440" w:firstLineChars="200"/>
        <w:textAlignment w:val="auto"/>
        <w:rPr>
          <w:rFonts w:ascii="宋体" w:hAnsi="宋体" w:cs="宋体"/>
          <w:bCs/>
          <w:sz w:val="22"/>
          <w:szCs w:val="22"/>
          <w:highlight w:val="none"/>
        </w:rPr>
      </w:pPr>
      <w:r>
        <w:rPr>
          <w:rFonts w:hint="eastAsia" w:ascii="宋体" w:hAnsi="宋体" w:cs="宋体"/>
          <w:bCs/>
          <w:sz w:val="22"/>
          <w:szCs w:val="22"/>
          <w:highlight w:val="none"/>
        </w:rPr>
        <w:t>1.本项目一览表中参考品牌型号及技术参数性能(配置)不明确或有误的，或投标人选用其他品牌型号替代的，请以详细、正确的品牌型号、技术参数性能配置填写投标报价表。投标人须根据技术参数及性能配置要求提供对应的技术偏离表。</w:t>
      </w:r>
    </w:p>
    <w:p w14:paraId="3CCA604F">
      <w:pPr>
        <w:keepNext w:val="0"/>
        <w:keepLines w:val="0"/>
        <w:pageBreakBefore w:val="0"/>
        <w:widowControl w:val="0"/>
        <w:kinsoku/>
        <w:wordWrap/>
        <w:overflowPunct/>
        <w:topLinePunct w:val="0"/>
        <w:autoSpaceDE/>
        <w:autoSpaceDN/>
        <w:bidi w:val="0"/>
        <w:adjustRightInd w:val="0"/>
        <w:spacing w:line="440" w:lineRule="exact"/>
        <w:ind w:firstLine="440" w:firstLineChars="200"/>
        <w:textAlignment w:val="auto"/>
        <w:rPr>
          <w:rFonts w:ascii="宋体" w:hAnsi="宋体" w:cs="宋体"/>
          <w:bCs/>
          <w:sz w:val="22"/>
          <w:szCs w:val="22"/>
          <w:highlight w:val="none"/>
        </w:rPr>
      </w:pPr>
      <w:r>
        <w:rPr>
          <w:rFonts w:hint="eastAsia" w:ascii="宋体" w:hAnsi="宋体" w:cs="宋体"/>
          <w:bCs/>
          <w:sz w:val="22"/>
          <w:szCs w:val="22"/>
          <w:highlight w:val="none"/>
        </w:rPr>
        <w:t>2.按财政部发展改革委生态环境部市场监管总局《关于调整优化节能产品、环境标志产品政府采购执行机制的通知》财库(2019)9号文件要求，如发布有政府采购节能产品品目清单中规定为政府强制采购的节能产品，投标产品必须满足文件的相关规定。投标时须提供国家确定的认证机构出具的、处于有效期之内的有效的节能产品认证证书复印件并加盖投标人公章，不提供视为无效投标处理。</w:t>
      </w:r>
    </w:p>
    <w:p w14:paraId="733D4B28">
      <w:pPr>
        <w:pStyle w:val="82"/>
        <w:keepNext w:val="0"/>
        <w:keepLines w:val="0"/>
        <w:pageBreakBefore w:val="0"/>
        <w:widowControl w:val="0"/>
        <w:kinsoku/>
        <w:wordWrap/>
        <w:overflowPunct/>
        <w:topLinePunct w:val="0"/>
        <w:autoSpaceDE/>
        <w:autoSpaceDN/>
        <w:bidi w:val="0"/>
        <w:adjustRightInd w:val="0"/>
        <w:spacing w:line="440" w:lineRule="exact"/>
        <w:ind w:firstLine="440" w:firstLineChars="200"/>
        <w:textAlignment w:val="auto"/>
        <w:rPr>
          <w:rFonts w:hint="eastAsia" w:cs="宋体"/>
          <w:bCs/>
          <w:kern w:val="2"/>
          <w:sz w:val="22"/>
          <w:szCs w:val="22"/>
          <w:highlight w:val="none"/>
        </w:rPr>
      </w:pPr>
      <w:bookmarkStart w:id="45" w:name="OLE_LINK15"/>
      <w:bookmarkStart w:id="46" w:name="OLE_LINK16"/>
      <w:r>
        <w:rPr>
          <w:rFonts w:hint="eastAsia" w:cs="宋体"/>
          <w:bCs/>
          <w:kern w:val="2"/>
          <w:sz w:val="22"/>
          <w:szCs w:val="22"/>
          <w:highlight w:val="none"/>
        </w:rPr>
        <w:t>3.采购需求一览表中标注</w:t>
      </w:r>
      <w:bookmarkStart w:id="47" w:name="OLE_LINK10"/>
      <w:r>
        <w:rPr>
          <w:rFonts w:hint="eastAsia" w:cs="宋体"/>
          <w:bCs/>
          <w:kern w:val="2"/>
          <w:sz w:val="22"/>
          <w:szCs w:val="22"/>
          <w:highlight w:val="none"/>
        </w:rPr>
        <w:t>“▲”</w:t>
      </w:r>
      <w:r>
        <w:rPr>
          <w:rFonts w:hint="eastAsia" w:cs="宋体"/>
          <w:bCs/>
          <w:kern w:val="2"/>
          <w:sz w:val="22"/>
          <w:szCs w:val="22"/>
          <w:highlight w:val="none"/>
          <w:lang w:eastAsia="zh-CN"/>
        </w:rPr>
        <w:t>、</w:t>
      </w:r>
      <w:r>
        <w:rPr>
          <w:rFonts w:hint="eastAsia" w:cs="宋体"/>
          <w:bCs/>
          <w:kern w:val="2"/>
          <w:sz w:val="22"/>
          <w:szCs w:val="22"/>
          <w:highlight w:val="none"/>
        </w:rPr>
        <w:t>“</w:t>
      </w:r>
      <w:r>
        <w:rPr>
          <w:rFonts w:hint="eastAsia" w:cs="宋体"/>
          <w:kern w:val="2"/>
          <w:highlight w:val="none"/>
        </w:rPr>
        <w:t>★</w:t>
      </w:r>
      <w:r>
        <w:rPr>
          <w:rFonts w:hint="eastAsia" w:cs="宋体"/>
          <w:bCs/>
          <w:kern w:val="2"/>
          <w:sz w:val="22"/>
          <w:szCs w:val="22"/>
          <w:highlight w:val="none"/>
        </w:rPr>
        <w:t>”</w:t>
      </w:r>
      <w:bookmarkEnd w:id="47"/>
      <w:r>
        <w:rPr>
          <w:rFonts w:hint="eastAsia" w:cs="宋体"/>
          <w:bCs/>
          <w:kern w:val="2"/>
          <w:sz w:val="22"/>
          <w:szCs w:val="22"/>
          <w:highlight w:val="none"/>
        </w:rPr>
        <w:t>的详细技术参数及配备要求、商务要求必须响应满足或优于，否则投标无效。</w:t>
      </w:r>
      <w:bookmarkEnd w:id="45"/>
      <w:bookmarkEnd w:id="46"/>
    </w:p>
    <w:p w14:paraId="5E6DF5B4">
      <w:pPr>
        <w:pStyle w:val="82"/>
        <w:keepNext w:val="0"/>
        <w:keepLines w:val="0"/>
        <w:pageBreakBefore w:val="0"/>
        <w:widowControl w:val="0"/>
        <w:kinsoku/>
        <w:wordWrap/>
        <w:overflowPunct/>
        <w:topLinePunct w:val="0"/>
        <w:autoSpaceDE/>
        <w:autoSpaceDN/>
        <w:bidi w:val="0"/>
        <w:adjustRightInd w:val="0"/>
        <w:spacing w:line="440" w:lineRule="exact"/>
        <w:ind w:firstLine="440" w:firstLineChars="200"/>
        <w:textAlignment w:val="auto"/>
        <w:rPr>
          <w:rFonts w:hint="default" w:eastAsia="宋体" w:cs="宋体"/>
          <w:bCs/>
          <w:kern w:val="2"/>
          <w:sz w:val="22"/>
          <w:szCs w:val="22"/>
          <w:highlight w:val="none"/>
          <w:u w:val="single"/>
          <w:lang w:val="en-US" w:eastAsia="zh-CN"/>
        </w:rPr>
      </w:pPr>
      <w:r>
        <w:rPr>
          <w:rFonts w:hint="eastAsia" w:cs="宋体"/>
          <w:bCs/>
          <w:kern w:val="2"/>
          <w:sz w:val="22"/>
          <w:szCs w:val="22"/>
          <w:highlight w:val="none"/>
          <w:lang w:val="en-US" w:eastAsia="zh-CN"/>
        </w:rPr>
        <w:t>4.</w:t>
      </w:r>
      <w:r>
        <w:rPr>
          <w:rFonts w:hint="eastAsia" w:cs="宋体"/>
          <w:bCs/>
          <w:kern w:val="2"/>
          <w:sz w:val="22"/>
          <w:szCs w:val="22"/>
          <w:highlight w:val="none"/>
          <w:u w:val="single"/>
          <w:lang w:val="en-US" w:eastAsia="zh-CN"/>
        </w:rPr>
        <w:t>标项1</w:t>
      </w:r>
      <w:r>
        <w:rPr>
          <w:rFonts w:hint="eastAsia" w:cs="宋体"/>
          <w:bCs/>
          <w:kern w:val="2"/>
          <w:sz w:val="22"/>
          <w:szCs w:val="22"/>
          <w:highlight w:val="none"/>
          <w:lang w:val="en-US" w:eastAsia="zh-CN"/>
        </w:rPr>
        <w:t>核心产品为：</w:t>
      </w:r>
      <w:r>
        <w:rPr>
          <w:rFonts w:hint="eastAsia" w:cs="宋体"/>
          <w:bCs/>
          <w:kern w:val="2"/>
          <w:sz w:val="22"/>
          <w:szCs w:val="22"/>
          <w:highlight w:val="none"/>
          <w:u w:val="single"/>
          <w:lang w:val="en-US" w:eastAsia="zh-CN"/>
        </w:rPr>
        <w:t>：技术参数要求表中序号1、“类纸护眼交互智能平板”。</w:t>
      </w:r>
    </w:p>
    <w:tbl>
      <w:tblPr>
        <w:tblStyle w:val="62"/>
        <w:tblpPr w:leftFromText="180" w:rightFromText="180" w:vertAnchor="text" w:horzAnchor="page" w:tblpX="728" w:tblpY="545"/>
        <w:tblOverlap w:val="never"/>
        <w:tblW w:w="10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547"/>
        <w:gridCol w:w="6613"/>
        <w:gridCol w:w="930"/>
        <w:gridCol w:w="786"/>
      </w:tblGrid>
      <w:tr w14:paraId="4B521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0695" w:type="dxa"/>
            <w:gridSpan w:val="5"/>
            <w:tcBorders>
              <w:top w:val="single" w:color="auto" w:sz="4" w:space="0"/>
              <w:left w:val="single" w:color="auto" w:sz="4" w:space="0"/>
              <w:bottom w:val="single" w:color="auto" w:sz="4" w:space="0"/>
              <w:right w:val="single" w:color="auto" w:sz="4" w:space="0"/>
            </w:tcBorders>
            <w:vAlign w:val="center"/>
          </w:tcPr>
          <w:p w14:paraId="4B2C4D5A">
            <w:pPr>
              <w:pStyle w:val="82"/>
              <w:keepNext w:val="0"/>
              <w:keepLines w:val="0"/>
              <w:pageBreakBefore w:val="0"/>
              <w:kinsoku/>
              <w:wordWrap/>
              <w:overflowPunct/>
              <w:topLinePunct w:val="0"/>
              <w:autoSpaceDE/>
              <w:autoSpaceDN/>
              <w:bidi w:val="0"/>
              <w:spacing w:line="340" w:lineRule="exact"/>
              <w:jc w:val="center"/>
              <w:rPr>
                <w:rFonts w:cs="宋体" w:asciiTheme="minorEastAsia" w:hAnsiTheme="minorEastAsia" w:eastAsiaTheme="minorEastAsia"/>
                <w:bCs/>
                <w:color w:val="000000"/>
                <w:sz w:val="28"/>
                <w:szCs w:val="28"/>
                <w:highlight w:val="none"/>
              </w:rPr>
            </w:pPr>
            <w:r>
              <w:rPr>
                <w:rFonts w:hint="eastAsia" w:cs="宋体" w:asciiTheme="minorEastAsia" w:hAnsiTheme="minorEastAsia" w:eastAsiaTheme="minorEastAsia"/>
                <w:bCs/>
                <w:color w:val="000000"/>
                <w:sz w:val="28"/>
                <w:szCs w:val="28"/>
                <w:highlight w:val="none"/>
              </w:rPr>
              <w:t>技术参数要求表</w:t>
            </w:r>
          </w:p>
        </w:tc>
      </w:tr>
      <w:tr w14:paraId="4654E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19" w:type="dxa"/>
            <w:tcBorders>
              <w:top w:val="single" w:color="auto" w:sz="4" w:space="0"/>
              <w:left w:val="single" w:color="auto" w:sz="4" w:space="0"/>
              <w:bottom w:val="single" w:color="auto" w:sz="4" w:space="0"/>
              <w:right w:val="single" w:color="auto" w:sz="4" w:space="0"/>
            </w:tcBorders>
            <w:vAlign w:val="center"/>
          </w:tcPr>
          <w:p w14:paraId="2902CD56">
            <w:pPr>
              <w:keepNext w:val="0"/>
              <w:keepLines w:val="0"/>
              <w:pageBreakBefore w:val="0"/>
              <w:widowControl/>
              <w:kinsoku/>
              <w:wordWrap/>
              <w:overflowPunct/>
              <w:topLinePunct w:val="0"/>
              <w:autoSpaceDE/>
              <w:autoSpaceDN/>
              <w:bidi w:val="0"/>
              <w:adjustRightInd/>
              <w:spacing w:line="340" w:lineRule="exact"/>
              <w:jc w:val="center"/>
              <w:textAlignment w:val="center"/>
              <w:rPr>
                <w:rFonts w:cs="宋体" w:asciiTheme="minorEastAsia" w:hAnsiTheme="minorEastAsia" w:eastAsiaTheme="minorEastAsia"/>
                <w:bCs/>
                <w:color w:val="000000"/>
                <w:sz w:val="28"/>
                <w:szCs w:val="28"/>
                <w:highlight w:val="none"/>
              </w:rPr>
            </w:pPr>
            <w:r>
              <w:rPr>
                <w:rFonts w:hint="eastAsia" w:cs="宋体" w:asciiTheme="minorEastAsia" w:hAnsiTheme="minorEastAsia" w:eastAsiaTheme="minorEastAsia"/>
                <w:bCs/>
                <w:color w:val="000000"/>
                <w:kern w:val="0"/>
                <w:sz w:val="28"/>
                <w:szCs w:val="28"/>
                <w:highlight w:val="none"/>
              </w:rPr>
              <w:t>序号</w:t>
            </w:r>
          </w:p>
        </w:tc>
        <w:tc>
          <w:tcPr>
            <w:tcW w:w="1547" w:type="dxa"/>
            <w:tcBorders>
              <w:top w:val="single" w:color="auto" w:sz="4" w:space="0"/>
              <w:left w:val="single" w:color="auto" w:sz="4" w:space="0"/>
              <w:bottom w:val="single" w:color="auto" w:sz="4" w:space="0"/>
              <w:right w:val="single" w:color="auto" w:sz="4" w:space="0"/>
            </w:tcBorders>
            <w:vAlign w:val="center"/>
          </w:tcPr>
          <w:p w14:paraId="4DC48BA9">
            <w:pPr>
              <w:keepNext w:val="0"/>
              <w:keepLines w:val="0"/>
              <w:pageBreakBefore w:val="0"/>
              <w:widowControl/>
              <w:kinsoku/>
              <w:wordWrap/>
              <w:overflowPunct/>
              <w:topLinePunct w:val="0"/>
              <w:autoSpaceDE/>
              <w:autoSpaceDN/>
              <w:bidi w:val="0"/>
              <w:adjustRightInd/>
              <w:spacing w:line="340" w:lineRule="exact"/>
              <w:jc w:val="center"/>
              <w:textAlignment w:val="center"/>
              <w:rPr>
                <w:rFonts w:cs="宋体" w:asciiTheme="minorEastAsia" w:hAnsiTheme="minorEastAsia" w:eastAsiaTheme="minorEastAsia"/>
                <w:bCs/>
                <w:color w:val="000000"/>
                <w:sz w:val="28"/>
                <w:szCs w:val="28"/>
                <w:highlight w:val="none"/>
              </w:rPr>
            </w:pPr>
            <w:r>
              <w:rPr>
                <w:rFonts w:hint="eastAsia" w:cs="宋体" w:asciiTheme="minorEastAsia" w:hAnsiTheme="minorEastAsia" w:eastAsiaTheme="minorEastAsia"/>
                <w:bCs/>
                <w:color w:val="000000"/>
                <w:kern w:val="0"/>
                <w:sz w:val="28"/>
                <w:szCs w:val="28"/>
                <w:highlight w:val="none"/>
              </w:rPr>
              <w:t>品名</w:t>
            </w:r>
          </w:p>
        </w:tc>
        <w:tc>
          <w:tcPr>
            <w:tcW w:w="6613" w:type="dxa"/>
            <w:tcBorders>
              <w:top w:val="single" w:color="auto" w:sz="4" w:space="0"/>
              <w:left w:val="single" w:color="auto" w:sz="4" w:space="0"/>
              <w:bottom w:val="single" w:color="auto" w:sz="4" w:space="0"/>
              <w:right w:val="single" w:color="auto" w:sz="4" w:space="0"/>
            </w:tcBorders>
            <w:noWrap/>
            <w:vAlign w:val="center"/>
          </w:tcPr>
          <w:p w14:paraId="4D5D51F4">
            <w:pPr>
              <w:keepNext w:val="0"/>
              <w:keepLines w:val="0"/>
              <w:pageBreakBefore w:val="0"/>
              <w:widowControl/>
              <w:kinsoku/>
              <w:wordWrap/>
              <w:overflowPunct/>
              <w:topLinePunct w:val="0"/>
              <w:autoSpaceDE/>
              <w:autoSpaceDN/>
              <w:bidi w:val="0"/>
              <w:adjustRightInd/>
              <w:spacing w:line="340" w:lineRule="exact"/>
              <w:jc w:val="center"/>
              <w:textAlignment w:val="center"/>
              <w:rPr>
                <w:rFonts w:cs="宋体" w:asciiTheme="minorEastAsia" w:hAnsiTheme="minorEastAsia" w:eastAsiaTheme="minorEastAsia"/>
                <w:bCs/>
                <w:color w:val="000000"/>
                <w:sz w:val="28"/>
                <w:szCs w:val="28"/>
                <w:highlight w:val="none"/>
              </w:rPr>
            </w:pPr>
            <w:r>
              <w:rPr>
                <w:rFonts w:hint="eastAsia" w:cs="宋体" w:asciiTheme="minorEastAsia" w:hAnsiTheme="minorEastAsia" w:eastAsiaTheme="minorEastAsia"/>
                <w:bCs/>
                <w:color w:val="000000"/>
                <w:kern w:val="0"/>
                <w:sz w:val="28"/>
                <w:szCs w:val="28"/>
                <w:highlight w:val="none"/>
              </w:rPr>
              <w:t>技术参数及性能配置要求</w:t>
            </w:r>
          </w:p>
        </w:tc>
        <w:tc>
          <w:tcPr>
            <w:tcW w:w="930" w:type="dxa"/>
            <w:tcBorders>
              <w:top w:val="single" w:color="auto" w:sz="4" w:space="0"/>
              <w:left w:val="single" w:color="auto" w:sz="4" w:space="0"/>
              <w:bottom w:val="single" w:color="auto" w:sz="4" w:space="0"/>
              <w:right w:val="single" w:color="auto" w:sz="4" w:space="0"/>
            </w:tcBorders>
            <w:vAlign w:val="center"/>
          </w:tcPr>
          <w:p w14:paraId="6A11618F">
            <w:pPr>
              <w:keepNext w:val="0"/>
              <w:keepLines w:val="0"/>
              <w:pageBreakBefore w:val="0"/>
              <w:widowControl/>
              <w:kinsoku/>
              <w:wordWrap/>
              <w:overflowPunct/>
              <w:topLinePunct w:val="0"/>
              <w:autoSpaceDE/>
              <w:autoSpaceDN/>
              <w:bidi w:val="0"/>
              <w:adjustRightInd/>
              <w:spacing w:line="340" w:lineRule="exact"/>
              <w:jc w:val="center"/>
              <w:textAlignment w:val="center"/>
              <w:rPr>
                <w:rFonts w:cs="宋体" w:asciiTheme="minorEastAsia" w:hAnsiTheme="minorEastAsia" w:eastAsiaTheme="minorEastAsia"/>
                <w:bCs/>
                <w:color w:val="000000"/>
                <w:sz w:val="28"/>
                <w:szCs w:val="28"/>
                <w:highlight w:val="none"/>
              </w:rPr>
            </w:pPr>
            <w:r>
              <w:rPr>
                <w:rFonts w:hint="eastAsia" w:cs="宋体" w:asciiTheme="minorEastAsia" w:hAnsiTheme="minorEastAsia" w:eastAsiaTheme="minorEastAsia"/>
                <w:bCs/>
                <w:color w:val="000000"/>
                <w:kern w:val="0"/>
                <w:sz w:val="28"/>
                <w:szCs w:val="28"/>
                <w:highlight w:val="none"/>
              </w:rPr>
              <w:t>单位</w:t>
            </w:r>
          </w:p>
        </w:tc>
        <w:tc>
          <w:tcPr>
            <w:tcW w:w="786" w:type="dxa"/>
            <w:tcBorders>
              <w:top w:val="single" w:color="auto" w:sz="4" w:space="0"/>
              <w:left w:val="single" w:color="auto" w:sz="4" w:space="0"/>
              <w:bottom w:val="single" w:color="auto" w:sz="4" w:space="0"/>
              <w:right w:val="single" w:color="auto" w:sz="4" w:space="0"/>
            </w:tcBorders>
            <w:vAlign w:val="center"/>
          </w:tcPr>
          <w:p w14:paraId="179CAF56">
            <w:pPr>
              <w:keepNext w:val="0"/>
              <w:keepLines w:val="0"/>
              <w:pageBreakBefore w:val="0"/>
              <w:widowControl/>
              <w:kinsoku/>
              <w:wordWrap/>
              <w:overflowPunct/>
              <w:topLinePunct w:val="0"/>
              <w:autoSpaceDE/>
              <w:autoSpaceDN/>
              <w:bidi w:val="0"/>
              <w:adjustRightInd/>
              <w:spacing w:line="340" w:lineRule="exact"/>
              <w:jc w:val="center"/>
              <w:textAlignment w:val="center"/>
              <w:rPr>
                <w:rFonts w:cs="宋体" w:asciiTheme="minorEastAsia" w:hAnsiTheme="minorEastAsia" w:eastAsiaTheme="minorEastAsia"/>
                <w:bCs/>
                <w:color w:val="000000"/>
                <w:kern w:val="0"/>
                <w:sz w:val="28"/>
                <w:szCs w:val="28"/>
                <w:highlight w:val="none"/>
              </w:rPr>
            </w:pPr>
            <w:r>
              <w:rPr>
                <w:rFonts w:hint="eastAsia" w:cs="宋体" w:asciiTheme="minorEastAsia" w:hAnsiTheme="minorEastAsia" w:eastAsiaTheme="minorEastAsia"/>
                <w:bCs/>
                <w:color w:val="000000"/>
                <w:kern w:val="0"/>
                <w:sz w:val="28"/>
                <w:szCs w:val="28"/>
                <w:highlight w:val="none"/>
              </w:rPr>
              <w:t>数量</w:t>
            </w:r>
          </w:p>
        </w:tc>
      </w:tr>
      <w:tr w14:paraId="6DFF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695" w:type="dxa"/>
            <w:gridSpan w:val="5"/>
            <w:tcBorders>
              <w:top w:val="single" w:color="auto" w:sz="4" w:space="0"/>
              <w:left w:val="single" w:color="auto" w:sz="4" w:space="0"/>
              <w:bottom w:val="single" w:color="auto" w:sz="4" w:space="0"/>
              <w:right w:val="single" w:color="auto" w:sz="4" w:space="0"/>
            </w:tcBorders>
            <w:vAlign w:val="center"/>
          </w:tcPr>
          <w:p w14:paraId="2904FB9E">
            <w:pPr>
              <w:keepNext w:val="0"/>
              <w:keepLines w:val="0"/>
              <w:pageBreakBefore w:val="0"/>
              <w:widowControl/>
              <w:kinsoku/>
              <w:wordWrap/>
              <w:overflowPunct/>
              <w:topLinePunct w:val="0"/>
              <w:autoSpaceDE/>
              <w:autoSpaceDN/>
              <w:bidi w:val="0"/>
              <w:adjustRightInd/>
              <w:spacing w:line="340" w:lineRule="exact"/>
              <w:jc w:val="left"/>
              <w:textAlignment w:val="center"/>
              <w:rPr>
                <w:rFonts w:hint="eastAsia" w:cs="宋体" w:asciiTheme="minorEastAsia" w:hAnsiTheme="minorEastAsia" w:eastAsiaTheme="minorEastAsia"/>
                <w:bCs/>
                <w:color w:val="000000"/>
                <w:kern w:val="0"/>
                <w:sz w:val="28"/>
                <w:szCs w:val="28"/>
                <w:highlight w:val="none"/>
              </w:rPr>
            </w:pPr>
            <w:r>
              <w:rPr>
                <w:rFonts w:hint="eastAsia" w:cs="宋体" w:asciiTheme="minorEastAsia" w:hAnsiTheme="minorEastAsia" w:eastAsiaTheme="minorEastAsia"/>
                <w:bCs/>
                <w:color w:val="000000"/>
                <w:kern w:val="0"/>
                <w:sz w:val="28"/>
                <w:szCs w:val="28"/>
                <w:highlight w:val="none"/>
                <w:lang w:val="en-US" w:eastAsia="zh-CN"/>
              </w:rPr>
              <w:t>65寸教学一体机67套</w:t>
            </w:r>
          </w:p>
        </w:tc>
      </w:tr>
      <w:tr w14:paraId="1419F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819" w:type="dxa"/>
            <w:tcBorders>
              <w:top w:val="single" w:color="auto" w:sz="4" w:space="0"/>
              <w:left w:val="single" w:color="auto" w:sz="4" w:space="0"/>
              <w:bottom w:val="single" w:color="auto" w:sz="4" w:space="0"/>
              <w:right w:val="single" w:color="auto" w:sz="4" w:space="0"/>
            </w:tcBorders>
            <w:vAlign w:val="center"/>
          </w:tcPr>
          <w:p w14:paraId="4A9E94FD">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ascii="仿宋_GB2312" w:hAnsi="宋体" w:eastAsia="仿宋_GB2312"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547" w:type="dxa"/>
            <w:tcBorders>
              <w:top w:val="single" w:color="auto" w:sz="4" w:space="0"/>
              <w:left w:val="single" w:color="auto" w:sz="4" w:space="0"/>
              <w:bottom w:val="single" w:color="auto" w:sz="4" w:space="0"/>
              <w:right w:val="single" w:color="auto" w:sz="4" w:space="0"/>
            </w:tcBorders>
            <w:vAlign w:val="center"/>
          </w:tcPr>
          <w:p w14:paraId="40958DB4">
            <w:pPr>
              <w:keepNext w:val="0"/>
              <w:keepLines w:val="0"/>
              <w:pageBreakBefore w:val="0"/>
              <w:widowControl/>
              <w:suppressLineNumbers w:val="0"/>
              <w:kinsoku/>
              <w:wordWrap/>
              <w:overflowPunct/>
              <w:topLinePunct w:val="0"/>
              <w:autoSpaceDE/>
              <w:autoSpaceDN/>
              <w:bidi w:val="0"/>
              <w:spacing w:line="340" w:lineRule="exact"/>
              <w:jc w:val="left"/>
              <w:textAlignment w:val="center"/>
              <w:rPr>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类纸护眼交互智能平板</w:t>
            </w:r>
          </w:p>
        </w:tc>
        <w:tc>
          <w:tcPr>
            <w:tcW w:w="6613" w:type="dxa"/>
            <w:tcBorders>
              <w:top w:val="single" w:color="auto" w:sz="4" w:space="0"/>
              <w:left w:val="single" w:color="auto" w:sz="4" w:space="0"/>
              <w:bottom w:val="single" w:color="auto" w:sz="4" w:space="0"/>
              <w:right w:val="single" w:color="auto" w:sz="4" w:space="0"/>
            </w:tcBorders>
            <w:noWrap/>
          </w:tcPr>
          <w:p w14:paraId="30BF905F">
            <w:pPr>
              <w:keepNext w:val="0"/>
              <w:keepLines w:val="0"/>
              <w:pageBreakBefore w:val="0"/>
              <w:widowControl/>
              <w:kinsoku/>
              <w:wordWrap/>
              <w:overflowPunct/>
              <w:topLinePunct w:val="0"/>
              <w:autoSpaceDE/>
              <w:autoSpaceDN/>
              <w:bidi w:val="0"/>
              <w:spacing w:line="340" w:lineRule="exact"/>
              <w:jc w:val="left"/>
              <w:textAlignment w:val="top"/>
              <w:rPr>
                <w:rFonts w:ascii="宋体" w:hAnsi="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一、整体设计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 整机屏幕采用65英寸液晶面板（对角线）；整机采用一体化设计，外观简洁无任何可见内部功能模块连接线。整机边角采用弧形设计，表面无尖锐边缘或凸起。整机采用UHD超高清液晶屏，显示比例16:9，分辨率3840*2160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★2.整机画面对比度及色彩还原真实，画面细节及Gamma无损失，确保师生观看画面不会因显示损耗导致视觉偏差。（提供具有CMA或CNAS认证标识的第三方检测机构检测报告）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★3.整机支持全通道4K显示，全通道OSD菜单及整机内置系统均支持4K图像显示。（提供具有CMA或CNAS认证标识的第三方检测机构检测报告）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★4.整机屏幕采用直流背光源，保证显示画面无频闪，有效避免视觉疲劳，呵护师生用眼健康。（提供具有CMA或CNAS认证标识的第三方检测机构检测报告）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 整机屏幕灰度等级≥256级，整机可视角度≥178°，整机NTSC色域覆盖率≥85%，整机最大屏幕亮度≥300 cd/m²，使用时屏幕亮度不大于400cd/m²。为保障整机色彩显示效果，需支持高色准，sRGB色彩△E≤1。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 整机采用硬件低蓝光背光技术，在源头减少有害蓝光波段能量，蓝光占比（有害蓝光415～455nm能量综合）/（整体蓝光400～500能量综合）＜50%，低蓝光保护显示不偏色、不泛黄。</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 钢化玻璃厚度≤4mm，表面硬度≥9H或者≥莫式7级。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 整机表面采用全物理防眩光钢化玻璃，钢化玻璃采用低反射防眩光（AGLR）技术，吸光率7%，有效防止眩光的同时还能吸收部分环境光，进一步降低环境光对显示的干扰，保障在明亮教室中暗场画面的清晰显示。（提供具有CMA或CNAS认证标识的第三方检测机构检测报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二、整机设计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  整机嵌入式安卓系统版本不低于Android 14，内存≥4GB，存储空间≥32GB，并具备内存可扩展设备，根据需要可升级至2T。（提供具有CMA或CNAS认证标识的第三方检测机构检测报告）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  采用红外/电容触控技术，支持Windows系统中进行不低于40点触控，支持在Android系统中进行40点或以上触控。（提供具有CMA或CNAS认证标识的第三方检测机构检测报告）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 触摸分辨率32768*32768。触摸响应时间≤4ms，触摸书写延迟≤15ms。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 为保证整机触控流畅性，连续触控时，连续的两次触控点检测时间间隔≤7ms，最小识别物≤2mm，触摸精度±1mm。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 整机具备至少6个前置物理按键，包括三合一电源按键，设置、音量加、音量减、录屏、护眼，其中含2个可自定义功能按键。（提供具有CMA或CNAS认证标识的第三方检测机构检测报告）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 整机三合一电源按键，同一按键可实现Android系统和Windows系统的一键开机、关机、节能/唤醒操作。关机状态下按按键开机，开机状态下按按键实现节能/唤醒，长按按键实现关机。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 整机前置接口具备防撞防尘挡板设计，挡板采用转轴式翻转。防止接口在连接外接设备使用时与推拉黑板产生碰撞，造成设备损坏，同时有效避免粉尘堵塞接口。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 整机前置3路USB输入接口（包含1路Type-C、2路USB），前置USB接口支持Android、Windows双系统读取外接移动存储设备，接口具备明显的丝印标识。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 整机侧置输入接口具备2路HDMI、1路RS232、1路USB、1路RJ45接口，整机侧置输出接口具备1路音频输出、1路触控USB输出，所有接口具备明显的丝印标识。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  前置Type-C接口支持65W快充，可以给教学平板、教学笔记本、手机等进行快速充电。（提供具有CMA或CNAS认证标识的第三方检测机构检测报告）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  摄像头拍摄像素数≥3200万，对角角度≥145度，水平角度≥125度。（提供具有CMA或CNAS认证标识的第三方检测机构检测报告）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  整机内置8阵列麦克风，麦克风拾音距离≥12米。（提供具有CMA或CNAS认证标识的第三方检测机构检测报告）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 Wi-Fi和AP热点工作距离≥12m。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 整机支持通过物理按键、手势及触摸快捷按键等方式快捷调用半屏模式。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★15.整机具备分级降屏（1/3、1/2）功能，用户可以根据使用情况自行选择降1/3或者1/2屏。（提供具有CMA或CNAS认证标识的第三方检测机构检测报告）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 整机设备开机启动后，自动进入教学桌面，支持账号登录、退出，自动获取个人云端教学课件列表。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★17.嵌入式Android操作系统下，内置电子视力表软件，支持通过触摸方式进行视力检测，助力校园近视防控工作开展。（提供具有CMA或CNAS认证标识的第三方检测机构检测报告）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18. 电子视力表软件由设备生产厂商与</w:t>
            </w:r>
            <w:r>
              <w:rPr>
                <w:rFonts w:hint="eastAsia" w:ascii="宋体" w:hAnsi="宋体" w:cs="宋体"/>
                <w:i w:val="0"/>
                <w:iCs w:val="0"/>
                <w:color w:val="000000"/>
                <w:kern w:val="0"/>
                <w:sz w:val="21"/>
                <w:szCs w:val="21"/>
                <w:highlight w:val="none"/>
                <w:u w:val="none"/>
                <w:lang w:val="en-US" w:eastAsia="zh-CN" w:bidi="ar"/>
              </w:rPr>
              <w:t>三级甲等</w:t>
            </w:r>
            <w:r>
              <w:rPr>
                <w:rFonts w:hint="eastAsia" w:ascii="宋体" w:hAnsi="宋体" w:eastAsia="宋体" w:cs="宋体"/>
                <w:i w:val="0"/>
                <w:iCs w:val="0"/>
                <w:color w:val="000000"/>
                <w:kern w:val="0"/>
                <w:sz w:val="21"/>
                <w:szCs w:val="21"/>
                <w:highlight w:val="none"/>
                <w:u w:val="none"/>
                <w:lang w:val="en-US" w:eastAsia="zh-CN" w:bidi="ar"/>
              </w:rPr>
              <w:t>医院眼科共同开发，通过眼科医院临床试验验证，符合标准对数视力表相关要求，保证测试数据的准确性。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19.检测模式：支持进行单人视力检测及全班视力检测，检测时支持裸眼检测和戴镜检测两种方式；在全班检测模式下，自动提醒下一位准备检测的同学，提高检测效率。（提供具有CMA或CNAS认证标识的第三方检测机构检测报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★20.内置</w:t>
            </w:r>
            <w:r>
              <w:rPr>
                <w:rFonts w:hint="eastAsia" w:ascii="宋体" w:hAnsi="宋体" w:cs="宋体"/>
                <w:i w:val="0"/>
                <w:iCs w:val="0"/>
                <w:color w:val="000000"/>
                <w:kern w:val="0"/>
                <w:sz w:val="21"/>
                <w:szCs w:val="21"/>
                <w:highlight w:val="none"/>
                <w:u w:val="none"/>
                <w:lang w:val="en-US" w:eastAsia="zh-CN" w:bidi="ar"/>
              </w:rPr>
              <w:t>三级甲等</w:t>
            </w:r>
            <w:r>
              <w:rPr>
                <w:rFonts w:hint="eastAsia" w:ascii="宋体" w:hAnsi="宋体" w:eastAsia="宋体" w:cs="宋体"/>
                <w:i w:val="0"/>
                <w:iCs w:val="0"/>
                <w:color w:val="000000"/>
                <w:kern w:val="0"/>
                <w:sz w:val="21"/>
                <w:szCs w:val="21"/>
                <w:highlight w:val="none"/>
                <w:u w:val="none"/>
                <w:lang w:val="en-US" w:eastAsia="zh-CN" w:bidi="ar"/>
              </w:rPr>
              <w:t>医院眼科制作的护眼百科内容，包含专家视频、护眼动画等资源；不少于50个护眼视频。（提供具有CMA或CNAS认证标识的第三方检测机构检测报告）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21. 支持在系统后台导出视力数据进行统计分析；同时支持在本地端查看、导出学生视力数据。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22. 支持后台多级权限帐号管理，提供班级、年级、全校等管理员账号权限。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23. 不同屏幕尺寸下，软件会自动判断并提醒测试距离，不会因为屏幕尺寸的变化导致视力表测试偏差。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三、电脑配置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1.采用Intel通用标准80pin接口，即插即用，易于维护。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2.主板搭载Intel 酷睿I5或以上系列CPU。内存：8GB 笔记本内存或以上配置。硬盘：512GB或以上SSD固态硬盘。</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3.机身采用智能风扇散热设计，确保封闭空间内有效散热。PC模块可抽拉式插入整机，可实现无单独接线的插拔。采用手拧螺丝卡扣，确保PC模块安装固定到位，同时无需工具就可快速拆卸电脑模块。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4.具有独立非外扩展的视频输出接口：≥1路HDMI，≥1路DP。具有独立非外扩展的电脑USB接口：≥4路USB3.0，≥2路USB2.0。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5.具有标准PC防盗锁功能，确保电脑模块安全防盗。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四、教学软件功能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（一）备授课一体化中心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★1.备课空间：提供教师个人备课网盘，个人空间不少于</w:t>
            </w:r>
            <w:r>
              <w:rPr>
                <w:rFonts w:hint="eastAsia" w:ascii="宋体" w:hAnsi="宋体" w:cs="宋体"/>
                <w:i w:val="0"/>
                <w:iCs w:val="0"/>
                <w:color w:val="000000"/>
                <w:kern w:val="0"/>
                <w:sz w:val="21"/>
                <w:szCs w:val="21"/>
                <w:highlight w:val="none"/>
                <w:u w:val="none"/>
                <w:lang w:val="en-US" w:eastAsia="zh-CN" w:bidi="ar"/>
              </w:rPr>
              <w:t>50</w:t>
            </w:r>
            <w:r>
              <w:rPr>
                <w:rFonts w:hint="eastAsia" w:ascii="宋体" w:hAnsi="宋体" w:eastAsia="宋体" w:cs="宋体"/>
                <w:i w:val="0"/>
                <w:iCs w:val="0"/>
                <w:color w:val="000000"/>
                <w:kern w:val="0"/>
                <w:sz w:val="21"/>
                <w:szCs w:val="21"/>
                <w:highlight w:val="none"/>
                <w:u w:val="none"/>
                <w:lang w:val="en-US" w:eastAsia="zh-CN" w:bidi="ar"/>
              </w:rPr>
              <w:t>G，并可按课件、微课等内容进行归类；</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★2.智能备课插件：提供基于原生PPT与WPS的智能备课插件，非自有格式或嵌套式的备课工具，课件默认输出格式为PPT与WPS的默认格式，非专有格式，不改变教师传统备课习惯；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 资源导入：支持备课资源与智能备课插件的无缝结合，方便将图片、视频、互动微件、3D素材、题库资源等一键插入到原生PPT、WPS内,并能按学段、学科、资源类型、知识点、关键字等关键信息搜索资源；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★4.网络资源：原生PPT、WPS等支持一键引入互联网链接资源，搜索链接后可一键将页面插入至PPT、WPS等内，并能够在ppt、WPS等播放状态下进行页面二次跳转；</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课堂活动：如趣味分类、超级分类、翻翻卡、双人PK、连线题、猜词游戏、趣味素材、选词填空、选择题、判断题、比较大小、趣味检测、趣味拼词、思维导图（思维导图支持多类型模板，如经典思维、逻辑结构、彩色枝丫、鱼尾逻辑、发散思维、组织结构、目录组织、鱼骨图、天盘图，支持插入链接、图片、音视频、总结，导出为本地文件）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课本授课：支持将校本统一教材、教辅资料、校本教材、经典阅读等资源按学科、年级、册别、出版社进行归类,配套的教学资源一键下载并与教材知识点关联并内置于教材知识点对应位置，支持拖动至对应教材知识点任意位置；支持按资源名称快捷搜索相关资源，并能实现同步导入与编辑；</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白板授课：提供多学科主题模板(拼音田字格、田字格、米字格、四线格、坐标系、小方格、日字格、五线谱、篮球场、足球场、白板等),支持自定义白板主题，并可在白板任意位置进行原笔迹书写、批注、擦除、拖动等；插入图片或截图等功能到白板中，支持切换图片的锁定状态，即拖动板书内容时图片可以和板书同步移动或缩放，也可以图片位置和大小固定，板书内容移动或缩放；支持多个图片同时分别处于锁定和解锁状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8.课件授课：支持一键调取本机、个人网盘与学校网盘内的教学课件，并实现教学课件文档的手势识别(多级放大、滑动翻页、缩略图等)，播放过程中可实现自由批注与笔迹内容同步保存；</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(二)教学应用工具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1.教学书写：支持任意教学环境下(白板讲解、PPT讲解、视频播放等)进行全屏原笔迹书写，支持无限板书，无需二次点击、翻页或跳转，在当前白板页面可通过双指拖动实现无限板书，并对板书进行自由缩放；</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讲解助手：提供画笔、板书图章、板擦(区域擦除、撤销、清空等，板擦大小可自由调整等)、聚焦、放大镜、计时、录制视频、幕布、计时器等基础教学工具，其中聚焦功能实现图像增强、文字识别、高亮显示等，方便复制、编辑画面内的文字；幕布功能实现拖动黑色幕布遮盖的部分，可以在板书内容固定不动的情况下调整幕布遮盖的位置；也可以拖动幕布擦除后展露出的板书，在幕布位置固定不动的情况下，调整展露出的板书内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基础学科工具：提供多学科的学科工具，如平面图形、立体图形、尺规、量角器、函数工具、英文词典、算盘、计数器、数学动图、诗词卡片、仿真实验、构图助手、立体截面等，其中尺规和平面图形支持角度和长度的数字标注，化学仪器包括加热、计量、分离、收集、干燥等，物理仪器包括磁学、电学、光学、力学、热学、声学等，立体图形有已填充图形和未填充图形，已填充图形支持多类型展开、旋转、填充、删除等，未填充图形支持支持多种展开、自由调整展开幅度、边框四色调节、复制、删除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学科资源应用：支持一键调取学科可视化资源，包括但不限于以下知识点：小学数学(图形与几何、数与代数、统计与概率等)、小学科学(生命科学、物质科学、地球与宇宙科学、技术与工程)、初中数学(代数、几何、函数、统计概率等)、初中物理(声光热能、力与运动、电与磁等)、初中化学(科学探究、身边的化学物质、物质的化学变化、化学与社会发展、物质构成的奥秘等)、初中地理(自然地理、中国地理、世界地理等)、初中生物(生物圈、植物、人体、动物与微生物、生命的延续等)、高中数学(集合与常用逻辑用语、不等式、函数、导数、积分、三角函数与解三角形、平面向量、数列、立体几何、平面解析几何、计数原理与统计概率等)、高中物理(力与运动、电与磁、原子物理、动量与能量等)、高中化学(无机化学、实验化学、结构化学、化学反应原理、有机化学等)、高中地理(自然地理、人文地理、区域地理等)、高中生物(分子与细胞、遗传与进化、稳态与调节、生物与环境、生物技术与工程)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智能云白板：支持将教师板书同步保存至云端，并按时间、班级、来源等条件进行归档，支持跨终端调取复用以及二次编辑修改（非JPG格式与PDF格式）；支持将板书内容同步分享至设备终端或微信小程序端，支持将板书分享学科组教师、校本资源，支持一键生成分享二维码、链接，分享至微信、QQ等，所分享的板书不仅支持查看其内容，同时云端调取的云白板可打开查看插入的文档、视频等富媒体资源；云端存储的板书内容可同步删除或批量导出至本地；支持导入图片格式文件至云白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6.智能工具板：基于即时手写智能识别的智能工具板，可实现中英文智能转写、智能搜索、图形识别与函数识别等功能，智能工具板内的所有板书记录可同步保存至智能云白板；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(1)中英文智能转写：支持将手写的中英文字词自动识别并转写为标准印刷体，字体大小可无级放大；支持对中文生字的手写识别并可实现读音、笔顺、笔画、偏旁部首、组词等；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(2)中英文智能识别：支持画圈搜索手写的中英文字词，实时搜索互联网资源；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(3)图形识别：支持将教师手写的图形自动识别为标准规范图形，相关图形能够自由调整大小、角度等，并支持填色、复制、删除等功能；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(4)函数识别：支持将教师手写的函数公式(非键盘输入)自动识别并转换为匹配的函数图形，并可通过手势划词直接进行删除与修改，支持将相应的函数图形直接插入到智能工具板内；</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课堂实录：支持基于任意授课场景、界面下进行课堂实录，录制过程中可随时预览、暂停、结束，可以收起录制按钮，也可对视频、音频、导出、存储四个方面进行设置，视频设置包括但不限于录制范围、画质选择、时间提示、视频水印、鼠标显示、画中画；音频设置包括声音来源、录制准备；导出设置包括视频剪辑；存储设置包括视频存放地址；录制结束后生成MP4格式视频文件，一键保存到本地和网盘，并分享到班级和学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智适应学习与推送：支持教师将包括但不限于趣味分类、超级分类、翻翻卡、连线题、猜词游戏、趣味素材、选词填空、选择题、判断题、比较大小等交互式资源一键分享，可实现探究式、体验式学习，实时判断对错，并进行闯关答题。</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(三)系统管理中心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授课登录：支持教师通过个人账号、微信授权或二维码等方式进行身份识别快速登录授课；登录后，即时进入上课模式，并自动获取云端课件；支持课件云同步功能，课件上的所有修改、操作均可同步保存至云；</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2.班级管理：支持教师设置班级信息，包括学段、年级、班级名称；支持设置学生信息，包括学生姓名、学生所属分组等信息；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3.支持设置是否开启多人书写、板书美颜级别(低、中、高)、是否开启手势板擦等；支持设置节能模式，可自由设置设定时间内无人操作自动关机等功能。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五、集中控制管理系统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1、系统基于SaaS布局，后台管理系统采用B/S架构设计，无需本地部署服务器即可使用，支持学校管理员在Windows、国产化系统、Android、iOS等操作系统上通过网页浏览器登录进行管理指令操作。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系统支持多类型设备接入、集中管理，包含交互智能平板、智慧黑板、校园屏显设备，设备关联接入时支持设置关联学校、学段、年级、班级、设备品牌相关信息；可对学校已关联的所有设备按年级或楼层等进行管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后台管理系统支持实时查看管理设备数量，查看设备连接数量和设备在线数量，查看某台设备的软件管家版本、硬件配置和ID信息；可对设备的在线、离线状态、教室名称、内存和硬盘使用率等基础信息进行查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4、支持根据设备类型、设备所属年级、场地、设备开关机状态进行分组管理，支持文字检索设备名称。系统支持权限管理。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5、支持查看设备运维数据，包括活跃设备数量、活跃分布、开机时长、常用软件。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6、支持以图文形式对设备的使用情况进行统计，可按照选定时间周期进行统计，也支持按日、周、月进行统计。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7、支持查看设备健康度数据，设备健康度维度包含日均健康度、温度超阈值次数、CPU超阈值次数、连续使用超阈值次数、累计使用时长。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8、支持查看设备开机时长分布柱状图和设备活跃日期分布线性图，设备开机时长排行列表，同时支持将设备运维数据导出报表，支持数据可视化显示，对设备运维数据进行多种筛选分析。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9、后台管理系统支持对一台或者多台设备进行远程指令发送，包括远程关机、远程重启、远程屏幕锁、远程打铃功能。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10、支持循环计划，按照设定的周期和时间执行“关机、屏幕锁、打铃”的指令操作。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11、支持远程锁屏功能，功能开启后即可对远程设备进行屏幕锁定，输入密码即可进行解锁，也可远程发送解锁指令或扫码解锁。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12、支持设置倒计日，并可定向远程开启/关闭指定设备的倒计日功能。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13、支持对一台或者多台设备进行远程系统设置，包括远程通道切换和USB禁用功能。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14、支持远程指令发布，并可查看指令列表。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15、支持用户自主上传安装包，批量将软件发送至设备安装，整个安装过程无弹窗提示，无需终端用户手动操作。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16、支持一键开启设备的不良弹窗拦截功能，并可设置取消或者开启拦截。当设备上有窗口弹出时，会自动进行判断，判断为不良弹窗时，自动拦截该窗口。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17、支持查看学校当前所有拦截弹窗应用名称、上报次数、拦截次数、弹窗详情；支持将某个应用加入白名单或取消白名单。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18、支持远程批量设置设备的冰冻和解冻状态。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19、定时开关机支持同时发布三段定时。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20、公告制作支持文字、背景颜色修改，可设置播放位置及速度，支持实时预览。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21、所发布的内容需经过指定的审核人员审核通过后，才可发布到设备上进行展示。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22、支持OTA升级和远程控制。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六、其他要求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1、要求厂家质保5年，为确保货物质量及原厂品质，中标供应商在正式供货时必须提供生产厂家针对此项目的售后服务保证原件、供货证明原件，否则</w:t>
            </w:r>
            <w:r>
              <w:rPr>
                <w:rFonts w:hint="eastAsia" w:ascii="宋体" w:hAnsi="宋体" w:cs="宋体"/>
                <w:i w:val="0"/>
                <w:iCs w:val="0"/>
                <w:color w:val="000000"/>
                <w:kern w:val="0"/>
                <w:sz w:val="21"/>
                <w:szCs w:val="21"/>
                <w:highlight w:val="none"/>
                <w:u w:val="none"/>
                <w:lang w:val="en-US" w:eastAsia="zh-CN" w:bidi="ar"/>
              </w:rPr>
              <w:t>采购人</w:t>
            </w:r>
            <w:r>
              <w:rPr>
                <w:rFonts w:hint="eastAsia" w:ascii="宋体" w:hAnsi="宋体" w:eastAsia="宋体" w:cs="宋体"/>
                <w:i w:val="0"/>
                <w:iCs w:val="0"/>
                <w:color w:val="000000"/>
                <w:kern w:val="0"/>
                <w:sz w:val="21"/>
                <w:szCs w:val="21"/>
                <w:highlight w:val="none"/>
                <w:u w:val="none"/>
                <w:lang w:val="en-US" w:eastAsia="zh-CN" w:bidi="ar"/>
              </w:rPr>
              <w:t>将不予验收通过。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2、打“★”号条款为重要技术参数，投标人必须满足否则</w:t>
            </w:r>
            <w:r>
              <w:rPr>
                <w:rFonts w:hint="eastAsia" w:ascii="宋体" w:hAnsi="宋体" w:cs="宋体"/>
                <w:i w:val="0"/>
                <w:iCs w:val="0"/>
                <w:color w:val="000000"/>
                <w:kern w:val="0"/>
                <w:sz w:val="21"/>
                <w:szCs w:val="21"/>
                <w:highlight w:val="none"/>
                <w:u w:val="none"/>
                <w:lang w:val="en-US" w:eastAsia="zh-CN" w:bidi="ar"/>
              </w:rPr>
              <w:t>投标</w:t>
            </w:r>
            <w:r>
              <w:rPr>
                <w:rFonts w:hint="eastAsia" w:ascii="宋体" w:hAnsi="宋体" w:eastAsia="宋体" w:cs="宋体"/>
                <w:i w:val="0"/>
                <w:iCs w:val="0"/>
                <w:color w:val="000000"/>
                <w:kern w:val="0"/>
                <w:sz w:val="21"/>
                <w:szCs w:val="21"/>
                <w:highlight w:val="none"/>
                <w:u w:val="none"/>
                <w:lang w:val="en-US" w:eastAsia="zh-CN" w:bidi="ar"/>
              </w:rPr>
              <w:t>无效。中标公示期内若有其他投标人质疑情况下，中标单位必须提供与</w:t>
            </w:r>
            <w:r>
              <w:rPr>
                <w:rFonts w:hint="eastAsia" w:ascii="宋体" w:hAnsi="宋体" w:cs="宋体"/>
                <w:i w:val="0"/>
                <w:iCs w:val="0"/>
                <w:color w:val="000000"/>
                <w:kern w:val="0"/>
                <w:sz w:val="21"/>
                <w:szCs w:val="21"/>
                <w:highlight w:val="none"/>
                <w:u w:val="none"/>
                <w:lang w:val="en-US" w:eastAsia="zh-CN" w:bidi="ar"/>
              </w:rPr>
              <w:t>招标文件</w:t>
            </w:r>
            <w:r>
              <w:rPr>
                <w:rFonts w:hint="eastAsia" w:ascii="宋体" w:hAnsi="宋体" w:eastAsia="宋体" w:cs="宋体"/>
                <w:i w:val="0"/>
                <w:iCs w:val="0"/>
                <w:color w:val="000000"/>
                <w:kern w:val="0"/>
                <w:sz w:val="21"/>
                <w:szCs w:val="21"/>
                <w:highlight w:val="none"/>
                <w:u w:val="none"/>
                <w:lang w:val="en-US" w:eastAsia="zh-CN" w:bidi="ar"/>
              </w:rPr>
              <w:t>技术要求及功能符合的全部样品一套至用户处进行整体性能与</w:t>
            </w:r>
            <w:r>
              <w:rPr>
                <w:rFonts w:hint="eastAsia" w:ascii="宋体" w:hAnsi="宋体" w:cs="宋体"/>
                <w:i w:val="0"/>
                <w:iCs w:val="0"/>
                <w:color w:val="000000"/>
                <w:kern w:val="0"/>
                <w:sz w:val="21"/>
                <w:szCs w:val="21"/>
                <w:highlight w:val="none"/>
                <w:u w:val="none"/>
                <w:lang w:val="en-US" w:eastAsia="zh-CN" w:bidi="ar"/>
              </w:rPr>
              <w:t>招标</w:t>
            </w:r>
            <w:r>
              <w:rPr>
                <w:rFonts w:hint="eastAsia" w:ascii="宋体" w:hAnsi="宋体" w:eastAsia="宋体" w:cs="宋体"/>
                <w:i w:val="0"/>
                <w:iCs w:val="0"/>
                <w:color w:val="000000"/>
                <w:kern w:val="0"/>
                <w:sz w:val="21"/>
                <w:szCs w:val="21"/>
                <w:highlight w:val="none"/>
                <w:u w:val="none"/>
                <w:lang w:val="en-US" w:eastAsia="zh-CN" w:bidi="ar"/>
              </w:rPr>
              <w:t>文件核对，协助质疑答复。如出现所提供样品不符招标要求或无法提供所有样品，均视为虚假应标处理并根据《政府采购货物和服务招标投标管理办法》</w:t>
            </w:r>
            <w:r>
              <w:rPr>
                <w:rFonts w:hint="eastAsia" w:ascii="宋体" w:hAnsi="宋体" w:cs="宋体"/>
                <w:i w:val="0"/>
                <w:iCs w:val="0"/>
                <w:color w:val="000000"/>
                <w:kern w:val="0"/>
                <w:sz w:val="21"/>
                <w:szCs w:val="21"/>
                <w:highlight w:val="none"/>
                <w:u w:val="none"/>
                <w:lang w:val="en-US" w:eastAsia="zh-CN" w:bidi="ar"/>
              </w:rPr>
              <w:t>等相关法律法规</w:t>
            </w:r>
            <w:r>
              <w:rPr>
                <w:rFonts w:hint="eastAsia" w:ascii="宋体" w:hAnsi="宋体" w:eastAsia="宋体" w:cs="宋体"/>
                <w:i w:val="0"/>
                <w:iCs w:val="0"/>
                <w:color w:val="000000"/>
                <w:kern w:val="0"/>
                <w:sz w:val="21"/>
                <w:szCs w:val="21"/>
                <w:highlight w:val="none"/>
                <w:u w:val="none"/>
                <w:lang w:val="en-US" w:eastAsia="zh-CN" w:bidi="ar"/>
              </w:rPr>
              <w:t>及</w:t>
            </w:r>
            <w:r>
              <w:rPr>
                <w:rFonts w:hint="eastAsia" w:ascii="宋体" w:hAnsi="宋体" w:cs="宋体"/>
                <w:i w:val="0"/>
                <w:iCs w:val="0"/>
                <w:color w:val="000000"/>
                <w:kern w:val="0"/>
                <w:sz w:val="21"/>
                <w:szCs w:val="21"/>
                <w:highlight w:val="none"/>
                <w:u w:val="none"/>
                <w:lang w:val="en-US" w:eastAsia="zh-CN" w:bidi="ar"/>
              </w:rPr>
              <w:t>招标文件</w:t>
            </w:r>
            <w:r>
              <w:rPr>
                <w:rFonts w:hint="eastAsia" w:ascii="宋体" w:hAnsi="宋体" w:eastAsia="宋体" w:cs="宋体"/>
                <w:i w:val="0"/>
                <w:iCs w:val="0"/>
                <w:color w:val="000000"/>
                <w:kern w:val="0"/>
                <w:sz w:val="21"/>
                <w:szCs w:val="21"/>
                <w:highlight w:val="none"/>
                <w:u w:val="none"/>
                <w:lang w:val="en-US" w:eastAsia="zh-CN" w:bidi="ar"/>
              </w:rPr>
              <w:t>要求追究法律责任。</w:t>
            </w:r>
          </w:p>
        </w:tc>
        <w:tc>
          <w:tcPr>
            <w:tcW w:w="930" w:type="dxa"/>
            <w:tcBorders>
              <w:top w:val="single" w:color="auto" w:sz="4" w:space="0"/>
              <w:left w:val="single" w:color="auto" w:sz="4" w:space="0"/>
              <w:bottom w:val="single" w:color="auto" w:sz="4" w:space="0"/>
              <w:right w:val="single" w:color="auto" w:sz="4" w:space="0"/>
            </w:tcBorders>
            <w:vAlign w:val="center"/>
          </w:tcPr>
          <w:p w14:paraId="6603AB31">
            <w:pPr>
              <w:keepNext w:val="0"/>
              <w:keepLines w:val="0"/>
              <w:pageBreakBefore w:val="0"/>
              <w:widowControl/>
              <w:suppressLineNumbers w:val="0"/>
              <w:kinsoku/>
              <w:wordWrap/>
              <w:overflowPunct/>
              <w:topLinePunct w:val="0"/>
              <w:autoSpaceDE/>
              <w:autoSpaceDN/>
              <w:bidi w:val="0"/>
              <w:spacing w:line="340" w:lineRule="exact"/>
              <w:jc w:val="center"/>
              <w:textAlignment w:val="center"/>
              <w:rPr>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786" w:type="dxa"/>
            <w:tcBorders>
              <w:top w:val="single" w:color="auto" w:sz="4" w:space="0"/>
              <w:left w:val="single" w:color="auto" w:sz="4" w:space="0"/>
              <w:bottom w:val="single" w:color="auto" w:sz="4" w:space="0"/>
              <w:right w:val="single" w:color="auto" w:sz="4" w:space="0"/>
            </w:tcBorders>
            <w:vAlign w:val="center"/>
          </w:tcPr>
          <w:p w14:paraId="30E8577A">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ascii="仿宋_GB2312" w:hAnsi="宋体" w:eastAsia="仿宋_GB2312"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67</w:t>
            </w:r>
          </w:p>
        </w:tc>
      </w:tr>
      <w:tr w14:paraId="79D0E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819" w:type="dxa"/>
            <w:tcBorders>
              <w:top w:val="single" w:color="auto" w:sz="4" w:space="0"/>
              <w:left w:val="single" w:color="auto" w:sz="4" w:space="0"/>
              <w:bottom w:val="single" w:color="auto" w:sz="4" w:space="0"/>
              <w:right w:val="single" w:color="auto" w:sz="4" w:space="0"/>
            </w:tcBorders>
            <w:vAlign w:val="center"/>
          </w:tcPr>
          <w:p w14:paraId="70FB0F54">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ascii="仿宋_GB2312" w:hAnsi="宋体" w:eastAsia="仿宋_GB2312"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547" w:type="dxa"/>
            <w:tcBorders>
              <w:top w:val="single" w:color="auto" w:sz="4" w:space="0"/>
              <w:left w:val="single" w:color="auto" w:sz="4" w:space="0"/>
              <w:bottom w:val="single" w:color="auto" w:sz="4" w:space="0"/>
              <w:right w:val="single" w:color="auto" w:sz="4" w:space="0"/>
            </w:tcBorders>
            <w:vAlign w:val="center"/>
          </w:tcPr>
          <w:p w14:paraId="66796599">
            <w:pPr>
              <w:keepNext w:val="0"/>
              <w:keepLines w:val="0"/>
              <w:pageBreakBefore w:val="0"/>
              <w:widowControl/>
              <w:suppressLineNumbers w:val="0"/>
              <w:kinsoku/>
              <w:wordWrap/>
              <w:overflowPunct/>
              <w:topLinePunct w:val="0"/>
              <w:autoSpaceDE/>
              <w:autoSpaceDN/>
              <w:bidi w:val="0"/>
              <w:spacing w:line="340" w:lineRule="exact"/>
              <w:jc w:val="left"/>
              <w:textAlignment w:val="center"/>
              <w:rPr>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AI视频展台</w:t>
            </w:r>
          </w:p>
        </w:tc>
        <w:tc>
          <w:tcPr>
            <w:tcW w:w="66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E482EF">
            <w:pPr>
              <w:keepNext w:val="0"/>
              <w:keepLines w:val="0"/>
              <w:pageBreakBefore w:val="0"/>
              <w:widowControl/>
              <w:suppressLineNumbers w:val="0"/>
              <w:kinsoku/>
              <w:wordWrap/>
              <w:overflowPunct/>
              <w:topLinePunct w:val="0"/>
              <w:autoSpaceDE/>
              <w:autoSpaceDN/>
              <w:bidi w:val="0"/>
              <w:spacing w:line="340" w:lineRule="exact"/>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1、摄像头：摄像头可拍摄不少于1300W像素的照片。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2、视频预览：采用A4大小拍摄幅面，1080P动态视频预览达到30帧/秒。</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3、LED补光灯：展台具备不少于三级的补光灯，补光灯采用触摸按键设计。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4、实时批注：支持展台画面实时批注，且批注内容与展台画面同步缩放移动。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5、动态推送：展台软件带国学经典文句动态推送功能，每次启动软件，都会推送不同的经典国学文句，用于迅速抓取学生的注意力回归黑板。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6、画面操作：支持对展台实时画面进行方法、缩小、旋转、冻结操作。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自动调整：展台软件带自动文字正向，软件可以根据实际展示文件的文字方向（无论是正的，反的，偏斜的），进行自动的旋转调整，保持文字永远都是正向展示，同时实现展示文件自动居中，方便老师随意放纸，无需调整与操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8、自动缩放：展台软件带自动的放大与缩小的功能，软件可以根据展示物的大小，自动进行放大与缩小，小的展示物体可以自动放大到同屏的等比例，大的展示物体可以自动缩小到同屏等比例。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9、双击居中：展台软件带双击屏幕局部放大的功能，老师可以通过双击局部位置，自动的放大局部展示区，同时自动使局部位置居中摆放。</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10、十点触摸：展台软件支持10点以上触摸，在画笔状态下支持同时10点以上流畅标注。方便老师与多名学生在课堂上实现互动与参与，增加课堂的趣味与多彩。</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11、文字识别：展台软件带OCR框选识别文字功能，老师可以在动态视频下框选展示物其中一段文字，软件自动提取文字，可用于直接放入Word或者复制带走。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12、自动扫描：专业展台软件带检测到物体自动扫描功能，同时扫描文档可自动纠偏，精准去多余边角，可自动修复破损纸张图像。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对比教学：展台软件带对比教学功能，可以实现动态视频与静态图片的对比教学，每个对比展示区都支持双击局部放大，批注笔记与图片联动，展示区的全屏切换等。方便老师针对不同学生试卷和作业进行对比教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14、二维码扫描：展台软件带二维码扫描功能，帮助老师快速直接调用,访问课本上二维码拓展知识内容。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15、PDF合成：展台软件带一键PDF合成功能，老师可以一键把多张图片合成PDF文件。</w:t>
            </w:r>
          </w:p>
        </w:tc>
        <w:tc>
          <w:tcPr>
            <w:tcW w:w="930" w:type="dxa"/>
            <w:tcBorders>
              <w:top w:val="single" w:color="auto" w:sz="4" w:space="0"/>
              <w:left w:val="single" w:color="auto" w:sz="4" w:space="0"/>
              <w:bottom w:val="single" w:color="auto" w:sz="4" w:space="0"/>
              <w:right w:val="single" w:color="auto" w:sz="4" w:space="0"/>
            </w:tcBorders>
            <w:vAlign w:val="center"/>
          </w:tcPr>
          <w:p w14:paraId="03F92C28">
            <w:pPr>
              <w:keepNext w:val="0"/>
              <w:keepLines w:val="0"/>
              <w:pageBreakBefore w:val="0"/>
              <w:widowControl/>
              <w:suppressLineNumbers w:val="0"/>
              <w:kinsoku/>
              <w:wordWrap/>
              <w:overflowPunct/>
              <w:topLinePunct w:val="0"/>
              <w:autoSpaceDE/>
              <w:autoSpaceDN/>
              <w:bidi w:val="0"/>
              <w:spacing w:line="340" w:lineRule="exact"/>
              <w:jc w:val="center"/>
              <w:textAlignment w:val="center"/>
              <w:rPr>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786" w:type="dxa"/>
            <w:tcBorders>
              <w:top w:val="single" w:color="auto" w:sz="4" w:space="0"/>
              <w:left w:val="single" w:color="auto" w:sz="4" w:space="0"/>
              <w:bottom w:val="single" w:color="auto" w:sz="4" w:space="0"/>
              <w:right w:val="single" w:color="auto" w:sz="4" w:space="0"/>
            </w:tcBorders>
            <w:vAlign w:val="center"/>
          </w:tcPr>
          <w:p w14:paraId="602E23AF">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ascii="仿宋_GB2312" w:hAnsi="宋体" w:eastAsia="仿宋_GB2312"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67</w:t>
            </w:r>
          </w:p>
        </w:tc>
      </w:tr>
      <w:tr w14:paraId="7EC11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819" w:type="dxa"/>
            <w:tcBorders>
              <w:top w:val="single" w:color="auto" w:sz="4" w:space="0"/>
              <w:left w:val="single" w:color="auto" w:sz="4" w:space="0"/>
              <w:bottom w:val="single" w:color="auto" w:sz="4" w:space="0"/>
              <w:right w:val="single" w:color="auto" w:sz="4" w:space="0"/>
            </w:tcBorders>
            <w:vAlign w:val="center"/>
          </w:tcPr>
          <w:p w14:paraId="005BFC01">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ascii="仿宋_GB2312" w:hAnsi="宋体" w:eastAsia="仿宋_GB2312"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kern w:val="0"/>
                <w:sz w:val="21"/>
                <w:szCs w:val="21"/>
                <w:highlight w:val="none"/>
                <w:u w:val="none"/>
                <w:lang w:val="en-US" w:eastAsia="zh-CN" w:bidi="ar"/>
              </w:rPr>
              <w:t>3</w:t>
            </w:r>
          </w:p>
        </w:tc>
        <w:tc>
          <w:tcPr>
            <w:tcW w:w="1547" w:type="dxa"/>
            <w:tcBorders>
              <w:top w:val="single" w:color="auto" w:sz="4" w:space="0"/>
              <w:left w:val="single" w:color="auto" w:sz="4" w:space="0"/>
              <w:bottom w:val="single" w:color="auto" w:sz="4" w:space="0"/>
              <w:right w:val="single" w:color="auto" w:sz="4" w:space="0"/>
            </w:tcBorders>
            <w:vAlign w:val="center"/>
          </w:tcPr>
          <w:p w14:paraId="0C4CD4F9">
            <w:pPr>
              <w:keepNext w:val="0"/>
              <w:keepLines w:val="0"/>
              <w:pageBreakBefore w:val="0"/>
              <w:widowControl/>
              <w:suppressLineNumbers w:val="0"/>
              <w:kinsoku/>
              <w:wordWrap/>
              <w:overflowPunct/>
              <w:topLinePunct w:val="0"/>
              <w:autoSpaceDE/>
              <w:autoSpaceDN/>
              <w:bidi w:val="0"/>
              <w:spacing w:line="340" w:lineRule="exact"/>
              <w:jc w:val="left"/>
              <w:textAlignment w:val="center"/>
              <w:rPr>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智能笔</w:t>
            </w:r>
          </w:p>
        </w:tc>
        <w:tc>
          <w:tcPr>
            <w:tcW w:w="66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F9AE73">
            <w:pPr>
              <w:keepNext w:val="0"/>
              <w:keepLines w:val="0"/>
              <w:pageBreakBefore w:val="0"/>
              <w:widowControl/>
              <w:suppressLineNumbers w:val="0"/>
              <w:kinsoku/>
              <w:wordWrap/>
              <w:overflowPunct/>
              <w:topLinePunct w:val="0"/>
              <w:autoSpaceDE/>
              <w:autoSpaceDN/>
              <w:bidi w:val="0"/>
              <w:spacing w:line="340" w:lineRule="exact"/>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1、采用笔型设计，笔身配置不少于五个物理按键，具备翻页和激光笔功能，既可用于触摸书写，也可用于远程操控。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2、支持电容触摸设备书写、无线控制发射器一体化设计。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3、采用2.4G无线连接技术，无线接收距离可30米。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4、内置高精度陀螺仪，具备模拟激光笔功能，可通过笔身按钮激活陀螺仪模拟激光功能，适用于加载防眩光设计的教学显示设备。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5、内置高精度陀螺仪，支持空中鼠标功能。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6、无线接收器采用微型nano设计，并能收纳在笔内，即插即用，整洁美观。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7、单接收器设计，Android、Windows双系统同时响应。只需安装一个接收器，双系统都能响应智能笔的操作指令。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8、支持对白板课件、PPT、PDF等多种格式的课件进行远程无线翻页。</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9、功能按键可通过长按/短按实现两种快捷功能，方便教师操作。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10、内部集成可充电电池设计，可连续不中断使用≥22小时，从无电到满电的充电时长≤4小时。</w:t>
            </w:r>
          </w:p>
        </w:tc>
        <w:tc>
          <w:tcPr>
            <w:tcW w:w="930" w:type="dxa"/>
            <w:tcBorders>
              <w:top w:val="single" w:color="auto" w:sz="4" w:space="0"/>
              <w:left w:val="single" w:color="auto" w:sz="4" w:space="0"/>
              <w:bottom w:val="single" w:color="auto" w:sz="4" w:space="0"/>
              <w:right w:val="single" w:color="auto" w:sz="4" w:space="0"/>
            </w:tcBorders>
            <w:vAlign w:val="center"/>
          </w:tcPr>
          <w:p w14:paraId="5C4D830F">
            <w:pPr>
              <w:keepNext w:val="0"/>
              <w:keepLines w:val="0"/>
              <w:pageBreakBefore w:val="0"/>
              <w:widowControl/>
              <w:suppressLineNumbers w:val="0"/>
              <w:kinsoku/>
              <w:wordWrap/>
              <w:overflowPunct/>
              <w:topLinePunct w:val="0"/>
              <w:autoSpaceDE/>
              <w:autoSpaceDN/>
              <w:bidi w:val="0"/>
              <w:spacing w:line="340" w:lineRule="exact"/>
              <w:jc w:val="center"/>
              <w:textAlignment w:val="center"/>
              <w:rPr>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支</w:t>
            </w:r>
          </w:p>
        </w:tc>
        <w:tc>
          <w:tcPr>
            <w:tcW w:w="786" w:type="dxa"/>
            <w:tcBorders>
              <w:top w:val="single" w:color="auto" w:sz="4" w:space="0"/>
              <w:left w:val="single" w:color="auto" w:sz="4" w:space="0"/>
              <w:bottom w:val="single" w:color="auto" w:sz="4" w:space="0"/>
              <w:right w:val="single" w:color="auto" w:sz="4" w:space="0"/>
            </w:tcBorders>
            <w:vAlign w:val="center"/>
          </w:tcPr>
          <w:p w14:paraId="6D1DE6E2">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ascii="仿宋_GB2312" w:hAnsi="宋体" w:eastAsia="仿宋_GB2312"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kern w:val="0"/>
                <w:sz w:val="21"/>
                <w:szCs w:val="21"/>
                <w:highlight w:val="none"/>
                <w:u w:val="none"/>
                <w:lang w:val="en-US" w:eastAsia="zh-CN" w:bidi="ar"/>
              </w:rPr>
              <w:t>67</w:t>
            </w:r>
          </w:p>
        </w:tc>
      </w:tr>
      <w:tr w14:paraId="348F8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819" w:type="dxa"/>
            <w:tcBorders>
              <w:top w:val="single" w:color="auto" w:sz="4" w:space="0"/>
              <w:left w:val="single" w:color="auto" w:sz="4" w:space="0"/>
              <w:bottom w:val="single" w:color="auto" w:sz="4" w:space="0"/>
              <w:right w:val="single" w:color="auto" w:sz="4" w:space="0"/>
            </w:tcBorders>
            <w:vAlign w:val="center"/>
          </w:tcPr>
          <w:p w14:paraId="14746A6E">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ascii="仿宋_GB2312" w:hAnsi="宋体" w:eastAsia="仿宋_GB2312"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547" w:type="dxa"/>
            <w:tcBorders>
              <w:top w:val="single" w:color="auto" w:sz="4" w:space="0"/>
              <w:left w:val="single" w:color="auto" w:sz="4" w:space="0"/>
              <w:bottom w:val="single" w:color="auto" w:sz="4" w:space="0"/>
              <w:right w:val="single" w:color="auto" w:sz="4" w:space="0"/>
            </w:tcBorders>
            <w:vAlign w:val="center"/>
          </w:tcPr>
          <w:p w14:paraId="4D537F22">
            <w:pPr>
              <w:keepNext w:val="0"/>
              <w:keepLines w:val="0"/>
              <w:pageBreakBefore w:val="0"/>
              <w:widowControl/>
              <w:suppressLineNumbers w:val="0"/>
              <w:kinsoku/>
              <w:wordWrap/>
              <w:overflowPunct/>
              <w:topLinePunct w:val="0"/>
              <w:autoSpaceDE/>
              <w:autoSpaceDN/>
              <w:bidi w:val="0"/>
              <w:spacing w:line="340" w:lineRule="exact"/>
              <w:jc w:val="left"/>
              <w:textAlignment w:val="center"/>
              <w:rPr>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2.4G无线有源音箱</w:t>
            </w:r>
          </w:p>
        </w:tc>
        <w:tc>
          <w:tcPr>
            <w:tcW w:w="66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2DD387">
            <w:pPr>
              <w:keepNext w:val="0"/>
              <w:keepLines w:val="0"/>
              <w:pageBreakBefore w:val="0"/>
              <w:widowControl/>
              <w:suppressLineNumbers w:val="0"/>
              <w:kinsoku/>
              <w:wordWrap/>
              <w:overflowPunct/>
              <w:topLinePunct w:val="0"/>
              <w:autoSpaceDE/>
              <w:autoSpaceDN/>
              <w:bidi w:val="0"/>
              <w:spacing w:line="340" w:lineRule="exact"/>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1.内置2.4G信号接收盒，开机自动进入配对状态，近距离配对、配对成功后有提示音，能满足同一场所大批量使用，不串频、抗干扰性强；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2.采用SMT工艺生产，内置高保真功率放大器，170V-240V开关电源宽电压设计，效率高、功率大、重量轻、待机功耗小、扩音清晰、性能稳定；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3.二单元设计、6.5寸低音喇叭、2寸高音喇叭；</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4.麦克风音量、音乐音量、综合高低音调节功能；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5.1组莲花CD/MD/电脑音频输入、1路莲花录音输出、1个3.5毫米电脑音频输入接口；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 1路70V-110V有线定压广播强切输入、5秒钟后自动恢复教室扩声；在设备不开机的情况下也能实现校园广播功能。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 1路6.5毫米话筒输入插口、与同品牌话筒连接不用电池；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8.烤漆铁网防护罩、配原厂支架、壁挂式安装；</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9.适用于各类多媒体教室、电教室、普通教室；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10.使用频率：2400-2485MHz；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11.输出功率：2×60W；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12.灵敏度：87dB±2dB；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13.频率响应：30Hz-20KHz；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14.信噪比：83dB±2dB；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15.电源：交流170V-240V±10％/50Hz；</w:t>
            </w:r>
          </w:p>
        </w:tc>
        <w:tc>
          <w:tcPr>
            <w:tcW w:w="930" w:type="dxa"/>
            <w:tcBorders>
              <w:top w:val="single" w:color="auto" w:sz="4" w:space="0"/>
              <w:left w:val="single" w:color="auto" w:sz="4" w:space="0"/>
              <w:bottom w:val="single" w:color="auto" w:sz="4" w:space="0"/>
              <w:right w:val="single" w:color="auto" w:sz="4" w:space="0"/>
            </w:tcBorders>
            <w:vAlign w:val="center"/>
          </w:tcPr>
          <w:p w14:paraId="6C221366">
            <w:pPr>
              <w:keepNext w:val="0"/>
              <w:keepLines w:val="0"/>
              <w:pageBreakBefore w:val="0"/>
              <w:widowControl/>
              <w:suppressLineNumbers w:val="0"/>
              <w:kinsoku/>
              <w:wordWrap/>
              <w:overflowPunct/>
              <w:topLinePunct w:val="0"/>
              <w:autoSpaceDE/>
              <w:autoSpaceDN/>
              <w:bidi w:val="0"/>
              <w:spacing w:line="340" w:lineRule="exact"/>
              <w:jc w:val="center"/>
              <w:textAlignment w:val="center"/>
              <w:rPr>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786" w:type="dxa"/>
            <w:tcBorders>
              <w:top w:val="single" w:color="auto" w:sz="4" w:space="0"/>
              <w:left w:val="single" w:color="auto" w:sz="4" w:space="0"/>
              <w:bottom w:val="single" w:color="auto" w:sz="4" w:space="0"/>
              <w:right w:val="single" w:color="auto" w:sz="4" w:space="0"/>
            </w:tcBorders>
            <w:vAlign w:val="center"/>
          </w:tcPr>
          <w:p w14:paraId="72F1AE13">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ascii="仿宋_GB2312" w:hAnsi="宋体" w:eastAsia="仿宋_GB2312"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67</w:t>
            </w:r>
          </w:p>
        </w:tc>
      </w:tr>
      <w:tr w14:paraId="1E17E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819" w:type="dxa"/>
            <w:tcBorders>
              <w:top w:val="single" w:color="auto" w:sz="4" w:space="0"/>
              <w:left w:val="single" w:color="auto" w:sz="4" w:space="0"/>
              <w:bottom w:val="single" w:color="auto" w:sz="4" w:space="0"/>
              <w:right w:val="single" w:color="auto" w:sz="4" w:space="0"/>
            </w:tcBorders>
            <w:vAlign w:val="center"/>
          </w:tcPr>
          <w:p w14:paraId="68BB2AAD">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ascii="仿宋_GB2312" w:hAnsi="宋体" w:eastAsia="仿宋_GB2312"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547" w:type="dxa"/>
            <w:tcBorders>
              <w:top w:val="single" w:color="auto" w:sz="4" w:space="0"/>
              <w:left w:val="single" w:color="auto" w:sz="4" w:space="0"/>
              <w:bottom w:val="single" w:color="auto" w:sz="4" w:space="0"/>
              <w:right w:val="single" w:color="auto" w:sz="4" w:space="0"/>
            </w:tcBorders>
            <w:vAlign w:val="center"/>
          </w:tcPr>
          <w:p w14:paraId="2A306ECC">
            <w:pPr>
              <w:keepNext w:val="0"/>
              <w:keepLines w:val="0"/>
              <w:pageBreakBefore w:val="0"/>
              <w:widowControl/>
              <w:suppressLineNumbers w:val="0"/>
              <w:kinsoku/>
              <w:wordWrap/>
              <w:overflowPunct/>
              <w:topLinePunct w:val="0"/>
              <w:autoSpaceDE/>
              <w:autoSpaceDN/>
              <w:bidi w:val="0"/>
              <w:spacing w:line="340" w:lineRule="exact"/>
              <w:jc w:val="left"/>
              <w:textAlignment w:val="center"/>
              <w:rPr>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2.4G无线话筒</w:t>
            </w:r>
          </w:p>
        </w:tc>
        <w:tc>
          <w:tcPr>
            <w:tcW w:w="66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9A7E43">
            <w:pPr>
              <w:keepNext w:val="0"/>
              <w:keepLines w:val="0"/>
              <w:pageBreakBefore w:val="0"/>
              <w:widowControl/>
              <w:suppressLineNumbers w:val="0"/>
              <w:kinsoku/>
              <w:wordWrap/>
              <w:overflowPunct/>
              <w:topLinePunct w:val="0"/>
              <w:autoSpaceDE/>
              <w:autoSpaceDN/>
              <w:bidi w:val="0"/>
              <w:spacing w:line="340" w:lineRule="exact"/>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1.2.4G抗干扰射频技术、同一个无线麦克风、能在不同的教室接收机上使用、1000套同时使用不串频、近距离开机自动对频对频成功有语音提示,无须专人管理。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2.1.8寸LCD液晶显示屏, 显示充电中、低电量、发射机与接收机信号锁定、音量大小、PPT无线翻页功能和ACG。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3.功能按键采用金属密封式轻触开关、</w:t>
            </w:r>
            <w:r>
              <w:rPr>
                <w:rFonts w:hint="eastAsia" w:ascii="宋体" w:hAnsi="宋体" w:cs="宋体"/>
                <w:i w:val="0"/>
                <w:iCs w:val="0"/>
                <w:color w:val="000000"/>
                <w:kern w:val="0"/>
                <w:sz w:val="21"/>
                <w:szCs w:val="21"/>
                <w:highlight w:val="none"/>
                <w:u w:val="none"/>
                <w:lang w:val="en-US" w:eastAsia="zh-CN" w:bidi="ar"/>
              </w:rPr>
              <w:t>具</w:t>
            </w:r>
            <w:r>
              <w:rPr>
                <w:rFonts w:hint="eastAsia" w:ascii="宋体" w:hAnsi="宋体" w:eastAsia="宋体" w:cs="宋体"/>
                <w:i w:val="0"/>
                <w:iCs w:val="0"/>
                <w:color w:val="000000"/>
                <w:kern w:val="0"/>
                <w:sz w:val="21"/>
                <w:szCs w:val="21"/>
                <w:highlight w:val="none"/>
                <w:u w:val="none"/>
                <w:lang w:val="en-US" w:eastAsia="zh-CN" w:bidi="ar"/>
              </w:rPr>
              <w:t>有防水、防潮、防尘的功能,性能稳定持久耐用。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4.音量大小调节数字液晶显示、U型背夹设计放便使用.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5.内/外置麦克风切换功能、手持、领夹咪、头戴咪多种使用方式。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6.一键静音功能放便老师与他人勾通.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7.无音频信号输入自动降噪静音功能。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8.远距离电子激光教鞭、根据用户要求可增加PPT翻页功能。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9.锂电池供电保节能、连续工作10个小时、待机时间60天。</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10.传输范围：视环境变化约20M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11.信噪比：≥83dB。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12.接收灵敏度：85dB±2dB。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13.工作频率：2400-2485MHz。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14.调制方式：QPSK</w:t>
            </w:r>
          </w:p>
        </w:tc>
        <w:tc>
          <w:tcPr>
            <w:tcW w:w="930" w:type="dxa"/>
            <w:tcBorders>
              <w:top w:val="single" w:color="auto" w:sz="4" w:space="0"/>
              <w:left w:val="single" w:color="auto" w:sz="4" w:space="0"/>
              <w:bottom w:val="single" w:color="auto" w:sz="4" w:space="0"/>
              <w:right w:val="single" w:color="auto" w:sz="4" w:space="0"/>
            </w:tcBorders>
            <w:vAlign w:val="center"/>
          </w:tcPr>
          <w:p w14:paraId="1DEA272E">
            <w:pPr>
              <w:keepNext w:val="0"/>
              <w:keepLines w:val="0"/>
              <w:pageBreakBefore w:val="0"/>
              <w:widowControl/>
              <w:suppressLineNumbers w:val="0"/>
              <w:kinsoku/>
              <w:wordWrap/>
              <w:overflowPunct/>
              <w:topLinePunct w:val="0"/>
              <w:autoSpaceDE/>
              <w:autoSpaceDN/>
              <w:bidi w:val="0"/>
              <w:spacing w:line="340" w:lineRule="exact"/>
              <w:jc w:val="center"/>
              <w:textAlignment w:val="center"/>
              <w:rPr>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786" w:type="dxa"/>
            <w:tcBorders>
              <w:top w:val="single" w:color="auto" w:sz="4" w:space="0"/>
              <w:left w:val="single" w:color="auto" w:sz="4" w:space="0"/>
              <w:bottom w:val="single" w:color="auto" w:sz="4" w:space="0"/>
              <w:right w:val="single" w:color="auto" w:sz="4" w:space="0"/>
            </w:tcBorders>
            <w:vAlign w:val="center"/>
          </w:tcPr>
          <w:p w14:paraId="485A6A73">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ascii="仿宋_GB2312" w:hAnsi="宋体" w:eastAsia="仿宋_GB2312"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67</w:t>
            </w:r>
          </w:p>
        </w:tc>
      </w:tr>
      <w:tr w14:paraId="03038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819" w:type="dxa"/>
            <w:tcBorders>
              <w:top w:val="single" w:color="auto" w:sz="4" w:space="0"/>
              <w:left w:val="single" w:color="auto" w:sz="4" w:space="0"/>
              <w:bottom w:val="single" w:color="auto" w:sz="4" w:space="0"/>
              <w:right w:val="single" w:color="auto" w:sz="4" w:space="0"/>
            </w:tcBorders>
            <w:vAlign w:val="center"/>
          </w:tcPr>
          <w:p w14:paraId="04D924A7">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ascii="仿宋_GB2312" w:hAnsi="宋体" w:eastAsia="仿宋_GB2312"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547" w:type="dxa"/>
            <w:tcBorders>
              <w:top w:val="single" w:color="auto" w:sz="4" w:space="0"/>
              <w:left w:val="single" w:color="auto" w:sz="4" w:space="0"/>
              <w:bottom w:val="single" w:color="auto" w:sz="4" w:space="0"/>
              <w:right w:val="single" w:color="auto" w:sz="4" w:space="0"/>
            </w:tcBorders>
            <w:vAlign w:val="center"/>
          </w:tcPr>
          <w:p w14:paraId="377B177A">
            <w:pPr>
              <w:keepNext w:val="0"/>
              <w:keepLines w:val="0"/>
              <w:pageBreakBefore w:val="0"/>
              <w:widowControl/>
              <w:suppressLineNumbers w:val="0"/>
              <w:kinsoku/>
              <w:wordWrap/>
              <w:overflowPunct/>
              <w:topLinePunct w:val="0"/>
              <w:autoSpaceDE/>
              <w:autoSpaceDN/>
              <w:bidi w:val="0"/>
              <w:spacing w:line="340" w:lineRule="exact"/>
              <w:jc w:val="left"/>
              <w:textAlignment w:val="center"/>
              <w:rPr>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推拉米黄板</w:t>
            </w:r>
          </w:p>
        </w:tc>
        <w:tc>
          <w:tcPr>
            <w:tcW w:w="66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A17578">
            <w:pPr>
              <w:keepNext w:val="0"/>
              <w:keepLines w:val="0"/>
              <w:pageBreakBefore w:val="0"/>
              <w:widowControl/>
              <w:suppressLineNumbers w:val="0"/>
              <w:kinsoku/>
              <w:wordWrap/>
              <w:overflowPunct/>
              <w:topLinePunct w:val="0"/>
              <w:autoSpaceDE/>
              <w:autoSpaceDN/>
              <w:bidi w:val="0"/>
              <w:spacing w:line="340" w:lineRule="exact"/>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1.双层结构四块装与边框组合，电子产品居中放置。内层为固定书写板与电子产品正面平齐，外层为滑动书写板，滑动板配装刻有黑板品牌LOGO标识的挂锁，开闭自如确保电子产品的安全管理。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基本尺寸：≥4000mm×1305mm，根据实际尺寸确保与电子产品的有效配套。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2.板面：采用优质烤漆板面，米白色、亚光，厚度≥0.3mm，粗糙度为Ra1.6-3.2 um，光泽度≤6光泽单位，没有因黑板本身原因产生的眩光，书写流畅字迹清晰、板面表面附有一层透明保护膜。板面支持磁性材料吸附，方便教师展示教学素材。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 边框：工业用高强度铝合金型材，电泳香槟色，模具挤压一次成型，上框规格57mm×100mm，左右框规格29mm×100mm。，板托宽度≥30mm，板托与滑动系统分离，结构性解决滑轮受灰尘影响的滑动情况，与边框一次模具成形，可放置书写笔，方便实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 滑轮：上轨采用减震消音双组吊轮，滑轮使用高精度轴承，下轨采用双组滑块，数目各4组，上下均匀安装，推拉顺畅自如稳定性好。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5.背板：采用优质防锈热镀锌钢板，厚度≥0.25mm，流水线一次成型，间隔80mm压有20mm凹槽加强筋凹槽增加强度，更加耐用。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6.包角：采用抗老化高强度ABS工程塑料注塑成型。采用双壁成腔流线型设计，≥R25mm的圆角，正面带黑板品牌LOGO标识，无尖角毛刺。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7.安装：配装自制钢制安装件，规格95*50*60mm，隐形安装、没有外露的挂接件，符合GB 21027-20</w:t>
            </w:r>
            <w:r>
              <w:rPr>
                <w:rFonts w:hint="eastAsia" w:ascii="宋体" w:hAnsi="宋体" w:cs="宋体"/>
                <w:i w:val="0"/>
                <w:iCs w:val="0"/>
                <w:color w:val="000000"/>
                <w:kern w:val="0"/>
                <w:sz w:val="21"/>
                <w:szCs w:val="21"/>
                <w:highlight w:val="none"/>
                <w:u w:val="none"/>
                <w:lang w:val="en-US" w:eastAsia="zh-CN" w:bidi="ar"/>
              </w:rPr>
              <w:t>20</w:t>
            </w:r>
            <w:r>
              <w:rPr>
                <w:rFonts w:hint="eastAsia" w:ascii="宋体" w:hAnsi="宋体" w:eastAsia="宋体" w:cs="宋体"/>
                <w:i w:val="0"/>
                <w:iCs w:val="0"/>
                <w:color w:val="000000"/>
                <w:kern w:val="0"/>
                <w:sz w:val="21"/>
                <w:szCs w:val="21"/>
                <w:highlight w:val="none"/>
                <w:u w:val="none"/>
                <w:lang w:val="en-US" w:eastAsia="zh-CN" w:bidi="ar"/>
              </w:rPr>
              <w:t>《学生用品的安全通用要求》。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8.包装：采用环保型材料，符合国家产品包装要求，单套或双套纸箱独立包装，箱体印有制造商名称、LOGO标识、地址、服务热线等信息。</w:t>
            </w:r>
          </w:p>
        </w:tc>
        <w:tc>
          <w:tcPr>
            <w:tcW w:w="930" w:type="dxa"/>
            <w:tcBorders>
              <w:top w:val="single" w:color="auto" w:sz="4" w:space="0"/>
              <w:left w:val="single" w:color="auto" w:sz="4" w:space="0"/>
              <w:bottom w:val="single" w:color="auto" w:sz="4" w:space="0"/>
              <w:right w:val="single" w:color="auto" w:sz="4" w:space="0"/>
            </w:tcBorders>
            <w:vAlign w:val="center"/>
          </w:tcPr>
          <w:p w14:paraId="3A0DE5C5">
            <w:pPr>
              <w:keepNext w:val="0"/>
              <w:keepLines w:val="0"/>
              <w:pageBreakBefore w:val="0"/>
              <w:widowControl/>
              <w:suppressLineNumbers w:val="0"/>
              <w:kinsoku/>
              <w:wordWrap/>
              <w:overflowPunct/>
              <w:topLinePunct w:val="0"/>
              <w:autoSpaceDE/>
              <w:autoSpaceDN/>
              <w:bidi w:val="0"/>
              <w:spacing w:line="340" w:lineRule="exact"/>
              <w:jc w:val="center"/>
              <w:textAlignment w:val="center"/>
              <w:rPr>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786" w:type="dxa"/>
            <w:tcBorders>
              <w:top w:val="single" w:color="auto" w:sz="4" w:space="0"/>
              <w:left w:val="single" w:color="auto" w:sz="4" w:space="0"/>
              <w:bottom w:val="single" w:color="auto" w:sz="4" w:space="0"/>
              <w:right w:val="single" w:color="auto" w:sz="4" w:space="0"/>
            </w:tcBorders>
            <w:vAlign w:val="center"/>
          </w:tcPr>
          <w:p w14:paraId="0616CF07">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ascii="仿宋_GB2312" w:hAnsi="宋体" w:eastAsia="仿宋_GB2312"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67</w:t>
            </w:r>
          </w:p>
        </w:tc>
      </w:tr>
      <w:tr w14:paraId="49A5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0695" w:type="dxa"/>
            <w:gridSpan w:val="5"/>
            <w:tcBorders>
              <w:top w:val="single" w:color="auto" w:sz="4" w:space="0"/>
              <w:left w:val="single" w:color="auto" w:sz="4" w:space="0"/>
              <w:bottom w:val="single" w:color="auto" w:sz="4" w:space="0"/>
              <w:right w:val="single" w:color="auto" w:sz="4" w:space="0"/>
            </w:tcBorders>
            <w:vAlign w:val="center"/>
          </w:tcPr>
          <w:p w14:paraId="1DA34F20">
            <w:pPr>
              <w:keepNext w:val="0"/>
              <w:keepLines w:val="0"/>
              <w:pageBreakBefore w:val="0"/>
              <w:widowControl/>
              <w:kinsoku/>
              <w:wordWrap/>
              <w:overflowPunct/>
              <w:topLinePunct w:val="0"/>
              <w:autoSpaceDE/>
              <w:autoSpaceDN/>
              <w:bidi w:val="0"/>
              <w:adjustRightInd/>
              <w:spacing w:line="340" w:lineRule="exact"/>
              <w:jc w:val="center"/>
              <w:textAlignment w:val="center"/>
              <w:rPr>
                <w:rFonts w:cs="宋体" w:asciiTheme="minorEastAsia" w:hAnsiTheme="minorEastAsia" w:eastAsiaTheme="minorEastAsia"/>
                <w:bCs/>
                <w:color w:val="000000"/>
                <w:kern w:val="0"/>
                <w:sz w:val="28"/>
                <w:szCs w:val="28"/>
                <w:highlight w:val="none"/>
              </w:rPr>
            </w:pPr>
            <w:r>
              <w:rPr>
                <w:rFonts w:hint="eastAsia" w:cs="宋体"/>
                <w:highlight w:val="none"/>
              </w:rPr>
              <w:t>▲</w:t>
            </w:r>
            <w:r>
              <w:rPr>
                <w:rFonts w:hint="eastAsia" w:cs="宋体" w:asciiTheme="minorEastAsia" w:hAnsiTheme="minorEastAsia" w:eastAsiaTheme="minorEastAsia"/>
                <w:bCs/>
                <w:color w:val="000000"/>
                <w:kern w:val="0"/>
                <w:sz w:val="28"/>
                <w:szCs w:val="28"/>
                <w:highlight w:val="none"/>
              </w:rPr>
              <w:t>商务要求表</w:t>
            </w:r>
          </w:p>
        </w:tc>
      </w:tr>
      <w:tr w14:paraId="643B4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0695" w:type="dxa"/>
            <w:gridSpan w:val="5"/>
            <w:tcBorders>
              <w:top w:val="single" w:color="auto" w:sz="4" w:space="0"/>
              <w:left w:val="single" w:color="auto" w:sz="4" w:space="0"/>
              <w:bottom w:val="single" w:color="auto" w:sz="4" w:space="0"/>
              <w:right w:val="single" w:color="auto" w:sz="4" w:space="0"/>
            </w:tcBorders>
            <w:vAlign w:val="center"/>
          </w:tcPr>
          <w:p w14:paraId="4F885B54">
            <w:pPr>
              <w:keepNext w:val="0"/>
              <w:keepLines w:val="0"/>
              <w:pageBreakBefore w:val="0"/>
              <w:widowControl/>
              <w:kinsoku/>
              <w:wordWrap/>
              <w:overflowPunct/>
              <w:topLinePunct w:val="0"/>
              <w:autoSpaceDE/>
              <w:autoSpaceDN/>
              <w:bidi w:val="0"/>
              <w:adjustRightInd/>
              <w:spacing w:line="340" w:lineRule="exact"/>
              <w:ind w:firstLine="480" w:firstLineChars="200"/>
              <w:textAlignment w:val="center"/>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一、交货（交付）时间：签订合同后 30 个日历日，如因</w:t>
            </w:r>
            <w:r>
              <w:rPr>
                <w:rFonts w:hint="eastAsia" w:ascii="宋体" w:hAnsi="宋体" w:cs="宋体"/>
                <w:bCs/>
                <w:color w:val="000000"/>
                <w:kern w:val="0"/>
                <w:sz w:val="24"/>
                <w:szCs w:val="24"/>
                <w:highlight w:val="none"/>
                <w:lang w:eastAsia="zh-CN"/>
              </w:rPr>
              <w:t>采购人</w:t>
            </w:r>
            <w:r>
              <w:rPr>
                <w:rFonts w:hint="eastAsia" w:ascii="宋体" w:hAnsi="宋体" w:eastAsia="宋体" w:cs="宋体"/>
                <w:bCs/>
                <w:color w:val="000000"/>
                <w:kern w:val="0"/>
                <w:sz w:val="24"/>
                <w:szCs w:val="24"/>
                <w:highlight w:val="none"/>
              </w:rPr>
              <w:t>及其他客观原因导致交付延期，不算作乙方违约，交付周期可视延期时间往后顺延。</w:t>
            </w:r>
          </w:p>
          <w:p w14:paraId="6E678B2C">
            <w:pPr>
              <w:keepNext w:val="0"/>
              <w:keepLines w:val="0"/>
              <w:pageBreakBefore w:val="0"/>
              <w:widowControl/>
              <w:kinsoku/>
              <w:wordWrap/>
              <w:overflowPunct/>
              <w:topLinePunct w:val="0"/>
              <w:autoSpaceDE/>
              <w:autoSpaceDN/>
              <w:bidi w:val="0"/>
              <w:adjustRightInd/>
              <w:spacing w:line="340" w:lineRule="exact"/>
              <w:ind w:firstLine="480" w:firstLineChars="200"/>
              <w:textAlignment w:val="center"/>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二、交货地点：采购人指定地点。</w:t>
            </w:r>
          </w:p>
          <w:p w14:paraId="7BE2D984">
            <w:pPr>
              <w:keepNext w:val="0"/>
              <w:keepLines w:val="0"/>
              <w:pageBreakBefore w:val="0"/>
              <w:widowControl/>
              <w:kinsoku/>
              <w:wordWrap/>
              <w:overflowPunct/>
              <w:topLinePunct w:val="0"/>
              <w:autoSpaceDE/>
              <w:autoSpaceDN/>
              <w:bidi w:val="0"/>
              <w:adjustRightInd/>
              <w:spacing w:line="340" w:lineRule="exact"/>
              <w:ind w:firstLine="480" w:firstLineChars="200"/>
              <w:textAlignment w:val="center"/>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三、付款时间和方式：</w:t>
            </w:r>
          </w:p>
          <w:p w14:paraId="072CA1C2">
            <w:pPr>
              <w:keepNext w:val="0"/>
              <w:keepLines w:val="0"/>
              <w:pageBreakBefore w:val="0"/>
              <w:widowControl/>
              <w:kinsoku/>
              <w:wordWrap/>
              <w:overflowPunct/>
              <w:topLinePunct w:val="0"/>
              <w:autoSpaceDE/>
              <w:autoSpaceDN/>
              <w:bidi w:val="0"/>
              <w:adjustRightInd/>
              <w:spacing w:line="340" w:lineRule="exact"/>
              <w:ind w:firstLine="480" w:firstLineChars="200"/>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签订合同后30个日历日内预付中标合同金额的50％，项目验收合格后30个日历日内支付剩余中标合同金额50％。</w:t>
            </w:r>
          </w:p>
          <w:p w14:paraId="63B453FF">
            <w:pPr>
              <w:keepNext w:val="0"/>
              <w:keepLines w:val="0"/>
              <w:pageBreakBefore w:val="0"/>
              <w:widowControl/>
              <w:kinsoku/>
              <w:wordWrap/>
              <w:overflowPunct/>
              <w:topLinePunct w:val="0"/>
              <w:autoSpaceDE/>
              <w:autoSpaceDN/>
              <w:bidi w:val="0"/>
              <w:adjustRightInd/>
              <w:spacing w:line="340" w:lineRule="exact"/>
              <w:ind w:firstLine="480" w:firstLineChars="200"/>
              <w:textAlignment w:val="center"/>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四、保修及服务要求：</w:t>
            </w:r>
          </w:p>
          <w:p w14:paraId="0F798E83">
            <w:pPr>
              <w:keepNext w:val="0"/>
              <w:keepLines w:val="0"/>
              <w:pageBreakBefore w:val="0"/>
              <w:kinsoku/>
              <w:wordWrap/>
              <w:overflowPunct/>
              <w:topLinePunct w:val="0"/>
              <w:autoSpaceDE/>
              <w:autoSpaceDN/>
              <w:bidi w:val="0"/>
              <w:spacing w:line="340" w:lineRule="exact"/>
              <w:ind w:firstLine="480" w:firstLineChars="200"/>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1.免费送货上门、免费由技术人员现场安装、调试和技术指导，并在用户使用地免费培训操作人员掌握设备操作及日常维护。所供货物各项性能指标 达到技术要求的，由供需双方共同签字认可，现场验收；并提供设备完整技术资料，技术资料包括技术规格和指标，各部件型号和参数清单，操作使用说明手册和注意事项。设备到货后，</w:t>
            </w:r>
            <w:r>
              <w:rPr>
                <w:rFonts w:hint="eastAsia" w:ascii="宋体" w:hAnsi="宋体" w:eastAsia="宋体" w:cs="宋体"/>
                <w:color w:val="000000"/>
                <w:sz w:val="24"/>
                <w:szCs w:val="24"/>
                <w:highlight w:val="none"/>
                <w:lang w:eastAsia="zh-CN"/>
              </w:rPr>
              <w:t>中标人</w:t>
            </w:r>
            <w:r>
              <w:rPr>
                <w:rFonts w:hint="eastAsia" w:ascii="宋体" w:hAnsi="宋体" w:eastAsia="宋体" w:cs="宋体"/>
                <w:color w:val="000000"/>
                <w:sz w:val="24"/>
                <w:szCs w:val="24"/>
                <w:highlight w:val="none"/>
              </w:rPr>
              <w:t>和</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应在现场进行清点。清点过程中如果发现因包装或运输不当引起的仪器外观或内部的损坏，</w:t>
            </w:r>
            <w:r>
              <w:rPr>
                <w:rFonts w:hint="eastAsia" w:ascii="宋体" w:hAnsi="宋体" w:eastAsia="宋体" w:cs="宋体"/>
                <w:color w:val="000000"/>
                <w:sz w:val="24"/>
                <w:szCs w:val="24"/>
                <w:highlight w:val="none"/>
                <w:lang w:eastAsia="zh-CN"/>
              </w:rPr>
              <w:t>中标人</w:t>
            </w:r>
            <w:r>
              <w:rPr>
                <w:rFonts w:hint="eastAsia" w:ascii="宋体" w:hAnsi="宋体" w:eastAsia="宋体" w:cs="宋体"/>
                <w:color w:val="000000"/>
                <w:sz w:val="24"/>
                <w:szCs w:val="24"/>
                <w:highlight w:val="none"/>
              </w:rPr>
              <w:t>应承担所有责任。</w:t>
            </w:r>
          </w:p>
          <w:p w14:paraId="1AD26879">
            <w:pPr>
              <w:keepNext w:val="0"/>
              <w:keepLines w:val="0"/>
              <w:pageBreakBefore w:val="0"/>
              <w:kinsoku/>
              <w:wordWrap/>
              <w:overflowPunct/>
              <w:topLinePunct w:val="0"/>
              <w:autoSpaceDE/>
              <w:autoSpaceDN/>
              <w:bidi w:val="0"/>
              <w:spacing w:line="340" w:lineRule="exact"/>
              <w:ind w:firstLine="480" w:firstLineChars="200"/>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2.维修响应：</w:t>
            </w:r>
            <w:r>
              <w:rPr>
                <w:rFonts w:hint="eastAsia" w:ascii="宋体" w:hAnsi="宋体" w:eastAsia="宋体" w:cs="宋体"/>
                <w:color w:val="000000"/>
                <w:sz w:val="24"/>
                <w:szCs w:val="24"/>
                <w:highlight w:val="none"/>
                <w:lang w:eastAsia="zh-CN"/>
              </w:rPr>
              <w:t>中标人</w:t>
            </w:r>
            <w:r>
              <w:rPr>
                <w:rFonts w:hint="eastAsia" w:ascii="宋体" w:hAnsi="宋体" w:eastAsia="宋体" w:cs="宋体"/>
                <w:color w:val="000000"/>
                <w:sz w:val="24"/>
                <w:szCs w:val="24"/>
                <w:highlight w:val="none"/>
              </w:rPr>
              <w:t>在接到用户维修电话后 4 小时内响应，12 小时内到达现场修理解决，并免费更换有缺陷的货物或零部件，24小时内恢复正常使用，若不能修复则应有合理应对方案。定期回访，对设备进行预防性维护指导。</w:t>
            </w:r>
          </w:p>
          <w:p w14:paraId="27B9F01A">
            <w:pPr>
              <w:keepNext w:val="0"/>
              <w:keepLines w:val="0"/>
              <w:pageBreakBefore w:val="0"/>
              <w:kinsoku/>
              <w:wordWrap/>
              <w:overflowPunct/>
              <w:topLinePunct w:val="0"/>
              <w:autoSpaceDE/>
              <w:autoSpaceDN/>
              <w:bidi w:val="0"/>
              <w:spacing w:line="340" w:lineRule="exact"/>
              <w:ind w:firstLine="480" w:firstLineChars="200"/>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eastAsia="zh-CN"/>
              </w:rPr>
              <w:t>中标人</w:t>
            </w:r>
            <w:r>
              <w:rPr>
                <w:rFonts w:hint="eastAsia" w:ascii="宋体" w:hAnsi="宋体" w:eastAsia="宋体" w:cs="宋体"/>
                <w:color w:val="000000"/>
                <w:sz w:val="24"/>
                <w:szCs w:val="24"/>
                <w:highlight w:val="none"/>
              </w:rPr>
              <w:t>除承担运输、安装、调试、验收与培训等义务外，还将为</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 xml:space="preserve">提供免费技术支持，包括保修期外的修理及技术指导、配件供应等。 </w:t>
            </w:r>
          </w:p>
          <w:p w14:paraId="49E53D2E">
            <w:pPr>
              <w:keepNext w:val="0"/>
              <w:keepLines w:val="0"/>
              <w:pageBreakBefore w:val="0"/>
              <w:kinsoku/>
              <w:wordWrap/>
              <w:overflowPunct/>
              <w:topLinePunct w:val="0"/>
              <w:autoSpaceDE/>
              <w:autoSpaceDN/>
              <w:bidi w:val="0"/>
              <w:spacing w:line="340" w:lineRule="exact"/>
              <w:ind w:firstLine="480" w:firstLineChars="200"/>
              <w:textAlignment w:val="center"/>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质量保证期：质保期不少于一年（若厂家免费质保期超过一年的，按厂家规定执行），质保期自双方代表在系统及设备安装调试后的验收证明文件上签字之日起计算，质保期内，按国家有关产品“三包”规定执行“三包”。</w:t>
            </w:r>
          </w:p>
          <w:p w14:paraId="783E68B6">
            <w:pPr>
              <w:keepNext w:val="0"/>
              <w:keepLines w:val="0"/>
              <w:pageBreakBefore w:val="0"/>
              <w:widowControl/>
              <w:kinsoku/>
              <w:wordWrap/>
              <w:overflowPunct/>
              <w:topLinePunct w:val="0"/>
              <w:autoSpaceDE/>
              <w:autoSpaceDN/>
              <w:bidi w:val="0"/>
              <w:snapToGrid w:val="0"/>
              <w:spacing w:line="340" w:lineRule="exact"/>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五、质量要求：</w:t>
            </w:r>
          </w:p>
          <w:p w14:paraId="3F89F00E">
            <w:pPr>
              <w:keepNext w:val="0"/>
              <w:keepLines w:val="0"/>
              <w:pageBreakBefore w:val="0"/>
              <w:widowControl/>
              <w:kinsoku/>
              <w:wordWrap/>
              <w:overflowPunct/>
              <w:topLinePunct w:val="0"/>
              <w:autoSpaceDE/>
              <w:autoSpaceDN/>
              <w:bidi w:val="0"/>
              <w:snapToGrid w:val="0"/>
              <w:spacing w:line="340" w:lineRule="exact"/>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1.货物必须是全新合格产品，产品质量符合国家相关标准及安全规范；</w:t>
            </w:r>
          </w:p>
          <w:p w14:paraId="457E1A2D">
            <w:pPr>
              <w:keepNext w:val="0"/>
              <w:keepLines w:val="0"/>
              <w:pageBreakBefore w:val="0"/>
              <w:widowControl/>
              <w:kinsoku/>
              <w:wordWrap/>
              <w:overflowPunct/>
              <w:topLinePunct w:val="0"/>
              <w:autoSpaceDE/>
              <w:autoSpaceDN/>
              <w:bidi w:val="0"/>
              <w:snapToGrid w:val="0"/>
              <w:spacing w:line="340" w:lineRule="exact"/>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2.供应商须按国家有关规定实行“三包”，免费送货上门。提供现场免费安装、调试设备，进行操作试验，直至运行正常；</w:t>
            </w:r>
          </w:p>
          <w:p w14:paraId="5CBF7BCB">
            <w:pPr>
              <w:keepNext w:val="0"/>
              <w:keepLines w:val="0"/>
              <w:pageBreakBefore w:val="0"/>
              <w:widowControl/>
              <w:kinsoku/>
              <w:wordWrap/>
              <w:overflowPunct/>
              <w:topLinePunct w:val="0"/>
              <w:autoSpaceDE/>
              <w:autoSpaceDN/>
              <w:bidi w:val="0"/>
              <w:snapToGrid w:val="0"/>
              <w:spacing w:line="340" w:lineRule="exact"/>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eastAsia="zh-CN"/>
              </w:rPr>
              <w:t>采购人</w:t>
            </w:r>
            <w:r>
              <w:rPr>
                <w:rFonts w:hint="eastAsia" w:ascii="宋体" w:hAnsi="宋体" w:eastAsia="宋体" w:cs="宋体"/>
                <w:kern w:val="0"/>
                <w:sz w:val="24"/>
                <w:szCs w:val="24"/>
                <w:highlight w:val="none"/>
              </w:rPr>
              <w:t>对供应商所交货物依照采购文件上的技术规格要求和国家有关标准进行现场验收，性能达到技术要求的，给予签收。验收不合格的不予签收，后果由供货方负责。</w:t>
            </w:r>
          </w:p>
          <w:p w14:paraId="7120C3D4">
            <w:pPr>
              <w:keepNext w:val="0"/>
              <w:keepLines w:val="0"/>
              <w:pageBreakBefore w:val="0"/>
              <w:kinsoku/>
              <w:wordWrap/>
              <w:overflowPunct/>
              <w:topLinePunct w:val="0"/>
              <w:autoSpaceDE/>
              <w:autoSpaceDN/>
              <w:bidi w:val="0"/>
              <w:spacing w:line="340" w:lineRule="exact"/>
              <w:ind w:firstLine="480" w:firstLineChars="200"/>
              <w:jc w:val="left"/>
              <w:textAlignment w:val="center"/>
              <w:rPr>
                <w:rFonts w:hint="eastAsia" w:ascii="宋体" w:hAnsi="宋体" w:eastAsia="宋体" w:cs="宋体"/>
                <w:bCs/>
                <w:color w:val="000000"/>
                <w:kern w:val="0"/>
                <w:sz w:val="24"/>
                <w:szCs w:val="24"/>
                <w:highlight w:val="none"/>
              </w:rPr>
            </w:pPr>
          </w:p>
        </w:tc>
      </w:tr>
    </w:tbl>
    <w:p w14:paraId="0B318103">
      <w:pPr>
        <w:pStyle w:val="82"/>
        <w:rPr>
          <w:highlight w:val="none"/>
        </w:rPr>
      </w:pPr>
    </w:p>
    <w:p w14:paraId="22DEE198">
      <w:pPr>
        <w:widowControl/>
        <w:adjustRightInd/>
        <w:jc w:val="left"/>
        <w:rPr>
          <w:rFonts w:ascii="宋体" w:hAnsi="宋体" w:cs="宋体"/>
          <w:bCs/>
          <w:spacing w:val="10"/>
          <w:kern w:val="0"/>
          <w:sz w:val="24"/>
          <w:highlight w:val="none"/>
        </w:rPr>
      </w:pPr>
      <w:r>
        <w:rPr>
          <w:rFonts w:ascii="宋体" w:hAnsi="宋体" w:cs="宋体"/>
          <w:bCs/>
          <w:spacing w:val="10"/>
          <w:kern w:val="0"/>
          <w:sz w:val="24"/>
          <w:highlight w:val="none"/>
        </w:rPr>
        <w:br w:type="page"/>
      </w:r>
    </w:p>
    <w:p w14:paraId="39307A7F">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第三部分  采购需求</w:t>
      </w:r>
    </w:p>
    <w:p w14:paraId="65E08642">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 xml:space="preserve">标项2 </w:t>
      </w:r>
    </w:p>
    <w:p w14:paraId="0021D941">
      <w:pPr>
        <w:pStyle w:val="82"/>
        <w:rPr>
          <w:highlight w:val="none"/>
        </w:rPr>
      </w:pPr>
    </w:p>
    <w:p w14:paraId="3ACFD2EB">
      <w:pPr>
        <w:spacing w:line="320" w:lineRule="exact"/>
        <w:ind w:firstLine="440" w:firstLineChars="200"/>
        <w:rPr>
          <w:rFonts w:ascii="宋体" w:hAnsi="宋体" w:cs="宋体"/>
          <w:bCs/>
          <w:sz w:val="22"/>
          <w:szCs w:val="22"/>
          <w:highlight w:val="none"/>
        </w:rPr>
      </w:pPr>
      <w:r>
        <w:rPr>
          <w:rFonts w:hint="eastAsia" w:ascii="宋体" w:hAnsi="宋体" w:cs="宋体"/>
          <w:bCs/>
          <w:sz w:val="22"/>
          <w:szCs w:val="22"/>
          <w:highlight w:val="none"/>
        </w:rPr>
        <w:t>说明:</w:t>
      </w:r>
    </w:p>
    <w:p w14:paraId="727A2F8F">
      <w:pPr>
        <w:spacing w:line="320" w:lineRule="exact"/>
        <w:ind w:firstLine="440" w:firstLineChars="200"/>
        <w:rPr>
          <w:rFonts w:ascii="宋体" w:hAnsi="宋体" w:cs="宋体"/>
          <w:bCs/>
          <w:sz w:val="22"/>
          <w:szCs w:val="22"/>
          <w:highlight w:val="none"/>
        </w:rPr>
      </w:pPr>
      <w:r>
        <w:rPr>
          <w:rFonts w:hint="eastAsia" w:ascii="宋体" w:hAnsi="宋体" w:cs="宋体"/>
          <w:bCs/>
          <w:sz w:val="22"/>
          <w:szCs w:val="22"/>
          <w:highlight w:val="none"/>
        </w:rPr>
        <w:t>1.本项目一览表中参考品牌型号及技术参数性能(配置)不明确或有误的，或投标人选用其他品牌型号替代的，请以详细、正确的品牌型号、技术参数性能配置填写投标报价表。投标人须根据技术参数及性能配置要求提供对应的技术偏离表。</w:t>
      </w:r>
    </w:p>
    <w:p w14:paraId="0E83C346">
      <w:pPr>
        <w:spacing w:line="320" w:lineRule="exact"/>
        <w:ind w:firstLine="440" w:firstLineChars="200"/>
        <w:rPr>
          <w:rFonts w:ascii="宋体" w:hAnsi="宋体" w:cs="宋体"/>
          <w:bCs/>
          <w:sz w:val="22"/>
          <w:szCs w:val="22"/>
          <w:highlight w:val="none"/>
        </w:rPr>
      </w:pPr>
      <w:r>
        <w:rPr>
          <w:rFonts w:hint="eastAsia" w:ascii="宋体" w:hAnsi="宋体" w:cs="宋体"/>
          <w:bCs/>
          <w:sz w:val="22"/>
          <w:szCs w:val="22"/>
          <w:highlight w:val="none"/>
        </w:rPr>
        <w:t>2.按财政部发展改革委生态环境部市场监管总局《关于调整优化节能产品、环境标志产品政府采购执行机制的通知》财库(2019)9号文件要求，如发布有政府采购节能产品品目清单中规定为政府强制采购的节能产品，投标产品必须满足文件的相关规定。投标时须提供国家确定的认证机构出具的、处于有效期之内的有效的节能产品认证证书复印件并加盖投标人公章，不提供视为无效投标处理。</w:t>
      </w:r>
    </w:p>
    <w:p w14:paraId="17DA306F">
      <w:pPr>
        <w:pStyle w:val="82"/>
        <w:ind w:firstLine="440" w:firstLineChars="200"/>
        <w:rPr>
          <w:rFonts w:cs="宋体"/>
          <w:bCs/>
          <w:kern w:val="2"/>
          <w:sz w:val="22"/>
          <w:szCs w:val="22"/>
          <w:highlight w:val="none"/>
        </w:rPr>
      </w:pPr>
      <w:r>
        <w:rPr>
          <w:rFonts w:hint="eastAsia" w:cs="宋体"/>
          <w:bCs/>
          <w:kern w:val="2"/>
          <w:sz w:val="22"/>
          <w:szCs w:val="22"/>
          <w:highlight w:val="none"/>
        </w:rPr>
        <w:t>3.采购需求一览表中标注“▲”</w:t>
      </w:r>
      <w:r>
        <w:rPr>
          <w:rFonts w:hint="eastAsia" w:cs="宋体"/>
          <w:bCs/>
          <w:kern w:val="2"/>
          <w:sz w:val="22"/>
          <w:szCs w:val="22"/>
          <w:highlight w:val="none"/>
          <w:lang w:eastAsia="zh-CN"/>
        </w:rPr>
        <w:t>、</w:t>
      </w:r>
      <w:r>
        <w:rPr>
          <w:rFonts w:hint="eastAsia" w:cs="宋体"/>
          <w:bCs/>
          <w:kern w:val="2"/>
          <w:sz w:val="22"/>
          <w:szCs w:val="22"/>
          <w:highlight w:val="none"/>
        </w:rPr>
        <w:t>“</w:t>
      </w:r>
      <w:r>
        <w:rPr>
          <w:rFonts w:hint="eastAsia" w:cs="宋体"/>
          <w:kern w:val="2"/>
          <w:highlight w:val="none"/>
        </w:rPr>
        <w:t>★</w:t>
      </w:r>
      <w:r>
        <w:rPr>
          <w:rFonts w:hint="eastAsia" w:cs="宋体"/>
          <w:bCs/>
          <w:kern w:val="2"/>
          <w:sz w:val="22"/>
          <w:szCs w:val="22"/>
          <w:highlight w:val="none"/>
        </w:rPr>
        <w:t>”的详细技术参数及配备要求、商务要求必须响应满足或优于，否则投标无效。</w:t>
      </w:r>
    </w:p>
    <w:p w14:paraId="59B2BCC8">
      <w:pPr>
        <w:pStyle w:val="82"/>
        <w:keepNext w:val="0"/>
        <w:keepLines w:val="0"/>
        <w:pageBreakBefore w:val="0"/>
        <w:widowControl w:val="0"/>
        <w:kinsoku/>
        <w:wordWrap/>
        <w:overflowPunct/>
        <w:topLinePunct w:val="0"/>
        <w:autoSpaceDE/>
        <w:autoSpaceDN/>
        <w:bidi w:val="0"/>
        <w:adjustRightInd w:val="0"/>
        <w:spacing w:line="440" w:lineRule="exact"/>
        <w:ind w:firstLine="440" w:firstLineChars="200"/>
        <w:textAlignment w:val="auto"/>
        <w:rPr>
          <w:rFonts w:hint="default" w:eastAsia="宋体" w:cs="宋体"/>
          <w:bCs/>
          <w:kern w:val="2"/>
          <w:sz w:val="22"/>
          <w:szCs w:val="22"/>
          <w:highlight w:val="none"/>
          <w:u w:val="single"/>
          <w:lang w:val="en-US" w:eastAsia="zh-CN"/>
        </w:rPr>
      </w:pPr>
      <w:r>
        <w:rPr>
          <w:rFonts w:hint="eastAsia" w:cs="宋体"/>
          <w:bCs/>
          <w:kern w:val="2"/>
          <w:sz w:val="22"/>
          <w:szCs w:val="22"/>
          <w:highlight w:val="none"/>
          <w:lang w:val="en-US" w:eastAsia="zh-CN"/>
        </w:rPr>
        <w:t>4.</w:t>
      </w:r>
      <w:r>
        <w:rPr>
          <w:rFonts w:hint="eastAsia" w:cs="宋体"/>
          <w:bCs/>
          <w:kern w:val="2"/>
          <w:sz w:val="22"/>
          <w:szCs w:val="22"/>
          <w:highlight w:val="none"/>
          <w:u w:val="single"/>
          <w:lang w:val="en-US" w:eastAsia="zh-CN"/>
        </w:rPr>
        <w:t>标项2</w:t>
      </w:r>
      <w:r>
        <w:rPr>
          <w:rFonts w:hint="eastAsia" w:cs="宋体"/>
          <w:bCs/>
          <w:kern w:val="2"/>
          <w:sz w:val="22"/>
          <w:szCs w:val="22"/>
          <w:highlight w:val="none"/>
          <w:lang w:val="en-US" w:eastAsia="zh-CN"/>
        </w:rPr>
        <w:t>核心产品为：</w:t>
      </w:r>
      <w:r>
        <w:rPr>
          <w:rFonts w:hint="eastAsia" w:cs="宋体"/>
          <w:bCs/>
          <w:kern w:val="2"/>
          <w:sz w:val="22"/>
          <w:szCs w:val="22"/>
          <w:highlight w:val="none"/>
          <w:u w:val="single"/>
          <w:lang w:val="en-US" w:eastAsia="zh-CN"/>
        </w:rPr>
        <w:t>技术参数要求表中序号1、“类纸护眼交互智能平板”。</w:t>
      </w:r>
    </w:p>
    <w:tbl>
      <w:tblPr>
        <w:tblStyle w:val="62"/>
        <w:tblpPr w:leftFromText="180" w:rightFromText="180" w:vertAnchor="text" w:horzAnchor="page" w:tblpX="728" w:tblpY="545"/>
        <w:tblOverlap w:val="never"/>
        <w:tblW w:w="10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577"/>
        <w:gridCol w:w="6628"/>
        <w:gridCol w:w="855"/>
        <w:gridCol w:w="846"/>
      </w:tblGrid>
      <w:tr w14:paraId="031AF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0695" w:type="dxa"/>
            <w:gridSpan w:val="5"/>
            <w:tcBorders>
              <w:top w:val="single" w:color="auto" w:sz="4" w:space="0"/>
              <w:left w:val="single" w:color="auto" w:sz="4" w:space="0"/>
              <w:bottom w:val="single" w:color="auto" w:sz="4" w:space="0"/>
              <w:right w:val="single" w:color="auto" w:sz="4" w:space="0"/>
            </w:tcBorders>
            <w:vAlign w:val="center"/>
          </w:tcPr>
          <w:p w14:paraId="15FC47B1">
            <w:pPr>
              <w:pStyle w:val="82"/>
              <w:ind w:firstLine="3841" w:firstLineChars="1372"/>
              <w:rPr>
                <w:rFonts w:cs="宋体" w:asciiTheme="minorEastAsia" w:hAnsiTheme="minorEastAsia" w:eastAsiaTheme="minorEastAsia"/>
                <w:bCs/>
                <w:color w:val="000000"/>
                <w:sz w:val="28"/>
                <w:szCs w:val="28"/>
                <w:highlight w:val="none"/>
              </w:rPr>
            </w:pPr>
            <w:r>
              <w:rPr>
                <w:rFonts w:hint="eastAsia" w:cs="宋体" w:asciiTheme="minorEastAsia" w:hAnsiTheme="minorEastAsia" w:eastAsiaTheme="minorEastAsia"/>
                <w:bCs/>
                <w:color w:val="000000"/>
                <w:sz w:val="28"/>
                <w:szCs w:val="28"/>
                <w:highlight w:val="none"/>
              </w:rPr>
              <w:t>技术参数要求表</w:t>
            </w:r>
          </w:p>
        </w:tc>
      </w:tr>
      <w:tr w14:paraId="72487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89" w:type="dxa"/>
            <w:tcBorders>
              <w:top w:val="single" w:color="auto" w:sz="4" w:space="0"/>
              <w:left w:val="single" w:color="auto" w:sz="4" w:space="0"/>
              <w:bottom w:val="single" w:color="auto" w:sz="4" w:space="0"/>
              <w:right w:val="single" w:color="auto" w:sz="4" w:space="0"/>
            </w:tcBorders>
            <w:vAlign w:val="center"/>
          </w:tcPr>
          <w:p w14:paraId="269E4ACE">
            <w:pPr>
              <w:widowControl/>
              <w:adjustRightInd/>
              <w:jc w:val="center"/>
              <w:textAlignment w:val="center"/>
              <w:rPr>
                <w:rFonts w:cs="宋体" w:asciiTheme="minorEastAsia" w:hAnsiTheme="minorEastAsia" w:eastAsiaTheme="minorEastAsia"/>
                <w:bCs/>
                <w:color w:val="000000"/>
                <w:sz w:val="28"/>
                <w:szCs w:val="28"/>
                <w:highlight w:val="none"/>
              </w:rPr>
            </w:pPr>
            <w:r>
              <w:rPr>
                <w:rFonts w:hint="eastAsia" w:cs="宋体" w:asciiTheme="minorEastAsia" w:hAnsiTheme="minorEastAsia" w:eastAsiaTheme="minorEastAsia"/>
                <w:bCs/>
                <w:color w:val="000000"/>
                <w:kern w:val="0"/>
                <w:sz w:val="28"/>
                <w:szCs w:val="28"/>
                <w:highlight w:val="none"/>
              </w:rPr>
              <w:t>序号</w:t>
            </w:r>
          </w:p>
        </w:tc>
        <w:tc>
          <w:tcPr>
            <w:tcW w:w="1577" w:type="dxa"/>
            <w:tcBorders>
              <w:top w:val="single" w:color="auto" w:sz="4" w:space="0"/>
              <w:left w:val="single" w:color="auto" w:sz="4" w:space="0"/>
              <w:bottom w:val="single" w:color="auto" w:sz="4" w:space="0"/>
              <w:right w:val="single" w:color="auto" w:sz="4" w:space="0"/>
            </w:tcBorders>
            <w:vAlign w:val="center"/>
          </w:tcPr>
          <w:p w14:paraId="347EDC43">
            <w:pPr>
              <w:widowControl/>
              <w:adjustRightInd/>
              <w:jc w:val="center"/>
              <w:textAlignment w:val="center"/>
              <w:rPr>
                <w:rFonts w:cs="宋体" w:asciiTheme="minorEastAsia" w:hAnsiTheme="minorEastAsia" w:eastAsiaTheme="minorEastAsia"/>
                <w:bCs/>
                <w:color w:val="000000"/>
                <w:sz w:val="28"/>
                <w:szCs w:val="28"/>
                <w:highlight w:val="none"/>
              </w:rPr>
            </w:pPr>
            <w:r>
              <w:rPr>
                <w:rFonts w:hint="eastAsia" w:cs="宋体" w:asciiTheme="minorEastAsia" w:hAnsiTheme="minorEastAsia" w:eastAsiaTheme="minorEastAsia"/>
                <w:bCs/>
                <w:color w:val="000000"/>
                <w:kern w:val="0"/>
                <w:sz w:val="28"/>
                <w:szCs w:val="28"/>
                <w:highlight w:val="none"/>
              </w:rPr>
              <w:t>品名</w:t>
            </w:r>
          </w:p>
        </w:tc>
        <w:tc>
          <w:tcPr>
            <w:tcW w:w="6628" w:type="dxa"/>
            <w:tcBorders>
              <w:top w:val="single" w:color="auto" w:sz="4" w:space="0"/>
              <w:left w:val="single" w:color="auto" w:sz="4" w:space="0"/>
              <w:bottom w:val="single" w:color="auto" w:sz="4" w:space="0"/>
              <w:right w:val="single" w:color="auto" w:sz="4" w:space="0"/>
            </w:tcBorders>
            <w:noWrap/>
            <w:vAlign w:val="center"/>
          </w:tcPr>
          <w:p w14:paraId="3B730F61">
            <w:pPr>
              <w:widowControl/>
              <w:adjustRightInd/>
              <w:jc w:val="center"/>
              <w:textAlignment w:val="center"/>
              <w:rPr>
                <w:rFonts w:cs="宋体" w:asciiTheme="minorEastAsia" w:hAnsiTheme="minorEastAsia" w:eastAsiaTheme="minorEastAsia"/>
                <w:bCs/>
                <w:color w:val="000000"/>
                <w:sz w:val="28"/>
                <w:szCs w:val="28"/>
                <w:highlight w:val="none"/>
              </w:rPr>
            </w:pPr>
            <w:r>
              <w:rPr>
                <w:rFonts w:hint="eastAsia" w:cs="宋体" w:asciiTheme="minorEastAsia" w:hAnsiTheme="minorEastAsia" w:eastAsiaTheme="minorEastAsia"/>
                <w:bCs/>
                <w:color w:val="000000"/>
                <w:kern w:val="0"/>
                <w:sz w:val="28"/>
                <w:szCs w:val="28"/>
                <w:highlight w:val="none"/>
              </w:rPr>
              <w:t>技术参数及性能配置要求</w:t>
            </w:r>
          </w:p>
        </w:tc>
        <w:tc>
          <w:tcPr>
            <w:tcW w:w="855" w:type="dxa"/>
            <w:tcBorders>
              <w:top w:val="single" w:color="auto" w:sz="4" w:space="0"/>
              <w:left w:val="single" w:color="auto" w:sz="4" w:space="0"/>
              <w:bottom w:val="single" w:color="auto" w:sz="4" w:space="0"/>
              <w:right w:val="single" w:color="auto" w:sz="4" w:space="0"/>
            </w:tcBorders>
            <w:vAlign w:val="center"/>
          </w:tcPr>
          <w:p w14:paraId="36DBCA61">
            <w:pPr>
              <w:widowControl/>
              <w:adjustRightInd/>
              <w:jc w:val="center"/>
              <w:textAlignment w:val="center"/>
              <w:rPr>
                <w:rFonts w:cs="宋体" w:asciiTheme="minorEastAsia" w:hAnsiTheme="minorEastAsia" w:eastAsiaTheme="minorEastAsia"/>
                <w:bCs/>
                <w:color w:val="000000"/>
                <w:sz w:val="28"/>
                <w:szCs w:val="28"/>
                <w:highlight w:val="none"/>
              </w:rPr>
            </w:pPr>
            <w:r>
              <w:rPr>
                <w:rFonts w:hint="eastAsia" w:cs="宋体" w:asciiTheme="minorEastAsia" w:hAnsiTheme="minorEastAsia" w:eastAsiaTheme="minorEastAsia"/>
                <w:bCs/>
                <w:color w:val="000000"/>
                <w:kern w:val="0"/>
                <w:sz w:val="28"/>
                <w:szCs w:val="28"/>
                <w:highlight w:val="none"/>
              </w:rPr>
              <w:t>单位</w:t>
            </w:r>
          </w:p>
        </w:tc>
        <w:tc>
          <w:tcPr>
            <w:tcW w:w="846" w:type="dxa"/>
            <w:tcBorders>
              <w:top w:val="single" w:color="auto" w:sz="4" w:space="0"/>
              <w:left w:val="single" w:color="auto" w:sz="4" w:space="0"/>
              <w:bottom w:val="single" w:color="auto" w:sz="4" w:space="0"/>
              <w:right w:val="single" w:color="auto" w:sz="4" w:space="0"/>
            </w:tcBorders>
            <w:vAlign w:val="center"/>
          </w:tcPr>
          <w:p w14:paraId="2D4AD79D">
            <w:pPr>
              <w:widowControl/>
              <w:adjustRightInd/>
              <w:spacing w:line="480" w:lineRule="exact"/>
              <w:jc w:val="center"/>
              <w:textAlignment w:val="center"/>
              <w:rPr>
                <w:rFonts w:cs="宋体" w:asciiTheme="minorEastAsia" w:hAnsiTheme="minorEastAsia" w:eastAsiaTheme="minorEastAsia"/>
                <w:bCs/>
                <w:color w:val="000000"/>
                <w:kern w:val="0"/>
                <w:sz w:val="28"/>
                <w:szCs w:val="28"/>
                <w:highlight w:val="none"/>
              </w:rPr>
            </w:pPr>
            <w:r>
              <w:rPr>
                <w:rFonts w:hint="eastAsia" w:cs="宋体" w:asciiTheme="minorEastAsia" w:hAnsiTheme="minorEastAsia" w:eastAsiaTheme="minorEastAsia"/>
                <w:bCs/>
                <w:color w:val="000000"/>
                <w:kern w:val="0"/>
                <w:sz w:val="28"/>
                <w:szCs w:val="28"/>
                <w:highlight w:val="none"/>
              </w:rPr>
              <w:t>数量</w:t>
            </w:r>
          </w:p>
        </w:tc>
      </w:tr>
      <w:tr w14:paraId="1B038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0695" w:type="dxa"/>
            <w:gridSpan w:val="5"/>
            <w:tcBorders>
              <w:top w:val="single" w:color="auto" w:sz="4" w:space="0"/>
              <w:left w:val="single" w:color="auto" w:sz="4" w:space="0"/>
              <w:bottom w:val="single" w:color="auto" w:sz="4" w:space="0"/>
              <w:right w:val="single" w:color="auto" w:sz="4" w:space="0"/>
            </w:tcBorders>
            <w:vAlign w:val="center"/>
          </w:tcPr>
          <w:p w14:paraId="13A53E39">
            <w:pPr>
              <w:widowControl/>
              <w:adjustRightInd/>
              <w:spacing w:line="480" w:lineRule="exact"/>
              <w:jc w:val="both"/>
              <w:textAlignment w:val="center"/>
              <w:rPr>
                <w:rFonts w:hint="eastAsia" w:cs="宋体" w:asciiTheme="minorEastAsia" w:hAnsiTheme="minorEastAsia" w:eastAsiaTheme="minorEastAsia"/>
                <w:bCs/>
                <w:color w:val="000000"/>
                <w:kern w:val="0"/>
                <w:sz w:val="28"/>
                <w:szCs w:val="28"/>
                <w:highlight w:val="none"/>
              </w:rPr>
            </w:pPr>
            <w:r>
              <w:rPr>
                <w:rFonts w:hint="eastAsia" w:cs="宋体" w:asciiTheme="minorEastAsia" w:hAnsiTheme="minorEastAsia" w:eastAsiaTheme="minorEastAsia"/>
                <w:bCs/>
                <w:color w:val="000000"/>
                <w:kern w:val="0"/>
                <w:sz w:val="28"/>
                <w:szCs w:val="28"/>
                <w:highlight w:val="none"/>
                <w:lang w:val="en-US" w:eastAsia="zh-CN" w:bidi="ar-SA"/>
              </w:rPr>
              <w:t>65寸教学一体机28套</w:t>
            </w:r>
          </w:p>
        </w:tc>
      </w:tr>
      <w:tr w14:paraId="28884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89" w:type="dxa"/>
            <w:tcBorders>
              <w:top w:val="single" w:color="auto" w:sz="4" w:space="0"/>
              <w:left w:val="single" w:color="auto" w:sz="4" w:space="0"/>
              <w:bottom w:val="single" w:color="auto" w:sz="4" w:space="0"/>
              <w:right w:val="single" w:color="auto" w:sz="4" w:space="0"/>
            </w:tcBorders>
            <w:vAlign w:val="center"/>
          </w:tcPr>
          <w:p w14:paraId="72F85273">
            <w:pPr>
              <w:keepNext w:val="0"/>
              <w:keepLines w:val="0"/>
              <w:widowControl/>
              <w:suppressLineNumbers w:val="0"/>
              <w:jc w:val="center"/>
              <w:textAlignment w:val="center"/>
              <w:rPr>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577" w:type="dxa"/>
            <w:tcBorders>
              <w:top w:val="single" w:color="auto" w:sz="4" w:space="0"/>
              <w:left w:val="single" w:color="auto" w:sz="4" w:space="0"/>
              <w:bottom w:val="single" w:color="auto" w:sz="4" w:space="0"/>
              <w:right w:val="single" w:color="auto" w:sz="4" w:space="0"/>
            </w:tcBorders>
            <w:vAlign w:val="center"/>
          </w:tcPr>
          <w:p w14:paraId="133098D3">
            <w:pPr>
              <w:keepNext w:val="0"/>
              <w:keepLines w:val="0"/>
              <w:widowControl/>
              <w:suppressLineNumbers w:val="0"/>
              <w:jc w:val="left"/>
              <w:textAlignment w:val="center"/>
              <w:rPr>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类纸护眼交互智能平板</w:t>
            </w:r>
          </w:p>
        </w:tc>
        <w:tc>
          <w:tcPr>
            <w:tcW w:w="66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AC391F">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整体设计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 整机屏幕采用65英寸液晶面板（对角线）；整机采用一体化设计，外观简洁无任何可见内部功能模块连接线。整机边角采用弧形设计，表面无尖锐边缘或凸起。整机采用UHD超高清液晶屏，显示比例16:9，分辨率3840*2160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  整机画面对比度及色彩还原真实，画面细节及Gamma无损失，确保师生观看画面不会因显示损耗导致视觉偏差。（提供具有CMA或CNAS认证标识的第三方检测机构检测报告）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  整机支持全通道4K显示，全通道OSD菜单及整机内置系统均支持4K图像显示。（提供具有CMA或CNAS认证标识的第三方检测机构检测报告）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  整机屏幕采用直流背光源，保证显示画面无频闪，有效避免视觉疲劳，呵护师生用眼健康。（提供具有CMA或CNAS认证标识的第三方检测机构检测报告）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 整机屏幕灰度等级≥256级，整机可视角度≥178°，整机NTSC色域覆盖率≥85%，整机最大屏幕亮度≥300     cd/m²，使用时屏幕亮度不大于400cd/m²。为保障整机色彩显示效果，需支持高色准，sRGB色彩△E≤1。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 整机采用硬件低蓝光背光技术，在源头减少有害蓝光波段能量，蓝光占比（有害蓝光415～455nm能量综合）/（整体蓝光400～500能量综合）＜50%，低蓝光保护显示不偏色、不泛黄。</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 钢化玻璃厚度≤4mm，表面硬度≥9H或者≥莫式7级。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  整机表面采用全物理防眩光钢化玻璃，钢化玻璃采用低反射防眩光（AGLR）技术，吸光率7%，有效防止眩光的同时还能吸收部分环境光，进一步降低环境光对显示的干扰，保障在明亮教室中暗场画面的清晰显示。（提供具有CMA或CNAS认证标识的第三方检测机构检测报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二、整机设计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  整机嵌入式安卓系统版本不低于Android 14，内存≥4GB，存储空间≥32GB，并具备内存可扩展设备，根据需要可升级至2T。（提供具有CMA或CNAS认证标识的第三方检测机构检测报告）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  采用红外/电容触控技术，支持Windows系统中进行不低于40点触控，支持在Android系统中进行40点或以上触控。（提供具有CMA或CNAS认证标识的第三方检测机构检测报告）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 触摸分辨率32768*32768。触摸响应时间≤4ms，触摸书写延迟≤15ms。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 为保证整机触控流畅性，连续触控时，连续的两次触控点检测时间间隔≤7ms，最小识别物≤2mm，触摸精度±1mm。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 整机具备至少6个前置物理按键，包括三合一电源按键，设置、音量加、音量减、录屏、护眼，其中含2个可自定义功能按键。（提供具有CMA或CNAS认证标识的第三方检测机构检测报告）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 整机三合一电源按键，同一按键可实现Android系统和Windows系统的一键开机、关机、节能/唤醒操作。关机状态下按按键开机，开机状态下按按键实现节能/唤醒，长按按键实现关机。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 整机前置接口具备防撞防尘挡板设计，挡板采用转轴式翻转。防止接口在连接外接设备使用时与推拉黑板产生碰撞，造成设备损坏，同时有效避免粉尘堵塞接口。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 整机前置3路USB输入接口（包含1路Type-C、2路USB），前置USB接口支持Android、Windows双系统读取外接移动存储设备，接口具备明显的丝印标识。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 整机侧置输入接口具备2路HDMI、1路RS232、1路USB、1路RJ45接口，整机侧置输出接口具备1路音频输出、1路触控USB输出，所有接口具备明显的丝印标识。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  前置Type-C接口支持65W快充，可以给教学平板、教学笔记本、手机等进行快速充电。（提供具有CMA或CNAS认证标识的第三方检测机构检测报告）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  摄像头拍摄像素数≥3200万，对角角度≥145度，水平角度≥125度。（提供具有CMA或CNAS认证标识的第三方检测机构检测报告）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  整机内置8阵列麦克风，麦克风拾音距离≥12米。（提供具有CMA或CNAS认证标识的第三方检测机构检测报告）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 Wi-Fi和AP热点工作距离≥12m。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 整机支持通过物理按键、手势及触摸快捷按键等方式快捷调用半屏模式。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  整机具备分级降屏（1/3、1/2）功能，用户可以根据使用情况自行选择降1/3或者1/2屏。（提供具有CMA或CNAS认证标识的第三方检测机构检测报告）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 整机设备开机启动后，自动进入教学桌面，支持账号登录、退出，自动获取个人云端教学课件列表。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★17.  嵌入式Android操作系统下，内置电子视力表软件，支持通过触摸方式进行视力检测，助力校园近视防控工作开展。（提供具有CMA或CNAS认证标识的第三方检测机构检测报告）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18. 电子视力表软件由设备生产厂商与</w:t>
            </w:r>
            <w:r>
              <w:rPr>
                <w:rFonts w:hint="eastAsia" w:ascii="宋体" w:hAnsi="宋体" w:cs="宋体"/>
                <w:i w:val="0"/>
                <w:iCs w:val="0"/>
                <w:color w:val="000000"/>
                <w:kern w:val="0"/>
                <w:sz w:val="21"/>
                <w:szCs w:val="21"/>
                <w:highlight w:val="none"/>
                <w:u w:val="none"/>
                <w:lang w:val="en-US" w:eastAsia="zh-CN" w:bidi="ar"/>
              </w:rPr>
              <w:t>三级甲等</w:t>
            </w:r>
            <w:r>
              <w:rPr>
                <w:rFonts w:hint="eastAsia" w:ascii="宋体" w:hAnsi="宋体" w:eastAsia="宋体" w:cs="宋体"/>
                <w:i w:val="0"/>
                <w:iCs w:val="0"/>
                <w:color w:val="000000"/>
                <w:kern w:val="0"/>
                <w:sz w:val="21"/>
                <w:szCs w:val="21"/>
                <w:highlight w:val="none"/>
                <w:u w:val="none"/>
                <w:lang w:val="en-US" w:eastAsia="zh-CN" w:bidi="ar"/>
              </w:rPr>
              <w:t>医院眼科共同开发，通过眼科医院临床试验验证，符合标准对数视力表相关要求，保证测试数据的准确性。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★19.  检测模式：支持进行单人视力检测及全班视力检测，检测时支持裸眼检测和戴镜检测两种方式；在全班检测模式下，自动提醒下一位准备检测的同学，提高检测效率。（提供具有CMA或CNAS认证标识的第三方检测机构检测报告）</w:t>
            </w:r>
          </w:p>
          <w:p w14:paraId="761FF83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★20.内置</w:t>
            </w:r>
            <w:r>
              <w:rPr>
                <w:rFonts w:hint="eastAsia" w:ascii="宋体" w:hAnsi="宋体" w:cs="宋体"/>
                <w:i w:val="0"/>
                <w:iCs w:val="0"/>
                <w:color w:val="000000"/>
                <w:kern w:val="0"/>
                <w:sz w:val="21"/>
                <w:szCs w:val="21"/>
                <w:highlight w:val="none"/>
                <w:u w:val="none"/>
                <w:lang w:val="en-US" w:eastAsia="zh-CN" w:bidi="ar"/>
              </w:rPr>
              <w:t>三级甲等</w:t>
            </w:r>
            <w:r>
              <w:rPr>
                <w:rFonts w:hint="eastAsia" w:ascii="宋体" w:hAnsi="宋体" w:eastAsia="宋体" w:cs="宋体"/>
                <w:i w:val="0"/>
                <w:iCs w:val="0"/>
                <w:color w:val="000000"/>
                <w:kern w:val="0"/>
                <w:sz w:val="21"/>
                <w:szCs w:val="21"/>
                <w:highlight w:val="none"/>
                <w:u w:val="none"/>
                <w:lang w:val="en-US" w:eastAsia="zh-CN" w:bidi="ar"/>
              </w:rPr>
              <w:t>医院眼科制作的护眼百科内容，包含专家视频、护眼动画等资源；不少于50个护眼视频。（提供具有CMA或CNAS认证标识的第三方检测机构检测报告）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w:t>
            </w:r>
            <w:r>
              <w:rPr>
                <w:rFonts w:hint="eastAsia" w:ascii="宋体" w:hAnsi="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 支持在系统后台导出视力数据进行统计分析；同时支持在本地端查看、导出学生视力数据。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w:t>
            </w:r>
            <w:r>
              <w:rPr>
                <w:rFonts w:hint="eastAsia" w:ascii="宋体" w:hAnsi="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 支持后台多级权限帐号管理，提供班级、年级、全校等管理员账号权限。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w:t>
            </w:r>
            <w:r>
              <w:rPr>
                <w:rFonts w:hint="eastAsia" w:ascii="宋体" w:hAnsi="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 不同屏幕尺寸下，软件会自动判断并提醒测试距离，不会因为屏幕尺寸的变化导致视力表测试偏差。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三、电脑配置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1.采用Intel通用标准80pin接口，即插即用，易于维护。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2.主板搭载Intel 酷睿I5或以上系列CPU。内存：8GB 笔记本内存或以上配置。硬盘：512GB或以上SSD固态硬盘。</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3.机身采用智能风扇散热设计，确保封闭空间内有效散热。PC模块可抽拉式插入整机，可实现无单独接线的插拔。采用手拧螺丝卡扣，确保PC模块安装固定到位，同时无需工具就可快速拆卸电脑模块。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4.具有独立非外扩展的视频输出接口：≥1路HDMI，≥1路DP。具有独立非外扩展的电脑USB接口：≥4路USB3.0，≥2路USB2.0。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5.具有标准PC防盗锁功能，确保电脑模块安全防盗。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四、教学软件功能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（一）备授课一体化中心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★1.备课空间：提供教师个人备课网盘，个人空间不少于</w:t>
            </w:r>
            <w:r>
              <w:rPr>
                <w:rFonts w:hint="eastAsia" w:ascii="宋体" w:hAnsi="宋体" w:cs="宋体"/>
                <w:i w:val="0"/>
                <w:iCs w:val="0"/>
                <w:color w:val="000000"/>
                <w:kern w:val="0"/>
                <w:sz w:val="21"/>
                <w:szCs w:val="21"/>
                <w:highlight w:val="none"/>
                <w:u w:val="none"/>
                <w:lang w:val="en-US" w:eastAsia="zh-CN" w:bidi="ar"/>
              </w:rPr>
              <w:t>50</w:t>
            </w:r>
            <w:r>
              <w:rPr>
                <w:rFonts w:hint="eastAsia" w:ascii="宋体" w:hAnsi="宋体" w:eastAsia="宋体" w:cs="宋体"/>
                <w:i w:val="0"/>
                <w:iCs w:val="0"/>
                <w:color w:val="000000"/>
                <w:kern w:val="0"/>
                <w:sz w:val="21"/>
                <w:szCs w:val="21"/>
                <w:highlight w:val="none"/>
                <w:u w:val="none"/>
                <w:lang w:val="en-US" w:eastAsia="zh-CN" w:bidi="ar"/>
              </w:rPr>
              <w:t>G，并可按课件、微课等内容进行归类；</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★2.智能备课插件：提供基于原生PPT与WPS的智能备课插件，非自有格式或嵌套式的备课工具，课件默认输出格式为PPT与WPS的默认格式，非专有格式，不改变教师传统备课习惯；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 资源导入：支持备课资源与智能备课插件的无缝结合，方便将图片、视频、互动微件、3D素材、题库资源等一键插入到原生PPT、WPS内,并能按学段、学科、资源类型、知识点、关键字等关键信息搜索资源；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★4.网络资源：原生PPT、WPS等支持一键引入互联网链接资源，搜索链接后可一键将页面插入至PPT、WPS等内，并能够在ppt、WPS等播放状态下进行页面二次跳转；</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课堂活动：如趣味分类、超级分类、翻翻卡、双人PK、连线题、猜词游戏、趣味素材、选词填空、选择题、判断题、比较大小、趣味检测、趣味拼词、思维导图（思维导图支持多类型模板，如经典思维、逻辑结构、彩色枝丫、鱼尾逻辑、发散思维、组织结构、目录组织、鱼骨图、天盘图，支持插入链接、图片、音视频、总结，导出为本地文件）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课本授课：支持将校本统一教材、教辅资料、校本教材、经典阅读等资源按学科、年级、册别、出版社进行归类,配套的教学资源一键下载并与教材知识点关联并内置于教材知识点对应位置，支持拖动至对应教材知识点任意位置；支持按资源名称快捷搜索相关资源，并能实现同步导入与编辑；</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白板授课：提供多学科主题模板(拼音田字格、田字格、米字格、四线格、坐标系、小方格、日字格、五线谱、篮球场、足球场、白板等),支持自定义白板主题，并可在白板任意位置进行原笔迹书写、批注、擦除、拖动等；插入图片或截图等功能到白板中，支持切换图片的锁定状态，即拖动板书内容时图片可以和板书同步移动或缩放，也可以图片位置和大小固定，板书内容移动或缩放；支持多个图片同时分别处于锁定和解锁状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8.课件授课：支持一键调取本机、个人网盘与学校网盘内的教学课件，并实现教学课件文档的手势识别(多级放大、滑动翻页、缩略图等)，播放过程中可实现自由批注与笔迹内容同步保存；</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(二)教学应用工具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1.教学书写：支持任意教学环境下(白板讲解、PPT讲解、视频播放等)进行全屏原笔迹书写，支持无限板书，无需二次点击、翻页或跳转，在当前白板页面可通过双指拖动实现无限板书，并对板书进行自由缩放；</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讲解助手：提供画笔、板书图章、板擦(区域擦除、撤销、清空等，板擦大小可自由调整等)、聚焦、放大镜、计时、录制视频、幕布、计时器等基础教学工具，其中聚焦功能实现图像增强、文字识别、高亮显示等，方便复制、编辑画面内的文字；幕布功能实现拖动黑色幕布遮盖的部分，可以在板书内容固定不动的情况下调整幕布遮盖的位置；也可以拖动幕布擦除后展露出的板书，在幕布位置固定不动的情况下，调整展露出的板书内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基础学科工具：提供多学科的学科工具，如平面图形、立体图形、尺规、量角器、函数工具、英文词典、算盘、计数器、数学动图、诗词卡片、仿真实验、构图助手、立体截面等，其中尺规和平面图形支持角度和长度的数字标注，化学仪器包括加热、计量、分离、收集、干燥等，物理仪器包括磁学、电学、光学、力学、热学、声学等，立体图形有已填充图形和未填充图形，已填充图形支持多类型展开、旋转、填充、删除等，未填充图形支持支持多种展开、自由调整展开幅度、边框四色调节、复制、删除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学科资源应用：支持一键调取学科可视化资源，包括但不限于以下知识点：小学数学(图形与几何、数与代数、统计与概率等)、小学科学(生命科学、物质科学、地球与宇宙科学、技术与工程)、初中数学(代数、几何、函数、统计概率等)、初中物理(声光热能、力与运动、电与磁等)、初中化学(科学探究、身边的化学物质、物质的化学变化、化学与社会发展、物质构成的奥秘等)、初中地理(自然地理、中国地理、世界地理等)、初中生物(生物圈、植物、人体、动物与微生物、生命的延续等)、高中数学(集合与常用逻辑用语、不等式、函数、导数、积分、三角函数与解三角形、平面向量、数列、立体几何、平面解析几何、计数原理与统计概率等)、高中物理(力与运动、电与磁、原子物理、动量与能量等)、高中化学(无机化学、实验化学、结构化学、化学反应原理、有机化学等)、高中地理(自然地理、人文地理、区域地理等)、高中生物(分子与细胞、遗传与进化、稳态与调节、生物与环境、生物技术与工程)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智能云白板：支持将教师板书同步保存至云端，并按时间、班级、来源等条件进行归档，支持跨终端调取复用以及二次编辑修改（非JPG格式与PDF格式）；支持将板书内容同步分享至设备终端或微信小程序端，支持将板书分享学科组教师、校本资源，支持一键生成分享二维码、链接，分享至微信、QQ等，所分享的板书不仅支持查看其内容，同时云端调取的云白板可打开查看插入的文档、视频等富媒体资源；云端存储的板书内容可同步删除或批量导出至本地；支持导入图片格式文件至云白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6.智能工具板：基于即时手写智能识别的智能工具板，可实现中英文智能转写、智能搜索、图形识别与函数识别等功能，智能工具板内的所有板书记录可同步保存至智能云白板；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(1)中英文智能转写：支持将手写的中英文字词自动识别并转写为标准印刷体，字体大小可无级放大；支持对中文生字的手写识别并可实现读音、笔顺、笔画、偏旁部首、组词等；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(2)中英文智能识别：支持画圈搜索手写的中英文字词，实时搜索互联网资源；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(3)图形识别：支持将教师手写的图形自动识别为标准规范图形，相关图形能够自由调整大小、角度等，并支持填色、复制、删除等功能；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(4)函数识别：支持将教师手写的函数公式(非键盘输入)自动识别并转换为匹配的函数图形，并可通过手势划词直接进行删除与修改，支持将相应的函数图形直接插入到智能工具板内；</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课堂实录：支持基于任意授课场景、界面下进行课堂实录，录制过程中可随时预览、暂停、结束，可以收起录制按钮，也可对视频、音频、导出、存储四个方面进行设置，视频设置包括但不限于录制范围、画质选择、时间提示、视频水印、鼠标显示、画中画；音频设置包括声音来源、录制准备；导出设置包括视频剪辑；存储设置包括视频存放地址；录制结束后生成MP4格式视频文件，一键保存到本地和网盘，并分享到班级和学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智适应学习与推送：支持教师将包括但不限于趣味分类、超级分类、翻翻卡、连线题、猜词游戏、趣味素材、选词填空、选择题、判断题、比较大小等交互式资源一键分享，可实现探究式、体验式学习，实时判断对错，并进行闯关答题。</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(三)系统管理中心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授课登录：支持教师通过个人账号、微信授权或二维码等方式进行身份识别快速登录授课；登录后，即时进入上课模式，并自动获取云端课件；支持课件云同步功能，课件上的所有修改、操作均可同步保存至云；</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2.班级管理：支持教师设置班级信息，包括学段、年级、班级名称；支持设置学生信息，包括学生姓名、学生所属分组等信息；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3.支持设置是否开启多人书写、板书美颜级别(低、中、高)、是否开启手势板擦等；支持设置节能模式，可自由设置设定时间内无人操作自动关机等功能。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五、集中控制管理系统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1、系统基于SaaS布局，后台管理系统采用B/S架构设计，无需本地部署服务器即可使用，支持学校管理员在Windows、国产化系统、Android、iOS等操作系统上通过网页浏览器登录进行管理指令操作。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系统支持多类型设备接入、集中管理，包含交互智能平板、智慧黑板、校园屏显设备，设备关联接入时支持设置关联学校、学段、年级、班级、设备品牌相关信息；可对学校已关联的所有设备按年级或楼层等进行管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后台管理系统支持实时查看管理设备数量，查看设备连接数量和设备在线数量，查看某台设备的软件管家版本、硬件配置和ID信息；可对设备的在线、离线状态、教室名称、内存和硬盘使用率等基础信息进行查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4、支持根据设备类型、设备所属年级、场地、设备开关机状态进行分组管理，支持文字检索设备名称。系统支持权限管理。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5、支持查看设备运维数据，包括活跃设备数量、活跃分布、开机时长、常用软件。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6、支持以图文形式对设备的使用情况进行统计，可按照选定时间周期进行统计，也支持按日、周、月进行统计。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7、支持查看设备健康度数据，设备健康度维度包含日均健康度、温度超阈值次数、CPU超阈值次数、连续使用超阈值次数、累计使用时长。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8、支持查看设备开机时长分布柱状图和设备活跃日期分布线性图，设备开机时长排行列表，同时支持将设备运维数据导出报表，支持数据可视化显示，对设备运维数据进行多种筛选分析。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9、后台管理系统支持对一台或者多台设备进行远程指令发送，包括远程关机、远程重启、远程屏幕锁、远程打铃功能。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10、支持循环计划，按照设定的周期和时间执行“关机、屏幕锁、打铃”的指令操作。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11、支持远程锁屏功能，功能开启后即可对远程设备进行屏幕锁定，输入密码即可进行解锁，也可远程发送解锁指令或扫码解锁。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12、支持设置倒计日，并可定向远程开启/关闭指定设备的倒计日功能。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13、支持对一台或者多台设备进行远程系统设置，包括远程通道切换和USB禁用功能。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14、支持远程指令发布，并可查看指令列表。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15、支持用户自主上传安装包，批量将软件发送至设备安装，整个安装过程无弹窗提示，无需终端用户手动操作。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16、支持一键开启设备的不良弹窗拦截功能，并可设置取消或者开启拦截。当设备上有窗口弹出时，会自动进行判断，判断为不良弹窗时，自动拦截该窗口。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17、支持查看学校当前所有拦截弹窗应用名称、上报次数、拦截次数、弹窗详情；支持将某个应用加入白名单或取消白名单。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18、支持远程批量设置设备的冰冻和解冻状态。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19、定时开关机支持同时发布三段定时。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20、公告制作支持文字、背景颜色修改，可设置播放位置及速度，支持实时预览。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21、所发布的内容需经过指定的审核人员审核通过后，才可发布到设备上进行展示。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22、支持OTA升级和远程控制。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六、其他要求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1、要求厂家质保5年，为确保货物质量及原厂品质，中标供应商在正式供货时必须提供生产厂家针对此项目的售后服务保证原件、供货证明原件，否则</w:t>
            </w:r>
            <w:r>
              <w:rPr>
                <w:rFonts w:hint="eastAsia" w:ascii="宋体" w:hAnsi="宋体" w:cs="宋体"/>
                <w:i w:val="0"/>
                <w:iCs w:val="0"/>
                <w:color w:val="000000"/>
                <w:kern w:val="0"/>
                <w:sz w:val="21"/>
                <w:szCs w:val="21"/>
                <w:highlight w:val="none"/>
                <w:u w:val="none"/>
                <w:lang w:val="en-US" w:eastAsia="zh-CN" w:bidi="ar"/>
              </w:rPr>
              <w:t>采购人</w:t>
            </w:r>
            <w:r>
              <w:rPr>
                <w:rFonts w:hint="eastAsia" w:ascii="宋体" w:hAnsi="宋体" w:eastAsia="宋体" w:cs="宋体"/>
                <w:i w:val="0"/>
                <w:iCs w:val="0"/>
                <w:color w:val="000000"/>
                <w:kern w:val="0"/>
                <w:sz w:val="21"/>
                <w:szCs w:val="21"/>
                <w:highlight w:val="none"/>
                <w:u w:val="none"/>
                <w:lang w:val="en-US" w:eastAsia="zh-CN" w:bidi="ar"/>
              </w:rPr>
              <w:t>将不予验收通过。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2、打“★”号条款为重要技术参数，投标人必须满足否则</w:t>
            </w:r>
            <w:r>
              <w:rPr>
                <w:rFonts w:hint="eastAsia" w:ascii="宋体" w:hAnsi="宋体" w:cs="宋体"/>
                <w:i w:val="0"/>
                <w:iCs w:val="0"/>
                <w:color w:val="000000"/>
                <w:kern w:val="0"/>
                <w:sz w:val="21"/>
                <w:szCs w:val="21"/>
                <w:highlight w:val="none"/>
                <w:u w:val="none"/>
                <w:lang w:val="en-US" w:eastAsia="zh-CN" w:bidi="ar"/>
              </w:rPr>
              <w:t>投标</w:t>
            </w:r>
            <w:r>
              <w:rPr>
                <w:rFonts w:hint="eastAsia" w:ascii="宋体" w:hAnsi="宋体" w:eastAsia="宋体" w:cs="宋体"/>
                <w:i w:val="0"/>
                <w:iCs w:val="0"/>
                <w:color w:val="000000"/>
                <w:kern w:val="0"/>
                <w:sz w:val="21"/>
                <w:szCs w:val="21"/>
                <w:highlight w:val="none"/>
                <w:u w:val="none"/>
                <w:lang w:val="en-US" w:eastAsia="zh-CN" w:bidi="ar"/>
              </w:rPr>
              <w:t>无效。中标公示期内若有其他投标人质疑情况下，中标单位必须提供与</w:t>
            </w:r>
            <w:r>
              <w:rPr>
                <w:rFonts w:hint="eastAsia" w:ascii="宋体" w:hAnsi="宋体" w:cs="宋体"/>
                <w:i w:val="0"/>
                <w:iCs w:val="0"/>
                <w:color w:val="000000"/>
                <w:kern w:val="0"/>
                <w:sz w:val="21"/>
                <w:szCs w:val="21"/>
                <w:highlight w:val="none"/>
                <w:u w:val="none"/>
                <w:lang w:val="en-US" w:eastAsia="zh-CN" w:bidi="ar"/>
              </w:rPr>
              <w:t>招标文件</w:t>
            </w:r>
            <w:r>
              <w:rPr>
                <w:rFonts w:hint="eastAsia" w:ascii="宋体" w:hAnsi="宋体" w:eastAsia="宋体" w:cs="宋体"/>
                <w:i w:val="0"/>
                <w:iCs w:val="0"/>
                <w:color w:val="000000"/>
                <w:kern w:val="0"/>
                <w:sz w:val="21"/>
                <w:szCs w:val="21"/>
                <w:highlight w:val="none"/>
                <w:u w:val="none"/>
                <w:lang w:val="en-US" w:eastAsia="zh-CN" w:bidi="ar"/>
              </w:rPr>
              <w:t>技术要求及功能符合的全部样品一套至用户处进行整体性能与</w:t>
            </w:r>
            <w:r>
              <w:rPr>
                <w:rFonts w:hint="eastAsia" w:ascii="宋体" w:hAnsi="宋体" w:cs="宋体"/>
                <w:i w:val="0"/>
                <w:iCs w:val="0"/>
                <w:color w:val="000000"/>
                <w:kern w:val="0"/>
                <w:sz w:val="21"/>
                <w:szCs w:val="21"/>
                <w:highlight w:val="none"/>
                <w:u w:val="none"/>
                <w:lang w:val="en-US" w:eastAsia="zh-CN" w:bidi="ar"/>
              </w:rPr>
              <w:t>招标</w:t>
            </w:r>
            <w:r>
              <w:rPr>
                <w:rFonts w:hint="eastAsia" w:ascii="宋体" w:hAnsi="宋体" w:eastAsia="宋体" w:cs="宋体"/>
                <w:i w:val="0"/>
                <w:iCs w:val="0"/>
                <w:color w:val="000000"/>
                <w:kern w:val="0"/>
                <w:sz w:val="21"/>
                <w:szCs w:val="21"/>
                <w:highlight w:val="none"/>
                <w:u w:val="none"/>
                <w:lang w:val="en-US" w:eastAsia="zh-CN" w:bidi="ar"/>
              </w:rPr>
              <w:t>文件核对，协助质疑答复。如出现所提供样品不符招标要求或无法提供所有样品，均视为虚假应标处理并根据《政府采购货物和服务招标投标管理办法》</w:t>
            </w:r>
            <w:r>
              <w:rPr>
                <w:rFonts w:hint="eastAsia" w:ascii="宋体" w:hAnsi="宋体" w:cs="宋体"/>
                <w:i w:val="0"/>
                <w:iCs w:val="0"/>
                <w:color w:val="000000"/>
                <w:kern w:val="0"/>
                <w:sz w:val="21"/>
                <w:szCs w:val="21"/>
                <w:highlight w:val="none"/>
                <w:u w:val="none"/>
                <w:lang w:val="en-US" w:eastAsia="zh-CN" w:bidi="ar"/>
              </w:rPr>
              <w:t>等相关法律法规</w:t>
            </w:r>
            <w:r>
              <w:rPr>
                <w:rFonts w:hint="eastAsia" w:ascii="宋体" w:hAnsi="宋体" w:eastAsia="宋体" w:cs="宋体"/>
                <w:i w:val="0"/>
                <w:iCs w:val="0"/>
                <w:color w:val="000000"/>
                <w:kern w:val="0"/>
                <w:sz w:val="21"/>
                <w:szCs w:val="21"/>
                <w:highlight w:val="none"/>
                <w:u w:val="none"/>
                <w:lang w:val="en-US" w:eastAsia="zh-CN" w:bidi="ar"/>
              </w:rPr>
              <w:t>及</w:t>
            </w:r>
            <w:r>
              <w:rPr>
                <w:rFonts w:hint="eastAsia" w:ascii="宋体" w:hAnsi="宋体" w:cs="宋体"/>
                <w:i w:val="0"/>
                <w:iCs w:val="0"/>
                <w:color w:val="000000"/>
                <w:kern w:val="0"/>
                <w:sz w:val="21"/>
                <w:szCs w:val="21"/>
                <w:highlight w:val="none"/>
                <w:u w:val="none"/>
                <w:lang w:val="en-US" w:eastAsia="zh-CN" w:bidi="ar"/>
              </w:rPr>
              <w:t>招标文件</w:t>
            </w:r>
            <w:r>
              <w:rPr>
                <w:rFonts w:hint="eastAsia" w:ascii="宋体" w:hAnsi="宋体" w:eastAsia="宋体" w:cs="宋体"/>
                <w:i w:val="0"/>
                <w:iCs w:val="0"/>
                <w:color w:val="000000"/>
                <w:kern w:val="0"/>
                <w:sz w:val="21"/>
                <w:szCs w:val="21"/>
                <w:highlight w:val="none"/>
                <w:u w:val="none"/>
                <w:lang w:val="en-US" w:eastAsia="zh-CN" w:bidi="ar"/>
              </w:rPr>
              <w:t>要求追究法律责任。</w:t>
            </w:r>
          </w:p>
        </w:tc>
        <w:tc>
          <w:tcPr>
            <w:tcW w:w="855" w:type="dxa"/>
            <w:tcBorders>
              <w:top w:val="single" w:color="auto" w:sz="4" w:space="0"/>
              <w:left w:val="single" w:color="auto" w:sz="4" w:space="0"/>
              <w:bottom w:val="single" w:color="auto" w:sz="4" w:space="0"/>
              <w:right w:val="single" w:color="auto" w:sz="4" w:space="0"/>
            </w:tcBorders>
            <w:vAlign w:val="center"/>
          </w:tcPr>
          <w:p w14:paraId="1AC72A49">
            <w:pPr>
              <w:keepNext w:val="0"/>
              <w:keepLines w:val="0"/>
              <w:widowControl/>
              <w:suppressLineNumbers w:val="0"/>
              <w:jc w:val="center"/>
              <w:textAlignment w:val="center"/>
              <w:rPr>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846" w:type="dxa"/>
            <w:tcBorders>
              <w:top w:val="single" w:color="auto" w:sz="4" w:space="0"/>
              <w:left w:val="single" w:color="auto" w:sz="4" w:space="0"/>
              <w:bottom w:val="single" w:color="auto" w:sz="4" w:space="0"/>
              <w:right w:val="single" w:color="auto" w:sz="4" w:space="0"/>
            </w:tcBorders>
            <w:vAlign w:val="center"/>
          </w:tcPr>
          <w:p w14:paraId="2AC80CD0">
            <w:pPr>
              <w:keepNext w:val="0"/>
              <w:keepLines w:val="0"/>
              <w:widowControl/>
              <w:suppressLineNumbers w:val="0"/>
              <w:jc w:val="center"/>
              <w:textAlignment w:val="center"/>
              <w:rPr>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28</w:t>
            </w:r>
          </w:p>
        </w:tc>
      </w:tr>
      <w:tr w14:paraId="7E8DF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789" w:type="dxa"/>
            <w:tcBorders>
              <w:top w:val="single" w:color="auto" w:sz="4" w:space="0"/>
              <w:left w:val="single" w:color="auto" w:sz="4" w:space="0"/>
              <w:bottom w:val="single" w:color="auto" w:sz="4" w:space="0"/>
              <w:right w:val="single" w:color="auto" w:sz="4" w:space="0"/>
            </w:tcBorders>
            <w:vAlign w:val="center"/>
          </w:tcPr>
          <w:p w14:paraId="11A13360">
            <w:pPr>
              <w:keepNext w:val="0"/>
              <w:keepLines w:val="0"/>
              <w:widowControl/>
              <w:suppressLineNumbers w:val="0"/>
              <w:jc w:val="center"/>
              <w:textAlignment w:val="center"/>
              <w:rPr>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577" w:type="dxa"/>
            <w:tcBorders>
              <w:top w:val="single" w:color="auto" w:sz="4" w:space="0"/>
              <w:left w:val="single" w:color="auto" w:sz="4" w:space="0"/>
              <w:bottom w:val="single" w:color="auto" w:sz="4" w:space="0"/>
              <w:right w:val="single" w:color="auto" w:sz="4" w:space="0"/>
            </w:tcBorders>
            <w:vAlign w:val="center"/>
          </w:tcPr>
          <w:p w14:paraId="32A736B6">
            <w:pPr>
              <w:keepNext w:val="0"/>
              <w:keepLines w:val="0"/>
              <w:widowControl/>
              <w:suppressLineNumbers w:val="0"/>
              <w:jc w:val="left"/>
              <w:textAlignment w:val="center"/>
              <w:rPr>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AI视频展台</w:t>
            </w:r>
          </w:p>
        </w:tc>
        <w:tc>
          <w:tcPr>
            <w:tcW w:w="66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2F9E79">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1、摄像头：摄像头可拍摄不少于1300W像素的照片。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2、视频预览：采用A4大小拍摄幅面，1080P动态视频预览达到30帧/秒。</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3、LED补光灯：展台具备不少于三级的补光灯，补光灯采用触摸按键设计。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4、实时批注：支持展台画面实时批注，且批注内容与展台画面同步缩放移动。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5、动态推送：展台软件带国学经典文句动态推送功能，每次启动软件，都会推送不同的经典国学文句，用于迅速抓取学生的注意力回归黑板。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6、画面操作：支持对展台实时画面进行方法、缩小、旋转、冻结操作。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自动调整：展台软件带自动文字正向，软件可以根据实际展示文件的文字方向（无论是正的，反的，偏斜的），进行自动的旋转调整，保持文字永远都是正向展示，同时实现展示文件自动居中，方便老师随意放纸，无需调整与操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8、自动缩放：展台软件带自动的放大与缩小的功能，软件可以根据展示物的大小，自动进行放大与缩小，小的展示物体可以自动放大到同屏的等比例，大的展示物体可以自动缩小到同屏等比例。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9、双击居中：展台软件带双击屏幕局部放大的功能，老师可以通过双击局部位置，自动的放大局部展示区，同时自动使局部位置居中摆放。</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10、十点触摸：展台软件支持10点以上触摸，在画笔状态下支持同时10点以上流畅标注。方便老师与多名学生在课堂上实现互动与参与，增加课堂的趣味与多彩。</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11、文字识别：展台软件带OCR框选识别文字功能，老师可以在动态视频下框选展示物其中一段文字，软件自动提取文字，可用于直接放入Word或者复制带走。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12、自动扫描：专业展台软件带检测到物体自动扫描功能，同时扫描文档可自动纠偏，精准去多余边角，可自动修复破损纸张图像。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对比教学：展台软件带对比教学功能，可以实现动态视频与静态图片的对比教学，每个对比展示区都支持双击局部放大，批注笔记与图片联动，展示区的全屏切换等。方便老师针对不同学生试卷和作业进行对比教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14、二维码扫描：展台软件带二维码扫描功能，帮助老师快速直接调用,访问课本上二维码拓展知识内容。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15、PDF合成：展台软件带一键PDF合成功能，老师可以一键把多张图片合成PDF文件。</w:t>
            </w:r>
          </w:p>
        </w:tc>
        <w:tc>
          <w:tcPr>
            <w:tcW w:w="855" w:type="dxa"/>
            <w:tcBorders>
              <w:top w:val="single" w:color="auto" w:sz="4" w:space="0"/>
              <w:left w:val="single" w:color="auto" w:sz="4" w:space="0"/>
              <w:bottom w:val="single" w:color="auto" w:sz="4" w:space="0"/>
              <w:right w:val="single" w:color="auto" w:sz="4" w:space="0"/>
            </w:tcBorders>
            <w:vAlign w:val="center"/>
          </w:tcPr>
          <w:p w14:paraId="69CD5C56">
            <w:pPr>
              <w:keepNext w:val="0"/>
              <w:keepLines w:val="0"/>
              <w:widowControl/>
              <w:suppressLineNumbers w:val="0"/>
              <w:jc w:val="center"/>
              <w:textAlignment w:val="center"/>
              <w:rPr>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846" w:type="dxa"/>
            <w:tcBorders>
              <w:top w:val="single" w:color="auto" w:sz="4" w:space="0"/>
              <w:left w:val="single" w:color="auto" w:sz="4" w:space="0"/>
              <w:bottom w:val="single" w:color="auto" w:sz="4" w:space="0"/>
              <w:right w:val="single" w:color="auto" w:sz="4" w:space="0"/>
            </w:tcBorders>
            <w:vAlign w:val="center"/>
          </w:tcPr>
          <w:p w14:paraId="259D04C5">
            <w:pPr>
              <w:keepNext w:val="0"/>
              <w:keepLines w:val="0"/>
              <w:widowControl/>
              <w:suppressLineNumbers w:val="0"/>
              <w:jc w:val="center"/>
              <w:textAlignment w:val="center"/>
              <w:rPr>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28</w:t>
            </w:r>
          </w:p>
        </w:tc>
      </w:tr>
      <w:tr w14:paraId="75790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9" w:type="dxa"/>
            <w:tcBorders>
              <w:top w:val="single" w:color="auto" w:sz="4" w:space="0"/>
              <w:left w:val="single" w:color="auto" w:sz="4" w:space="0"/>
              <w:bottom w:val="single" w:color="auto" w:sz="4" w:space="0"/>
              <w:right w:val="single" w:color="auto" w:sz="4" w:space="0"/>
            </w:tcBorders>
            <w:vAlign w:val="center"/>
          </w:tcPr>
          <w:p w14:paraId="49A4BE48">
            <w:pPr>
              <w:keepNext w:val="0"/>
              <w:keepLines w:val="0"/>
              <w:widowControl/>
              <w:suppressLineNumbers w:val="0"/>
              <w:jc w:val="center"/>
              <w:textAlignment w:val="center"/>
              <w:rPr>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577" w:type="dxa"/>
            <w:tcBorders>
              <w:top w:val="single" w:color="auto" w:sz="4" w:space="0"/>
              <w:left w:val="single" w:color="auto" w:sz="4" w:space="0"/>
              <w:bottom w:val="single" w:color="auto" w:sz="4" w:space="0"/>
              <w:right w:val="single" w:color="auto" w:sz="4" w:space="0"/>
            </w:tcBorders>
            <w:vAlign w:val="center"/>
          </w:tcPr>
          <w:p w14:paraId="215870BF">
            <w:pPr>
              <w:keepNext w:val="0"/>
              <w:keepLines w:val="0"/>
              <w:widowControl/>
              <w:suppressLineNumbers w:val="0"/>
              <w:jc w:val="left"/>
              <w:textAlignment w:val="center"/>
              <w:rPr>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智能笔</w:t>
            </w:r>
          </w:p>
        </w:tc>
        <w:tc>
          <w:tcPr>
            <w:tcW w:w="66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825920">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1、采用笔型设计，笔身配置不少于五个物理按键，具备翻页和激光笔功能，既可用于触摸书写，也可用于远程操控。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2、支持电容触摸设备书写、无线控制发射器一体化设计。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3、采用2.4G无线连接技术，无线接收距离可30米。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4、内置高精度陀螺仪，具备模拟激光笔功能，可通过笔身按钮激活陀螺仪模拟激光功能，适用于加载防眩光设计的教学显示设备。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5、内置高精度陀螺仪，支持空中鼠标功能。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6、无线接收器采用微型nano设计，并能收纳在笔内，即插即用，整洁美观。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7、单接收器设计，Android、Windows双系统同时响应。只需安装一个接收器，双系统都能响应智能笔的操作指令。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8、支持对白板课件、PPT、PDF等多种格式的课件进行远程无线翻页。</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9、功能按键可通过长按/短按实现两种快捷功能，方便教师操作。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10、内部集成可充电电池设计，可连续不中断使用≥22小时，从无电到满电的充电时长≤4小时。</w:t>
            </w:r>
          </w:p>
        </w:tc>
        <w:tc>
          <w:tcPr>
            <w:tcW w:w="855" w:type="dxa"/>
            <w:tcBorders>
              <w:top w:val="single" w:color="auto" w:sz="4" w:space="0"/>
              <w:left w:val="single" w:color="auto" w:sz="4" w:space="0"/>
              <w:bottom w:val="single" w:color="auto" w:sz="4" w:space="0"/>
              <w:right w:val="single" w:color="auto" w:sz="4" w:space="0"/>
            </w:tcBorders>
            <w:vAlign w:val="center"/>
          </w:tcPr>
          <w:p w14:paraId="5881CFB2">
            <w:pPr>
              <w:keepNext w:val="0"/>
              <w:keepLines w:val="0"/>
              <w:widowControl/>
              <w:suppressLineNumbers w:val="0"/>
              <w:jc w:val="center"/>
              <w:textAlignment w:val="center"/>
              <w:rPr>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支</w:t>
            </w:r>
          </w:p>
        </w:tc>
        <w:tc>
          <w:tcPr>
            <w:tcW w:w="846" w:type="dxa"/>
            <w:tcBorders>
              <w:top w:val="single" w:color="auto" w:sz="4" w:space="0"/>
              <w:left w:val="single" w:color="auto" w:sz="4" w:space="0"/>
              <w:bottom w:val="single" w:color="auto" w:sz="4" w:space="0"/>
              <w:right w:val="single" w:color="auto" w:sz="4" w:space="0"/>
            </w:tcBorders>
            <w:vAlign w:val="center"/>
          </w:tcPr>
          <w:p w14:paraId="7F75C31C">
            <w:pPr>
              <w:keepNext w:val="0"/>
              <w:keepLines w:val="0"/>
              <w:widowControl/>
              <w:suppressLineNumbers w:val="0"/>
              <w:jc w:val="center"/>
              <w:textAlignment w:val="center"/>
              <w:rPr>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28</w:t>
            </w:r>
          </w:p>
        </w:tc>
      </w:tr>
      <w:tr w14:paraId="088B8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89" w:type="dxa"/>
            <w:tcBorders>
              <w:top w:val="single" w:color="auto" w:sz="4" w:space="0"/>
              <w:left w:val="single" w:color="auto" w:sz="4" w:space="0"/>
              <w:bottom w:val="single" w:color="auto" w:sz="4" w:space="0"/>
              <w:right w:val="single" w:color="auto" w:sz="4" w:space="0"/>
            </w:tcBorders>
            <w:vAlign w:val="center"/>
          </w:tcPr>
          <w:p w14:paraId="7437C178">
            <w:pPr>
              <w:keepNext w:val="0"/>
              <w:keepLines w:val="0"/>
              <w:widowControl/>
              <w:suppressLineNumbers w:val="0"/>
              <w:jc w:val="center"/>
              <w:textAlignment w:val="center"/>
              <w:rPr>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577" w:type="dxa"/>
            <w:tcBorders>
              <w:top w:val="single" w:color="auto" w:sz="4" w:space="0"/>
              <w:left w:val="single" w:color="auto" w:sz="4" w:space="0"/>
              <w:bottom w:val="single" w:color="auto" w:sz="4" w:space="0"/>
              <w:right w:val="single" w:color="auto" w:sz="4" w:space="0"/>
            </w:tcBorders>
            <w:vAlign w:val="center"/>
          </w:tcPr>
          <w:p w14:paraId="1AE6CE3E">
            <w:pPr>
              <w:keepNext w:val="0"/>
              <w:keepLines w:val="0"/>
              <w:widowControl/>
              <w:suppressLineNumbers w:val="0"/>
              <w:jc w:val="left"/>
              <w:textAlignment w:val="center"/>
              <w:rPr>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2.4G无线有源音箱</w:t>
            </w:r>
          </w:p>
        </w:tc>
        <w:tc>
          <w:tcPr>
            <w:tcW w:w="66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574BC3">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1.内置2.4G信号接收盒，开机自动进入配对状态，近距离配对、配对成功后有提示音，能满足同一场所大批量使用，不串频、抗干扰性强；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2.采用SMT工艺生产，内置高保真功率放大器，170V-240V开关电源宽电压设计，效率高、功率大、重量轻、待机功耗小、扩音清晰、性能稳定；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3.二单元设计、6.5寸低音喇叭、2寸高音喇叭；</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4.麦克风音量、音乐音量、综合高低音调节功能；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5.1组莲花CD/MD/电脑音频输入、1路莲花录音输出、1个3.5毫米电脑音频输入接口；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 1路70V-110V有线定压广播强切输入、5秒钟后自动恢复教室扩声；在设备不开机的情况下也能实现校园广播功能。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 1路6.5毫米话筒输入插口、与同品牌话筒连接不用电池；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8.烤漆铁网防护罩、配原厂支架、壁挂式安装；</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9.适用于各类多媒体教室、电教室、普通教室；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10.使用频率：2400-2485MHz；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11.输出功率：2×60W；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12.灵敏度：87dB±2dB；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13.频率响应：30Hz-20KHz；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14.信噪比：83dB±2dB；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15.电源：交流170V-240V±10％/50Hz；</w:t>
            </w:r>
          </w:p>
        </w:tc>
        <w:tc>
          <w:tcPr>
            <w:tcW w:w="855" w:type="dxa"/>
            <w:tcBorders>
              <w:top w:val="single" w:color="auto" w:sz="4" w:space="0"/>
              <w:left w:val="single" w:color="auto" w:sz="4" w:space="0"/>
              <w:bottom w:val="single" w:color="auto" w:sz="4" w:space="0"/>
              <w:right w:val="single" w:color="auto" w:sz="4" w:space="0"/>
            </w:tcBorders>
            <w:vAlign w:val="center"/>
          </w:tcPr>
          <w:p w14:paraId="36A1C2CB">
            <w:pPr>
              <w:keepNext w:val="0"/>
              <w:keepLines w:val="0"/>
              <w:widowControl/>
              <w:suppressLineNumbers w:val="0"/>
              <w:jc w:val="center"/>
              <w:textAlignment w:val="center"/>
              <w:rPr>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846" w:type="dxa"/>
            <w:tcBorders>
              <w:top w:val="single" w:color="auto" w:sz="4" w:space="0"/>
              <w:left w:val="single" w:color="auto" w:sz="4" w:space="0"/>
              <w:bottom w:val="single" w:color="auto" w:sz="4" w:space="0"/>
              <w:right w:val="single" w:color="auto" w:sz="4" w:space="0"/>
            </w:tcBorders>
            <w:vAlign w:val="center"/>
          </w:tcPr>
          <w:p w14:paraId="0EC28B78">
            <w:pPr>
              <w:keepNext w:val="0"/>
              <w:keepLines w:val="0"/>
              <w:widowControl/>
              <w:suppressLineNumbers w:val="0"/>
              <w:jc w:val="center"/>
              <w:textAlignment w:val="center"/>
              <w:rPr>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28</w:t>
            </w:r>
          </w:p>
        </w:tc>
      </w:tr>
      <w:tr w14:paraId="7DE32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1" w:hRule="atLeast"/>
        </w:trPr>
        <w:tc>
          <w:tcPr>
            <w:tcW w:w="789" w:type="dxa"/>
            <w:tcBorders>
              <w:top w:val="single" w:color="auto" w:sz="4" w:space="0"/>
              <w:left w:val="single" w:color="auto" w:sz="4" w:space="0"/>
              <w:bottom w:val="single" w:color="auto" w:sz="4" w:space="0"/>
              <w:right w:val="single" w:color="auto" w:sz="4" w:space="0"/>
            </w:tcBorders>
            <w:vAlign w:val="center"/>
          </w:tcPr>
          <w:p w14:paraId="6512998B">
            <w:pPr>
              <w:keepNext w:val="0"/>
              <w:keepLines w:val="0"/>
              <w:widowControl/>
              <w:suppressLineNumbers w:val="0"/>
              <w:jc w:val="center"/>
              <w:textAlignment w:val="center"/>
              <w:rPr>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577" w:type="dxa"/>
            <w:tcBorders>
              <w:top w:val="single" w:color="auto" w:sz="4" w:space="0"/>
              <w:left w:val="single" w:color="auto" w:sz="4" w:space="0"/>
              <w:bottom w:val="single" w:color="auto" w:sz="4" w:space="0"/>
              <w:right w:val="single" w:color="auto" w:sz="4" w:space="0"/>
            </w:tcBorders>
            <w:vAlign w:val="center"/>
          </w:tcPr>
          <w:p w14:paraId="317AAEC8">
            <w:pPr>
              <w:keepNext w:val="0"/>
              <w:keepLines w:val="0"/>
              <w:widowControl/>
              <w:suppressLineNumbers w:val="0"/>
              <w:jc w:val="left"/>
              <w:textAlignment w:val="center"/>
              <w:rPr>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2.4G无线话筒</w:t>
            </w:r>
          </w:p>
        </w:tc>
        <w:tc>
          <w:tcPr>
            <w:tcW w:w="66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B71B03">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1.2.4G抗干扰射频技术、同一个无线麦克风、能在不同的教室接收机上使用、1000套同时使用不串频、近距离开机自动对频对频成功有语音提示,无须专人管理。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2.1.8寸LCD液晶显示屏, 显示充电中、低电量、发射机与接收机信号锁定、音量大小、PPT无线翻页功能和ACG。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3.功能按键采用金属密封式轻触开关、</w:t>
            </w:r>
            <w:r>
              <w:rPr>
                <w:rFonts w:hint="eastAsia" w:ascii="宋体" w:hAnsi="宋体" w:cs="宋体"/>
                <w:i w:val="0"/>
                <w:iCs w:val="0"/>
                <w:color w:val="000000"/>
                <w:kern w:val="0"/>
                <w:sz w:val="21"/>
                <w:szCs w:val="21"/>
                <w:highlight w:val="none"/>
                <w:u w:val="none"/>
                <w:lang w:val="en-US" w:eastAsia="zh-CN" w:bidi="ar"/>
              </w:rPr>
              <w:t>具</w:t>
            </w:r>
            <w:r>
              <w:rPr>
                <w:rFonts w:hint="eastAsia" w:ascii="宋体" w:hAnsi="宋体" w:eastAsia="宋体" w:cs="宋体"/>
                <w:i w:val="0"/>
                <w:iCs w:val="0"/>
                <w:color w:val="000000"/>
                <w:kern w:val="0"/>
                <w:sz w:val="21"/>
                <w:szCs w:val="21"/>
                <w:highlight w:val="none"/>
                <w:u w:val="none"/>
                <w:lang w:val="en-US" w:eastAsia="zh-CN" w:bidi="ar"/>
              </w:rPr>
              <w:t>有防水、防潮、防尘的功能,性能稳定持久耐用。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4.音量大小调节数字液晶显示、U型背夹设计放便使用.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5.内/外置麦克风切换功能、手持、领夹咪、头戴咪多种使用方式。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6.一键静音功能放便老师与他人勾通.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7.无音频信号输入自动降噪静音功能。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8.远距离电子激光教鞭、根据用户要求可增加PPT翻页功能。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9.锂电池供电保节能、连续工作10个小时、待机时间60天。</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10.传输范围：视环境变化约20M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11.信噪比：≥83dB。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12.接收灵敏度：85dB±2dB。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13.工作频率：2400-2485MHz。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14.调制方式：QPSK</w:t>
            </w:r>
          </w:p>
        </w:tc>
        <w:tc>
          <w:tcPr>
            <w:tcW w:w="855" w:type="dxa"/>
            <w:tcBorders>
              <w:top w:val="single" w:color="auto" w:sz="4" w:space="0"/>
              <w:left w:val="single" w:color="auto" w:sz="4" w:space="0"/>
              <w:bottom w:val="single" w:color="auto" w:sz="4" w:space="0"/>
              <w:right w:val="single" w:color="auto" w:sz="4" w:space="0"/>
            </w:tcBorders>
            <w:vAlign w:val="center"/>
          </w:tcPr>
          <w:p w14:paraId="71064D54">
            <w:pPr>
              <w:keepNext w:val="0"/>
              <w:keepLines w:val="0"/>
              <w:widowControl/>
              <w:suppressLineNumbers w:val="0"/>
              <w:jc w:val="center"/>
              <w:textAlignment w:val="center"/>
              <w:rPr>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846" w:type="dxa"/>
            <w:tcBorders>
              <w:top w:val="single" w:color="auto" w:sz="4" w:space="0"/>
              <w:left w:val="single" w:color="auto" w:sz="4" w:space="0"/>
              <w:bottom w:val="single" w:color="auto" w:sz="4" w:space="0"/>
              <w:right w:val="single" w:color="auto" w:sz="4" w:space="0"/>
            </w:tcBorders>
            <w:vAlign w:val="center"/>
          </w:tcPr>
          <w:p w14:paraId="7B46C254">
            <w:pPr>
              <w:keepNext w:val="0"/>
              <w:keepLines w:val="0"/>
              <w:widowControl/>
              <w:suppressLineNumbers w:val="0"/>
              <w:jc w:val="center"/>
              <w:textAlignment w:val="center"/>
              <w:rPr>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28</w:t>
            </w:r>
          </w:p>
        </w:tc>
      </w:tr>
      <w:tr w14:paraId="54CD4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6" w:hRule="atLeast"/>
        </w:trPr>
        <w:tc>
          <w:tcPr>
            <w:tcW w:w="789" w:type="dxa"/>
            <w:tcBorders>
              <w:top w:val="single" w:color="auto" w:sz="4" w:space="0"/>
              <w:left w:val="single" w:color="auto" w:sz="4" w:space="0"/>
              <w:bottom w:val="single" w:color="auto" w:sz="4" w:space="0"/>
              <w:right w:val="single" w:color="auto" w:sz="4" w:space="0"/>
            </w:tcBorders>
            <w:vAlign w:val="center"/>
          </w:tcPr>
          <w:p w14:paraId="1BE9001F">
            <w:pPr>
              <w:keepNext w:val="0"/>
              <w:keepLines w:val="0"/>
              <w:widowControl/>
              <w:suppressLineNumbers w:val="0"/>
              <w:jc w:val="center"/>
              <w:textAlignment w:val="center"/>
              <w:rPr>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577" w:type="dxa"/>
            <w:tcBorders>
              <w:top w:val="single" w:color="auto" w:sz="4" w:space="0"/>
              <w:left w:val="single" w:color="auto" w:sz="4" w:space="0"/>
              <w:bottom w:val="single" w:color="auto" w:sz="4" w:space="0"/>
              <w:right w:val="single" w:color="auto" w:sz="4" w:space="0"/>
            </w:tcBorders>
            <w:vAlign w:val="center"/>
          </w:tcPr>
          <w:p w14:paraId="2776EF94">
            <w:pPr>
              <w:keepNext w:val="0"/>
              <w:keepLines w:val="0"/>
              <w:widowControl/>
              <w:suppressLineNumbers w:val="0"/>
              <w:jc w:val="left"/>
              <w:textAlignment w:val="center"/>
              <w:rPr>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推拉米黄板</w:t>
            </w:r>
          </w:p>
        </w:tc>
        <w:tc>
          <w:tcPr>
            <w:tcW w:w="66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67CB07">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1.双层结构四块装与边框组合，电子产品居中放置。内层为固定书写板与电子产品正面平齐，外层为滑动书写板，滑动板配装刻有黑板品牌LOGO标识的挂锁，开闭自如确保电子产品的安全管理。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基本尺寸：≥4000mm×1305mm，根据实际尺寸确保与电子产品的有效配套。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2.板面：采用优质烤漆板面，米白色、亚光，厚度≥0.3mm，粗糙度为Ra1.6-3.2 um，光泽度≤6光泽单位，没有因黑板本身原因产生的眩光，书写流畅字迹清晰、板面表面附有一层透明保护膜。板面支持磁性材料吸附，方便教师展示教学素材。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 边框：工业用高强度铝合金型材，电泳香槟色，模具挤压一次成型，上框规格57mm×100mm，左右框规格29mm×100mm。，板托宽度≥30mm，板托与滑动系统分离，结构性解决滑轮受灰尘影响的滑动情况，与边框一次模具成形，可放置书写笔，方便实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 滑轮：上轨采用减震消音双组吊轮，滑轮使用高精度轴承，下轨采用双组滑块，数目各4组，上下均匀安装，推拉顺畅自如稳定性好。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5.背板：采用优质防锈热镀锌钢板，厚度≥0.25mm，流水线一次成型，间隔80mm压有20mm凹槽加强筋凹槽增加强度，更加耐用。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6.包角：采用抗老化高强度ABS工程塑料注塑成型。采用双壁成腔流线型设计，≥R25mm的圆角，正面带黑板品牌LOGO标识，无尖角毛刺。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7.安装：配装自制钢制安装件，规格95*50*60mm，隐形安装、没有外露的挂接件，符合GB 21027-20</w:t>
            </w:r>
            <w:r>
              <w:rPr>
                <w:rFonts w:hint="eastAsia" w:ascii="宋体" w:hAnsi="宋体" w:cs="宋体"/>
                <w:i w:val="0"/>
                <w:iCs w:val="0"/>
                <w:color w:val="000000"/>
                <w:kern w:val="0"/>
                <w:sz w:val="21"/>
                <w:szCs w:val="21"/>
                <w:highlight w:val="none"/>
                <w:u w:val="none"/>
                <w:lang w:val="en-US" w:eastAsia="zh-CN" w:bidi="ar"/>
              </w:rPr>
              <w:t>20</w:t>
            </w:r>
            <w:r>
              <w:rPr>
                <w:rFonts w:hint="eastAsia" w:ascii="宋体" w:hAnsi="宋体" w:eastAsia="宋体" w:cs="宋体"/>
                <w:i w:val="0"/>
                <w:iCs w:val="0"/>
                <w:color w:val="000000"/>
                <w:kern w:val="0"/>
                <w:sz w:val="21"/>
                <w:szCs w:val="21"/>
                <w:highlight w:val="none"/>
                <w:u w:val="none"/>
                <w:lang w:val="en-US" w:eastAsia="zh-CN" w:bidi="ar"/>
              </w:rPr>
              <w:t>《学生用品的安全通用要求》。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8.包装：采用环保型材料，符合国家产品包装要求，单套或双套纸箱独立包装，箱体印有制造商名称、LOGO标识、地址、服务热线等信息。</w:t>
            </w:r>
          </w:p>
        </w:tc>
        <w:tc>
          <w:tcPr>
            <w:tcW w:w="855" w:type="dxa"/>
            <w:tcBorders>
              <w:top w:val="single" w:color="auto" w:sz="4" w:space="0"/>
              <w:left w:val="single" w:color="auto" w:sz="4" w:space="0"/>
              <w:bottom w:val="single" w:color="auto" w:sz="4" w:space="0"/>
              <w:right w:val="single" w:color="auto" w:sz="4" w:space="0"/>
            </w:tcBorders>
            <w:vAlign w:val="center"/>
          </w:tcPr>
          <w:p w14:paraId="7FEC8B4D">
            <w:pPr>
              <w:keepNext w:val="0"/>
              <w:keepLines w:val="0"/>
              <w:widowControl/>
              <w:suppressLineNumbers w:val="0"/>
              <w:jc w:val="center"/>
              <w:textAlignment w:val="center"/>
              <w:rPr>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846" w:type="dxa"/>
            <w:tcBorders>
              <w:top w:val="single" w:color="auto" w:sz="4" w:space="0"/>
              <w:left w:val="single" w:color="auto" w:sz="4" w:space="0"/>
              <w:bottom w:val="single" w:color="auto" w:sz="4" w:space="0"/>
              <w:right w:val="single" w:color="auto" w:sz="4" w:space="0"/>
            </w:tcBorders>
            <w:vAlign w:val="center"/>
          </w:tcPr>
          <w:p w14:paraId="35DBD6FE">
            <w:pPr>
              <w:keepNext w:val="0"/>
              <w:keepLines w:val="0"/>
              <w:widowControl/>
              <w:suppressLineNumbers w:val="0"/>
              <w:jc w:val="center"/>
              <w:textAlignment w:val="center"/>
              <w:rPr>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28</w:t>
            </w:r>
          </w:p>
        </w:tc>
      </w:tr>
      <w:tr w14:paraId="79A0F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0695" w:type="dxa"/>
            <w:gridSpan w:val="5"/>
            <w:tcBorders>
              <w:top w:val="single" w:color="auto" w:sz="4" w:space="0"/>
              <w:left w:val="single" w:color="auto" w:sz="4" w:space="0"/>
              <w:bottom w:val="single" w:color="auto" w:sz="4" w:space="0"/>
              <w:right w:val="single" w:color="auto" w:sz="4" w:space="0"/>
            </w:tcBorders>
            <w:vAlign w:val="center"/>
          </w:tcPr>
          <w:p w14:paraId="4FAC3298">
            <w:pPr>
              <w:widowControl/>
              <w:adjustRightInd/>
              <w:spacing w:line="480" w:lineRule="exact"/>
              <w:jc w:val="center"/>
              <w:textAlignment w:val="center"/>
              <w:rPr>
                <w:rFonts w:cs="宋体" w:asciiTheme="minorEastAsia" w:hAnsiTheme="minorEastAsia" w:eastAsiaTheme="minorEastAsia"/>
                <w:bCs/>
                <w:color w:val="000000"/>
                <w:kern w:val="0"/>
                <w:sz w:val="28"/>
                <w:szCs w:val="28"/>
                <w:highlight w:val="none"/>
              </w:rPr>
            </w:pPr>
            <w:r>
              <w:rPr>
                <w:rFonts w:hint="eastAsia" w:cs="宋体"/>
                <w:highlight w:val="none"/>
              </w:rPr>
              <w:t>▲</w:t>
            </w:r>
            <w:r>
              <w:rPr>
                <w:rFonts w:hint="eastAsia" w:cs="宋体" w:asciiTheme="minorEastAsia" w:hAnsiTheme="minorEastAsia" w:eastAsiaTheme="minorEastAsia"/>
                <w:bCs/>
                <w:color w:val="000000"/>
                <w:kern w:val="0"/>
                <w:sz w:val="28"/>
                <w:szCs w:val="28"/>
                <w:highlight w:val="none"/>
              </w:rPr>
              <w:t>商务要求表</w:t>
            </w:r>
          </w:p>
        </w:tc>
      </w:tr>
      <w:tr w14:paraId="7A691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0695" w:type="dxa"/>
            <w:gridSpan w:val="5"/>
            <w:tcBorders>
              <w:top w:val="single" w:color="auto" w:sz="4" w:space="0"/>
              <w:left w:val="single" w:color="auto" w:sz="4" w:space="0"/>
              <w:bottom w:val="single" w:color="auto" w:sz="4" w:space="0"/>
              <w:right w:val="single" w:color="auto" w:sz="4" w:space="0"/>
            </w:tcBorders>
            <w:vAlign w:val="center"/>
          </w:tcPr>
          <w:p w14:paraId="705AF3EB">
            <w:pPr>
              <w:keepNext w:val="0"/>
              <w:keepLines w:val="0"/>
              <w:pageBreakBefore w:val="0"/>
              <w:widowControl/>
              <w:kinsoku/>
              <w:wordWrap/>
              <w:overflowPunct/>
              <w:topLinePunct w:val="0"/>
              <w:autoSpaceDE/>
              <w:autoSpaceDN/>
              <w:bidi w:val="0"/>
              <w:adjustRightInd/>
              <w:spacing w:line="420" w:lineRule="exact"/>
              <w:ind w:firstLine="480" w:firstLineChars="200"/>
              <w:textAlignment w:val="center"/>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一、交货（交付）时间：签订合同后 30 个日历日，如因</w:t>
            </w:r>
            <w:r>
              <w:rPr>
                <w:rFonts w:hint="eastAsia" w:ascii="宋体" w:hAnsi="宋体" w:cs="宋体"/>
                <w:bCs/>
                <w:color w:val="000000"/>
                <w:kern w:val="0"/>
                <w:sz w:val="24"/>
                <w:szCs w:val="24"/>
                <w:highlight w:val="none"/>
                <w:lang w:eastAsia="zh-CN"/>
              </w:rPr>
              <w:t>采购人</w:t>
            </w:r>
            <w:r>
              <w:rPr>
                <w:rFonts w:hint="eastAsia" w:ascii="宋体" w:hAnsi="宋体" w:eastAsia="宋体" w:cs="宋体"/>
                <w:bCs/>
                <w:color w:val="000000"/>
                <w:kern w:val="0"/>
                <w:sz w:val="24"/>
                <w:szCs w:val="24"/>
                <w:highlight w:val="none"/>
              </w:rPr>
              <w:t>及其他客观原因导致交付延期，不算作乙方违约，交付周期可视延期时间往后顺延。</w:t>
            </w:r>
          </w:p>
          <w:p w14:paraId="2DC50A06">
            <w:pPr>
              <w:keepNext w:val="0"/>
              <w:keepLines w:val="0"/>
              <w:pageBreakBefore w:val="0"/>
              <w:widowControl/>
              <w:kinsoku/>
              <w:wordWrap/>
              <w:overflowPunct/>
              <w:topLinePunct w:val="0"/>
              <w:autoSpaceDE/>
              <w:autoSpaceDN/>
              <w:bidi w:val="0"/>
              <w:adjustRightInd/>
              <w:spacing w:line="420" w:lineRule="exact"/>
              <w:ind w:firstLine="480" w:firstLineChars="200"/>
              <w:textAlignment w:val="center"/>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二、交货地点：采购人指定地点。</w:t>
            </w:r>
          </w:p>
          <w:p w14:paraId="7ADB0331">
            <w:pPr>
              <w:keepNext w:val="0"/>
              <w:keepLines w:val="0"/>
              <w:pageBreakBefore w:val="0"/>
              <w:widowControl/>
              <w:kinsoku/>
              <w:wordWrap/>
              <w:overflowPunct/>
              <w:topLinePunct w:val="0"/>
              <w:autoSpaceDE/>
              <w:autoSpaceDN/>
              <w:bidi w:val="0"/>
              <w:adjustRightInd/>
              <w:spacing w:line="420" w:lineRule="exact"/>
              <w:ind w:firstLine="480" w:firstLineChars="200"/>
              <w:textAlignment w:val="center"/>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三、付款时间和方式：</w:t>
            </w:r>
          </w:p>
          <w:p w14:paraId="2F1A6F96">
            <w:pPr>
              <w:keepNext w:val="0"/>
              <w:keepLines w:val="0"/>
              <w:pageBreakBefore w:val="0"/>
              <w:widowControl/>
              <w:kinsoku/>
              <w:wordWrap/>
              <w:overflowPunct/>
              <w:topLinePunct w:val="0"/>
              <w:autoSpaceDE/>
              <w:autoSpaceDN/>
              <w:bidi w:val="0"/>
              <w:adjustRightInd/>
              <w:spacing w:line="420" w:lineRule="exact"/>
              <w:ind w:firstLine="480" w:firstLineChars="200"/>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签订合同后30个日历日内预付中标合同金额的50％，项目验收合格后30个日历日内支付剩余中标合同金额50％。</w:t>
            </w:r>
          </w:p>
          <w:p w14:paraId="13E92BF7">
            <w:pPr>
              <w:keepNext w:val="0"/>
              <w:keepLines w:val="0"/>
              <w:pageBreakBefore w:val="0"/>
              <w:widowControl/>
              <w:kinsoku/>
              <w:wordWrap/>
              <w:overflowPunct/>
              <w:topLinePunct w:val="0"/>
              <w:autoSpaceDE/>
              <w:autoSpaceDN/>
              <w:bidi w:val="0"/>
              <w:adjustRightInd/>
              <w:spacing w:line="420" w:lineRule="exact"/>
              <w:ind w:firstLine="480" w:firstLineChars="200"/>
              <w:textAlignment w:val="center"/>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四、保修及服务要求：</w:t>
            </w:r>
          </w:p>
          <w:p w14:paraId="6EBB9073">
            <w:pPr>
              <w:keepNext w:val="0"/>
              <w:keepLines w:val="0"/>
              <w:pageBreakBefore w:val="0"/>
              <w:kinsoku/>
              <w:wordWrap/>
              <w:overflowPunct/>
              <w:topLinePunct w:val="0"/>
              <w:autoSpaceDE/>
              <w:autoSpaceDN/>
              <w:bidi w:val="0"/>
              <w:spacing w:line="420" w:lineRule="exact"/>
              <w:ind w:firstLine="480" w:firstLineChars="200"/>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免费送货上门、免费由技术人员现场安装、调试和技术指导，并在用户使用地免费培训操作人员掌握设备操作及日常维护。所供货物各项性能指标达到技术要求的，由供需双方共同签字认可，现场验收；并提供设备完整技术资料，技术资料包括技术规格和指标，各部件型号和参数清单，操作使用说明手册和注意事项。设备到货后，</w:t>
            </w:r>
            <w:r>
              <w:rPr>
                <w:rFonts w:hint="eastAsia" w:ascii="宋体" w:hAnsi="宋体" w:cs="宋体"/>
                <w:color w:val="000000"/>
                <w:sz w:val="24"/>
                <w:szCs w:val="24"/>
                <w:highlight w:val="none"/>
                <w:lang w:eastAsia="zh-CN"/>
              </w:rPr>
              <w:t>中标人</w:t>
            </w:r>
            <w:r>
              <w:rPr>
                <w:rFonts w:hint="eastAsia" w:ascii="宋体" w:hAnsi="宋体" w:eastAsia="宋体" w:cs="宋体"/>
                <w:color w:val="000000"/>
                <w:sz w:val="24"/>
                <w:szCs w:val="24"/>
                <w:highlight w:val="none"/>
              </w:rPr>
              <w:t>和</w:t>
            </w:r>
            <w:r>
              <w:rPr>
                <w:rFonts w:hint="eastAsia" w:ascii="宋体" w:hAnsi="宋体" w:cs="宋体"/>
                <w:color w:val="000000"/>
                <w:sz w:val="24"/>
                <w:szCs w:val="24"/>
                <w:highlight w:val="none"/>
                <w:lang w:eastAsia="zh-CN"/>
              </w:rPr>
              <w:t>采购人</w:t>
            </w:r>
            <w:r>
              <w:rPr>
                <w:rFonts w:hint="eastAsia" w:ascii="宋体" w:hAnsi="宋体" w:eastAsia="宋体" w:cs="宋体"/>
                <w:color w:val="000000"/>
                <w:sz w:val="24"/>
                <w:szCs w:val="24"/>
                <w:highlight w:val="none"/>
              </w:rPr>
              <w:t>应在现场进行清点。清点过程中如果发现因包装或运输不当引起的仪器外观或内部的损坏，</w:t>
            </w:r>
            <w:r>
              <w:rPr>
                <w:rFonts w:hint="eastAsia" w:ascii="宋体" w:hAnsi="宋体" w:cs="宋体"/>
                <w:color w:val="000000"/>
                <w:sz w:val="24"/>
                <w:szCs w:val="24"/>
                <w:highlight w:val="none"/>
                <w:lang w:eastAsia="zh-CN"/>
              </w:rPr>
              <w:t>中标人</w:t>
            </w:r>
            <w:r>
              <w:rPr>
                <w:rFonts w:hint="eastAsia" w:ascii="宋体" w:hAnsi="宋体" w:eastAsia="宋体" w:cs="宋体"/>
                <w:color w:val="000000"/>
                <w:sz w:val="24"/>
                <w:szCs w:val="24"/>
                <w:highlight w:val="none"/>
              </w:rPr>
              <w:t>应承担所有责任。</w:t>
            </w:r>
          </w:p>
          <w:p w14:paraId="6C4DD05C">
            <w:pPr>
              <w:keepNext w:val="0"/>
              <w:keepLines w:val="0"/>
              <w:pageBreakBefore w:val="0"/>
              <w:kinsoku/>
              <w:wordWrap/>
              <w:overflowPunct/>
              <w:topLinePunct w:val="0"/>
              <w:autoSpaceDE/>
              <w:autoSpaceDN/>
              <w:bidi w:val="0"/>
              <w:spacing w:line="420" w:lineRule="exact"/>
              <w:ind w:firstLine="480" w:firstLineChars="200"/>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2.维修响应：</w:t>
            </w:r>
            <w:r>
              <w:rPr>
                <w:rFonts w:hint="eastAsia" w:ascii="宋体" w:hAnsi="宋体" w:eastAsia="宋体" w:cs="宋体"/>
                <w:color w:val="000000"/>
                <w:sz w:val="24"/>
                <w:szCs w:val="24"/>
                <w:highlight w:val="none"/>
                <w:lang w:eastAsia="zh-CN"/>
              </w:rPr>
              <w:t>中标人</w:t>
            </w:r>
            <w:r>
              <w:rPr>
                <w:rFonts w:hint="eastAsia" w:ascii="宋体" w:hAnsi="宋体" w:eastAsia="宋体" w:cs="宋体"/>
                <w:color w:val="000000"/>
                <w:sz w:val="24"/>
                <w:szCs w:val="24"/>
                <w:highlight w:val="none"/>
              </w:rPr>
              <w:t>在接到用户维修电话后 4 小时内响应，12 小时内到达现场修理解决，并免费更换有缺陷的货物或零部件，24小时内恢复正常使用，若不能修复则应有合理应对方案。定期回访，对设备进行预防性维护指导。</w:t>
            </w:r>
          </w:p>
          <w:p w14:paraId="4C6A3C9A">
            <w:pPr>
              <w:keepNext w:val="0"/>
              <w:keepLines w:val="0"/>
              <w:pageBreakBefore w:val="0"/>
              <w:kinsoku/>
              <w:wordWrap/>
              <w:overflowPunct/>
              <w:topLinePunct w:val="0"/>
              <w:autoSpaceDE/>
              <w:autoSpaceDN/>
              <w:bidi w:val="0"/>
              <w:spacing w:line="420" w:lineRule="exact"/>
              <w:ind w:firstLine="480" w:firstLineChars="200"/>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eastAsia="zh-CN"/>
              </w:rPr>
              <w:t>中标人</w:t>
            </w:r>
            <w:r>
              <w:rPr>
                <w:rFonts w:hint="eastAsia" w:ascii="宋体" w:hAnsi="宋体" w:eastAsia="宋体" w:cs="宋体"/>
                <w:color w:val="000000"/>
                <w:sz w:val="24"/>
                <w:szCs w:val="24"/>
                <w:highlight w:val="none"/>
              </w:rPr>
              <w:t>除承担运输、安装、调试、验收与培训等义务外，还</w:t>
            </w:r>
            <w:r>
              <w:rPr>
                <w:rFonts w:hint="eastAsia" w:ascii="宋体" w:hAnsi="宋体" w:cs="宋体"/>
                <w:color w:val="000000"/>
                <w:sz w:val="24"/>
                <w:szCs w:val="24"/>
                <w:highlight w:val="none"/>
                <w:lang w:eastAsia="zh-CN"/>
              </w:rPr>
              <w:t>须</w:t>
            </w:r>
            <w:r>
              <w:rPr>
                <w:rFonts w:hint="eastAsia" w:ascii="宋体" w:hAnsi="宋体" w:eastAsia="宋体" w:cs="宋体"/>
                <w:color w:val="000000"/>
                <w:sz w:val="24"/>
                <w:szCs w:val="24"/>
                <w:highlight w:val="none"/>
              </w:rPr>
              <w:t>为</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 xml:space="preserve">提供免费技术支持，包括保修期外的修理及技术指导、配件供应等。 </w:t>
            </w:r>
          </w:p>
          <w:p w14:paraId="45961990">
            <w:pPr>
              <w:keepNext w:val="0"/>
              <w:keepLines w:val="0"/>
              <w:pageBreakBefore w:val="0"/>
              <w:kinsoku/>
              <w:wordWrap/>
              <w:overflowPunct/>
              <w:topLinePunct w:val="0"/>
              <w:autoSpaceDE/>
              <w:autoSpaceDN/>
              <w:bidi w:val="0"/>
              <w:spacing w:line="420" w:lineRule="exact"/>
              <w:ind w:firstLine="480" w:firstLineChars="200"/>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质量保证期：质保期不少于一年（若厂家免费质保期超过一年的，按厂家规定执行），质保期自双方代表在系统及设备安装调试后的验收证明文件上签字之日起计算，质保期内，按国家有关产品“三包”规定执行“三包”。</w:t>
            </w:r>
          </w:p>
          <w:p w14:paraId="04CA552C">
            <w:pPr>
              <w:keepNext w:val="0"/>
              <w:keepLines w:val="0"/>
              <w:pageBreakBefore w:val="0"/>
              <w:widowControl/>
              <w:kinsoku/>
              <w:wordWrap/>
              <w:overflowPunct/>
              <w:topLinePunct w:val="0"/>
              <w:autoSpaceDE/>
              <w:autoSpaceDN/>
              <w:bidi w:val="0"/>
              <w:snapToGrid w:val="0"/>
              <w:spacing w:line="420" w:lineRule="exact"/>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五、质量要求：</w:t>
            </w:r>
          </w:p>
          <w:p w14:paraId="15BA58F3">
            <w:pPr>
              <w:keepNext w:val="0"/>
              <w:keepLines w:val="0"/>
              <w:pageBreakBefore w:val="0"/>
              <w:widowControl/>
              <w:kinsoku/>
              <w:wordWrap/>
              <w:overflowPunct/>
              <w:topLinePunct w:val="0"/>
              <w:autoSpaceDE/>
              <w:autoSpaceDN/>
              <w:bidi w:val="0"/>
              <w:snapToGrid w:val="0"/>
              <w:spacing w:line="420" w:lineRule="exact"/>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1.货物必须是全新合格产品，产品质量符合国家相关标准及安全规范；</w:t>
            </w:r>
          </w:p>
          <w:p w14:paraId="1FE4AC4E">
            <w:pPr>
              <w:keepNext w:val="0"/>
              <w:keepLines w:val="0"/>
              <w:pageBreakBefore w:val="0"/>
              <w:widowControl/>
              <w:kinsoku/>
              <w:wordWrap/>
              <w:overflowPunct/>
              <w:topLinePunct w:val="0"/>
              <w:autoSpaceDE/>
              <w:autoSpaceDN/>
              <w:bidi w:val="0"/>
              <w:snapToGrid w:val="0"/>
              <w:spacing w:line="420" w:lineRule="exact"/>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2.供应商须按国家有关规定实行“三包”，免费送货上门。提供现场免费安装、调试设备，进行操作试验，直至运行正常；</w:t>
            </w:r>
          </w:p>
          <w:p w14:paraId="105DFAEE">
            <w:pPr>
              <w:keepNext w:val="0"/>
              <w:keepLines w:val="0"/>
              <w:pageBreakBefore w:val="0"/>
              <w:widowControl/>
              <w:kinsoku/>
              <w:wordWrap/>
              <w:overflowPunct/>
              <w:topLinePunct w:val="0"/>
              <w:autoSpaceDE/>
              <w:autoSpaceDN/>
              <w:bidi w:val="0"/>
              <w:snapToGrid w:val="0"/>
              <w:spacing w:line="420" w:lineRule="exact"/>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eastAsia="zh-CN"/>
              </w:rPr>
              <w:t>采购人</w:t>
            </w:r>
            <w:r>
              <w:rPr>
                <w:rFonts w:hint="eastAsia" w:ascii="宋体" w:hAnsi="宋体" w:eastAsia="宋体" w:cs="宋体"/>
                <w:kern w:val="0"/>
                <w:sz w:val="24"/>
                <w:szCs w:val="24"/>
                <w:highlight w:val="none"/>
              </w:rPr>
              <w:t>对供应商所交货物依照采购文件上的技术规格要求和国家有关标准进行现场验收，性能达到技术要求的，给予签收。验收不合格的不予签收，后果由供货方负责。</w:t>
            </w:r>
          </w:p>
          <w:p w14:paraId="784469CD">
            <w:pPr>
              <w:keepNext w:val="0"/>
              <w:keepLines w:val="0"/>
              <w:pageBreakBefore w:val="0"/>
              <w:kinsoku/>
              <w:wordWrap/>
              <w:overflowPunct/>
              <w:topLinePunct w:val="0"/>
              <w:autoSpaceDE/>
              <w:autoSpaceDN/>
              <w:bidi w:val="0"/>
              <w:spacing w:line="420" w:lineRule="exact"/>
              <w:ind w:firstLine="480" w:firstLineChars="200"/>
              <w:jc w:val="left"/>
              <w:textAlignment w:val="center"/>
              <w:rPr>
                <w:rFonts w:hint="eastAsia" w:ascii="宋体" w:hAnsi="宋体" w:eastAsia="宋体" w:cs="宋体"/>
                <w:bCs/>
                <w:color w:val="000000"/>
                <w:kern w:val="0"/>
                <w:sz w:val="24"/>
                <w:szCs w:val="24"/>
                <w:highlight w:val="none"/>
              </w:rPr>
            </w:pPr>
          </w:p>
        </w:tc>
      </w:tr>
    </w:tbl>
    <w:p w14:paraId="38F39E47">
      <w:pPr>
        <w:pStyle w:val="82"/>
        <w:rPr>
          <w:highlight w:val="none"/>
        </w:rPr>
      </w:pPr>
    </w:p>
    <w:p w14:paraId="13A7F2F8">
      <w:pPr>
        <w:adjustRightInd/>
        <w:spacing w:before="25" w:after="25"/>
        <w:jc w:val="left"/>
        <w:rPr>
          <w:rFonts w:ascii="宋体" w:hAnsi="宋体" w:cs="宋体"/>
          <w:bCs/>
          <w:spacing w:val="10"/>
          <w:kern w:val="0"/>
          <w:sz w:val="24"/>
          <w:highlight w:val="none"/>
        </w:rPr>
        <w:sectPr>
          <w:pgSz w:w="11906" w:h="16838"/>
          <w:pgMar w:top="1247" w:right="849" w:bottom="1247" w:left="1418" w:header="851" w:footer="992" w:gutter="0"/>
          <w:cols w:space="720" w:num="1"/>
          <w:titlePg/>
          <w:docGrid w:type="lines" w:linePitch="312" w:charSpace="0"/>
        </w:sectPr>
      </w:pPr>
    </w:p>
    <w:p w14:paraId="0B474414">
      <w:pPr>
        <w:spacing w:line="360" w:lineRule="auto"/>
        <w:jc w:val="center"/>
        <w:outlineLvl w:val="0"/>
        <w:rPr>
          <w:rFonts w:hint="eastAsia" w:ascii="宋体" w:hAnsi="宋体" w:cs="宋体"/>
          <w:b/>
          <w:sz w:val="36"/>
          <w:szCs w:val="36"/>
          <w:highlight w:val="none"/>
        </w:rPr>
      </w:pPr>
      <w:bookmarkStart w:id="48" w:name="_Toc176343851"/>
      <w:bookmarkStart w:id="49" w:name="_Toc176185122"/>
    </w:p>
    <w:p w14:paraId="1572D856">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 xml:space="preserve">第四部分  </w:t>
      </w:r>
      <w:bookmarkStart w:id="50" w:name="_Toc184314456"/>
      <w:bookmarkEnd w:id="50"/>
      <w:bookmarkStart w:id="51" w:name="_Toc184313279"/>
      <w:bookmarkEnd w:id="51"/>
      <w:bookmarkStart w:id="52" w:name="_Toc184308053"/>
      <w:bookmarkEnd w:id="52"/>
      <w:bookmarkStart w:id="53" w:name="_Toc184314410"/>
      <w:bookmarkEnd w:id="53"/>
      <w:bookmarkStart w:id="54" w:name="_Toc184310316"/>
      <w:bookmarkEnd w:id="54"/>
      <w:bookmarkStart w:id="55" w:name="_Toc184310277"/>
      <w:bookmarkEnd w:id="55"/>
      <w:bookmarkStart w:id="56" w:name="_Toc184310282"/>
      <w:bookmarkEnd w:id="56"/>
      <w:bookmarkStart w:id="57" w:name="_Toc184313305"/>
      <w:bookmarkEnd w:id="57"/>
      <w:bookmarkStart w:id="58" w:name="_Toc184310338"/>
      <w:bookmarkEnd w:id="58"/>
      <w:bookmarkStart w:id="59" w:name="_Toc184313307"/>
      <w:bookmarkEnd w:id="59"/>
      <w:bookmarkStart w:id="60" w:name="_Toc184314478"/>
      <w:bookmarkEnd w:id="60"/>
      <w:bookmarkStart w:id="61" w:name="_Toc184310292"/>
      <w:bookmarkEnd w:id="61"/>
      <w:bookmarkStart w:id="62" w:name="_Toc184312080"/>
      <w:bookmarkEnd w:id="62"/>
      <w:bookmarkStart w:id="63" w:name="_Toc184310312"/>
      <w:bookmarkEnd w:id="63"/>
      <w:bookmarkStart w:id="64" w:name="_Toc184314457"/>
      <w:bookmarkEnd w:id="64"/>
      <w:bookmarkStart w:id="65" w:name="_Toc184308082"/>
      <w:bookmarkEnd w:id="65"/>
      <w:bookmarkStart w:id="66" w:name="_Toc184308062"/>
      <w:bookmarkEnd w:id="66"/>
      <w:bookmarkStart w:id="67" w:name="_Toc184312089"/>
      <w:bookmarkEnd w:id="67"/>
      <w:bookmarkStart w:id="68" w:name="_Toc184313249"/>
      <w:bookmarkEnd w:id="68"/>
      <w:bookmarkStart w:id="69" w:name="_Toc184314472"/>
      <w:bookmarkEnd w:id="69"/>
      <w:bookmarkStart w:id="70" w:name="_Toc184308080"/>
      <w:bookmarkEnd w:id="70"/>
      <w:bookmarkStart w:id="71" w:name="_Toc184314441"/>
      <w:bookmarkEnd w:id="71"/>
      <w:bookmarkStart w:id="72" w:name="_Toc184314473"/>
      <w:bookmarkEnd w:id="72"/>
      <w:bookmarkStart w:id="73" w:name="_Toc184313265"/>
      <w:bookmarkEnd w:id="73"/>
      <w:bookmarkStart w:id="74" w:name="_Toc184310320"/>
      <w:bookmarkEnd w:id="74"/>
      <w:bookmarkStart w:id="75" w:name="_Toc184313291"/>
      <w:bookmarkEnd w:id="75"/>
      <w:bookmarkStart w:id="76" w:name="_Toc184310303"/>
      <w:bookmarkEnd w:id="76"/>
      <w:bookmarkStart w:id="77" w:name="_Toc184310295"/>
      <w:bookmarkEnd w:id="77"/>
      <w:bookmarkStart w:id="78" w:name="_Toc184308096"/>
      <w:bookmarkEnd w:id="78"/>
      <w:bookmarkStart w:id="79" w:name="_Toc184308097"/>
      <w:bookmarkEnd w:id="79"/>
      <w:bookmarkStart w:id="80" w:name="_Toc184310274"/>
      <w:bookmarkEnd w:id="80"/>
      <w:bookmarkStart w:id="81" w:name="_Toc184314461"/>
      <w:bookmarkEnd w:id="81"/>
      <w:bookmarkStart w:id="82" w:name="_Toc184314436"/>
      <w:bookmarkEnd w:id="82"/>
      <w:bookmarkStart w:id="83" w:name="_Toc184308049"/>
      <w:bookmarkEnd w:id="83"/>
      <w:bookmarkStart w:id="84" w:name="_Toc184313301"/>
      <w:bookmarkEnd w:id="84"/>
      <w:bookmarkStart w:id="85" w:name="_Toc184312075"/>
      <w:bookmarkEnd w:id="85"/>
      <w:bookmarkStart w:id="86" w:name="_Toc184310334"/>
      <w:bookmarkEnd w:id="86"/>
      <w:bookmarkStart w:id="87" w:name="_Toc184312122"/>
      <w:bookmarkEnd w:id="87"/>
      <w:bookmarkStart w:id="88" w:name="_Toc184314449"/>
      <w:bookmarkEnd w:id="88"/>
      <w:bookmarkStart w:id="89" w:name="_Toc184313288"/>
      <w:bookmarkEnd w:id="89"/>
      <w:bookmarkStart w:id="90" w:name="_Toc184310341"/>
      <w:bookmarkEnd w:id="90"/>
      <w:bookmarkStart w:id="91" w:name="_Toc184313240"/>
      <w:bookmarkEnd w:id="91"/>
      <w:bookmarkStart w:id="92" w:name="_Toc184314459"/>
      <w:bookmarkEnd w:id="92"/>
      <w:bookmarkStart w:id="93" w:name="_Toc184314427"/>
      <w:bookmarkEnd w:id="93"/>
      <w:bookmarkStart w:id="94" w:name="_Toc184314423"/>
      <w:bookmarkEnd w:id="94"/>
      <w:bookmarkStart w:id="95" w:name="_Toc184310290"/>
      <w:bookmarkEnd w:id="95"/>
      <w:bookmarkStart w:id="96" w:name="_Toc184308046"/>
      <w:bookmarkEnd w:id="96"/>
      <w:bookmarkStart w:id="97" w:name="_Toc184310275"/>
      <w:bookmarkEnd w:id="97"/>
      <w:bookmarkStart w:id="98" w:name="_Toc184313241"/>
      <w:bookmarkEnd w:id="98"/>
      <w:bookmarkStart w:id="99" w:name="_Toc184308084"/>
      <w:bookmarkEnd w:id="99"/>
      <w:bookmarkStart w:id="100" w:name="_Toc184314458"/>
      <w:bookmarkEnd w:id="100"/>
      <w:bookmarkStart w:id="101" w:name="_Toc184314437"/>
      <w:bookmarkEnd w:id="101"/>
      <w:bookmarkStart w:id="102" w:name="_Toc184312121"/>
      <w:bookmarkEnd w:id="102"/>
      <w:bookmarkStart w:id="103" w:name="_Toc184308108"/>
      <w:bookmarkEnd w:id="103"/>
      <w:bookmarkStart w:id="104" w:name="_Toc184313264"/>
      <w:bookmarkEnd w:id="104"/>
      <w:bookmarkStart w:id="105" w:name="_Toc184314463"/>
      <w:bookmarkEnd w:id="105"/>
      <w:bookmarkStart w:id="106" w:name="_Toc184310311"/>
      <w:bookmarkEnd w:id="106"/>
      <w:bookmarkStart w:id="107" w:name="_Toc184313273"/>
      <w:bookmarkEnd w:id="107"/>
      <w:bookmarkStart w:id="108" w:name="_Toc184312085"/>
      <w:bookmarkEnd w:id="108"/>
      <w:bookmarkStart w:id="109" w:name="_Toc184310337"/>
      <w:bookmarkEnd w:id="109"/>
      <w:bookmarkStart w:id="110" w:name="_Toc184310342"/>
      <w:bookmarkEnd w:id="110"/>
      <w:bookmarkStart w:id="111" w:name="_Toc184314438"/>
      <w:bookmarkEnd w:id="111"/>
      <w:bookmarkStart w:id="112" w:name="_Toc184312071"/>
      <w:bookmarkEnd w:id="112"/>
      <w:bookmarkStart w:id="113" w:name="_Toc184314420"/>
      <w:bookmarkEnd w:id="113"/>
      <w:bookmarkStart w:id="114" w:name="_Toc184314453"/>
      <w:bookmarkEnd w:id="114"/>
      <w:bookmarkStart w:id="115" w:name="_Toc184310306"/>
      <w:bookmarkEnd w:id="115"/>
      <w:bookmarkStart w:id="116" w:name="_Toc184308038"/>
      <w:bookmarkEnd w:id="116"/>
      <w:bookmarkStart w:id="117" w:name="_Toc184314417"/>
      <w:bookmarkEnd w:id="117"/>
      <w:bookmarkStart w:id="118" w:name="_Toc184313254"/>
      <w:bookmarkEnd w:id="118"/>
      <w:bookmarkStart w:id="119" w:name="_Toc184312073"/>
      <w:bookmarkEnd w:id="119"/>
      <w:bookmarkStart w:id="120" w:name="_Toc184312129"/>
      <w:bookmarkEnd w:id="120"/>
      <w:bookmarkStart w:id="121" w:name="_Toc184314432"/>
      <w:bookmarkEnd w:id="121"/>
      <w:bookmarkStart w:id="122" w:name="_Toc184310301"/>
      <w:bookmarkEnd w:id="122"/>
      <w:bookmarkStart w:id="123" w:name="_Toc184310293"/>
      <w:bookmarkEnd w:id="123"/>
      <w:bookmarkStart w:id="124" w:name="_Toc184308066"/>
      <w:bookmarkEnd w:id="124"/>
      <w:bookmarkStart w:id="125" w:name="_Toc184312102"/>
      <w:bookmarkEnd w:id="125"/>
      <w:bookmarkStart w:id="126" w:name="_Toc184310326"/>
      <w:bookmarkEnd w:id="126"/>
      <w:bookmarkStart w:id="127" w:name="_Toc184313300"/>
      <w:bookmarkEnd w:id="127"/>
      <w:bookmarkStart w:id="128" w:name="_Toc184312077"/>
      <w:bookmarkEnd w:id="128"/>
      <w:bookmarkStart w:id="129" w:name="_Toc184310314"/>
      <w:bookmarkEnd w:id="129"/>
      <w:bookmarkStart w:id="130" w:name="_Toc184310335"/>
      <w:bookmarkEnd w:id="130"/>
      <w:bookmarkStart w:id="131" w:name="_Toc184308081"/>
      <w:bookmarkEnd w:id="131"/>
      <w:bookmarkStart w:id="132" w:name="_Toc184313238"/>
      <w:bookmarkEnd w:id="132"/>
      <w:bookmarkStart w:id="133" w:name="_Toc184310333"/>
      <w:bookmarkEnd w:id="133"/>
      <w:bookmarkStart w:id="134" w:name="_Toc184312123"/>
      <w:bookmarkEnd w:id="134"/>
      <w:bookmarkStart w:id="135" w:name="_Toc184310321"/>
      <w:bookmarkEnd w:id="135"/>
      <w:bookmarkStart w:id="136" w:name="_Toc184314430"/>
      <w:bookmarkEnd w:id="136"/>
      <w:bookmarkStart w:id="137" w:name="_Toc184308086"/>
      <w:bookmarkEnd w:id="137"/>
      <w:bookmarkStart w:id="138" w:name="_Toc184308045"/>
      <w:bookmarkEnd w:id="138"/>
      <w:bookmarkStart w:id="139" w:name="_Toc184310283"/>
      <w:bookmarkEnd w:id="139"/>
      <w:bookmarkStart w:id="140" w:name="_Toc184314416"/>
      <w:bookmarkEnd w:id="140"/>
      <w:bookmarkStart w:id="141" w:name="_Toc184314414"/>
      <w:bookmarkEnd w:id="141"/>
      <w:bookmarkStart w:id="142" w:name="_Toc184312067"/>
      <w:bookmarkEnd w:id="142"/>
      <w:bookmarkStart w:id="143" w:name="_Toc184312092"/>
      <w:bookmarkEnd w:id="143"/>
      <w:bookmarkStart w:id="144" w:name="_Toc184314418"/>
      <w:bookmarkEnd w:id="144"/>
      <w:bookmarkStart w:id="145" w:name="_Toc184314440"/>
      <w:bookmarkEnd w:id="145"/>
      <w:bookmarkStart w:id="146" w:name="_Toc184310296"/>
      <w:bookmarkEnd w:id="146"/>
      <w:bookmarkStart w:id="147" w:name="_Toc184314428"/>
      <w:bookmarkEnd w:id="147"/>
      <w:bookmarkStart w:id="148" w:name="_Toc184310289"/>
      <w:bookmarkEnd w:id="148"/>
      <w:bookmarkStart w:id="149" w:name="_Toc184314447"/>
      <w:bookmarkEnd w:id="149"/>
      <w:bookmarkStart w:id="150" w:name="_Toc184312084"/>
      <w:bookmarkEnd w:id="150"/>
      <w:bookmarkStart w:id="151" w:name="_Toc184308064"/>
      <w:bookmarkEnd w:id="151"/>
      <w:bookmarkStart w:id="152" w:name="_Toc184308048"/>
      <w:bookmarkEnd w:id="152"/>
      <w:bookmarkStart w:id="153" w:name="_Toc184310288"/>
      <w:bookmarkEnd w:id="153"/>
      <w:bookmarkStart w:id="154" w:name="_Toc184310298"/>
      <w:bookmarkEnd w:id="154"/>
      <w:bookmarkStart w:id="155" w:name="_Toc184313271"/>
      <w:bookmarkEnd w:id="155"/>
      <w:bookmarkStart w:id="156" w:name="_Toc184312133"/>
      <w:bookmarkEnd w:id="156"/>
      <w:bookmarkStart w:id="157" w:name="_Toc184310280"/>
      <w:bookmarkEnd w:id="157"/>
      <w:bookmarkStart w:id="158" w:name="_Toc184313298"/>
      <w:bookmarkEnd w:id="158"/>
      <w:bookmarkStart w:id="159" w:name="_Toc184310336"/>
      <w:bookmarkEnd w:id="159"/>
      <w:bookmarkStart w:id="160" w:name="_Toc184314476"/>
      <w:bookmarkEnd w:id="160"/>
      <w:bookmarkStart w:id="161" w:name="_Toc184313290"/>
      <w:bookmarkEnd w:id="161"/>
      <w:bookmarkStart w:id="162" w:name="_Toc184310325"/>
      <w:bookmarkEnd w:id="162"/>
      <w:bookmarkStart w:id="163" w:name="_Toc184314465"/>
      <w:bookmarkEnd w:id="163"/>
      <w:bookmarkStart w:id="164" w:name="_Toc184312107"/>
      <w:bookmarkEnd w:id="164"/>
      <w:bookmarkStart w:id="165" w:name="_Toc184312130"/>
      <w:bookmarkEnd w:id="165"/>
      <w:bookmarkStart w:id="166" w:name="_Toc184312116"/>
      <w:bookmarkEnd w:id="166"/>
      <w:bookmarkStart w:id="167" w:name="_Toc184308036"/>
      <w:bookmarkEnd w:id="167"/>
      <w:bookmarkStart w:id="168" w:name="_Toc184314446"/>
      <w:bookmarkEnd w:id="168"/>
      <w:bookmarkStart w:id="169" w:name="_Toc184308051"/>
      <w:bookmarkEnd w:id="169"/>
      <w:bookmarkStart w:id="170" w:name="_Toc184310300"/>
      <w:bookmarkEnd w:id="170"/>
      <w:bookmarkStart w:id="171" w:name="_Toc184310279"/>
      <w:bookmarkEnd w:id="171"/>
      <w:bookmarkStart w:id="172" w:name="_Toc184312069"/>
      <w:bookmarkEnd w:id="172"/>
      <w:bookmarkStart w:id="173" w:name="_Toc184313263"/>
      <w:bookmarkEnd w:id="173"/>
      <w:bookmarkStart w:id="174" w:name="_Toc184308052"/>
      <w:bookmarkEnd w:id="174"/>
      <w:bookmarkStart w:id="175" w:name="_Toc184313256"/>
      <w:bookmarkEnd w:id="175"/>
      <w:bookmarkStart w:id="176" w:name="_Toc184308060"/>
      <w:bookmarkEnd w:id="176"/>
      <w:bookmarkStart w:id="177" w:name="_Toc184310307"/>
      <w:bookmarkEnd w:id="177"/>
      <w:bookmarkStart w:id="178" w:name="_Toc184313277"/>
      <w:bookmarkEnd w:id="178"/>
      <w:bookmarkStart w:id="179" w:name="_Toc184314460"/>
      <w:bookmarkEnd w:id="179"/>
      <w:bookmarkStart w:id="180" w:name="_Toc184312126"/>
      <w:bookmarkEnd w:id="180"/>
      <w:bookmarkStart w:id="181" w:name="_Toc184310315"/>
      <w:bookmarkEnd w:id="181"/>
      <w:bookmarkStart w:id="182" w:name="_Toc184308063"/>
      <w:bookmarkEnd w:id="182"/>
      <w:bookmarkStart w:id="183" w:name="_Toc184313289"/>
      <w:bookmarkEnd w:id="183"/>
      <w:bookmarkStart w:id="184" w:name="_Toc184308076"/>
      <w:bookmarkEnd w:id="184"/>
      <w:bookmarkStart w:id="185" w:name="_Toc184314467"/>
      <w:bookmarkEnd w:id="185"/>
      <w:bookmarkStart w:id="186" w:name="_Toc184310327"/>
      <w:bookmarkEnd w:id="186"/>
      <w:bookmarkStart w:id="187" w:name="_Toc184310323"/>
      <w:bookmarkEnd w:id="187"/>
      <w:bookmarkStart w:id="188" w:name="_Toc184308037"/>
      <w:bookmarkEnd w:id="188"/>
      <w:bookmarkStart w:id="189" w:name="_Toc184314413"/>
      <w:bookmarkEnd w:id="189"/>
      <w:bookmarkStart w:id="190" w:name="_Toc184313276"/>
      <w:bookmarkEnd w:id="190"/>
      <w:bookmarkStart w:id="191" w:name="_Toc184313253"/>
      <w:bookmarkEnd w:id="191"/>
      <w:bookmarkStart w:id="192" w:name="_Toc184312136"/>
      <w:bookmarkEnd w:id="192"/>
      <w:bookmarkStart w:id="193" w:name="_Toc184310304"/>
      <w:bookmarkEnd w:id="193"/>
      <w:bookmarkStart w:id="194" w:name="_Toc184308054"/>
      <w:bookmarkEnd w:id="194"/>
      <w:bookmarkStart w:id="195" w:name="_Toc184313278"/>
      <w:bookmarkEnd w:id="195"/>
      <w:bookmarkStart w:id="196" w:name="_Toc184312096"/>
      <w:bookmarkEnd w:id="196"/>
      <w:bookmarkStart w:id="197" w:name="_Toc184308047"/>
      <w:bookmarkEnd w:id="197"/>
      <w:bookmarkStart w:id="198" w:name="_Toc184312131"/>
      <w:bookmarkEnd w:id="198"/>
      <w:bookmarkStart w:id="199" w:name="_Toc184308099"/>
      <w:bookmarkEnd w:id="199"/>
      <w:bookmarkStart w:id="200" w:name="_Toc184308078"/>
      <w:bookmarkEnd w:id="200"/>
      <w:bookmarkStart w:id="201" w:name="_Toc184308058"/>
      <w:bookmarkEnd w:id="201"/>
      <w:bookmarkStart w:id="202" w:name="_Toc184308073"/>
      <w:bookmarkEnd w:id="202"/>
      <w:bookmarkStart w:id="203" w:name="_Toc184313247"/>
      <w:bookmarkEnd w:id="203"/>
      <w:bookmarkStart w:id="204" w:name="_Toc184313251"/>
      <w:bookmarkEnd w:id="204"/>
      <w:bookmarkStart w:id="205" w:name="_Toc184314454"/>
      <w:bookmarkEnd w:id="205"/>
      <w:bookmarkStart w:id="206" w:name="_Toc184312076"/>
      <w:bookmarkEnd w:id="206"/>
      <w:bookmarkStart w:id="207" w:name="_Toc184312137"/>
      <w:bookmarkEnd w:id="207"/>
      <w:bookmarkStart w:id="208" w:name="_Toc184314475"/>
      <w:bookmarkEnd w:id="208"/>
      <w:bookmarkStart w:id="209" w:name="_Toc184308087"/>
      <w:bookmarkEnd w:id="209"/>
      <w:bookmarkStart w:id="210" w:name="_Toc184313294"/>
      <w:bookmarkEnd w:id="210"/>
      <w:bookmarkStart w:id="211" w:name="_Toc184310344"/>
      <w:bookmarkEnd w:id="211"/>
      <w:bookmarkStart w:id="212" w:name="_Toc184314415"/>
      <w:bookmarkEnd w:id="212"/>
      <w:bookmarkStart w:id="213" w:name="_Toc184313262"/>
      <w:bookmarkEnd w:id="213"/>
      <w:bookmarkStart w:id="214" w:name="_Toc184308089"/>
      <w:bookmarkEnd w:id="214"/>
      <w:bookmarkStart w:id="215" w:name="_Toc184313295"/>
      <w:bookmarkEnd w:id="215"/>
      <w:bookmarkStart w:id="216" w:name="_Toc184308041"/>
      <w:bookmarkEnd w:id="216"/>
      <w:bookmarkStart w:id="217" w:name="_Toc184312127"/>
      <w:bookmarkEnd w:id="217"/>
      <w:bookmarkStart w:id="218" w:name="_Toc184312093"/>
      <w:bookmarkEnd w:id="218"/>
      <w:bookmarkStart w:id="219" w:name="_Toc184310319"/>
      <w:bookmarkEnd w:id="219"/>
      <w:bookmarkStart w:id="220" w:name="_Toc184312086"/>
      <w:bookmarkEnd w:id="220"/>
      <w:bookmarkStart w:id="221" w:name="_Toc184312081"/>
      <w:bookmarkEnd w:id="221"/>
      <w:bookmarkStart w:id="222" w:name="_Toc184314448"/>
      <w:bookmarkEnd w:id="222"/>
      <w:bookmarkStart w:id="223" w:name="_Toc184314482"/>
      <w:bookmarkEnd w:id="223"/>
      <w:bookmarkStart w:id="224" w:name="_Toc184314425"/>
      <w:bookmarkEnd w:id="224"/>
      <w:bookmarkStart w:id="225" w:name="_Toc184314450"/>
      <w:bookmarkEnd w:id="225"/>
      <w:bookmarkStart w:id="226" w:name="_Toc184313270"/>
      <w:bookmarkEnd w:id="226"/>
      <w:bookmarkStart w:id="227" w:name="_Toc184310294"/>
      <w:bookmarkEnd w:id="227"/>
      <w:bookmarkStart w:id="228" w:name="_Toc184310278"/>
      <w:bookmarkEnd w:id="228"/>
      <w:bookmarkStart w:id="229" w:name="_Toc184314466"/>
      <w:bookmarkEnd w:id="229"/>
      <w:bookmarkStart w:id="230" w:name="_Toc184312113"/>
      <w:bookmarkEnd w:id="230"/>
      <w:bookmarkStart w:id="231" w:name="_Toc184312132"/>
      <w:bookmarkEnd w:id="231"/>
      <w:bookmarkStart w:id="232" w:name="_Toc184313268"/>
      <w:bookmarkEnd w:id="232"/>
      <w:bookmarkStart w:id="233" w:name="_Toc184313242"/>
      <w:bookmarkEnd w:id="233"/>
      <w:bookmarkStart w:id="234" w:name="_Toc184313285"/>
      <w:bookmarkEnd w:id="234"/>
      <w:bookmarkStart w:id="235" w:name="_Toc184308083"/>
      <w:bookmarkEnd w:id="235"/>
      <w:bookmarkStart w:id="236" w:name="_Toc184313250"/>
      <w:bookmarkEnd w:id="236"/>
      <w:bookmarkStart w:id="237" w:name="_Toc184314422"/>
      <w:bookmarkEnd w:id="237"/>
      <w:bookmarkStart w:id="238" w:name="_Toc184308068"/>
      <w:bookmarkEnd w:id="238"/>
      <w:bookmarkStart w:id="239" w:name="_Toc184313260"/>
      <w:bookmarkEnd w:id="239"/>
      <w:bookmarkStart w:id="240" w:name="_Toc184308095"/>
      <w:bookmarkEnd w:id="240"/>
      <w:bookmarkStart w:id="241" w:name="_Toc184314469"/>
      <w:bookmarkEnd w:id="241"/>
      <w:bookmarkStart w:id="242" w:name="_Toc184313269"/>
      <w:bookmarkEnd w:id="242"/>
      <w:bookmarkStart w:id="243" w:name="_Toc184314471"/>
      <w:bookmarkEnd w:id="243"/>
      <w:bookmarkStart w:id="244" w:name="_Toc184308094"/>
      <w:bookmarkEnd w:id="244"/>
      <w:bookmarkStart w:id="245" w:name="_Toc184313252"/>
      <w:bookmarkEnd w:id="245"/>
      <w:bookmarkStart w:id="246" w:name="_Toc184308093"/>
      <w:bookmarkEnd w:id="246"/>
      <w:bookmarkStart w:id="247" w:name="_Toc184312128"/>
      <w:bookmarkEnd w:id="247"/>
      <w:bookmarkStart w:id="248" w:name="_Toc184308101"/>
      <w:bookmarkEnd w:id="248"/>
      <w:bookmarkStart w:id="249" w:name="_Toc184312124"/>
      <w:bookmarkEnd w:id="249"/>
      <w:bookmarkStart w:id="250" w:name="_Toc184314464"/>
      <w:bookmarkEnd w:id="250"/>
      <w:bookmarkStart w:id="251" w:name="_Toc184310329"/>
      <w:bookmarkEnd w:id="251"/>
      <w:bookmarkStart w:id="252" w:name="_Toc184308069"/>
      <w:bookmarkEnd w:id="252"/>
      <w:bookmarkStart w:id="253" w:name="_Toc184310310"/>
      <w:bookmarkEnd w:id="253"/>
      <w:bookmarkStart w:id="254" w:name="_Toc184312118"/>
      <w:bookmarkEnd w:id="254"/>
      <w:bookmarkStart w:id="255" w:name="_Toc184310332"/>
      <w:bookmarkEnd w:id="255"/>
      <w:bookmarkStart w:id="256" w:name="_Toc184313302"/>
      <w:bookmarkEnd w:id="256"/>
      <w:bookmarkStart w:id="257" w:name="_Toc184312103"/>
      <w:bookmarkEnd w:id="257"/>
      <w:bookmarkStart w:id="258" w:name="_Toc184308077"/>
      <w:bookmarkEnd w:id="258"/>
      <w:bookmarkStart w:id="259" w:name="_Toc184310281"/>
      <w:bookmarkEnd w:id="259"/>
      <w:bookmarkStart w:id="260" w:name="_Toc184310297"/>
      <w:bookmarkEnd w:id="260"/>
      <w:bookmarkStart w:id="261" w:name="_Toc184313255"/>
      <w:bookmarkEnd w:id="261"/>
      <w:bookmarkStart w:id="262" w:name="_Toc184312083"/>
      <w:bookmarkEnd w:id="262"/>
      <w:bookmarkStart w:id="263" w:name="_Toc184308092"/>
      <w:bookmarkEnd w:id="263"/>
      <w:bookmarkStart w:id="264" w:name="_Toc184308070"/>
      <w:bookmarkEnd w:id="264"/>
      <w:bookmarkStart w:id="265" w:name="_Toc184308043"/>
      <w:bookmarkEnd w:id="265"/>
      <w:bookmarkStart w:id="266" w:name="_Toc184310318"/>
      <w:bookmarkEnd w:id="266"/>
      <w:bookmarkStart w:id="267" w:name="_Toc184313286"/>
      <w:bookmarkEnd w:id="267"/>
      <w:bookmarkStart w:id="268" w:name="_Toc184310343"/>
      <w:bookmarkEnd w:id="268"/>
      <w:bookmarkStart w:id="269" w:name="_Toc184310313"/>
      <w:bookmarkEnd w:id="269"/>
      <w:bookmarkStart w:id="270" w:name="_Toc184313280"/>
      <w:bookmarkEnd w:id="270"/>
      <w:bookmarkStart w:id="271" w:name="_Toc184310276"/>
      <w:bookmarkEnd w:id="271"/>
      <w:bookmarkStart w:id="272" w:name="_Toc184313296"/>
      <w:bookmarkEnd w:id="272"/>
      <w:bookmarkStart w:id="273" w:name="_Toc184312108"/>
      <w:bookmarkEnd w:id="273"/>
      <w:bookmarkStart w:id="274" w:name="_Toc184310291"/>
      <w:bookmarkEnd w:id="274"/>
      <w:bookmarkStart w:id="275" w:name="_Toc184314451"/>
      <w:bookmarkEnd w:id="275"/>
      <w:bookmarkStart w:id="276" w:name="_Toc184313297"/>
      <w:bookmarkEnd w:id="276"/>
      <w:bookmarkStart w:id="277" w:name="_Toc184313308"/>
      <w:bookmarkEnd w:id="277"/>
      <w:bookmarkStart w:id="278" w:name="_Toc184313309"/>
      <w:bookmarkEnd w:id="278"/>
      <w:bookmarkStart w:id="279" w:name="_Toc184312120"/>
      <w:bookmarkEnd w:id="279"/>
      <w:bookmarkStart w:id="280" w:name="_Toc184314470"/>
      <w:bookmarkEnd w:id="280"/>
      <w:bookmarkStart w:id="281" w:name="_Toc184312135"/>
      <w:bookmarkEnd w:id="281"/>
      <w:bookmarkStart w:id="282" w:name="_Toc184313292"/>
      <w:bookmarkEnd w:id="282"/>
      <w:bookmarkStart w:id="283" w:name="_Toc184313272"/>
      <w:bookmarkEnd w:id="283"/>
      <w:bookmarkStart w:id="284" w:name="_Toc184313287"/>
      <w:bookmarkEnd w:id="284"/>
      <w:bookmarkStart w:id="285" w:name="_Toc184313246"/>
      <w:bookmarkEnd w:id="285"/>
      <w:bookmarkStart w:id="286" w:name="_Toc184312134"/>
      <w:bookmarkEnd w:id="286"/>
      <w:bookmarkStart w:id="287" w:name="_Toc184312139"/>
      <w:bookmarkEnd w:id="287"/>
      <w:bookmarkStart w:id="288" w:name="_Toc184310272"/>
      <w:bookmarkEnd w:id="288"/>
      <w:bookmarkStart w:id="289" w:name="_Toc184308105"/>
      <w:bookmarkEnd w:id="289"/>
      <w:bookmarkStart w:id="290" w:name="_Toc184312091"/>
      <w:bookmarkEnd w:id="290"/>
      <w:bookmarkStart w:id="291" w:name="_Toc184313275"/>
      <w:bookmarkEnd w:id="291"/>
      <w:bookmarkStart w:id="292" w:name="_Toc184313304"/>
      <w:bookmarkEnd w:id="292"/>
      <w:bookmarkStart w:id="293" w:name="_Toc184314444"/>
      <w:bookmarkEnd w:id="293"/>
      <w:bookmarkStart w:id="294" w:name="_Toc184310331"/>
      <w:bookmarkEnd w:id="294"/>
      <w:bookmarkStart w:id="295" w:name="_Toc184312117"/>
      <w:bookmarkEnd w:id="295"/>
      <w:bookmarkStart w:id="296" w:name="_Toc184312097"/>
      <w:bookmarkEnd w:id="296"/>
      <w:bookmarkStart w:id="297" w:name="_Toc184313267"/>
      <w:bookmarkEnd w:id="297"/>
      <w:bookmarkStart w:id="298" w:name="_Toc184314479"/>
      <w:bookmarkEnd w:id="298"/>
      <w:bookmarkStart w:id="299" w:name="_Toc184308042"/>
      <w:bookmarkEnd w:id="299"/>
      <w:bookmarkStart w:id="300" w:name="_Toc184308103"/>
      <w:bookmarkEnd w:id="300"/>
      <w:bookmarkStart w:id="301" w:name="_Toc184313244"/>
      <w:bookmarkEnd w:id="301"/>
      <w:bookmarkStart w:id="302" w:name="_Toc184314468"/>
      <w:bookmarkEnd w:id="302"/>
      <w:bookmarkStart w:id="303" w:name="_Toc184310286"/>
      <w:bookmarkEnd w:id="303"/>
      <w:bookmarkStart w:id="304" w:name="_Toc184308106"/>
      <w:bookmarkEnd w:id="304"/>
      <w:bookmarkStart w:id="305" w:name="_Toc184314480"/>
      <w:bookmarkEnd w:id="305"/>
      <w:bookmarkStart w:id="306" w:name="_Toc184308085"/>
      <w:bookmarkEnd w:id="306"/>
      <w:bookmarkStart w:id="307" w:name="_Toc184310322"/>
      <w:bookmarkEnd w:id="307"/>
      <w:bookmarkStart w:id="308" w:name="_Toc184313245"/>
      <w:bookmarkEnd w:id="308"/>
      <w:bookmarkStart w:id="309" w:name="_Toc184314434"/>
      <w:bookmarkEnd w:id="309"/>
      <w:bookmarkStart w:id="310" w:name="_Toc184308061"/>
      <w:bookmarkEnd w:id="310"/>
      <w:bookmarkStart w:id="311" w:name="_Toc184312109"/>
      <w:bookmarkEnd w:id="311"/>
      <w:bookmarkStart w:id="312" w:name="_Toc184308090"/>
      <w:bookmarkEnd w:id="312"/>
      <w:bookmarkStart w:id="313" w:name="_Toc184314412"/>
      <w:bookmarkEnd w:id="313"/>
      <w:bookmarkStart w:id="314" w:name="_Toc184312094"/>
      <w:bookmarkEnd w:id="314"/>
      <w:bookmarkStart w:id="315" w:name="_Toc184314435"/>
      <w:bookmarkEnd w:id="315"/>
      <w:bookmarkStart w:id="316" w:name="_Toc184313257"/>
      <w:bookmarkEnd w:id="316"/>
      <w:bookmarkStart w:id="317" w:name="_Toc184313248"/>
      <w:bookmarkEnd w:id="317"/>
      <w:bookmarkStart w:id="318" w:name="_Toc184312082"/>
      <w:bookmarkEnd w:id="318"/>
      <w:bookmarkStart w:id="319" w:name="_Toc184314419"/>
      <w:bookmarkEnd w:id="319"/>
      <w:bookmarkStart w:id="320" w:name="_Toc184314452"/>
      <w:bookmarkEnd w:id="320"/>
      <w:bookmarkStart w:id="321" w:name="_Toc184314439"/>
      <w:bookmarkEnd w:id="321"/>
      <w:bookmarkStart w:id="322" w:name="_Toc184308057"/>
      <w:bookmarkEnd w:id="322"/>
      <w:bookmarkStart w:id="323" w:name="_Toc184310317"/>
      <w:bookmarkEnd w:id="323"/>
      <w:bookmarkStart w:id="324" w:name="_Toc184308040"/>
      <w:bookmarkEnd w:id="324"/>
      <w:bookmarkStart w:id="325" w:name="_Toc184313303"/>
      <w:bookmarkEnd w:id="325"/>
      <w:bookmarkStart w:id="326" w:name="_Toc184308056"/>
      <w:bookmarkEnd w:id="326"/>
      <w:bookmarkStart w:id="327" w:name="_Toc184308098"/>
      <w:bookmarkEnd w:id="327"/>
      <w:bookmarkStart w:id="328" w:name="_Toc184308104"/>
      <w:bookmarkEnd w:id="328"/>
      <w:bookmarkStart w:id="329" w:name="_Toc184308075"/>
      <w:bookmarkEnd w:id="329"/>
      <w:bookmarkStart w:id="330" w:name="_Toc184310273"/>
      <w:bookmarkEnd w:id="330"/>
      <w:bookmarkStart w:id="331" w:name="_Toc184312125"/>
      <w:bookmarkEnd w:id="331"/>
      <w:bookmarkStart w:id="332" w:name="_Toc184312090"/>
      <w:bookmarkEnd w:id="332"/>
      <w:bookmarkStart w:id="333" w:name="_Toc184314481"/>
      <w:bookmarkEnd w:id="333"/>
      <w:bookmarkStart w:id="334" w:name="_Toc184313293"/>
      <w:bookmarkEnd w:id="334"/>
      <w:bookmarkStart w:id="335" w:name="_Toc184308088"/>
      <w:bookmarkEnd w:id="335"/>
      <w:bookmarkStart w:id="336" w:name="_Toc184308065"/>
      <w:bookmarkEnd w:id="336"/>
      <w:bookmarkStart w:id="337" w:name="_Toc184312112"/>
      <w:bookmarkEnd w:id="337"/>
      <w:bookmarkStart w:id="338" w:name="_Toc184308107"/>
      <w:bookmarkEnd w:id="338"/>
      <w:bookmarkStart w:id="339" w:name="_Toc184312087"/>
      <w:bookmarkEnd w:id="339"/>
      <w:bookmarkStart w:id="340" w:name="_Toc184308055"/>
      <w:bookmarkEnd w:id="340"/>
      <w:bookmarkStart w:id="341" w:name="_Toc184313310"/>
      <w:bookmarkEnd w:id="341"/>
      <w:bookmarkStart w:id="342" w:name="_Toc184308091"/>
      <w:bookmarkEnd w:id="342"/>
      <w:bookmarkStart w:id="343" w:name="_Toc184310305"/>
      <w:bookmarkEnd w:id="343"/>
      <w:bookmarkStart w:id="344" w:name="_Toc184308072"/>
      <w:bookmarkEnd w:id="344"/>
      <w:bookmarkStart w:id="345" w:name="_Toc184310308"/>
      <w:bookmarkEnd w:id="345"/>
      <w:bookmarkStart w:id="346" w:name="_Toc184312106"/>
      <w:bookmarkEnd w:id="346"/>
      <w:bookmarkStart w:id="347" w:name="_Toc184312098"/>
      <w:bookmarkEnd w:id="347"/>
      <w:bookmarkStart w:id="348" w:name="_Toc184314424"/>
      <w:bookmarkEnd w:id="348"/>
      <w:bookmarkStart w:id="349" w:name="_Toc184312114"/>
      <w:bookmarkEnd w:id="349"/>
      <w:bookmarkStart w:id="350" w:name="_Toc184308102"/>
      <w:bookmarkEnd w:id="350"/>
      <w:bookmarkStart w:id="351" w:name="_Toc184313281"/>
      <w:bookmarkEnd w:id="351"/>
      <w:bookmarkStart w:id="352" w:name="_Toc184312072"/>
      <w:bookmarkEnd w:id="352"/>
      <w:bookmarkStart w:id="353" w:name="_Toc184308074"/>
      <w:bookmarkEnd w:id="353"/>
      <w:bookmarkStart w:id="354" w:name="_Toc184313258"/>
      <w:bookmarkEnd w:id="354"/>
      <w:bookmarkStart w:id="355" w:name="_Toc184313299"/>
      <w:bookmarkEnd w:id="355"/>
      <w:bookmarkStart w:id="356" w:name="_Toc184314443"/>
      <w:bookmarkEnd w:id="356"/>
      <w:bookmarkStart w:id="357" w:name="_Toc184312119"/>
      <w:bookmarkEnd w:id="357"/>
      <w:bookmarkStart w:id="358" w:name="_Toc184313306"/>
      <w:bookmarkEnd w:id="358"/>
      <w:bookmarkStart w:id="359" w:name="_Toc184312088"/>
      <w:bookmarkEnd w:id="359"/>
      <w:bookmarkStart w:id="360" w:name="_Toc184310309"/>
      <w:bookmarkEnd w:id="360"/>
      <w:bookmarkStart w:id="361" w:name="_Toc184314455"/>
      <w:bookmarkEnd w:id="361"/>
      <w:bookmarkStart w:id="362" w:name="_Toc184310330"/>
      <w:bookmarkEnd w:id="362"/>
      <w:bookmarkStart w:id="363" w:name="_Toc184310340"/>
      <w:bookmarkEnd w:id="363"/>
      <w:bookmarkStart w:id="364" w:name="_Toc184312068"/>
      <w:bookmarkEnd w:id="364"/>
      <w:bookmarkStart w:id="365" w:name="_Toc184310302"/>
      <w:bookmarkEnd w:id="365"/>
      <w:bookmarkStart w:id="366" w:name="_Toc184314442"/>
      <w:bookmarkEnd w:id="366"/>
      <w:bookmarkStart w:id="367" w:name="_Toc184308059"/>
      <w:bookmarkEnd w:id="367"/>
      <w:bookmarkStart w:id="368" w:name="_Toc184312115"/>
      <w:bookmarkEnd w:id="368"/>
      <w:bookmarkStart w:id="369" w:name="_Toc184312138"/>
      <w:bookmarkEnd w:id="369"/>
      <w:bookmarkStart w:id="370" w:name="_Toc184313243"/>
      <w:bookmarkEnd w:id="370"/>
      <w:bookmarkStart w:id="371" w:name="_Toc184313282"/>
      <w:bookmarkEnd w:id="371"/>
      <w:bookmarkStart w:id="372" w:name="_Toc184313261"/>
      <w:bookmarkEnd w:id="372"/>
      <w:bookmarkStart w:id="373" w:name="_Toc184314445"/>
      <w:bookmarkEnd w:id="373"/>
      <w:bookmarkStart w:id="374" w:name="_Toc184314433"/>
      <w:bookmarkEnd w:id="374"/>
      <w:bookmarkStart w:id="375" w:name="_Toc184310339"/>
      <w:bookmarkEnd w:id="375"/>
      <w:bookmarkStart w:id="376" w:name="_Toc184313274"/>
      <w:bookmarkEnd w:id="376"/>
      <w:bookmarkStart w:id="377" w:name="_Toc184314474"/>
      <w:bookmarkEnd w:id="377"/>
      <w:bookmarkStart w:id="378" w:name="_Toc184308044"/>
      <w:bookmarkEnd w:id="378"/>
      <w:bookmarkStart w:id="379" w:name="_Toc184312079"/>
      <w:bookmarkEnd w:id="379"/>
      <w:bookmarkStart w:id="380" w:name="_Toc184312104"/>
      <w:bookmarkEnd w:id="380"/>
      <w:bookmarkStart w:id="381" w:name="_Toc184314462"/>
      <w:bookmarkEnd w:id="381"/>
      <w:bookmarkStart w:id="382" w:name="_Toc184312110"/>
      <w:bookmarkEnd w:id="382"/>
      <w:bookmarkStart w:id="383" w:name="_Toc184313284"/>
      <w:bookmarkEnd w:id="383"/>
      <w:bookmarkStart w:id="384" w:name="_Toc184310284"/>
      <w:bookmarkEnd w:id="384"/>
      <w:bookmarkStart w:id="385" w:name="_Toc184312105"/>
      <w:bookmarkEnd w:id="385"/>
      <w:bookmarkStart w:id="386" w:name="_Toc184314426"/>
      <w:bookmarkEnd w:id="386"/>
      <w:bookmarkStart w:id="387" w:name="_Toc184308050"/>
      <w:bookmarkEnd w:id="387"/>
      <w:bookmarkStart w:id="388" w:name="_Toc184310287"/>
      <w:bookmarkEnd w:id="388"/>
      <w:bookmarkStart w:id="389" w:name="_Toc184314411"/>
      <w:bookmarkEnd w:id="389"/>
      <w:bookmarkStart w:id="390" w:name="_Toc184312100"/>
      <w:bookmarkEnd w:id="390"/>
      <w:bookmarkStart w:id="391" w:name="_Toc184312074"/>
      <w:bookmarkEnd w:id="391"/>
      <w:bookmarkStart w:id="392" w:name="_Toc184312070"/>
      <w:bookmarkEnd w:id="392"/>
      <w:bookmarkStart w:id="393" w:name="_Toc184314431"/>
      <w:bookmarkEnd w:id="393"/>
      <w:bookmarkStart w:id="394" w:name="_Toc184308079"/>
      <w:bookmarkEnd w:id="394"/>
      <w:bookmarkStart w:id="395" w:name="_Toc184313283"/>
      <w:bookmarkEnd w:id="395"/>
      <w:bookmarkStart w:id="396" w:name="_Toc184308100"/>
      <w:bookmarkEnd w:id="396"/>
      <w:bookmarkStart w:id="397" w:name="_Toc184310285"/>
      <w:bookmarkEnd w:id="397"/>
      <w:bookmarkStart w:id="398" w:name="_Toc184312078"/>
      <w:bookmarkEnd w:id="398"/>
      <w:bookmarkStart w:id="399" w:name="_Toc184312099"/>
      <w:bookmarkEnd w:id="399"/>
      <w:bookmarkStart w:id="400" w:name="_Toc184314421"/>
      <w:bookmarkEnd w:id="400"/>
      <w:bookmarkStart w:id="401" w:name="_Toc184313259"/>
      <w:bookmarkEnd w:id="401"/>
      <w:bookmarkStart w:id="402" w:name="_Toc184312095"/>
      <w:bookmarkEnd w:id="402"/>
      <w:bookmarkStart w:id="403" w:name="_Toc184308067"/>
      <w:bookmarkEnd w:id="403"/>
      <w:bookmarkStart w:id="404" w:name="_Toc184314429"/>
      <w:bookmarkEnd w:id="404"/>
      <w:bookmarkStart w:id="405" w:name="_Toc184314477"/>
      <w:bookmarkEnd w:id="405"/>
      <w:bookmarkStart w:id="406" w:name="_Toc184310328"/>
      <w:bookmarkEnd w:id="406"/>
      <w:bookmarkStart w:id="407" w:name="_Toc184310324"/>
      <w:bookmarkEnd w:id="407"/>
      <w:bookmarkStart w:id="408" w:name="_Toc184312111"/>
      <w:bookmarkEnd w:id="408"/>
      <w:bookmarkStart w:id="409" w:name="_Toc184313266"/>
      <w:bookmarkEnd w:id="409"/>
      <w:bookmarkStart w:id="410" w:name="_Toc184308071"/>
      <w:bookmarkEnd w:id="410"/>
      <w:bookmarkStart w:id="411" w:name="_Toc184308039"/>
      <w:bookmarkEnd w:id="411"/>
      <w:bookmarkStart w:id="412" w:name="_Toc184313239"/>
      <w:bookmarkEnd w:id="412"/>
      <w:bookmarkStart w:id="413" w:name="_Toc184312101"/>
      <w:bookmarkEnd w:id="413"/>
      <w:bookmarkStart w:id="414" w:name="_Toc184310299"/>
      <w:bookmarkEnd w:id="414"/>
      <w:r>
        <w:rPr>
          <w:rFonts w:hint="eastAsia" w:ascii="宋体" w:hAnsi="宋体" w:cs="宋体"/>
          <w:b/>
          <w:sz w:val="36"/>
          <w:szCs w:val="36"/>
          <w:highlight w:val="none"/>
        </w:rPr>
        <w:t>评标办法</w:t>
      </w:r>
      <w:bookmarkEnd w:id="48"/>
      <w:bookmarkEnd w:id="49"/>
    </w:p>
    <w:p w14:paraId="01F171A7">
      <w:pPr>
        <w:snapToGrid w:val="0"/>
        <w:spacing w:line="360" w:lineRule="auto"/>
        <w:jc w:val="center"/>
        <w:outlineLvl w:val="1"/>
        <w:rPr>
          <w:rFonts w:ascii="宋体" w:hAnsi="宋体" w:cs="宋体"/>
          <w:b/>
          <w:sz w:val="32"/>
          <w:szCs w:val="20"/>
          <w:highlight w:val="none"/>
        </w:rPr>
      </w:pPr>
      <w:r>
        <w:rPr>
          <w:rFonts w:hint="eastAsia" w:ascii="宋体" w:hAnsi="宋体" w:cs="宋体"/>
          <w:b/>
          <w:sz w:val="32"/>
          <w:szCs w:val="20"/>
          <w:highlight w:val="none"/>
        </w:rPr>
        <w:t>评标办法前附表</w:t>
      </w:r>
    </w:p>
    <w:p w14:paraId="43B5B22A">
      <w:pPr>
        <w:snapToGrid w:val="0"/>
        <w:spacing w:line="360" w:lineRule="auto"/>
        <w:jc w:val="center"/>
        <w:outlineLvl w:val="1"/>
        <w:rPr>
          <w:rFonts w:hint="default" w:ascii="宋体" w:hAnsi="宋体" w:eastAsia="宋体" w:cs="宋体"/>
          <w:b/>
          <w:sz w:val="32"/>
          <w:szCs w:val="20"/>
          <w:highlight w:val="none"/>
          <w:lang w:val="en-US" w:eastAsia="zh-CN"/>
        </w:rPr>
      </w:pPr>
      <w:r>
        <w:rPr>
          <w:rFonts w:hint="eastAsia" w:ascii="宋体" w:hAnsi="宋体" w:cs="宋体"/>
          <w:b/>
          <w:sz w:val="32"/>
          <w:szCs w:val="20"/>
          <w:highlight w:val="none"/>
        </w:rPr>
        <w:t>标项1</w:t>
      </w:r>
      <w:r>
        <w:rPr>
          <w:rFonts w:hint="eastAsia" w:ascii="宋体" w:hAnsi="宋体" w:cs="宋体"/>
          <w:b/>
          <w:sz w:val="32"/>
          <w:szCs w:val="20"/>
          <w:highlight w:val="none"/>
          <w:lang w:eastAsia="zh-CN"/>
        </w:rPr>
        <w:t>、标项</w:t>
      </w:r>
      <w:r>
        <w:rPr>
          <w:rFonts w:hint="eastAsia" w:ascii="宋体" w:hAnsi="宋体" w:cs="宋体"/>
          <w:b/>
          <w:sz w:val="32"/>
          <w:szCs w:val="20"/>
          <w:highlight w:val="none"/>
          <w:lang w:val="en-US" w:eastAsia="zh-CN"/>
        </w:rPr>
        <w:t xml:space="preserve">2 </w:t>
      </w:r>
    </w:p>
    <w:tbl>
      <w:tblPr>
        <w:tblStyle w:val="62"/>
        <w:tblW w:w="54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380"/>
        <w:gridCol w:w="8031"/>
      </w:tblGrid>
      <w:tr w14:paraId="019CD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309" w:type="pct"/>
            <w:tcBorders>
              <w:top w:val="single" w:color="auto" w:sz="4" w:space="0"/>
              <w:left w:val="single" w:color="auto" w:sz="4" w:space="0"/>
              <w:bottom w:val="single" w:color="auto" w:sz="4" w:space="0"/>
              <w:right w:val="single" w:color="auto" w:sz="4" w:space="0"/>
            </w:tcBorders>
            <w:noWrap/>
            <w:vAlign w:val="center"/>
          </w:tcPr>
          <w:p w14:paraId="370EBD77">
            <w:pPr>
              <w:keepNext w:val="0"/>
              <w:keepLines w:val="0"/>
              <w:pageBreakBefore w:val="0"/>
              <w:kinsoku/>
              <w:wordWrap/>
              <w:overflowPunct/>
              <w:topLinePunct w:val="0"/>
              <w:autoSpaceDE/>
              <w:autoSpaceDN/>
              <w:bidi w:val="0"/>
              <w:spacing w:line="420" w:lineRule="exact"/>
              <w:jc w:val="center"/>
              <w:textAlignment w:val="baseline"/>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687" w:type="pct"/>
            <w:tcBorders>
              <w:top w:val="single" w:color="auto" w:sz="4" w:space="0"/>
              <w:left w:val="single" w:color="auto" w:sz="4" w:space="0"/>
              <w:bottom w:val="single" w:color="auto" w:sz="4" w:space="0"/>
              <w:right w:val="single" w:color="auto" w:sz="4" w:space="0"/>
            </w:tcBorders>
            <w:noWrap/>
            <w:vAlign w:val="center"/>
          </w:tcPr>
          <w:p w14:paraId="7E703579">
            <w:pPr>
              <w:keepNext w:val="0"/>
              <w:keepLines w:val="0"/>
              <w:pageBreakBefore w:val="0"/>
              <w:kinsoku/>
              <w:wordWrap/>
              <w:overflowPunct/>
              <w:topLinePunct w:val="0"/>
              <w:autoSpaceDE/>
              <w:autoSpaceDN/>
              <w:bidi w:val="0"/>
              <w:spacing w:line="420" w:lineRule="exact"/>
              <w:jc w:val="center"/>
              <w:textAlignment w:val="baseline"/>
              <w:rPr>
                <w:rFonts w:hint="eastAsia" w:ascii="宋体" w:hAnsi="宋体" w:eastAsia="宋体" w:cs="宋体"/>
                <w:b/>
                <w:sz w:val="24"/>
                <w:szCs w:val="24"/>
                <w:highlight w:val="none"/>
              </w:rPr>
            </w:pPr>
            <w:r>
              <w:rPr>
                <w:rFonts w:hint="eastAsia" w:ascii="宋体" w:hAnsi="宋体" w:eastAsia="宋体" w:cs="宋体"/>
                <w:b/>
                <w:sz w:val="24"/>
                <w:szCs w:val="24"/>
                <w:highlight w:val="none"/>
              </w:rPr>
              <w:t>评分类型</w:t>
            </w:r>
          </w:p>
        </w:tc>
        <w:tc>
          <w:tcPr>
            <w:tcW w:w="4002" w:type="pct"/>
            <w:tcBorders>
              <w:top w:val="single" w:color="auto" w:sz="4" w:space="0"/>
              <w:left w:val="single" w:color="auto" w:sz="4" w:space="0"/>
              <w:bottom w:val="single" w:color="auto" w:sz="4" w:space="0"/>
              <w:right w:val="single" w:color="auto" w:sz="4" w:space="0"/>
            </w:tcBorders>
            <w:noWrap/>
            <w:vAlign w:val="center"/>
          </w:tcPr>
          <w:p w14:paraId="421C5075">
            <w:pPr>
              <w:keepNext w:val="0"/>
              <w:keepLines w:val="0"/>
              <w:pageBreakBefore w:val="0"/>
              <w:kinsoku/>
              <w:wordWrap/>
              <w:overflowPunct/>
              <w:topLinePunct w:val="0"/>
              <w:autoSpaceDE/>
              <w:autoSpaceDN/>
              <w:bidi w:val="0"/>
              <w:spacing w:line="420" w:lineRule="exact"/>
              <w:jc w:val="center"/>
              <w:textAlignment w:val="baseline"/>
              <w:rPr>
                <w:rFonts w:hint="eastAsia" w:ascii="宋体" w:hAnsi="宋体" w:eastAsia="宋体" w:cs="宋体"/>
                <w:b/>
                <w:sz w:val="24"/>
                <w:szCs w:val="24"/>
                <w:highlight w:val="none"/>
              </w:rPr>
            </w:pPr>
            <w:r>
              <w:rPr>
                <w:rFonts w:hint="eastAsia" w:ascii="宋体" w:hAnsi="宋体" w:eastAsia="宋体" w:cs="宋体"/>
                <w:b/>
                <w:sz w:val="24"/>
                <w:szCs w:val="24"/>
                <w:highlight w:val="none"/>
              </w:rPr>
              <w:t>评分标准</w:t>
            </w:r>
          </w:p>
        </w:tc>
      </w:tr>
      <w:tr w14:paraId="654A7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000" w:type="pct"/>
            <w:gridSpan w:val="3"/>
            <w:tcBorders>
              <w:top w:val="single" w:color="auto" w:sz="4" w:space="0"/>
              <w:left w:val="single" w:color="auto" w:sz="4" w:space="0"/>
              <w:bottom w:val="single" w:color="auto" w:sz="4" w:space="0"/>
              <w:right w:val="single" w:color="auto" w:sz="4" w:space="0"/>
            </w:tcBorders>
            <w:noWrap/>
            <w:vAlign w:val="center"/>
          </w:tcPr>
          <w:p w14:paraId="492F18D8">
            <w:pPr>
              <w:keepNext w:val="0"/>
              <w:keepLines w:val="0"/>
              <w:pageBreakBefore w:val="0"/>
              <w:kinsoku/>
              <w:wordWrap/>
              <w:overflowPunct/>
              <w:topLinePunct w:val="0"/>
              <w:autoSpaceDE/>
              <w:autoSpaceDN/>
              <w:bidi w:val="0"/>
              <w:spacing w:line="420" w:lineRule="exact"/>
              <w:jc w:val="both"/>
              <w:textAlignment w:val="baseline"/>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一</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报价</w:t>
            </w:r>
            <w:r>
              <w:rPr>
                <w:rFonts w:hint="eastAsia" w:ascii="宋体" w:hAnsi="宋体" w:eastAsia="宋体" w:cs="宋体"/>
                <w:b/>
                <w:sz w:val="24"/>
                <w:szCs w:val="24"/>
                <w:highlight w:val="none"/>
                <w:lang w:eastAsia="zh-CN"/>
              </w:rPr>
              <w:t>分（满分</w:t>
            </w:r>
            <w:r>
              <w:rPr>
                <w:rFonts w:hint="eastAsia" w:ascii="宋体" w:hAnsi="宋体" w:eastAsia="宋体" w:cs="宋体"/>
                <w:b/>
                <w:sz w:val="24"/>
                <w:szCs w:val="24"/>
                <w:highlight w:val="none"/>
                <w:lang w:val="en-US" w:eastAsia="zh-CN"/>
              </w:rPr>
              <w:t>30分</w:t>
            </w:r>
            <w:r>
              <w:rPr>
                <w:rFonts w:hint="eastAsia" w:ascii="宋体" w:hAnsi="宋体" w:eastAsia="宋体" w:cs="宋体"/>
                <w:b/>
                <w:sz w:val="24"/>
                <w:szCs w:val="24"/>
                <w:highlight w:val="none"/>
                <w:lang w:eastAsia="zh-CN"/>
              </w:rPr>
              <w:t>）</w:t>
            </w:r>
          </w:p>
        </w:tc>
      </w:tr>
      <w:tr w14:paraId="3BF57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9" w:type="pct"/>
            <w:tcBorders>
              <w:top w:val="single" w:color="auto" w:sz="4" w:space="0"/>
              <w:left w:val="single" w:color="auto" w:sz="4" w:space="0"/>
              <w:bottom w:val="single" w:color="auto" w:sz="4" w:space="0"/>
              <w:right w:val="single" w:color="auto" w:sz="4" w:space="0"/>
            </w:tcBorders>
            <w:noWrap/>
            <w:vAlign w:val="center"/>
          </w:tcPr>
          <w:p w14:paraId="315F1D97">
            <w:pPr>
              <w:keepNext w:val="0"/>
              <w:keepLines w:val="0"/>
              <w:pageBreakBefore w:val="0"/>
              <w:kinsoku/>
              <w:wordWrap/>
              <w:overflowPunct/>
              <w:topLinePunct w:val="0"/>
              <w:autoSpaceDE/>
              <w:autoSpaceDN/>
              <w:bidi w:val="0"/>
              <w:spacing w:line="420" w:lineRule="exact"/>
              <w:jc w:val="center"/>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rPr>
              <w:t>1</w:t>
            </w:r>
          </w:p>
        </w:tc>
        <w:tc>
          <w:tcPr>
            <w:tcW w:w="687" w:type="pct"/>
            <w:tcBorders>
              <w:top w:val="single" w:color="auto" w:sz="4" w:space="0"/>
              <w:left w:val="single" w:color="auto" w:sz="4" w:space="0"/>
              <w:bottom w:val="single" w:color="auto" w:sz="4" w:space="0"/>
              <w:right w:val="single" w:color="auto" w:sz="4" w:space="0"/>
            </w:tcBorders>
            <w:noWrap/>
            <w:vAlign w:val="center"/>
          </w:tcPr>
          <w:p w14:paraId="1994929F">
            <w:pPr>
              <w:keepNext w:val="0"/>
              <w:keepLines w:val="0"/>
              <w:pageBreakBefore w:val="0"/>
              <w:kinsoku/>
              <w:wordWrap/>
              <w:overflowPunct/>
              <w:topLinePunct w:val="0"/>
              <w:autoSpaceDE/>
              <w:autoSpaceDN/>
              <w:bidi w:val="0"/>
              <w:adjustRightInd/>
              <w:spacing w:line="42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投标报价</w:t>
            </w:r>
            <w:r>
              <w:rPr>
                <w:rFonts w:hint="eastAsia" w:ascii="宋体" w:hAnsi="宋体" w:eastAsia="宋体" w:cs="宋体"/>
                <w:b/>
                <w:sz w:val="24"/>
                <w:szCs w:val="24"/>
                <w:highlight w:val="none"/>
              </w:rPr>
              <w:t>（满分30分）</w:t>
            </w:r>
          </w:p>
          <w:p w14:paraId="221AA44B">
            <w:pPr>
              <w:keepNext w:val="0"/>
              <w:keepLines w:val="0"/>
              <w:pageBreakBefore w:val="0"/>
              <w:kinsoku/>
              <w:wordWrap/>
              <w:overflowPunct/>
              <w:topLinePunct w:val="0"/>
              <w:autoSpaceDE/>
              <w:autoSpaceDN/>
              <w:bidi w:val="0"/>
              <w:spacing w:line="420" w:lineRule="exact"/>
              <w:jc w:val="center"/>
              <w:textAlignment w:val="baseline"/>
              <w:rPr>
                <w:rFonts w:hint="eastAsia" w:ascii="宋体" w:hAnsi="宋体" w:eastAsia="宋体" w:cs="宋体"/>
                <w:bCs/>
                <w:sz w:val="24"/>
                <w:szCs w:val="24"/>
                <w:highlight w:val="none"/>
              </w:rPr>
            </w:pPr>
          </w:p>
        </w:tc>
        <w:tc>
          <w:tcPr>
            <w:tcW w:w="4002" w:type="pct"/>
            <w:tcBorders>
              <w:top w:val="single" w:color="auto" w:sz="4" w:space="0"/>
              <w:left w:val="single" w:color="auto" w:sz="4" w:space="0"/>
              <w:bottom w:val="single" w:color="auto" w:sz="4" w:space="0"/>
              <w:right w:val="single" w:color="auto" w:sz="4" w:space="0"/>
            </w:tcBorders>
            <w:noWrap/>
            <w:vAlign w:val="top"/>
          </w:tcPr>
          <w:p w14:paraId="4AFA5BB3">
            <w:pPr>
              <w:keepNext w:val="0"/>
              <w:keepLines w:val="0"/>
              <w:pageBreakBefore w:val="0"/>
              <w:kinsoku/>
              <w:wordWrap/>
              <w:overflowPunct/>
              <w:topLinePunct w:val="0"/>
              <w:autoSpaceDE/>
              <w:autoSpaceDN/>
              <w:bidi w:val="0"/>
              <w:adjustRightInd w:val="0"/>
              <w:snapToGrid w:val="0"/>
              <w:spacing w:line="420" w:lineRule="exact"/>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（1）评标报价为投标人的投标报价进行政策性扣除后的价格，评标报价只是作为评标时使用。最终中标人的中标金额等于投标报价。</w:t>
            </w:r>
          </w:p>
          <w:p w14:paraId="7A34C919">
            <w:pPr>
              <w:keepNext w:val="0"/>
              <w:keepLines w:val="0"/>
              <w:pageBreakBefore w:val="0"/>
              <w:kinsoku/>
              <w:wordWrap/>
              <w:overflowPunct/>
              <w:topLinePunct w:val="0"/>
              <w:autoSpaceDE/>
              <w:autoSpaceDN/>
              <w:bidi w:val="0"/>
              <w:adjustRightInd w:val="0"/>
              <w:snapToGrid w:val="0"/>
              <w:spacing w:line="420" w:lineRule="exact"/>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按照《广西壮族自治区财政厅关于进一步发挥政府采购政策功能促进企业发展的通知》（桂财采〔2022〕30号）的规定，投标的全部产品按政策文件要求认定为小型和微型企业产品的（提供《中小企业声明函》），对投标价给予20%的扣除，扣除后的价格为评标价。</w:t>
            </w:r>
          </w:p>
          <w:p w14:paraId="0294FCED">
            <w:pPr>
              <w:keepNext w:val="0"/>
              <w:keepLines w:val="0"/>
              <w:pageBreakBefore w:val="0"/>
              <w:kinsoku/>
              <w:wordWrap/>
              <w:overflowPunct/>
              <w:topLinePunct w:val="0"/>
              <w:autoSpaceDE/>
              <w:autoSpaceDN/>
              <w:bidi w:val="0"/>
              <w:adjustRightInd w:val="0"/>
              <w:snapToGrid w:val="0"/>
              <w:spacing w:line="420" w:lineRule="exact"/>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0C0F37A6">
            <w:pPr>
              <w:keepNext w:val="0"/>
              <w:keepLines w:val="0"/>
              <w:pageBreakBefore w:val="0"/>
              <w:kinsoku/>
              <w:wordWrap/>
              <w:overflowPunct/>
              <w:topLinePunct w:val="0"/>
              <w:autoSpaceDE/>
              <w:autoSpaceDN/>
              <w:bidi w:val="0"/>
              <w:adjustRightInd w:val="0"/>
              <w:snapToGrid w:val="0"/>
              <w:spacing w:line="420" w:lineRule="exact"/>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205C5EC4">
            <w:pPr>
              <w:keepNext w:val="0"/>
              <w:keepLines w:val="0"/>
              <w:pageBreakBefore w:val="0"/>
              <w:kinsoku/>
              <w:wordWrap/>
              <w:overflowPunct/>
              <w:topLinePunct w:val="0"/>
              <w:autoSpaceDE/>
              <w:autoSpaceDN/>
              <w:bidi w:val="0"/>
              <w:adjustRightInd w:val="0"/>
              <w:snapToGrid w:val="0"/>
              <w:spacing w:line="420" w:lineRule="exact"/>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政策性扣除计算方法：评标报价=投标报价×（1-20%）；除上述政策性扣除情况外，评标价=投标报价。</w:t>
            </w:r>
          </w:p>
          <w:p w14:paraId="4C0BB386">
            <w:pPr>
              <w:keepNext w:val="0"/>
              <w:keepLines w:val="0"/>
              <w:pageBreakBefore w:val="0"/>
              <w:kinsoku/>
              <w:wordWrap/>
              <w:overflowPunct/>
              <w:topLinePunct w:val="0"/>
              <w:autoSpaceDE/>
              <w:autoSpaceDN/>
              <w:bidi w:val="0"/>
              <w:adjustRightInd w:val="0"/>
              <w:snapToGrid w:val="0"/>
              <w:spacing w:line="420" w:lineRule="exact"/>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（3）满足招标文件要求且评标报价最低的评标报价为评标基准价，基准价报价得分为 30 分。</w:t>
            </w:r>
          </w:p>
          <w:p w14:paraId="7E922EA1">
            <w:pPr>
              <w:keepNext w:val="0"/>
              <w:keepLines w:val="0"/>
              <w:pageBreakBefore w:val="0"/>
              <w:kinsoku/>
              <w:wordWrap/>
              <w:overflowPunct/>
              <w:topLinePunct w:val="0"/>
              <w:autoSpaceDE/>
              <w:autoSpaceDN/>
              <w:bidi w:val="0"/>
              <w:adjustRightInd w:val="0"/>
              <w:snapToGrid w:val="0"/>
              <w:spacing w:line="420" w:lineRule="exact"/>
              <w:ind w:firstLine="480" w:firstLineChars="200"/>
              <w:jc w:val="left"/>
              <w:rPr>
                <w:rFonts w:hint="eastAsia" w:ascii="宋体" w:hAnsi="宋体" w:eastAsia="宋体" w:cs="宋体"/>
                <w:bCs/>
                <w:sz w:val="24"/>
                <w:szCs w:val="24"/>
                <w:highlight w:val="none"/>
              </w:rPr>
            </w:pPr>
            <w:r>
              <w:rPr>
                <w:rFonts w:hint="eastAsia" w:ascii="宋体" w:hAnsi="宋体" w:eastAsia="宋体" w:cs="宋体"/>
                <w:kern w:val="0"/>
                <w:sz w:val="24"/>
                <w:szCs w:val="24"/>
                <w:highlight w:val="none"/>
              </w:rPr>
              <w:t>（4）价格分计算公式：价格分=(评标基准价／评标报价)×30分</w:t>
            </w:r>
          </w:p>
        </w:tc>
      </w:tr>
      <w:tr w14:paraId="0E050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000" w:type="pct"/>
            <w:gridSpan w:val="3"/>
            <w:tcBorders>
              <w:top w:val="single" w:color="auto" w:sz="4" w:space="0"/>
              <w:left w:val="single" w:color="auto" w:sz="4" w:space="0"/>
              <w:bottom w:val="single" w:color="auto" w:sz="4" w:space="0"/>
              <w:right w:val="single" w:color="auto" w:sz="4" w:space="0"/>
            </w:tcBorders>
            <w:noWrap/>
            <w:vAlign w:val="center"/>
          </w:tcPr>
          <w:p w14:paraId="396CFE0B">
            <w:pPr>
              <w:keepNext w:val="0"/>
              <w:keepLines w:val="0"/>
              <w:pageBreakBefore w:val="0"/>
              <w:kinsoku/>
              <w:wordWrap/>
              <w:overflowPunct/>
              <w:topLinePunct w:val="0"/>
              <w:autoSpaceDE/>
              <w:autoSpaceDN/>
              <w:bidi w:val="0"/>
              <w:snapToGrid w:val="0"/>
              <w:spacing w:line="420" w:lineRule="exact"/>
              <w:jc w:val="left"/>
              <w:textAlignment w:val="baseline"/>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二</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技术分</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68分</w:t>
            </w:r>
            <w:r>
              <w:rPr>
                <w:rFonts w:hint="eastAsia" w:ascii="宋体" w:hAnsi="宋体" w:eastAsia="宋体" w:cs="宋体"/>
                <w:b/>
                <w:bCs/>
                <w:sz w:val="24"/>
                <w:szCs w:val="24"/>
                <w:highlight w:val="none"/>
                <w:lang w:eastAsia="zh-CN"/>
              </w:rPr>
              <w:t>）</w:t>
            </w:r>
          </w:p>
        </w:tc>
      </w:tr>
      <w:tr w14:paraId="08F7B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9" w:type="pct"/>
            <w:tcBorders>
              <w:top w:val="single" w:color="auto" w:sz="4" w:space="0"/>
              <w:left w:val="single" w:color="auto" w:sz="4" w:space="0"/>
              <w:bottom w:val="single" w:color="auto" w:sz="4" w:space="0"/>
              <w:right w:val="single" w:color="auto" w:sz="4" w:space="0"/>
            </w:tcBorders>
            <w:noWrap/>
            <w:vAlign w:val="center"/>
          </w:tcPr>
          <w:p w14:paraId="1B6A11F4">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w:t>
            </w:r>
          </w:p>
        </w:tc>
        <w:tc>
          <w:tcPr>
            <w:tcW w:w="687" w:type="pct"/>
            <w:tcBorders>
              <w:top w:val="single" w:color="auto" w:sz="4" w:space="0"/>
              <w:left w:val="single" w:color="auto" w:sz="4" w:space="0"/>
              <w:right w:val="single" w:color="auto" w:sz="4" w:space="0"/>
            </w:tcBorders>
            <w:noWrap/>
            <w:vAlign w:val="center"/>
          </w:tcPr>
          <w:p w14:paraId="5F438474">
            <w:pPr>
              <w:keepNext w:val="0"/>
              <w:keepLines w:val="0"/>
              <w:pageBreakBefore w:val="0"/>
              <w:kinsoku/>
              <w:wordWrap/>
              <w:overflowPunct/>
              <w:topLinePunct w:val="0"/>
              <w:autoSpaceDE/>
              <w:autoSpaceDN/>
              <w:bidi w:val="0"/>
              <w:adjustRightInd/>
              <w:spacing w:line="420" w:lineRule="exact"/>
              <w:jc w:val="center"/>
              <w:rPr>
                <w:rFonts w:hint="eastAsia" w:ascii="宋体" w:hAnsi="宋体" w:eastAsia="宋体" w:cs="宋体"/>
                <w:bCs/>
                <w:sz w:val="24"/>
                <w:szCs w:val="24"/>
                <w:highlight w:val="none"/>
              </w:rPr>
            </w:pPr>
            <w:r>
              <w:rPr>
                <w:rFonts w:hint="eastAsia" w:ascii="宋体" w:hAnsi="宋体" w:eastAsia="宋体" w:cs="宋体"/>
                <w:b/>
                <w:bCs w:val="0"/>
                <w:sz w:val="24"/>
                <w:szCs w:val="24"/>
                <w:highlight w:val="none"/>
              </w:rPr>
              <w:t>设备</w:t>
            </w:r>
            <w:r>
              <w:rPr>
                <w:rFonts w:hint="eastAsia" w:ascii="宋体" w:hAnsi="宋体" w:eastAsia="宋体" w:cs="宋体"/>
                <w:b/>
                <w:bCs w:val="0"/>
                <w:kern w:val="0"/>
                <w:sz w:val="24"/>
                <w:szCs w:val="24"/>
                <w:highlight w:val="none"/>
              </w:rPr>
              <w:t>技术性能分</w:t>
            </w:r>
            <w:r>
              <w:rPr>
                <w:rFonts w:hint="eastAsia" w:ascii="宋体" w:hAnsi="宋体" w:eastAsia="宋体" w:cs="宋体"/>
                <w:b/>
                <w:bCs w:val="0"/>
                <w:kern w:val="0"/>
                <w:sz w:val="24"/>
                <w:szCs w:val="24"/>
                <w:highlight w:val="none"/>
                <w:lang w:eastAsia="zh-CN"/>
              </w:rPr>
              <w:t>（满分</w:t>
            </w:r>
            <w:r>
              <w:rPr>
                <w:rFonts w:hint="eastAsia" w:ascii="宋体" w:hAnsi="宋体" w:eastAsia="宋体" w:cs="宋体"/>
                <w:b/>
                <w:bCs w:val="0"/>
                <w:kern w:val="0"/>
                <w:sz w:val="24"/>
                <w:szCs w:val="24"/>
                <w:highlight w:val="none"/>
                <w:lang w:val="en-US" w:eastAsia="zh-CN"/>
              </w:rPr>
              <w:t>46分</w:t>
            </w:r>
            <w:r>
              <w:rPr>
                <w:rFonts w:hint="eastAsia" w:ascii="宋体" w:hAnsi="宋体" w:eastAsia="宋体" w:cs="宋体"/>
                <w:b/>
                <w:bCs w:val="0"/>
                <w:kern w:val="0"/>
                <w:sz w:val="24"/>
                <w:szCs w:val="24"/>
                <w:highlight w:val="none"/>
                <w:lang w:eastAsia="zh-CN"/>
              </w:rPr>
              <w:t>）</w:t>
            </w:r>
          </w:p>
        </w:tc>
        <w:tc>
          <w:tcPr>
            <w:tcW w:w="4002" w:type="pct"/>
            <w:tcBorders>
              <w:top w:val="single" w:color="auto" w:sz="4" w:space="0"/>
              <w:left w:val="single" w:color="auto" w:sz="4" w:space="0"/>
              <w:bottom w:val="single" w:color="auto" w:sz="4" w:space="0"/>
              <w:right w:val="single" w:color="auto" w:sz="4" w:space="0"/>
            </w:tcBorders>
            <w:noWrap/>
            <w:vAlign w:val="center"/>
          </w:tcPr>
          <w:p w14:paraId="7D0184EA">
            <w:pPr>
              <w:keepNext w:val="0"/>
              <w:keepLines w:val="0"/>
              <w:pageBreakBefore w:val="0"/>
              <w:kinsoku/>
              <w:wordWrap/>
              <w:overflowPunct/>
              <w:topLinePunct w:val="0"/>
              <w:autoSpaceDE/>
              <w:autoSpaceDN/>
              <w:bidi w:val="0"/>
              <w:adjustRightInd w:val="0"/>
              <w:snapToGrid w:val="0"/>
              <w:spacing w:line="420" w:lineRule="exact"/>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根据各投标人所投货物技术性能、功能以及对招标文件</w:t>
            </w:r>
            <w:r>
              <w:rPr>
                <w:rFonts w:hint="eastAsia" w:ascii="宋体" w:hAnsi="宋体" w:eastAsia="宋体" w:cs="宋体"/>
                <w:kern w:val="0"/>
                <w:sz w:val="24"/>
                <w:szCs w:val="24"/>
                <w:highlight w:val="none"/>
                <w:lang w:eastAsia="zh-CN"/>
              </w:rPr>
              <w:t>采购需求中</w:t>
            </w:r>
            <w:r>
              <w:rPr>
                <w:rFonts w:hint="eastAsia" w:ascii="宋体" w:hAnsi="宋体" w:eastAsia="宋体" w:cs="宋体"/>
                <w:kern w:val="0"/>
                <w:sz w:val="24"/>
                <w:szCs w:val="24"/>
                <w:highlight w:val="none"/>
              </w:rPr>
              <w:t>各项技术要求（除“★”以外的条款）的逐项响应承诺等方面情况由评委进行评分。所投货物技术性能、功能完全满足招标文件要求的得46分；每有一项负偏离扣2.3分</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扣完为止，最低分得0分。</w:t>
            </w:r>
          </w:p>
          <w:p w14:paraId="40453A76">
            <w:pPr>
              <w:keepNext w:val="0"/>
              <w:keepLines w:val="0"/>
              <w:pageBreakBefore w:val="0"/>
              <w:kinsoku/>
              <w:wordWrap/>
              <w:overflowPunct/>
              <w:topLinePunct w:val="0"/>
              <w:autoSpaceDE/>
              <w:autoSpaceDN/>
              <w:bidi w:val="0"/>
              <w:adjustRightInd w:val="0"/>
              <w:snapToGrid w:val="0"/>
              <w:spacing w:line="4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注：评标指标项的项下的任一指标参数有负偏离的，视为整项评标指标项负偏离并予以相应扣分。</w:t>
            </w:r>
          </w:p>
        </w:tc>
      </w:tr>
      <w:tr w14:paraId="1BDEC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09" w:type="pct"/>
            <w:tcBorders>
              <w:top w:val="single" w:color="auto" w:sz="4" w:space="0"/>
              <w:left w:val="single" w:color="auto" w:sz="4" w:space="0"/>
              <w:bottom w:val="single" w:color="auto" w:sz="4" w:space="0"/>
              <w:right w:val="single" w:color="auto" w:sz="4" w:space="0"/>
            </w:tcBorders>
            <w:noWrap/>
            <w:vAlign w:val="center"/>
          </w:tcPr>
          <w:p w14:paraId="796F1353">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2.2</w:t>
            </w:r>
          </w:p>
        </w:tc>
        <w:tc>
          <w:tcPr>
            <w:tcW w:w="687" w:type="pct"/>
            <w:tcBorders>
              <w:left w:val="single" w:color="auto" w:sz="4" w:space="0"/>
              <w:right w:val="single" w:color="auto" w:sz="4" w:space="0"/>
            </w:tcBorders>
            <w:noWrap/>
            <w:vAlign w:val="center"/>
          </w:tcPr>
          <w:p w14:paraId="2E637C1C">
            <w:pPr>
              <w:keepNext w:val="0"/>
              <w:keepLines w:val="0"/>
              <w:pageBreakBefore w:val="0"/>
              <w:kinsoku/>
              <w:wordWrap/>
              <w:overflowPunct/>
              <w:topLinePunct w:val="0"/>
              <w:autoSpaceDE/>
              <w:autoSpaceDN/>
              <w:bidi w:val="0"/>
              <w:adjustRightInd/>
              <w:spacing w:line="420" w:lineRule="exact"/>
              <w:jc w:val="center"/>
              <w:rPr>
                <w:rFonts w:hint="eastAsia" w:ascii="宋体" w:hAnsi="宋体" w:eastAsia="宋体" w:cs="宋体"/>
                <w:bCs/>
                <w:sz w:val="24"/>
                <w:szCs w:val="24"/>
                <w:highlight w:val="none"/>
              </w:rPr>
            </w:pPr>
            <w:r>
              <w:rPr>
                <w:rFonts w:hint="eastAsia" w:ascii="宋体" w:hAnsi="宋体" w:eastAsia="宋体" w:cs="宋体"/>
                <w:b/>
                <w:sz w:val="24"/>
                <w:szCs w:val="24"/>
                <w:highlight w:val="none"/>
                <w:lang w:eastAsia="zh-CN"/>
              </w:rPr>
              <w:t>产品</w:t>
            </w:r>
            <w:r>
              <w:rPr>
                <w:rFonts w:hint="eastAsia" w:ascii="宋体" w:hAnsi="宋体" w:eastAsia="宋体" w:cs="宋体"/>
                <w:b/>
                <w:sz w:val="24"/>
                <w:szCs w:val="24"/>
                <w:highlight w:val="none"/>
              </w:rPr>
              <w:t>综合实力分（满分</w:t>
            </w:r>
            <w:r>
              <w:rPr>
                <w:rFonts w:hint="eastAsia" w:ascii="宋体" w:hAnsi="宋体" w:eastAsia="宋体" w:cs="宋体"/>
                <w:b/>
                <w:sz w:val="24"/>
                <w:szCs w:val="24"/>
                <w:highlight w:val="none"/>
                <w:lang w:val="en-US" w:eastAsia="zh-CN"/>
              </w:rPr>
              <w:t>10</w:t>
            </w:r>
            <w:r>
              <w:rPr>
                <w:rFonts w:hint="eastAsia" w:ascii="宋体" w:hAnsi="宋体" w:eastAsia="宋体" w:cs="宋体"/>
                <w:b/>
                <w:sz w:val="24"/>
                <w:szCs w:val="24"/>
                <w:highlight w:val="none"/>
              </w:rPr>
              <w:t>分）</w:t>
            </w:r>
          </w:p>
        </w:tc>
        <w:tc>
          <w:tcPr>
            <w:tcW w:w="4002" w:type="pct"/>
            <w:tcBorders>
              <w:top w:val="single" w:color="auto" w:sz="4" w:space="0"/>
              <w:left w:val="single" w:color="auto" w:sz="4" w:space="0"/>
              <w:bottom w:val="single" w:color="auto" w:sz="4" w:space="0"/>
              <w:right w:val="single" w:color="auto" w:sz="4" w:space="0"/>
            </w:tcBorders>
            <w:noWrap/>
          </w:tcPr>
          <w:p w14:paraId="18122FEB">
            <w:pPr>
              <w:keepNext w:val="0"/>
              <w:keepLines w:val="0"/>
              <w:pageBreakBefore w:val="0"/>
              <w:kinsoku/>
              <w:wordWrap/>
              <w:overflowPunct/>
              <w:topLinePunct w:val="0"/>
              <w:autoSpaceDE/>
              <w:autoSpaceDN/>
              <w:bidi w:val="0"/>
              <w:adjustRightInd w:val="0"/>
              <w:snapToGrid w:val="0"/>
              <w:spacing w:line="420" w:lineRule="exact"/>
              <w:ind w:firstLine="480" w:firstLineChars="200"/>
              <w:jc w:val="left"/>
              <w:rPr>
                <w:rFonts w:hint="eastAsia" w:ascii="宋体" w:hAnsi="宋体" w:eastAsia="宋体" w:cs="宋体"/>
                <w:kern w:val="0"/>
                <w:sz w:val="24"/>
                <w:szCs w:val="24"/>
                <w:highlight w:val="none"/>
                <w:lang w:val="en-US" w:eastAsia="zh-CN"/>
              </w:rPr>
            </w:pPr>
            <w:bookmarkStart w:id="439" w:name="_GoBack"/>
            <w:r>
              <w:rPr>
                <w:rFonts w:hint="eastAsia" w:ascii="宋体" w:hAnsi="宋体" w:eastAsia="宋体" w:cs="宋体"/>
                <w:kern w:val="0"/>
                <w:sz w:val="24"/>
                <w:szCs w:val="24"/>
                <w:highlight w:val="none"/>
                <w:lang w:val="en-US" w:eastAsia="zh-CN"/>
              </w:rPr>
              <w:t>1.所投产品通过显示设备无频闪认证证书的，提供证书复印件的得2分，没有不得分。</w:t>
            </w:r>
          </w:p>
          <w:p w14:paraId="3F12DE63">
            <w:pPr>
              <w:keepNext w:val="0"/>
              <w:keepLines w:val="0"/>
              <w:pageBreakBefore w:val="0"/>
              <w:kinsoku/>
              <w:wordWrap/>
              <w:overflowPunct/>
              <w:topLinePunct w:val="0"/>
              <w:autoSpaceDE/>
              <w:autoSpaceDN/>
              <w:bidi w:val="0"/>
              <w:adjustRightInd w:val="0"/>
              <w:snapToGrid w:val="0"/>
              <w:spacing w:line="420" w:lineRule="exact"/>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2.所投产品通过显示设备低蓝光认证证书的，提供证书复印件的得2分，没有不得分。</w:t>
            </w:r>
          </w:p>
          <w:p w14:paraId="7C8F31A6">
            <w:pPr>
              <w:keepNext w:val="0"/>
              <w:keepLines w:val="0"/>
              <w:pageBreakBefore w:val="0"/>
              <w:kinsoku/>
              <w:wordWrap/>
              <w:overflowPunct/>
              <w:topLinePunct w:val="0"/>
              <w:autoSpaceDE/>
              <w:autoSpaceDN/>
              <w:bidi w:val="0"/>
              <w:adjustRightInd w:val="0"/>
              <w:snapToGrid w:val="0"/>
              <w:spacing w:line="420" w:lineRule="exact"/>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3.所投产品获得《儿童青少年学习用品近视防控卫生要求认证》CQC产品认证证书，提供证书复印件并加盖投标人公章得3分，没有不得分。</w:t>
            </w:r>
          </w:p>
          <w:p w14:paraId="12D5DA8B">
            <w:pPr>
              <w:keepNext w:val="0"/>
              <w:keepLines w:val="0"/>
              <w:pageBreakBefore w:val="0"/>
              <w:kinsoku/>
              <w:wordWrap/>
              <w:overflowPunct/>
              <w:topLinePunct w:val="0"/>
              <w:autoSpaceDE/>
              <w:autoSpaceDN/>
              <w:bidi w:val="0"/>
              <w:adjustRightInd w:val="0"/>
              <w:snapToGrid w:val="0"/>
              <w:spacing w:line="420" w:lineRule="exact"/>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4.投标人或所投的核心产品制造商具有信息技术服务管理体系认证证书、信息安全管理体系认证证书、云服务信息安全管理体系认证证书，每提供1种证书复印件并加盖投标人公章得1分，共3分，没有不得分。</w:t>
            </w:r>
            <w:bookmarkEnd w:id="439"/>
          </w:p>
        </w:tc>
      </w:tr>
      <w:tr w14:paraId="66D13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09" w:type="pct"/>
            <w:tcBorders>
              <w:top w:val="single" w:color="auto" w:sz="4" w:space="0"/>
              <w:left w:val="single" w:color="auto" w:sz="4" w:space="0"/>
              <w:bottom w:val="single" w:color="auto" w:sz="4" w:space="0"/>
              <w:right w:val="single" w:color="auto" w:sz="4" w:space="0"/>
            </w:tcBorders>
            <w:noWrap/>
            <w:vAlign w:val="center"/>
          </w:tcPr>
          <w:p w14:paraId="15DF3F67">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2.3</w:t>
            </w:r>
          </w:p>
        </w:tc>
        <w:tc>
          <w:tcPr>
            <w:tcW w:w="687" w:type="pct"/>
            <w:tcBorders>
              <w:left w:val="single" w:color="auto" w:sz="4" w:space="0"/>
              <w:right w:val="single" w:color="auto" w:sz="4" w:space="0"/>
            </w:tcBorders>
            <w:noWrap/>
            <w:vAlign w:val="center"/>
          </w:tcPr>
          <w:p w14:paraId="25E54AD6">
            <w:pPr>
              <w:keepNext w:val="0"/>
              <w:keepLines w:val="0"/>
              <w:pageBreakBefore w:val="0"/>
              <w:kinsoku/>
              <w:wordWrap/>
              <w:overflowPunct/>
              <w:topLinePunct w:val="0"/>
              <w:autoSpaceDE/>
              <w:autoSpaceDN/>
              <w:bidi w:val="0"/>
              <w:adjustRightInd/>
              <w:spacing w:line="420" w:lineRule="exact"/>
              <w:jc w:val="center"/>
              <w:rPr>
                <w:rFonts w:hint="eastAsia" w:ascii="宋体" w:hAnsi="宋体" w:eastAsia="宋体" w:cs="宋体"/>
                <w:bCs/>
                <w:sz w:val="24"/>
                <w:szCs w:val="24"/>
                <w:highlight w:val="none"/>
              </w:rPr>
            </w:pPr>
            <w:r>
              <w:rPr>
                <w:rFonts w:hint="eastAsia" w:ascii="宋体" w:hAnsi="宋体" w:eastAsia="宋体" w:cs="宋体"/>
                <w:b/>
                <w:bCs/>
                <w:color w:val="auto"/>
                <w:sz w:val="24"/>
                <w:szCs w:val="24"/>
                <w:highlight w:val="none"/>
                <w:lang w:val="en-US" w:eastAsia="zh-CN"/>
              </w:rPr>
              <w:t>售后服务分（满分6分）</w:t>
            </w:r>
          </w:p>
        </w:tc>
        <w:tc>
          <w:tcPr>
            <w:tcW w:w="4002" w:type="pct"/>
            <w:tcBorders>
              <w:top w:val="single" w:color="auto" w:sz="4" w:space="0"/>
              <w:left w:val="single" w:color="auto" w:sz="4" w:space="0"/>
              <w:bottom w:val="single" w:color="auto" w:sz="4" w:space="0"/>
              <w:right w:val="single" w:color="auto" w:sz="4" w:space="0"/>
            </w:tcBorders>
            <w:noWrap/>
            <w:vAlign w:val="center"/>
          </w:tcPr>
          <w:p w14:paraId="4DC5A5AE">
            <w:pPr>
              <w:keepNext w:val="0"/>
              <w:keepLines w:val="0"/>
              <w:pageBreakBefore w:val="0"/>
              <w:kinsoku/>
              <w:wordWrap/>
              <w:overflowPunct/>
              <w:topLinePunct w:val="0"/>
              <w:autoSpaceDE/>
              <w:autoSpaceDN/>
              <w:bidi w:val="0"/>
              <w:adjustRightInd w:val="0"/>
              <w:snapToGrid w:val="0"/>
              <w:spacing w:line="420" w:lineRule="exact"/>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根据投标文件中售后服务承诺书内容的完整性、可行性，到达故障现场时间、故障出现解决方案、定期维护(注明时间)、免费技术培训方案、免费保修期（免费软件升级期）外维修方案、其他优惠措施、安装要求及方案等方面，综合评定其档次并在相应等级内独立打分。</w:t>
            </w:r>
          </w:p>
          <w:p w14:paraId="00F575B3">
            <w:pPr>
              <w:keepNext w:val="0"/>
              <w:keepLines w:val="0"/>
              <w:pageBreakBefore w:val="0"/>
              <w:kinsoku/>
              <w:wordWrap/>
              <w:overflowPunct/>
              <w:topLinePunct w:val="0"/>
              <w:autoSpaceDE/>
              <w:autoSpaceDN/>
              <w:bidi w:val="0"/>
              <w:adjustRightInd w:val="0"/>
              <w:snapToGrid w:val="0"/>
              <w:spacing w:line="420" w:lineRule="exact"/>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一档（2 分）：售后服务承诺书内容的完整性、可行性不足，没有详细的售后服务承诺，售后服务流程、应急预案、质量保障等内容。</w:t>
            </w:r>
          </w:p>
          <w:p w14:paraId="5C0D7790">
            <w:pPr>
              <w:keepNext w:val="0"/>
              <w:keepLines w:val="0"/>
              <w:pageBreakBefore w:val="0"/>
              <w:kinsoku/>
              <w:wordWrap/>
              <w:overflowPunct/>
              <w:topLinePunct w:val="0"/>
              <w:autoSpaceDE/>
              <w:autoSpaceDN/>
              <w:bidi w:val="0"/>
              <w:adjustRightInd w:val="0"/>
              <w:snapToGrid w:val="0"/>
              <w:spacing w:line="420" w:lineRule="exact"/>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二档（4分）：方案完整可行合理，有详细的售后服务承诺，售后服务流程、应急预案、质量保障等内容，售后保障措施完备，售后服务经验丰富，售后响应及时快速，为确保项目具有完整、良好的售后服务，具有完整可靠的售后服务团队。</w:t>
            </w:r>
          </w:p>
          <w:p w14:paraId="106AD47E">
            <w:pPr>
              <w:keepNext w:val="0"/>
              <w:keepLines w:val="0"/>
              <w:pageBreakBefore w:val="0"/>
              <w:kinsoku/>
              <w:wordWrap/>
              <w:overflowPunct/>
              <w:topLinePunct w:val="0"/>
              <w:autoSpaceDE/>
              <w:autoSpaceDN/>
              <w:bidi w:val="0"/>
              <w:adjustRightInd w:val="0"/>
              <w:snapToGrid w:val="0"/>
              <w:spacing w:line="420" w:lineRule="exact"/>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三档（6 分）：方案完整可行合理细致，均能满足项目要求，有详细的售后服务承诺，售后服务流程、应急预案、质量保障等内容，售后保障措施完备，售后服务经验丰富，售后响应及时快速，为确保项目具有完整、良好的售后服务，具有完整可靠的售后服务团队。</w:t>
            </w:r>
          </w:p>
        </w:tc>
      </w:tr>
      <w:tr w14:paraId="0650C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5" w:hRule="atLeast"/>
          <w:jc w:val="center"/>
        </w:trPr>
        <w:tc>
          <w:tcPr>
            <w:tcW w:w="309" w:type="pct"/>
            <w:tcBorders>
              <w:top w:val="single" w:color="auto" w:sz="4" w:space="0"/>
              <w:left w:val="single" w:color="auto" w:sz="4" w:space="0"/>
              <w:bottom w:val="single" w:color="auto" w:sz="4" w:space="0"/>
              <w:right w:val="single" w:color="auto" w:sz="4" w:space="0"/>
            </w:tcBorders>
            <w:noWrap/>
            <w:vAlign w:val="center"/>
          </w:tcPr>
          <w:p w14:paraId="141094FD">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2.4</w:t>
            </w:r>
          </w:p>
        </w:tc>
        <w:tc>
          <w:tcPr>
            <w:tcW w:w="687" w:type="pct"/>
            <w:tcBorders>
              <w:left w:val="single" w:color="auto" w:sz="4" w:space="0"/>
              <w:bottom w:val="single" w:color="auto" w:sz="4" w:space="0"/>
              <w:right w:val="single" w:color="auto" w:sz="4" w:space="0"/>
            </w:tcBorders>
            <w:noWrap/>
            <w:vAlign w:val="center"/>
          </w:tcPr>
          <w:p w14:paraId="405094E7">
            <w:pPr>
              <w:keepNext w:val="0"/>
              <w:keepLines w:val="0"/>
              <w:pageBreakBefore w:val="0"/>
              <w:kinsoku/>
              <w:wordWrap/>
              <w:overflowPunct/>
              <w:topLinePunct w:val="0"/>
              <w:autoSpaceDE/>
              <w:autoSpaceDN/>
              <w:bidi w:val="0"/>
              <w:adjustRightInd/>
              <w:spacing w:line="42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项目实施方案分（满分6分）</w:t>
            </w:r>
          </w:p>
        </w:tc>
        <w:tc>
          <w:tcPr>
            <w:tcW w:w="4002" w:type="pct"/>
            <w:tcBorders>
              <w:top w:val="single" w:color="auto" w:sz="4" w:space="0"/>
              <w:left w:val="single" w:color="auto" w:sz="4" w:space="0"/>
              <w:bottom w:val="single" w:color="auto" w:sz="4" w:space="0"/>
              <w:right w:val="single" w:color="auto" w:sz="4" w:space="0"/>
            </w:tcBorders>
            <w:noWrap/>
            <w:vAlign w:val="center"/>
          </w:tcPr>
          <w:p w14:paraId="5BC5FDBC">
            <w:pPr>
              <w:keepNext w:val="0"/>
              <w:keepLines w:val="0"/>
              <w:pageBreakBefore w:val="0"/>
              <w:kinsoku/>
              <w:wordWrap/>
              <w:overflowPunct/>
              <w:topLinePunct w:val="0"/>
              <w:autoSpaceDE/>
              <w:autoSpaceDN/>
              <w:bidi w:val="0"/>
              <w:adjustRightInd/>
              <w:spacing w:line="420" w:lineRule="exact"/>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一档（2分）：提供了较详细的实施配送安装方案，内容包括实施管理、进度安排及质量保障措施等；</w:t>
            </w:r>
          </w:p>
          <w:p w14:paraId="14C51E02">
            <w:pPr>
              <w:keepNext w:val="0"/>
              <w:keepLines w:val="0"/>
              <w:pageBreakBefore w:val="0"/>
              <w:kinsoku/>
              <w:wordWrap/>
              <w:overflowPunct/>
              <w:topLinePunct w:val="0"/>
              <w:autoSpaceDE/>
              <w:autoSpaceDN/>
              <w:bidi w:val="0"/>
              <w:adjustRightInd/>
              <w:spacing w:line="420" w:lineRule="exact"/>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档（4分）：满足一档的基础上，投标人的项目实施配送安装方案进度安排合理；对各项关键工作安排较合理；对本项目的风险预见、风险应对措施较完备，有解决方案；项目管理方案较完整，组织机构、人员配置及安排合理，分工与职责明确。</w:t>
            </w:r>
          </w:p>
          <w:p w14:paraId="7E6CC201">
            <w:pPr>
              <w:keepNext w:val="0"/>
              <w:keepLines w:val="0"/>
              <w:pageBreakBefore w:val="0"/>
              <w:kinsoku/>
              <w:wordWrap/>
              <w:overflowPunct/>
              <w:topLinePunct w:val="0"/>
              <w:autoSpaceDE/>
              <w:autoSpaceDN/>
              <w:bidi w:val="0"/>
              <w:adjustRightInd/>
              <w:spacing w:line="420" w:lineRule="exact"/>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三档（6分）：满足二档的基础上，投标人的项目实施配送安装方案进度安排合理，且相关保障措施到位；对各项关键工作安排合理；对本项目的风险预见、风险应对措施完备，有完善的解决方案；项目管理方案完整，组织机构合理，人员配置及安排有保障，分工与职责明确；提出具有建设性的方案优化建议。</w:t>
            </w:r>
          </w:p>
        </w:tc>
      </w:tr>
      <w:tr w14:paraId="78377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9" w:type="pct"/>
            <w:tcBorders>
              <w:top w:val="single" w:color="auto" w:sz="4" w:space="0"/>
              <w:left w:val="single" w:color="auto" w:sz="4" w:space="0"/>
              <w:bottom w:val="single" w:color="auto" w:sz="4" w:space="0"/>
              <w:right w:val="single" w:color="auto" w:sz="4" w:space="0"/>
            </w:tcBorders>
            <w:noWrap/>
            <w:vAlign w:val="center"/>
          </w:tcPr>
          <w:p w14:paraId="0FDCF71B">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w:t>
            </w:r>
          </w:p>
        </w:tc>
        <w:tc>
          <w:tcPr>
            <w:tcW w:w="4690" w:type="pct"/>
            <w:gridSpan w:val="2"/>
            <w:tcBorders>
              <w:top w:val="single" w:color="auto" w:sz="4" w:space="0"/>
              <w:left w:val="single" w:color="auto" w:sz="4" w:space="0"/>
              <w:bottom w:val="single" w:color="auto" w:sz="4" w:space="0"/>
              <w:right w:val="single" w:color="auto" w:sz="4" w:space="0"/>
            </w:tcBorders>
            <w:noWrap/>
            <w:vAlign w:val="center"/>
          </w:tcPr>
          <w:p w14:paraId="5602A51A">
            <w:pPr>
              <w:keepNext w:val="0"/>
              <w:keepLines w:val="0"/>
              <w:pageBreakBefore w:val="0"/>
              <w:kinsoku/>
              <w:wordWrap/>
              <w:overflowPunct/>
              <w:topLinePunct w:val="0"/>
              <w:autoSpaceDE/>
              <w:autoSpaceDN/>
              <w:bidi w:val="0"/>
              <w:adjustRightInd/>
              <w:spacing w:line="420" w:lineRule="exact"/>
              <w:ind w:firstLine="482" w:firstLineChars="20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商务分</w:t>
            </w:r>
            <w:r>
              <w:rPr>
                <w:rFonts w:hint="eastAsia" w:ascii="宋体" w:hAnsi="宋体" w:eastAsia="宋体" w:cs="宋体"/>
                <w:b/>
                <w:bCs/>
                <w:sz w:val="24"/>
                <w:szCs w:val="24"/>
                <w:highlight w:val="none"/>
                <w:lang w:eastAsia="zh-CN"/>
              </w:rPr>
              <w:t>（满分</w:t>
            </w:r>
            <w:r>
              <w:rPr>
                <w:rFonts w:hint="eastAsia" w:ascii="宋体" w:hAnsi="宋体" w:eastAsia="宋体" w:cs="宋体"/>
                <w:b/>
                <w:bCs/>
                <w:sz w:val="24"/>
                <w:szCs w:val="24"/>
                <w:highlight w:val="none"/>
                <w:lang w:val="en-US" w:eastAsia="zh-CN"/>
              </w:rPr>
              <w:t>2分</w:t>
            </w:r>
            <w:r>
              <w:rPr>
                <w:rFonts w:hint="eastAsia" w:ascii="宋体" w:hAnsi="宋体" w:eastAsia="宋体" w:cs="宋体"/>
                <w:b/>
                <w:bCs/>
                <w:sz w:val="24"/>
                <w:szCs w:val="24"/>
                <w:highlight w:val="none"/>
                <w:lang w:eastAsia="zh-CN"/>
              </w:rPr>
              <w:t>）</w:t>
            </w:r>
          </w:p>
        </w:tc>
      </w:tr>
      <w:tr w14:paraId="23178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0" w:hRule="atLeast"/>
          <w:jc w:val="center"/>
        </w:trPr>
        <w:tc>
          <w:tcPr>
            <w:tcW w:w="309" w:type="pct"/>
            <w:tcBorders>
              <w:top w:val="single" w:color="auto" w:sz="4" w:space="0"/>
              <w:left w:val="single" w:color="auto" w:sz="4" w:space="0"/>
              <w:bottom w:val="single" w:color="auto" w:sz="4" w:space="0"/>
              <w:right w:val="single" w:color="auto" w:sz="4" w:space="0"/>
            </w:tcBorders>
            <w:noWrap/>
            <w:vAlign w:val="center"/>
          </w:tcPr>
          <w:p w14:paraId="087BC3F3">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3.1</w:t>
            </w:r>
          </w:p>
        </w:tc>
        <w:tc>
          <w:tcPr>
            <w:tcW w:w="687" w:type="pct"/>
            <w:tcBorders>
              <w:top w:val="single" w:color="auto" w:sz="4" w:space="0"/>
              <w:left w:val="single" w:color="auto" w:sz="4" w:space="0"/>
              <w:bottom w:val="single" w:color="auto" w:sz="4" w:space="0"/>
              <w:right w:val="single" w:color="auto" w:sz="4" w:space="0"/>
            </w:tcBorders>
            <w:noWrap/>
            <w:vAlign w:val="center"/>
          </w:tcPr>
          <w:p w14:paraId="66A05B45">
            <w:pPr>
              <w:keepNext w:val="0"/>
              <w:keepLines w:val="0"/>
              <w:pageBreakBefore w:val="0"/>
              <w:kinsoku/>
              <w:wordWrap/>
              <w:overflowPunct/>
              <w:topLinePunct w:val="0"/>
              <w:autoSpaceDE/>
              <w:autoSpaceDN/>
              <w:bidi w:val="0"/>
              <w:adjustRightInd/>
              <w:spacing w:line="420" w:lineRule="exact"/>
              <w:jc w:val="center"/>
              <w:rPr>
                <w:rFonts w:hint="eastAsia" w:ascii="宋体" w:hAnsi="宋体" w:eastAsia="宋体" w:cs="宋体"/>
                <w:bCs/>
                <w:sz w:val="24"/>
                <w:szCs w:val="24"/>
                <w:highlight w:val="none"/>
                <w:lang w:eastAsia="zh-CN"/>
              </w:rPr>
            </w:pPr>
            <w:r>
              <w:rPr>
                <w:rFonts w:hint="eastAsia" w:ascii="宋体" w:hAnsi="宋体" w:eastAsia="宋体" w:cs="宋体"/>
                <w:b/>
                <w:sz w:val="24"/>
                <w:szCs w:val="24"/>
                <w:highlight w:val="none"/>
              </w:rPr>
              <w:t>政策功能分（满分</w:t>
            </w:r>
            <w:r>
              <w:rPr>
                <w:rFonts w:hint="eastAsia" w:ascii="宋体" w:hAnsi="宋体" w:eastAsia="宋体" w:cs="宋体"/>
                <w:b/>
                <w:sz w:val="24"/>
                <w:szCs w:val="24"/>
                <w:highlight w:val="none"/>
                <w:lang w:val="en-US" w:eastAsia="zh-CN"/>
              </w:rPr>
              <w:t>2</w:t>
            </w:r>
            <w:r>
              <w:rPr>
                <w:rFonts w:hint="eastAsia" w:ascii="宋体" w:hAnsi="宋体" w:eastAsia="宋体" w:cs="宋体"/>
                <w:b/>
                <w:sz w:val="24"/>
                <w:szCs w:val="24"/>
                <w:highlight w:val="none"/>
              </w:rPr>
              <w:t>分</w:t>
            </w:r>
            <w:r>
              <w:rPr>
                <w:rFonts w:hint="eastAsia" w:ascii="宋体" w:hAnsi="宋体" w:eastAsia="宋体" w:cs="宋体"/>
                <w:b/>
                <w:sz w:val="24"/>
                <w:szCs w:val="24"/>
                <w:highlight w:val="none"/>
                <w:lang w:eastAsia="zh-CN"/>
              </w:rPr>
              <w:t>）</w:t>
            </w:r>
          </w:p>
        </w:tc>
        <w:tc>
          <w:tcPr>
            <w:tcW w:w="4002" w:type="pct"/>
            <w:tcBorders>
              <w:top w:val="single" w:color="auto" w:sz="4" w:space="0"/>
              <w:left w:val="single" w:color="auto" w:sz="4" w:space="0"/>
              <w:bottom w:val="single" w:color="auto" w:sz="4" w:space="0"/>
              <w:right w:val="single" w:color="auto" w:sz="4" w:space="0"/>
            </w:tcBorders>
            <w:noWrap/>
            <w:vAlign w:val="center"/>
          </w:tcPr>
          <w:p w14:paraId="6E260760">
            <w:pPr>
              <w:keepNext w:val="0"/>
              <w:keepLines w:val="0"/>
              <w:pageBreakBefore w:val="0"/>
              <w:kinsoku/>
              <w:wordWrap/>
              <w:overflowPunct/>
              <w:topLinePunct w:val="0"/>
              <w:autoSpaceDE/>
              <w:autoSpaceDN/>
              <w:bidi w:val="0"/>
              <w:adjustRightInd w:val="0"/>
              <w:spacing w:line="420" w:lineRule="exact"/>
              <w:ind w:firstLine="480" w:firstLineChars="200"/>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rPr>
              <w:t>（1）投标产品纳入财政部 国家发展改革委《关于印发节能产品政府采购品目清单的通知》（财库[2019]19号）中节能产品政府采购品目清单的，毎有一项得0.5分，满分1分。（投标时须提供国家确定的认证机构出具的、处于有效期之内的有效的节能产品认证证书复印件并加盖投标人公章。适用于非强制采购节能产品）</w:t>
            </w:r>
          </w:p>
          <w:p w14:paraId="6EFD4B7F">
            <w:pPr>
              <w:keepNext w:val="0"/>
              <w:keepLines w:val="0"/>
              <w:pageBreakBefore w:val="0"/>
              <w:kinsoku/>
              <w:wordWrap/>
              <w:overflowPunct/>
              <w:topLinePunct w:val="0"/>
              <w:autoSpaceDE/>
              <w:autoSpaceDN/>
              <w:bidi w:val="0"/>
              <w:spacing w:line="42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（2）投标产品纳入财政部 国家发展改革委《关于印发环境标志产品政府采购品目清单的通知》（财库[2019]18号）中环境标志产品政府采购品目清单的，毎有一项得0.5分，满分1分。（投标时须提供国家确定的认证机构出具的、处于有效期之内的有效的认证证书复印件并加盖投标人公章。）</w:t>
            </w:r>
          </w:p>
          <w:p w14:paraId="4DC1D716">
            <w:pPr>
              <w:keepNext w:val="0"/>
              <w:keepLines w:val="0"/>
              <w:pageBreakBefore w:val="0"/>
              <w:kinsoku/>
              <w:wordWrap/>
              <w:overflowPunct/>
              <w:topLinePunct w:val="0"/>
              <w:autoSpaceDE/>
              <w:autoSpaceDN/>
              <w:bidi w:val="0"/>
              <w:adjustRightInd/>
              <w:spacing w:line="420" w:lineRule="exact"/>
              <w:ind w:firstLine="480" w:firstLineChars="200"/>
              <w:jc w:val="left"/>
              <w:rPr>
                <w:rFonts w:hint="eastAsia" w:ascii="宋体" w:hAnsi="宋体" w:eastAsia="宋体" w:cs="宋体"/>
                <w:bCs/>
                <w:sz w:val="24"/>
                <w:szCs w:val="24"/>
                <w:highlight w:val="none"/>
              </w:rPr>
            </w:pPr>
          </w:p>
        </w:tc>
      </w:tr>
      <w:tr w14:paraId="2A2DE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09" w:type="pct"/>
            <w:tcBorders>
              <w:top w:val="single" w:color="auto" w:sz="4" w:space="0"/>
              <w:left w:val="single" w:color="auto" w:sz="4" w:space="0"/>
              <w:bottom w:val="single" w:color="auto" w:sz="4" w:space="0"/>
              <w:right w:val="single" w:color="auto" w:sz="4" w:space="0"/>
            </w:tcBorders>
            <w:noWrap/>
            <w:vAlign w:val="center"/>
          </w:tcPr>
          <w:p w14:paraId="318160D9">
            <w:pPr>
              <w:keepNext w:val="0"/>
              <w:keepLines w:val="0"/>
              <w:pageBreakBefore w:val="0"/>
              <w:widowControl/>
              <w:kinsoku/>
              <w:wordWrap/>
              <w:overflowPunct/>
              <w:topLinePunct w:val="0"/>
              <w:autoSpaceDE/>
              <w:autoSpaceDN/>
              <w:bidi w:val="0"/>
              <w:adjustRightInd/>
              <w:snapToGrid w:val="0"/>
              <w:spacing w:line="420" w:lineRule="exact"/>
              <w:jc w:val="center"/>
              <w:rPr>
                <w:rFonts w:hint="eastAsia" w:ascii="宋体" w:hAnsi="宋体" w:eastAsia="宋体" w:cs="宋体"/>
                <w:b/>
                <w:bCs/>
                <w:sz w:val="24"/>
                <w:szCs w:val="24"/>
                <w:highlight w:val="none"/>
              </w:rPr>
            </w:pPr>
          </w:p>
        </w:tc>
        <w:tc>
          <w:tcPr>
            <w:tcW w:w="687" w:type="pct"/>
            <w:tcBorders>
              <w:top w:val="single" w:color="auto" w:sz="4" w:space="0"/>
              <w:left w:val="single" w:color="auto" w:sz="4" w:space="0"/>
              <w:bottom w:val="single" w:color="auto" w:sz="4" w:space="0"/>
              <w:right w:val="single" w:color="auto" w:sz="4" w:space="0"/>
            </w:tcBorders>
            <w:noWrap/>
            <w:vAlign w:val="center"/>
          </w:tcPr>
          <w:p w14:paraId="05A6A91A">
            <w:pPr>
              <w:keepNext w:val="0"/>
              <w:keepLines w:val="0"/>
              <w:pageBreakBefore w:val="0"/>
              <w:widowControl/>
              <w:kinsoku/>
              <w:wordWrap/>
              <w:overflowPunct/>
              <w:topLinePunct w:val="0"/>
              <w:autoSpaceDE/>
              <w:autoSpaceDN/>
              <w:bidi w:val="0"/>
              <w:adjustRightInd/>
              <w:snapToGrid w:val="0"/>
              <w:spacing w:line="420" w:lineRule="exact"/>
              <w:jc w:val="center"/>
              <w:rPr>
                <w:rFonts w:hint="eastAsia" w:ascii="宋体" w:hAnsi="宋体" w:eastAsia="宋体" w:cs="宋体"/>
                <w:b/>
                <w:bCs/>
                <w:sz w:val="24"/>
                <w:szCs w:val="24"/>
                <w:highlight w:val="none"/>
              </w:rPr>
            </w:pPr>
          </w:p>
        </w:tc>
        <w:tc>
          <w:tcPr>
            <w:tcW w:w="4002" w:type="pct"/>
            <w:tcBorders>
              <w:top w:val="single" w:color="auto" w:sz="4" w:space="0"/>
              <w:left w:val="single" w:color="auto" w:sz="4" w:space="0"/>
              <w:bottom w:val="single" w:color="auto" w:sz="4" w:space="0"/>
              <w:right w:val="single" w:color="auto" w:sz="4" w:space="0"/>
            </w:tcBorders>
            <w:noWrap/>
            <w:vAlign w:val="center"/>
          </w:tcPr>
          <w:p w14:paraId="2A466219">
            <w:pPr>
              <w:keepNext w:val="0"/>
              <w:keepLines w:val="0"/>
              <w:pageBreakBefore w:val="0"/>
              <w:widowControl/>
              <w:kinsoku/>
              <w:wordWrap/>
              <w:overflowPunct/>
              <w:topLinePunct w:val="0"/>
              <w:autoSpaceDE/>
              <w:autoSpaceDN/>
              <w:bidi w:val="0"/>
              <w:adjustRightInd/>
              <w:snapToGrid w:val="0"/>
              <w:spacing w:line="42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总得分=1+2+3</w:t>
            </w:r>
          </w:p>
        </w:tc>
      </w:tr>
    </w:tbl>
    <w:p w14:paraId="3730A15A">
      <w:pPr>
        <w:widowControl/>
        <w:adjustRightInd/>
        <w:jc w:val="left"/>
        <w:rPr>
          <w:rFonts w:ascii="宋体" w:hAnsi="宋体" w:cs="宋体"/>
          <w:sz w:val="24"/>
          <w:highlight w:val="none"/>
        </w:rPr>
      </w:pPr>
      <w:r>
        <w:rPr>
          <w:rFonts w:hint="eastAsia" w:ascii="宋体" w:hAnsi="宋体" w:cs="宋体"/>
          <w:sz w:val="20"/>
          <w:szCs w:val="20"/>
          <w:highlight w:val="none"/>
          <w:shd w:val="clear" w:color="auto" w:fill="FFFFFF"/>
        </w:rPr>
        <w:t> </w:t>
      </w:r>
      <w:r>
        <w:rPr>
          <w:rFonts w:hint="eastAsia" w:cs="仿宋_GB2312" w:asciiTheme="minorEastAsia" w:hAnsiTheme="minorEastAsia" w:eastAsiaTheme="minorEastAsia"/>
          <w:bCs/>
          <w:color w:val="0000FF"/>
          <w:sz w:val="24"/>
          <w:highlight w:val="none"/>
        </w:rPr>
        <w:t>*</w:t>
      </w:r>
      <w:r>
        <w:rPr>
          <w:rFonts w:hint="eastAsia" w:ascii="宋体" w:hAnsi="宋体" w:cs="宋体"/>
          <w:b/>
          <w:sz w:val="24"/>
          <w:highlight w:val="none"/>
        </w:rPr>
        <w:t>备注：</w:t>
      </w:r>
      <w:r>
        <w:rPr>
          <w:rFonts w:hint="eastAsia" w:ascii="宋体" w:hAnsi="宋体" w:cs="宋体"/>
          <w:sz w:val="24"/>
          <w:highlight w:val="none"/>
        </w:rPr>
        <w:t>投标人编制投标文件（商务技术文件部分）时，建议按此目录（序号和内容）提供评标标准相应的商务技术资料。</w:t>
      </w:r>
    </w:p>
    <w:p w14:paraId="6D161FA8">
      <w:pPr>
        <w:adjustRightInd/>
        <w:spacing w:line="360" w:lineRule="auto"/>
        <w:outlineLvl w:val="1"/>
        <w:rPr>
          <w:rFonts w:ascii="宋体" w:hAnsi="宋体" w:cs="宋体"/>
          <w:b/>
          <w:sz w:val="32"/>
          <w:highlight w:val="none"/>
        </w:rPr>
      </w:pPr>
      <w:r>
        <w:rPr>
          <w:rFonts w:hint="eastAsia" w:ascii="宋体" w:hAnsi="宋体" w:cs="宋体"/>
          <w:b/>
          <w:sz w:val="32"/>
          <w:highlight w:val="none"/>
        </w:rPr>
        <w:t>一、评标方法</w:t>
      </w:r>
    </w:p>
    <w:p w14:paraId="5F54DBCF">
      <w:pPr>
        <w:adjustRightInd/>
        <w:spacing w:line="360" w:lineRule="auto"/>
        <w:ind w:firstLine="482" w:firstLineChars="200"/>
        <w:rPr>
          <w:rFonts w:ascii="宋体" w:hAnsi="宋体" w:cs="宋体"/>
          <w:b/>
          <w:kern w:val="0"/>
          <w:sz w:val="24"/>
          <w:highlight w:val="none"/>
        </w:rPr>
      </w:pPr>
      <w:r>
        <w:rPr>
          <w:rFonts w:hint="eastAsia" w:ascii="宋体" w:hAnsi="宋体" w:cs="宋体"/>
          <w:b/>
          <w:kern w:val="0"/>
          <w:sz w:val="24"/>
          <w:highlight w:val="none"/>
        </w:rPr>
        <w:t>1.本项目采用的评标方法:</w:t>
      </w:r>
    </w:p>
    <w:p w14:paraId="5BE67EDC">
      <w:pPr>
        <w:adjustRightInd/>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sym w:font="Wingdings" w:char="F0FE"/>
      </w:r>
      <w:r>
        <w:rPr>
          <w:rFonts w:hint="eastAsia" w:ascii="宋体" w:hAnsi="宋体" w:cs="宋体"/>
          <w:kern w:val="0"/>
          <w:sz w:val="24"/>
          <w:highlight w:val="none"/>
        </w:rPr>
        <w:t>A</w:t>
      </w:r>
      <w:r>
        <w:rPr>
          <w:rFonts w:hint="eastAsia" w:ascii="宋体" w:hAnsi="宋体" w:cs="宋体"/>
          <w:b/>
          <w:kern w:val="0"/>
          <w:sz w:val="24"/>
          <w:highlight w:val="none"/>
        </w:rPr>
        <w:t>综合评分法</w:t>
      </w:r>
      <w:r>
        <w:rPr>
          <w:rFonts w:hint="eastAsia" w:ascii="宋体" w:hAnsi="宋体" w:cs="宋体"/>
          <w:sz w:val="24"/>
          <w:highlight w:val="none"/>
        </w:rPr>
        <w:t>。</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0755300F">
      <w:pPr>
        <w:adjustRightInd/>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w:t>
      </w:r>
      <w:r>
        <w:rPr>
          <w:rFonts w:hint="eastAsia" w:ascii="宋体" w:hAnsi="宋体" w:cs="宋体"/>
          <w:sz w:val="24"/>
          <w:highlight w:val="none"/>
        </w:rPr>
        <w:t>B最低评标价法</w:t>
      </w:r>
      <w:r>
        <w:rPr>
          <w:rFonts w:hint="eastAsia" w:ascii="宋体" w:hAnsi="宋体" w:cs="宋体"/>
          <w:b/>
          <w:kern w:val="0"/>
          <w:sz w:val="24"/>
          <w:highlight w:val="none"/>
        </w:rPr>
        <w:t>。</w:t>
      </w:r>
      <w:r>
        <w:rPr>
          <w:rFonts w:hint="eastAsia" w:ascii="宋体" w:hAnsi="宋体" w:cs="宋体"/>
          <w:kern w:val="0"/>
          <w:sz w:val="24"/>
          <w:highlight w:val="none"/>
        </w:rPr>
        <w:t>最低评标价法，是指投标文件满足招标文件全部实质性要求，且投标报价最低的投标人为中标候选人的评标方法。</w:t>
      </w:r>
    </w:p>
    <w:p w14:paraId="2744CEF9">
      <w:pPr>
        <w:adjustRightInd/>
        <w:spacing w:line="360" w:lineRule="auto"/>
        <w:outlineLvl w:val="1"/>
        <w:rPr>
          <w:rFonts w:ascii="宋体" w:hAnsi="宋体" w:cs="宋体"/>
          <w:kern w:val="0"/>
          <w:sz w:val="24"/>
          <w:highlight w:val="none"/>
        </w:rPr>
      </w:pPr>
      <w:r>
        <w:rPr>
          <w:rFonts w:hint="eastAsia" w:ascii="宋体" w:hAnsi="宋体" w:cs="宋体"/>
          <w:b/>
          <w:sz w:val="32"/>
          <w:highlight w:val="none"/>
        </w:rPr>
        <w:t>二、评标标准</w:t>
      </w:r>
    </w:p>
    <w:p w14:paraId="000D8E5B">
      <w:pPr>
        <w:spacing w:line="360" w:lineRule="auto"/>
        <w:ind w:firstLine="482" w:firstLineChars="200"/>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sz w:val="24"/>
          <w:highlight w:val="none"/>
        </w:rPr>
        <w:t>采用综合评分法的，评标标准</w:t>
      </w:r>
      <w:r>
        <w:rPr>
          <w:rFonts w:hint="eastAsia" w:ascii="宋体" w:hAnsi="宋体" w:cs="宋体"/>
          <w:kern w:val="0"/>
          <w:sz w:val="24"/>
          <w:highlight w:val="none"/>
        </w:rPr>
        <w:t>见评标办法前附表。采用最低评标价法评标时，除了算术修正和落实政府采购政策需进行的价格扣除外，不能对投标人的投标价格进行任何调整。</w:t>
      </w:r>
    </w:p>
    <w:p w14:paraId="3D6CA3BB">
      <w:pPr>
        <w:spacing w:line="360" w:lineRule="auto"/>
        <w:outlineLvl w:val="1"/>
        <w:rPr>
          <w:rFonts w:ascii="宋体" w:hAnsi="宋体" w:cs="宋体"/>
          <w:b/>
          <w:sz w:val="32"/>
          <w:szCs w:val="32"/>
          <w:highlight w:val="none"/>
        </w:rPr>
      </w:pPr>
      <w:r>
        <w:rPr>
          <w:rFonts w:hint="eastAsia" w:ascii="宋体" w:hAnsi="宋体" w:cs="宋体"/>
          <w:b/>
          <w:sz w:val="32"/>
          <w:szCs w:val="32"/>
          <w:highlight w:val="none"/>
        </w:rPr>
        <w:t>三、评标程序</w:t>
      </w:r>
    </w:p>
    <w:p w14:paraId="61E57B55">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4775E512">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20392D11">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采用综合评分法时，评标委员会各成员应当独立对每个投标人的商务和技术文件进行评价，并汇总商务技术得分情况。</w:t>
      </w:r>
    </w:p>
    <w:p w14:paraId="6D3C958E">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14:paraId="4F004DCA">
      <w:pPr>
        <w:pStyle w:val="128"/>
        <w:spacing w:before="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14:paraId="752AE45A">
      <w:pPr>
        <w:pStyle w:val="128"/>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2C20EC3E">
      <w:pPr>
        <w:pStyle w:val="128"/>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1FE4327B">
      <w:pPr>
        <w:pStyle w:val="128"/>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77B656A5">
      <w:pPr>
        <w:pStyle w:val="128"/>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074CE7E0">
      <w:pPr>
        <w:pStyle w:val="128"/>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28E55A3">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0C56BE0B">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38BC53AE">
      <w:pPr>
        <w:pStyle w:val="128"/>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492FB6A">
      <w:pPr>
        <w:pStyle w:val="128"/>
        <w:spacing w:before="0"/>
        <w:ind w:firstLine="480"/>
        <w:rPr>
          <w:rFonts w:ascii="宋体" w:hAnsi="宋体" w:cs="宋体"/>
          <w:color w:val="FF0000"/>
          <w:kern w:val="0"/>
          <w:szCs w:val="24"/>
          <w:highlight w:val="none"/>
        </w:rPr>
      </w:pPr>
      <w:r>
        <w:rPr>
          <w:rFonts w:hint="eastAsia" w:ascii="宋体" w:hAnsi="宋体" w:cs="宋体"/>
          <w:kern w:val="0"/>
          <w:szCs w:val="24"/>
          <w:highlight w:val="none"/>
        </w:rPr>
        <w:t>3.4.5对于未预留份额专门面向中小企业采购的政府采购项目，以及预留份额政府采购项目中的非预留部分标项，对小型和微型企业的投标报价给予</w:t>
      </w:r>
      <w:r>
        <w:rPr>
          <w:rFonts w:ascii="宋体" w:hAnsi="宋体" w:cs="宋体"/>
          <w:kern w:val="0"/>
          <w:szCs w:val="24"/>
          <w:highlight w:val="none"/>
        </w:rPr>
        <w:t>20</w:t>
      </w:r>
      <w:r>
        <w:rPr>
          <w:rFonts w:hint="eastAsia" w:ascii="宋体" w:hAnsi="宋体" w:cs="宋体"/>
          <w:kern w:val="0"/>
          <w:szCs w:val="24"/>
          <w:highlight w:val="none"/>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ascii="宋体" w:hAnsi="宋体" w:cs="宋体"/>
          <w:kern w:val="0"/>
          <w:szCs w:val="24"/>
          <w:highlight w:val="none"/>
        </w:rPr>
        <w:t>6</w:t>
      </w:r>
      <w:r>
        <w:rPr>
          <w:rFonts w:hint="eastAsia" w:ascii="宋体" w:hAnsi="宋体" w:cs="宋体"/>
          <w:kern w:val="0"/>
          <w:szCs w:val="24"/>
          <w:highlight w:val="none"/>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color w:val="FF0000"/>
          <w:kern w:val="0"/>
          <w:szCs w:val="24"/>
          <w:highlight w:val="none"/>
        </w:rPr>
        <w:t>对于专门面向中小企业采购的项目或者采购包，不再执行价格评审优惠的扶持政策。</w:t>
      </w:r>
    </w:p>
    <w:p w14:paraId="6D74A734">
      <w:pPr>
        <w:spacing w:line="360" w:lineRule="auto"/>
        <w:ind w:firstLine="482" w:firstLineChars="200"/>
        <w:rPr>
          <w:rFonts w:ascii="宋体" w:hAnsi="宋体" w:cs="宋体"/>
          <w:b/>
          <w:kern w:val="0"/>
          <w:sz w:val="24"/>
          <w:highlight w:val="none"/>
        </w:rPr>
      </w:pPr>
      <w:r>
        <w:rPr>
          <w:rFonts w:hint="eastAsia" w:ascii="宋体" w:hAnsi="宋体" w:cs="宋体"/>
          <w:b/>
          <w:kern w:val="0"/>
          <w:sz w:val="24"/>
          <w:highlight w:val="none"/>
        </w:rPr>
        <w:t>3.5排序与推荐。</w:t>
      </w:r>
    </w:p>
    <w:p w14:paraId="030DD5AA">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3.5.1</w:t>
      </w:r>
      <w:r>
        <w:rPr>
          <w:rFonts w:hint="eastAsia" w:ascii="宋体" w:hAnsi="宋体" w:cs="宋体"/>
          <w:kern w:val="0"/>
          <w:sz w:val="24"/>
          <w:highlight w:val="none"/>
        </w:rPr>
        <w:t>采用综合评分法的，评标结果按评审后得分由高到低顺序排列。得分相同的，按投标报价由低到高顺序排列。得分相同且投标报价相同的，按技术指标优劣顺序排列。投标文件满足招标文件全部实质性要求，且按照评审因素的量化指标评审得分最高的投标人为排名第一的中标候选人。</w:t>
      </w:r>
    </w:p>
    <w:p w14:paraId="7BAA04B5">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2A982E9">
      <w:pPr>
        <w:pStyle w:val="82"/>
        <w:rPr>
          <w:rFonts w:cs="宋体"/>
          <w:highlight w:val="none"/>
        </w:rPr>
      </w:pPr>
      <w:r>
        <w:rPr>
          <w:rFonts w:hint="eastAsia" w:cs="宋体"/>
          <w:highlight w:val="none"/>
        </w:rPr>
        <w:t>3.5.2采用最低评标价法的，评标结果按投标报价由低到高顺序排列。评标价相同时，由评标委员会根据投标文件中技术、服务、合同条款及其它实质性要求等情况，按照择优选择的原则，集体讨论确定排序，并按确定排序由优到劣的原则推荐中标候选人。投标文件满足招标文件全部实质性要求且投标报价最低的投标人为排名第一的中标候选人。</w:t>
      </w:r>
    </w:p>
    <w:p w14:paraId="528B0BE9">
      <w:pPr>
        <w:pStyle w:val="82"/>
        <w:rPr>
          <w:highlight w:val="none"/>
        </w:rPr>
      </w:pPr>
      <w:r>
        <w:rPr>
          <w:rFonts w:hint="eastAsia" w:cs="宋体"/>
          <w:highlight w:val="none"/>
        </w:rPr>
        <w:t>多家投标人提供相同品牌产品（单一产品采购项目中的该产品或者非单一产品采购项目的核心产品）且通过资格审查、符合性审查的不同投标人参加同一合同项下投标的，按一家投标人计算，评审后报价最低的同品牌投标人获得中标人推荐资格；报价相同的，由采购人或者采购人委托评标委员会按照招标文件规定的方式确定一个投标人获得中标人推荐资格，招标文件未规定的采取随机抽取方式确定，其他同品牌投标人不作为中标候选人。</w:t>
      </w:r>
    </w:p>
    <w:p w14:paraId="7F10D30E">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2BE0695">
      <w:pPr>
        <w:widowControl/>
        <w:shd w:val="clear" w:color="auto" w:fill="FFFFFF"/>
        <w:adjustRightInd/>
        <w:spacing w:line="360" w:lineRule="auto"/>
        <w:jc w:val="left"/>
        <w:outlineLvl w:val="1"/>
        <w:rPr>
          <w:rFonts w:ascii="宋体" w:hAnsi="宋体" w:cs="宋体"/>
          <w:b/>
          <w:sz w:val="32"/>
          <w:highlight w:val="none"/>
        </w:rPr>
      </w:pPr>
      <w:r>
        <w:rPr>
          <w:rFonts w:hint="eastAsia" w:ascii="宋体" w:hAnsi="宋体" w:cs="宋体"/>
          <w:b/>
          <w:sz w:val="32"/>
          <w:highlight w:val="none"/>
        </w:rPr>
        <w:t>四、评标中的其他事项</w:t>
      </w:r>
    </w:p>
    <w:p w14:paraId="73CFF961">
      <w:pPr>
        <w:pStyle w:val="128"/>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565B3DC">
      <w:pPr>
        <w:pStyle w:val="27"/>
        <w:spacing w:line="360" w:lineRule="auto"/>
        <w:ind w:left="954"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14:paraId="7A54BA81">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52F620C2">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509F81AA">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4BBBCF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14:paraId="2263818B">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14:paraId="6E10EA0D">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p>
    <w:p w14:paraId="0DFAFA0E">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p>
    <w:p w14:paraId="57CADC7A">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C748D3E">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4.2.9投标人对根据修正原则修正后的报价不确认的；</w:t>
      </w:r>
    </w:p>
    <w:p w14:paraId="31424C9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4.2.10投标人提供虚假材料投标的；</w:t>
      </w:r>
    </w:p>
    <w:p w14:paraId="24AE1F07">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4.2.11投标人有恶意串通、妨碍其他投标人的竞争行为、损害采购人或者其他投标人的合法权益情形的；</w:t>
      </w:r>
    </w:p>
    <w:p w14:paraId="5FCFB245">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14:paraId="4CEC8848">
      <w:pPr>
        <w:pStyle w:val="82"/>
        <w:rPr>
          <w:b/>
          <w:bCs/>
          <w:highlight w:val="none"/>
        </w:rPr>
      </w:pPr>
      <w:r>
        <w:rPr>
          <w:rFonts w:hint="eastAsia"/>
          <w:highlight w:val="none"/>
        </w:rPr>
        <w:t>4.2.13 投标文件不满足招标文件的其它实质性要求的；</w:t>
      </w:r>
    </w:p>
    <w:p w14:paraId="13595B7E">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4.2.14法律、法规、规章（适用本市的）及省级以上规范性文件（适用本市的）规定的其他无效情形。</w:t>
      </w:r>
    </w:p>
    <w:p w14:paraId="76CF1A25">
      <w:pPr>
        <w:pStyle w:val="27"/>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48080504">
      <w:pPr>
        <w:pStyle w:val="27"/>
        <w:snapToGrid w:val="0"/>
        <w:spacing w:line="360" w:lineRule="auto"/>
        <w:rPr>
          <w:rFonts w:cs="宋体"/>
          <w:highlight w:val="none"/>
        </w:rPr>
      </w:pPr>
      <w:r>
        <w:rPr>
          <w:rFonts w:hint="eastAsia" w:cs="宋体"/>
          <w:highlight w:val="none"/>
        </w:rPr>
        <w:t>5.1符合专业条件的供应商或者对招标文件作实质响应的供应商不足3家的；</w:t>
      </w:r>
    </w:p>
    <w:p w14:paraId="6CA26D0B">
      <w:pPr>
        <w:pStyle w:val="27"/>
        <w:snapToGrid w:val="0"/>
        <w:spacing w:line="360" w:lineRule="auto"/>
        <w:rPr>
          <w:rFonts w:cs="宋体"/>
          <w:highlight w:val="none"/>
        </w:rPr>
      </w:pPr>
      <w:r>
        <w:rPr>
          <w:rFonts w:hint="eastAsia" w:cs="宋体"/>
          <w:highlight w:val="none"/>
        </w:rPr>
        <w:t>5.2出现影响采购公正的违法、违规行为的；</w:t>
      </w:r>
    </w:p>
    <w:p w14:paraId="4D97EC97">
      <w:pPr>
        <w:pStyle w:val="27"/>
        <w:snapToGrid w:val="0"/>
        <w:spacing w:line="360" w:lineRule="auto"/>
        <w:rPr>
          <w:rFonts w:cs="宋体"/>
          <w:highlight w:val="none"/>
        </w:rPr>
      </w:pPr>
      <w:r>
        <w:rPr>
          <w:rFonts w:hint="eastAsia" w:cs="宋体"/>
          <w:highlight w:val="none"/>
        </w:rPr>
        <w:t>5.3投标人的报价均超过了采购预算，采购人不能支付的；</w:t>
      </w:r>
    </w:p>
    <w:p w14:paraId="76736BBE">
      <w:pPr>
        <w:pStyle w:val="27"/>
        <w:snapToGrid w:val="0"/>
        <w:spacing w:line="360" w:lineRule="auto"/>
        <w:rPr>
          <w:rFonts w:cs="宋体"/>
          <w:highlight w:val="none"/>
        </w:rPr>
      </w:pPr>
      <w:r>
        <w:rPr>
          <w:rFonts w:hint="eastAsia" w:cs="宋体"/>
          <w:highlight w:val="none"/>
        </w:rPr>
        <w:t>5.4因重大变故，采购任务取消的。</w:t>
      </w:r>
    </w:p>
    <w:p w14:paraId="4FBAA65A">
      <w:pPr>
        <w:pStyle w:val="27"/>
        <w:snapToGrid w:val="0"/>
        <w:spacing w:line="360" w:lineRule="auto"/>
        <w:rPr>
          <w:rFonts w:cs="宋体"/>
          <w:highlight w:val="none"/>
        </w:rPr>
      </w:pPr>
      <w:r>
        <w:rPr>
          <w:rFonts w:hint="eastAsia" w:cs="宋体"/>
          <w:highlight w:val="none"/>
        </w:rPr>
        <w:t>废标后，采购代理机构应当将废标理由通知所有投标人。</w:t>
      </w:r>
    </w:p>
    <w:p w14:paraId="0749A711">
      <w:pPr>
        <w:pStyle w:val="27"/>
        <w:snapToGrid w:val="0"/>
        <w:spacing w:line="360" w:lineRule="auto"/>
        <w:ind w:firstLine="482"/>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0FD0E3D">
      <w:pPr>
        <w:pStyle w:val="27"/>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3432EABB">
      <w:pPr>
        <w:pStyle w:val="27"/>
        <w:snapToGrid w:val="0"/>
        <w:spacing w:line="360" w:lineRule="auto"/>
        <w:rPr>
          <w:rFonts w:cs="宋体"/>
          <w:highlight w:val="none"/>
        </w:rPr>
      </w:pPr>
      <w:r>
        <w:rPr>
          <w:rFonts w:hint="eastAsia" w:cs="宋体"/>
          <w:highlight w:val="none"/>
        </w:rPr>
        <w:t>7.1未确定中标供应商的，终止本次政府采购活动，重新开展政府采购活动。</w:t>
      </w:r>
    </w:p>
    <w:p w14:paraId="736EF522">
      <w:pPr>
        <w:pStyle w:val="27"/>
        <w:snapToGrid w:val="0"/>
        <w:spacing w:line="360" w:lineRule="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14:paraId="7820BD1C">
      <w:pPr>
        <w:pStyle w:val="27"/>
        <w:snapToGrid w:val="0"/>
        <w:spacing w:line="360" w:lineRule="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14:paraId="559424D8">
      <w:pPr>
        <w:pStyle w:val="27"/>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14:paraId="4D91169F">
      <w:pPr>
        <w:pStyle w:val="27"/>
        <w:snapToGrid w:val="0"/>
        <w:spacing w:line="360" w:lineRule="auto"/>
        <w:rPr>
          <w:rFonts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01DD1F61">
      <w:pPr>
        <w:pStyle w:val="82"/>
        <w:ind w:firstLine="0"/>
        <w:rPr>
          <w:b/>
          <w:sz w:val="32"/>
          <w:szCs w:val="32"/>
          <w:highlight w:val="none"/>
        </w:rPr>
      </w:pPr>
      <w:r>
        <w:rPr>
          <w:rFonts w:hint="eastAsia"/>
          <w:b/>
          <w:sz w:val="32"/>
          <w:szCs w:val="32"/>
          <w:highlight w:val="none"/>
        </w:rPr>
        <w:t>五、评审过程的保密与录像</w:t>
      </w:r>
    </w:p>
    <w:p w14:paraId="6A423F23">
      <w:pPr>
        <w:widowControl/>
        <w:spacing w:line="360" w:lineRule="auto"/>
        <w:ind w:firstLine="482"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b/>
          <w:sz w:val="24"/>
          <w:highlight w:val="none"/>
        </w:rPr>
        <w:t>8.1.保密。</w:t>
      </w:r>
      <w:r>
        <w:rPr>
          <w:rFonts w:hint="eastAsia" w:cs="仿宋_GB2312" w:asciiTheme="minorEastAsia" w:hAnsiTheme="minorEastAsia" w:eastAsiaTheme="minorEastAsia"/>
          <w:sz w:val="24"/>
          <w:highlight w:val="none"/>
        </w:rPr>
        <w:t>评审活动在严格保密的情况下进行。评审过程中凡是与投标文件评审和比较、中标供应商推荐等评审有关的情况，以及涉及国家秘密和商业秘密等信息，评标委员会成员、采购人和采购代理机构工作人员、相关监督人员等与评审有关的人员应当予以保密。</w:t>
      </w:r>
    </w:p>
    <w:p w14:paraId="11BA14BC">
      <w:pPr>
        <w:pStyle w:val="27"/>
        <w:snapToGrid w:val="0"/>
        <w:spacing w:line="360" w:lineRule="auto"/>
        <w:ind w:firstLine="482"/>
        <w:rPr>
          <w:rFonts w:cs="宋体"/>
          <w:highlight w:val="none"/>
        </w:rPr>
      </w:pPr>
      <w:r>
        <w:rPr>
          <w:rFonts w:hint="eastAsia" w:cs="仿宋_GB2312" w:asciiTheme="minorEastAsia" w:hAnsiTheme="minorEastAsia" w:eastAsiaTheme="minorEastAsia"/>
          <w:b/>
          <w:highlight w:val="none"/>
        </w:rPr>
        <w:t>8.2.录音录像。</w:t>
      </w:r>
      <w:r>
        <w:rPr>
          <w:rFonts w:hint="eastAsia" w:cs="仿宋_GB2312" w:asciiTheme="minorEastAsia" w:hAnsiTheme="minorEastAsia" w:eastAsiaTheme="minorEastAsia"/>
          <w:highlight w:val="none"/>
        </w:rPr>
        <w:t>采购代理机构对评审工作现场进行全过程录音录像，录音录像资料作为采购项目文件随其他文件一并存档。</w:t>
      </w:r>
    </w:p>
    <w:bookmarkEnd w:id="44"/>
    <w:p w14:paraId="2E39B6C1">
      <w:pPr>
        <w:spacing w:line="360" w:lineRule="auto"/>
        <w:ind w:left="720" w:leftChars="343" w:firstLine="1084" w:firstLineChars="300"/>
        <w:rPr>
          <w:rFonts w:ascii="宋体" w:hAnsi="宋体" w:cs="宋体"/>
          <w:b/>
          <w:sz w:val="36"/>
          <w:szCs w:val="36"/>
          <w:highlight w:val="none"/>
        </w:rPr>
      </w:pPr>
      <w:bookmarkStart w:id="415" w:name="第五部分"/>
      <w:bookmarkStart w:id="416" w:name="_Toc86217003"/>
    </w:p>
    <w:p w14:paraId="4BC3FBBC">
      <w:pPr>
        <w:spacing w:line="360" w:lineRule="auto"/>
        <w:ind w:left="720" w:leftChars="343" w:firstLine="1084" w:firstLineChars="300"/>
        <w:rPr>
          <w:rFonts w:ascii="宋体" w:hAnsi="宋体" w:cs="宋体"/>
          <w:b/>
          <w:sz w:val="36"/>
          <w:szCs w:val="36"/>
          <w:highlight w:val="none"/>
        </w:rPr>
      </w:pPr>
      <w:r>
        <w:rPr>
          <w:rFonts w:hint="eastAsia" w:ascii="宋体" w:hAnsi="宋体" w:cs="宋体"/>
          <w:b/>
          <w:sz w:val="36"/>
          <w:szCs w:val="36"/>
          <w:highlight w:val="none"/>
        </w:rPr>
        <w:t xml:space="preserve">    </w:t>
      </w:r>
    </w:p>
    <w:p w14:paraId="37ABBD3B">
      <w:pPr>
        <w:pStyle w:val="82"/>
        <w:rPr>
          <w:highlight w:val="none"/>
        </w:rPr>
      </w:pPr>
      <w:r>
        <w:rPr>
          <w:highlight w:val="none"/>
        </w:rPr>
        <w:br w:type="page"/>
      </w:r>
    </w:p>
    <w:p w14:paraId="4BC901AC">
      <w:pPr>
        <w:pStyle w:val="82"/>
        <w:rPr>
          <w:highlight w:val="none"/>
        </w:rPr>
      </w:pPr>
    </w:p>
    <w:p w14:paraId="7FAE321C">
      <w:pPr>
        <w:spacing w:line="360" w:lineRule="auto"/>
        <w:jc w:val="center"/>
        <w:outlineLvl w:val="0"/>
        <w:rPr>
          <w:rFonts w:ascii="宋体" w:hAnsi="宋体" w:cs="宋体"/>
          <w:b/>
          <w:sz w:val="36"/>
          <w:szCs w:val="36"/>
          <w:highlight w:val="none"/>
        </w:rPr>
      </w:pPr>
      <w:bookmarkStart w:id="417" w:name="_Toc176185125"/>
      <w:bookmarkStart w:id="418" w:name="_Toc176343852"/>
      <w:r>
        <w:rPr>
          <w:rFonts w:hint="eastAsia" w:ascii="宋体" w:hAnsi="宋体" w:cs="宋体"/>
          <w:b/>
          <w:sz w:val="36"/>
          <w:szCs w:val="36"/>
          <w:highlight w:val="none"/>
        </w:rPr>
        <w:t>第五部分  拟签订的合同文本</w:t>
      </w:r>
      <w:bookmarkEnd w:id="417"/>
      <w:bookmarkEnd w:id="418"/>
    </w:p>
    <w:p w14:paraId="422890CD">
      <w:pPr>
        <w:adjustRightInd/>
        <w:spacing w:line="600" w:lineRule="exact"/>
        <w:ind w:firstLine="1044"/>
        <w:rPr>
          <w:rFonts w:ascii="宋体" w:hAnsi="宋体" w:cs="宋体"/>
          <w:b/>
          <w:kern w:val="0"/>
          <w:sz w:val="52"/>
          <w:szCs w:val="52"/>
          <w:highlight w:val="none"/>
        </w:rPr>
      </w:pPr>
    </w:p>
    <w:p w14:paraId="7D1D119C">
      <w:pPr>
        <w:adjustRightInd/>
        <w:jc w:val="center"/>
        <w:rPr>
          <w:rFonts w:ascii="宋体" w:hAnsi="宋体" w:cs="宋体"/>
          <w:b/>
          <w:bCs/>
          <w:spacing w:val="-20"/>
          <w:kern w:val="44"/>
          <w:sz w:val="48"/>
          <w:szCs w:val="48"/>
          <w:highlight w:val="none"/>
        </w:rPr>
      </w:pPr>
      <w:bookmarkStart w:id="419" w:name="_Toc3995"/>
    </w:p>
    <w:p w14:paraId="47240516">
      <w:pPr>
        <w:adjustRightInd/>
        <w:jc w:val="center"/>
        <w:rPr>
          <w:rFonts w:ascii="宋体" w:hAnsi="宋体" w:cs="宋体"/>
          <w:b/>
          <w:bCs/>
          <w:spacing w:val="-20"/>
          <w:kern w:val="44"/>
          <w:sz w:val="48"/>
          <w:szCs w:val="48"/>
          <w:highlight w:val="none"/>
        </w:rPr>
      </w:pPr>
    </w:p>
    <w:p w14:paraId="17898002">
      <w:pPr>
        <w:adjustRightInd/>
        <w:jc w:val="center"/>
        <w:rPr>
          <w:rFonts w:ascii="宋体" w:hAnsi="宋体" w:cs="宋体"/>
          <w:b/>
          <w:bCs/>
          <w:spacing w:val="-20"/>
          <w:kern w:val="44"/>
          <w:sz w:val="48"/>
          <w:szCs w:val="48"/>
          <w:highlight w:val="none"/>
        </w:rPr>
      </w:pPr>
    </w:p>
    <w:p w14:paraId="678B36F2">
      <w:pPr>
        <w:adjustRightInd/>
        <w:jc w:val="center"/>
        <w:rPr>
          <w:rFonts w:ascii="宋体" w:hAnsi="宋体" w:cs="宋体"/>
          <w:b/>
          <w:bCs/>
          <w:spacing w:val="-20"/>
          <w:kern w:val="44"/>
          <w:sz w:val="48"/>
          <w:szCs w:val="48"/>
          <w:highlight w:val="none"/>
        </w:rPr>
      </w:pPr>
    </w:p>
    <w:p w14:paraId="6A09FC98">
      <w:pPr>
        <w:adjustRightInd/>
        <w:jc w:val="center"/>
        <w:rPr>
          <w:rFonts w:ascii="宋体" w:hAnsi="宋体" w:cs="宋体"/>
          <w:b/>
          <w:bCs/>
          <w:color w:val="FF0000"/>
          <w:spacing w:val="-20"/>
          <w:kern w:val="44"/>
          <w:sz w:val="48"/>
          <w:szCs w:val="48"/>
          <w:highlight w:val="none"/>
        </w:rPr>
      </w:pPr>
      <w:r>
        <w:rPr>
          <w:rFonts w:hint="eastAsia" w:ascii="宋体" w:hAnsi="宋体" w:cs="宋体"/>
          <w:b/>
          <w:bCs/>
          <w:color w:val="FF0000"/>
          <w:spacing w:val="-20"/>
          <w:kern w:val="44"/>
          <w:sz w:val="48"/>
          <w:szCs w:val="48"/>
          <w:highlight w:val="none"/>
        </w:rPr>
        <w:t>北海市政府采购合同</w:t>
      </w:r>
    </w:p>
    <w:p w14:paraId="6EB4A9E4">
      <w:pPr>
        <w:adjustRightInd/>
        <w:jc w:val="center"/>
        <w:rPr>
          <w:rFonts w:ascii="宋体" w:hAnsi="宋体" w:cs="宋体"/>
          <w:b/>
          <w:bCs/>
          <w:spacing w:val="-20"/>
          <w:kern w:val="44"/>
          <w:sz w:val="36"/>
          <w:szCs w:val="36"/>
          <w:highlight w:val="none"/>
        </w:rPr>
      </w:pPr>
    </w:p>
    <w:p w14:paraId="1DE02CB7">
      <w:pPr>
        <w:adjustRightInd/>
        <w:jc w:val="center"/>
        <w:rPr>
          <w:rFonts w:ascii="宋体" w:hAnsi="宋体" w:cs="宋体"/>
          <w:b/>
          <w:bCs/>
          <w:spacing w:val="-20"/>
          <w:kern w:val="44"/>
          <w:sz w:val="36"/>
          <w:szCs w:val="36"/>
          <w:highlight w:val="none"/>
        </w:rPr>
      </w:pPr>
      <w:r>
        <w:rPr>
          <w:rFonts w:hint="eastAsia" w:ascii="宋体" w:hAnsi="宋体" w:cs="宋体"/>
          <w:b/>
          <w:bCs/>
          <w:spacing w:val="-20"/>
          <w:kern w:val="44"/>
          <w:sz w:val="36"/>
          <w:szCs w:val="36"/>
          <w:highlight w:val="none"/>
        </w:rPr>
        <w:t>（货物类）</w:t>
      </w:r>
    </w:p>
    <w:p w14:paraId="5FC1DC22">
      <w:pPr>
        <w:adjustRightInd/>
        <w:rPr>
          <w:rFonts w:ascii="宋体" w:hAnsi="宋体" w:cs="宋体"/>
          <w:b/>
          <w:bCs/>
          <w:spacing w:val="-20"/>
          <w:kern w:val="44"/>
          <w:sz w:val="40"/>
          <w:szCs w:val="40"/>
          <w:highlight w:val="none"/>
        </w:rPr>
      </w:pPr>
    </w:p>
    <w:p w14:paraId="11E88423">
      <w:pPr>
        <w:adjustRightInd/>
        <w:rPr>
          <w:rFonts w:ascii="宋体" w:hAnsi="宋体" w:cs="宋体"/>
          <w:b/>
          <w:bCs/>
          <w:spacing w:val="-20"/>
          <w:kern w:val="44"/>
          <w:sz w:val="40"/>
          <w:szCs w:val="40"/>
          <w:highlight w:val="none"/>
        </w:rPr>
      </w:pPr>
    </w:p>
    <w:p w14:paraId="173B556C">
      <w:pPr>
        <w:adjustRightInd/>
        <w:rPr>
          <w:rFonts w:ascii="宋体" w:hAnsi="宋体" w:cs="宋体"/>
          <w:b/>
          <w:bCs/>
          <w:spacing w:val="-20"/>
          <w:kern w:val="44"/>
          <w:sz w:val="40"/>
          <w:szCs w:val="40"/>
          <w:highlight w:val="none"/>
        </w:rPr>
      </w:pPr>
    </w:p>
    <w:p w14:paraId="4CAF18E8">
      <w:pPr>
        <w:adjustRightInd/>
        <w:spacing w:line="360" w:lineRule="auto"/>
        <w:ind w:left="1680" w:leftChars="800"/>
        <w:rPr>
          <w:sz w:val="32"/>
          <w:szCs w:val="32"/>
          <w:highlight w:val="none"/>
        </w:rPr>
      </w:pPr>
      <w:r>
        <w:rPr>
          <w:rFonts w:hint="eastAsia" w:ascii="宋体" w:hAnsi="宋体" w:cs="宋体"/>
          <w:kern w:val="0"/>
          <w:sz w:val="32"/>
          <w:szCs w:val="32"/>
          <w:highlight w:val="none"/>
        </w:rPr>
        <w:t>项目名称：</w:t>
      </w:r>
      <w:r>
        <w:rPr>
          <w:sz w:val="32"/>
          <w:szCs w:val="32"/>
          <w:highlight w:val="none"/>
          <w:u w:val="single"/>
        </w:rPr>
        <w:t xml:space="preserve">                             </w:t>
      </w:r>
    </w:p>
    <w:p w14:paraId="1E8F65D3">
      <w:pPr>
        <w:adjustRightInd/>
        <w:spacing w:line="360" w:lineRule="auto"/>
        <w:ind w:left="1680" w:leftChars="800"/>
        <w:rPr>
          <w:sz w:val="32"/>
          <w:szCs w:val="32"/>
          <w:highlight w:val="none"/>
          <w:u w:val="single"/>
        </w:rPr>
      </w:pPr>
      <w:r>
        <w:rPr>
          <w:rFonts w:hint="eastAsia"/>
          <w:sz w:val="32"/>
          <w:szCs w:val="32"/>
          <w:highlight w:val="none"/>
        </w:rPr>
        <w:t>合同编号：</w:t>
      </w:r>
      <w:r>
        <w:rPr>
          <w:sz w:val="32"/>
          <w:szCs w:val="32"/>
          <w:highlight w:val="none"/>
          <w:u w:val="single"/>
        </w:rPr>
        <w:t xml:space="preserve">                             </w:t>
      </w:r>
    </w:p>
    <w:p w14:paraId="684B425A">
      <w:pPr>
        <w:adjustRightInd/>
        <w:spacing w:line="360" w:lineRule="auto"/>
        <w:ind w:left="1680" w:leftChars="800"/>
        <w:rPr>
          <w:sz w:val="32"/>
          <w:szCs w:val="32"/>
          <w:highlight w:val="none"/>
        </w:rPr>
      </w:pPr>
      <w:r>
        <w:rPr>
          <w:rFonts w:hint="eastAsia"/>
          <w:sz w:val="32"/>
          <w:szCs w:val="32"/>
          <w:highlight w:val="none"/>
        </w:rPr>
        <w:t>甲</w:t>
      </w:r>
      <w:r>
        <w:rPr>
          <w:sz w:val="32"/>
          <w:szCs w:val="32"/>
          <w:highlight w:val="none"/>
        </w:rPr>
        <w:t xml:space="preserve">    </w:t>
      </w:r>
      <w:r>
        <w:rPr>
          <w:rFonts w:hint="eastAsia"/>
          <w:sz w:val="32"/>
          <w:szCs w:val="32"/>
          <w:highlight w:val="none"/>
        </w:rPr>
        <w:t>方：</w:t>
      </w:r>
      <w:r>
        <w:rPr>
          <w:sz w:val="32"/>
          <w:szCs w:val="32"/>
          <w:highlight w:val="none"/>
          <w:u w:val="single"/>
        </w:rPr>
        <w:t xml:space="preserve">                             </w:t>
      </w:r>
    </w:p>
    <w:p w14:paraId="5ABD648E">
      <w:pPr>
        <w:adjustRightInd/>
        <w:spacing w:line="360" w:lineRule="auto"/>
        <w:ind w:left="1680" w:leftChars="800"/>
        <w:rPr>
          <w:sz w:val="32"/>
          <w:szCs w:val="32"/>
          <w:highlight w:val="none"/>
          <w:u w:val="single"/>
        </w:rPr>
      </w:pPr>
      <w:r>
        <w:rPr>
          <w:rFonts w:hint="eastAsia"/>
          <w:sz w:val="32"/>
          <w:szCs w:val="32"/>
          <w:highlight w:val="none"/>
        </w:rPr>
        <w:t>乙</w:t>
      </w:r>
      <w:r>
        <w:rPr>
          <w:sz w:val="32"/>
          <w:szCs w:val="32"/>
          <w:highlight w:val="none"/>
        </w:rPr>
        <w:t xml:space="preserve">    </w:t>
      </w:r>
      <w:r>
        <w:rPr>
          <w:rFonts w:hint="eastAsia"/>
          <w:sz w:val="32"/>
          <w:szCs w:val="32"/>
          <w:highlight w:val="none"/>
        </w:rPr>
        <w:t>方：</w:t>
      </w:r>
      <w:r>
        <w:rPr>
          <w:sz w:val="32"/>
          <w:szCs w:val="32"/>
          <w:highlight w:val="none"/>
          <w:u w:val="single"/>
        </w:rPr>
        <w:t xml:space="preserve">                             </w:t>
      </w:r>
    </w:p>
    <w:p w14:paraId="098625A1">
      <w:pPr>
        <w:adjustRightInd/>
        <w:spacing w:line="360" w:lineRule="auto"/>
        <w:ind w:left="1680" w:leftChars="800"/>
        <w:rPr>
          <w:sz w:val="32"/>
          <w:szCs w:val="32"/>
          <w:highlight w:val="none"/>
        </w:rPr>
      </w:pPr>
      <w:r>
        <w:rPr>
          <w:rFonts w:hint="eastAsia"/>
          <w:sz w:val="32"/>
          <w:szCs w:val="32"/>
          <w:highlight w:val="none"/>
        </w:rPr>
        <w:t>签订时间：</w:t>
      </w:r>
      <w:r>
        <w:rPr>
          <w:sz w:val="32"/>
          <w:szCs w:val="32"/>
          <w:highlight w:val="none"/>
          <w:u w:val="single"/>
        </w:rPr>
        <w:t xml:space="preserve">                             </w:t>
      </w:r>
    </w:p>
    <w:p w14:paraId="7D2AC4A5">
      <w:pPr>
        <w:adjustRightInd/>
        <w:rPr>
          <w:highlight w:val="none"/>
        </w:rPr>
      </w:pPr>
    </w:p>
    <w:p w14:paraId="68769672">
      <w:pPr>
        <w:adjustRightInd/>
        <w:jc w:val="center"/>
        <w:outlineLvl w:val="1"/>
        <w:rPr>
          <w:rFonts w:ascii="黑体" w:hAnsi="黑体" w:eastAsia="黑体"/>
          <w:sz w:val="28"/>
          <w:szCs w:val="28"/>
          <w:highlight w:val="none"/>
        </w:rPr>
      </w:pPr>
      <w:r>
        <w:rPr>
          <w:rFonts w:eastAsia="黑体"/>
          <w:sz w:val="44"/>
          <w:szCs w:val="44"/>
          <w:highlight w:val="none"/>
        </w:rPr>
        <w:br w:type="page"/>
      </w:r>
      <w:bookmarkEnd w:id="419"/>
      <w:bookmarkStart w:id="420" w:name="_Toc22209"/>
      <w:r>
        <w:rPr>
          <w:rFonts w:hint="eastAsia" w:ascii="黑体" w:hAnsi="黑体" w:eastAsia="黑体"/>
          <w:sz w:val="28"/>
          <w:szCs w:val="28"/>
          <w:highlight w:val="none"/>
        </w:rPr>
        <w:t>第一节 政府采购合同协议书</w:t>
      </w:r>
      <w:bookmarkEnd w:id="420"/>
    </w:p>
    <w:p w14:paraId="33B1FBA8">
      <w:pPr>
        <w:pStyle w:val="82"/>
        <w:rPr>
          <w:highlight w:val="none"/>
        </w:rPr>
      </w:pPr>
    </w:p>
    <w:p w14:paraId="628939E3">
      <w:pPr>
        <w:pStyle w:val="82"/>
        <w:ind w:firstLine="0"/>
        <w:rPr>
          <w:highlight w:val="none"/>
        </w:rPr>
      </w:pPr>
      <w:r>
        <w:rPr>
          <w:rFonts w:hint="eastAsia"/>
          <w:highlight w:val="none"/>
        </w:rPr>
        <w:t>甲方（全称）：</w:t>
      </w:r>
      <w:r>
        <w:rPr>
          <w:rFonts w:hint="eastAsia"/>
          <w:highlight w:val="none"/>
          <w:u w:val="single"/>
        </w:rPr>
        <w:t xml:space="preserve">                        </w:t>
      </w:r>
      <w:r>
        <w:rPr>
          <w:rFonts w:hint="eastAsia"/>
          <w:highlight w:val="none"/>
        </w:rPr>
        <w:t>（采购人、受采购人委托签订合同的单位或采购文件约定的合同甲方）</w:t>
      </w:r>
    </w:p>
    <w:p w14:paraId="49E9241F">
      <w:pPr>
        <w:pStyle w:val="82"/>
        <w:ind w:firstLine="0"/>
        <w:rPr>
          <w:highlight w:val="none"/>
        </w:rPr>
      </w:pPr>
      <w:r>
        <w:rPr>
          <w:rFonts w:hint="eastAsia"/>
          <w:highlight w:val="none"/>
        </w:rPr>
        <w:t>乙方1（全称）：</w:t>
      </w:r>
      <w:r>
        <w:rPr>
          <w:rFonts w:hint="eastAsia"/>
          <w:highlight w:val="none"/>
          <w:u w:val="single"/>
        </w:rPr>
        <w:t xml:space="preserve">                       </w:t>
      </w:r>
      <w:r>
        <w:rPr>
          <w:rFonts w:hint="eastAsia"/>
          <w:highlight w:val="none"/>
        </w:rPr>
        <w:t>（供应商）</w:t>
      </w:r>
    </w:p>
    <w:p w14:paraId="43DA4569">
      <w:pPr>
        <w:pStyle w:val="82"/>
        <w:ind w:firstLine="0"/>
        <w:rPr>
          <w:highlight w:val="none"/>
        </w:rPr>
      </w:pPr>
      <w:r>
        <w:rPr>
          <w:rFonts w:hint="eastAsia"/>
          <w:highlight w:val="none"/>
        </w:rPr>
        <w:t>乙方2（全称）：</w:t>
      </w:r>
      <w:r>
        <w:rPr>
          <w:rFonts w:hint="eastAsia"/>
          <w:highlight w:val="none"/>
          <w:u w:val="single"/>
        </w:rPr>
        <w:t xml:space="preserve">                        </w:t>
      </w:r>
      <w:r>
        <w:rPr>
          <w:rFonts w:hint="eastAsia"/>
          <w:highlight w:val="none"/>
        </w:rPr>
        <w:t>（联合体成员供应商或其他合同主体）（如有）</w:t>
      </w:r>
    </w:p>
    <w:p w14:paraId="2F7663DC">
      <w:pPr>
        <w:pStyle w:val="82"/>
        <w:ind w:firstLine="0"/>
        <w:rPr>
          <w:highlight w:val="none"/>
        </w:rPr>
      </w:pPr>
      <w:r>
        <w:rPr>
          <w:rFonts w:hint="eastAsia"/>
          <w:highlight w:val="none"/>
        </w:rPr>
        <w:t>乙方3（全称）：</w:t>
      </w:r>
      <w:r>
        <w:rPr>
          <w:rFonts w:hint="eastAsia"/>
          <w:highlight w:val="none"/>
          <w:u w:val="single"/>
        </w:rPr>
        <w:t xml:space="preserve">                         </w:t>
      </w:r>
      <w:r>
        <w:rPr>
          <w:rFonts w:hint="eastAsia"/>
          <w:highlight w:val="none"/>
        </w:rPr>
        <w:t>（联合体成员供应商或其他合同主体）（如有）</w:t>
      </w:r>
    </w:p>
    <w:p w14:paraId="1ACFDA2B">
      <w:pPr>
        <w:adjustRightInd/>
        <w:spacing w:line="400" w:lineRule="exact"/>
        <w:rPr>
          <w:highlight w:val="none"/>
        </w:rPr>
      </w:pPr>
    </w:p>
    <w:p w14:paraId="0470F223">
      <w:pPr>
        <w:pStyle w:val="82"/>
        <w:ind w:firstLine="480" w:firstLineChars="200"/>
        <w:rPr>
          <w:highlight w:val="none"/>
        </w:rPr>
      </w:pPr>
      <w:r>
        <w:rPr>
          <w:rFonts w:hint="eastAsia"/>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460A9166">
      <w:pPr>
        <w:pStyle w:val="82"/>
        <w:ind w:firstLine="0"/>
        <w:rPr>
          <w:b/>
          <w:highlight w:val="none"/>
        </w:rPr>
      </w:pPr>
      <w:r>
        <w:rPr>
          <w:rFonts w:hint="eastAsia"/>
          <w:b/>
          <w:highlight w:val="none"/>
        </w:rPr>
        <w:t>1.项目信息</w:t>
      </w:r>
    </w:p>
    <w:p w14:paraId="6F7F252F">
      <w:pPr>
        <w:pStyle w:val="82"/>
        <w:ind w:firstLine="480" w:firstLineChars="200"/>
        <w:rPr>
          <w:highlight w:val="none"/>
          <w:u w:val="single"/>
        </w:rPr>
      </w:pPr>
      <w:r>
        <w:rPr>
          <w:rFonts w:hint="eastAsia"/>
          <w:highlight w:val="none"/>
        </w:rPr>
        <w:t>（1）采购项目名称：</w:t>
      </w:r>
      <w:r>
        <w:rPr>
          <w:rFonts w:hint="eastAsia"/>
          <w:highlight w:val="none"/>
          <w:u w:val="single"/>
        </w:rPr>
        <w:t xml:space="preserve">                                          </w:t>
      </w:r>
    </w:p>
    <w:p w14:paraId="1F82A1A7">
      <w:pPr>
        <w:pStyle w:val="82"/>
        <w:ind w:firstLine="1080" w:firstLineChars="450"/>
        <w:rPr>
          <w:highlight w:val="none"/>
        </w:rPr>
      </w:pPr>
      <w:r>
        <w:rPr>
          <w:rFonts w:hint="eastAsia"/>
          <w:highlight w:val="none"/>
        </w:rPr>
        <w:t>采购项目编号：</w:t>
      </w:r>
      <w:r>
        <w:rPr>
          <w:rFonts w:hint="eastAsia"/>
          <w:highlight w:val="none"/>
          <w:u w:val="single"/>
        </w:rPr>
        <w:t xml:space="preserve">                                          </w:t>
      </w:r>
    </w:p>
    <w:p w14:paraId="35BE6802">
      <w:pPr>
        <w:pStyle w:val="82"/>
        <w:ind w:firstLine="480" w:firstLineChars="200"/>
        <w:rPr>
          <w:highlight w:val="none"/>
        </w:rPr>
      </w:pPr>
      <w:r>
        <w:rPr>
          <w:rFonts w:hint="eastAsia"/>
          <w:highlight w:val="none"/>
        </w:rPr>
        <w:t>（2）采购计划编号：</w:t>
      </w:r>
      <w:r>
        <w:rPr>
          <w:rFonts w:hint="eastAsia"/>
          <w:highlight w:val="none"/>
          <w:u w:val="single"/>
        </w:rPr>
        <w:t xml:space="preserve">                                          </w:t>
      </w:r>
      <w:r>
        <w:rPr>
          <w:rFonts w:hint="eastAsia"/>
          <w:highlight w:val="none"/>
        </w:rPr>
        <w:t xml:space="preserve"> </w:t>
      </w:r>
    </w:p>
    <w:p w14:paraId="08519BC4">
      <w:pPr>
        <w:pStyle w:val="82"/>
        <w:ind w:firstLine="480" w:firstLineChars="200"/>
        <w:rPr>
          <w:highlight w:val="none"/>
        </w:rPr>
      </w:pPr>
      <w:r>
        <w:rPr>
          <w:rFonts w:hint="eastAsia"/>
          <w:highlight w:val="none"/>
        </w:rPr>
        <w:t>（3）项目内容：</w:t>
      </w:r>
    </w:p>
    <w:p w14:paraId="3E8706D2">
      <w:pPr>
        <w:pStyle w:val="82"/>
        <w:ind w:firstLine="480" w:firstLineChars="200"/>
        <w:rPr>
          <w:highlight w:val="none"/>
        </w:rPr>
      </w:pPr>
      <w:r>
        <w:rPr>
          <w:rFonts w:hint="eastAsia"/>
          <w:highlight w:val="none"/>
        </w:rPr>
        <w:t xml:space="preserve">     采购标的及数量（台/套</w:t>
      </w:r>
      <w:r>
        <w:rPr>
          <w:rFonts w:hint="eastAsia"/>
          <w:highlight w:val="none"/>
          <w:lang w:val="en"/>
        </w:rPr>
        <w:t>/个/架/组等</w:t>
      </w:r>
      <w:r>
        <w:rPr>
          <w:rFonts w:hint="eastAsia"/>
          <w:highlight w:val="none"/>
        </w:rPr>
        <w:t>）：</w:t>
      </w:r>
      <w:r>
        <w:rPr>
          <w:rFonts w:hint="eastAsia"/>
          <w:highlight w:val="none"/>
          <w:u w:val="single"/>
        </w:rPr>
        <w:t xml:space="preserve">               </w:t>
      </w:r>
      <w:r>
        <w:rPr>
          <w:rFonts w:hint="eastAsia"/>
          <w:highlight w:val="none"/>
        </w:rPr>
        <w:t xml:space="preserve">   </w:t>
      </w:r>
    </w:p>
    <w:p w14:paraId="0DA4DA89">
      <w:pPr>
        <w:pStyle w:val="82"/>
        <w:ind w:firstLine="480" w:firstLineChars="200"/>
        <w:rPr>
          <w:rFonts w:cs="宋体"/>
          <w:highlight w:val="none"/>
          <w:lang w:val="en"/>
        </w:rPr>
      </w:pPr>
      <w:r>
        <w:rPr>
          <w:rFonts w:hint="eastAsia"/>
          <w:highlight w:val="none"/>
        </w:rPr>
        <w:t xml:space="preserve">     </w:t>
      </w:r>
      <w:r>
        <w:rPr>
          <w:rFonts w:hint="eastAsia" w:cs="宋体"/>
          <w:highlight w:val="none"/>
        </w:rPr>
        <w:t>品牌：</w:t>
      </w:r>
      <w:r>
        <w:rPr>
          <w:rFonts w:hint="eastAsia" w:cs="宋体"/>
          <w:highlight w:val="none"/>
          <w:u w:val="single"/>
        </w:rPr>
        <w:t xml:space="preserve">      </w:t>
      </w:r>
      <w:r>
        <w:rPr>
          <w:rFonts w:hint="eastAsia" w:cs="宋体"/>
          <w:highlight w:val="none"/>
          <w:u w:val="single"/>
          <w:lang w:val="en"/>
        </w:rPr>
        <w:t xml:space="preserve">   </w:t>
      </w:r>
      <w:r>
        <w:rPr>
          <w:rFonts w:hint="eastAsia" w:cs="宋体"/>
          <w:highlight w:val="none"/>
          <w:u w:val="single"/>
        </w:rPr>
        <w:t xml:space="preserve">    </w:t>
      </w:r>
      <w:r>
        <w:rPr>
          <w:rFonts w:hint="eastAsia" w:cs="宋体"/>
          <w:highlight w:val="none"/>
          <w:u w:val="single"/>
          <w:lang w:val="en"/>
        </w:rPr>
        <w:t xml:space="preserve"> </w:t>
      </w:r>
      <w:r>
        <w:rPr>
          <w:rFonts w:hint="eastAsia" w:cs="宋体"/>
          <w:highlight w:val="none"/>
          <w:u w:val="single"/>
        </w:rPr>
        <w:t xml:space="preserve"> </w:t>
      </w:r>
      <w:r>
        <w:rPr>
          <w:rFonts w:hint="eastAsia" w:cs="宋体"/>
          <w:highlight w:val="none"/>
          <w:lang w:val="en"/>
        </w:rPr>
        <w:t xml:space="preserve">     </w:t>
      </w:r>
      <w:r>
        <w:rPr>
          <w:rFonts w:hint="eastAsia" w:cs="宋体"/>
          <w:highlight w:val="none"/>
        </w:rPr>
        <w:t>规格型号：</w:t>
      </w:r>
      <w:r>
        <w:rPr>
          <w:rFonts w:hint="eastAsia" w:cs="宋体"/>
          <w:highlight w:val="none"/>
          <w:u w:val="single"/>
        </w:rPr>
        <w:t xml:space="preserve">   </w:t>
      </w:r>
      <w:r>
        <w:rPr>
          <w:rFonts w:hint="eastAsia" w:cs="宋体"/>
          <w:highlight w:val="none"/>
          <w:u w:val="single"/>
          <w:lang w:val="en"/>
        </w:rPr>
        <w:t xml:space="preserve">  </w:t>
      </w:r>
      <w:r>
        <w:rPr>
          <w:rFonts w:hint="eastAsia" w:cs="宋体"/>
          <w:highlight w:val="none"/>
          <w:u w:val="single"/>
        </w:rPr>
        <w:t xml:space="preserve">       </w:t>
      </w:r>
      <w:r>
        <w:rPr>
          <w:rFonts w:hint="eastAsia" w:cs="宋体"/>
          <w:highlight w:val="none"/>
          <w:u w:val="single"/>
          <w:lang w:val="en"/>
        </w:rPr>
        <w:t xml:space="preserve">   </w:t>
      </w:r>
    </w:p>
    <w:p w14:paraId="69316B8F">
      <w:pPr>
        <w:pStyle w:val="82"/>
        <w:ind w:firstLine="480" w:firstLineChars="200"/>
        <w:rPr>
          <w:highlight w:val="none"/>
          <w:u w:val="single"/>
        </w:rPr>
      </w:pPr>
      <w:r>
        <w:rPr>
          <w:rFonts w:hint="eastAsia"/>
          <w:highlight w:val="none"/>
        </w:rPr>
        <w:t>采购标的的技术要求、商务要求具体见附件。</w:t>
      </w:r>
    </w:p>
    <w:p w14:paraId="3F9D5090">
      <w:pPr>
        <w:pStyle w:val="82"/>
        <w:ind w:firstLine="480" w:firstLineChars="200"/>
        <w:rPr>
          <w:rFonts w:cs="宋体"/>
          <w:highlight w:val="none"/>
        </w:rPr>
      </w:pPr>
      <w:r>
        <w:rPr>
          <w:rFonts w:hint="eastAsia" w:cs="宋体"/>
          <w:highlight w:val="none"/>
        </w:rPr>
        <w:t>①涉及信息类产品，请填写该产品关键部件的品牌、型号：</w:t>
      </w:r>
    </w:p>
    <w:p w14:paraId="6A19B32D">
      <w:pPr>
        <w:pStyle w:val="82"/>
        <w:ind w:firstLine="480" w:firstLineChars="200"/>
        <w:rPr>
          <w:rFonts w:cs="宋体"/>
          <w:highlight w:val="none"/>
          <w:u w:val="single"/>
        </w:rPr>
      </w:pPr>
      <w:r>
        <w:rPr>
          <w:rFonts w:hint="eastAsia" w:cs="宋体"/>
          <w:highlight w:val="none"/>
        </w:rPr>
        <w:t xml:space="preserve">     标的名称：</w:t>
      </w:r>
      <w:r>
        <w:rPr>
          <w:rFonts w:hint="eastAsia" w:cs="宋体"/>
          <w:highlight w:val="none"/>
          <w:u w:val="single"/>
        </w:rPr>
        <w:t xml:space="preserve">      </w:t>
      </w:r>
      <w:r>
        <w:rPr>
          <w:rFonts w:hint="eastAsia" w:cs="宋体"/>
          <w:highlight w:val="none"/>
          <w:u w:val="single"/>
          <w:lang w:val="en"/>
        </w:rPr>
        <w:t xml:space="preserve">               </w:t>
      </w:r>
      <w:r>
        <w:rPr>
          <w:rFonts w:hint="eastAsia" w:cs="宋体"/>
          <w:highlight w:val="none"/>
          <w:u w:val="single"/>
        </w:rPr>
        <w:t xml:space="preserve">    </w:t>
      </w:r>
    </w:p>
    <w:p w14:paraId="0DF0749B">
      <w:pPr>
        <w:pStyle w:val="82"/>
        <w:ind w:firstLine="480" w:firstLineChars="200"/>
        <w:rPr>
          <w:rFonts w:cs="宋体"/>
          <w:highlight w:val="none"/>
        </w:rPr>
      </w:pPr>
      <w:r>
        <w:rPr>
          <w:rFonts w:hint="eastAsia" w:cs="宋体"/>
          <w:highlight w:val="none"/>
        </w:rPr>
        <w:t xml:space="preserve">     关键部件：</w:t>
      </w:r>
      <w:r>
        <w:rPr>
          <w:rFonts w:hint="eastAsia" w:cs="宋体"/>
          <w:highlight w:val="none"/>
          <w:u w:val="single"/>
        </w:rPr>
        <w:t xml:space="preserve">          </w:t>
      </w:r>
      <w:r>
        <w:rPr>
          <w:rFonts w:hint="eastAsia" w:cs="宋体"/>
          <w:highlight w:val="none"/>
        </w:rPr>
        <w:t xml:space="preserve"> 品牌：</w:t>
      </w:r>
      <w:r>
        <w:rPr>
          <w:rFonts w:hint="eastAsia" w:cs="宋体"/>
          <w:highlight w:val="none"/>
          <w:u w:val="single"/>
        </w:rPr>
        <w:t xml:space="preserve">        </w:t>
      </w:r>
      <w:r>
        <w:rPr>
          <w:rFonts w:hint="eastAsia" w:cs="宋体"/>
          <w:highlight w:val="none"/>
        </w:rPr>
        <w:t xml:space="preserve"> 型号：</w:t>
      </w:r>
      <w:r>
        <w:rPr>
          <w:rFonts w:hint="eastAsia" w:cs="宋体"/>
          <w:highlight w:val="none"/>
          <w:u w:val="single"/>
        </w:rPr>
        <w:t xml:space="preserve">       </w:t>
      </w:r>
      <w:r>
        <w:rPr>
          <w:rFonts w:hint="eastAsia" w:cs="宋体"/>
          <w:highlight w:val="none"/>
        </w:rPr>
        <w:t xml:space="preserve"> </w:t>
      </w:r>
    </w:p>
    <w:p w14:paraId="15A92E22">
      <w:pPr>
        <w:pStyle w:val="82"/>
        <w:ind w:firstLine="480" w:firstLineChars="200"/>
        <w:rPr>
          <w:rFonts w:cs="宋体"/>
          <w:highlight w:val="none"/>
        </w:rPr>
      </w:pPr>
      <w:r>
        <w:rPr>
          <w:rFonts w:hint="eastAsia" w:cs="宋体"/>
          <w:highlight w:val="none"/>
        </w:rPr>
        <w:t xml:space="preserve">     关键部件：</w:t>
      </w:r>
      <w:r>
        <w:rPr>
          <w:rFonts w:hint="eastAsia" w:cs="宋体"/>
          <w:highlight w:val="none"/>
          <w:u w:val="single"/>
        </w:rPr>
        <w:t xml:space="preserve">          </w:t>
      </w:r>
      <w:r>
        <w:rPr>
          <w:rFonts w:hint="eastAsia" w:cs="宋体"/>
          <w:highlight w:val="none"/>
        </w:rPr>
        <w:t xml:space="preserve"> 品牌：</w:t>
      </w:r>
      <w:r>
        <w:rPr>
          <w:rFonts w:hint="eastAsia" w:cs="宋体"/>
          <w:highlight w:val="none"/>
          <w:u w:val="single"/>
        </w:rPr>
        <w:t xml:space="preserve">        </w:t>
      </w:r>
      <w:r>
        <w:rPr>
          <w:rFonts w:hint="eastAsia" w:cs="宋体"/>
          <w:highlight w:val="none"/>
        </w:rPr>
        <w:t xml:space="preserve"> 型号：</w:t>
      </w:r>
      <w:r>
        <w:rPr>
          <w:rFonts w:hint="eastAsia" w:cs="宋体"/>
          <w:highlight w:val="none"/>
          <w:u w:val="single"/>
        </w:rPr>
        <w:t xml:space="preserve">       </w:t>
      </w:r>
      <w:r>
        <w:rPr>
          <w:rFonts w:hint="eastAsia" w:cs="宋体"/>
          <w:highlight w:val="none"/>
        </w:rPr>
        <w:t xml:space="preserve"> </w:t>
      </w:r>
    </w:p>
    <w:p w14:paraId="4AC000B4">
      <w:pPr>
        <w:pStyle w:val="82"/>
        <w:ind w:firstLine="480" w:firstLineChars="200"/>
        <w:rPr>
          <w:rFonts w:cs="宋体"/>
          <w:highlight w:val="none"/>
        </w:rPr>
      </w:pPr>
      <w:r>
        <w:rPr>
          <w:rFonts w:hint="eastAsia" w:cs="宋体"/>
          <w:highlight w:val="none"/>
        </w:rPr>
        <w:t xml:space="preserve">     关键部件：</w:t>
      </w:r>
      <w:r>
        <w:rPr>
          <w:rFonts w:hint="eastAsia" w:cs="宋体"/>
          <w:highlight w:val="none"/>
          <w:u w:val="single"/>
        </w:rPr>
        <w:t xml:space="preserve">          </w:t>
      </w:r>
      <w:r>
        <w:rPr>
          <w:rFonts w:hint="eastAsia" w:cs="宋体"/>
          <w:highlight w:val="none"/>
        </w:rPr>
        <w:t xml:space="preserve"> 品牌：</w:t>
      </w:r>
      <w:r>
        <w:rPr>
          <w:rFonts w:hint="eastAsia" w:cs="宋体"/>
          <w:highlight w:val="none"/>
          <w:u w:val="single"/>
        </w:rPr>
        <w:t xml:space="preserve">        </w:t>
      </w:r>
      <w:r>
        <w:rPr>
          <w:rFonts w:hint="eastAsia" w:cs="宋体"/>
          <w:highlight w:val="none"/>
        </w:rPr>
        <w:t xml:space="preserve"> 型号：</w:t>
      </w:r>
      <w:r>
        <w:rPr>
          <w:rFonts w:hint="eastAsia" w:cs="宋体"/>
          <w:highlight w:val="none"/>
          <w:u w:val="single"/>
        </w:rPr>
        <w:t xml:space="preserve">       </w:t>
      </w:r>
    </w:p>
    <w:p w14:paraId="03697DA6">
      <w:pPr>
        <w:pStyle w:val="82"/>
        <w:ind w:firstLine="480" w:firstLineChars="200"/>
        <w:rPr>
          <w:rFonts w:cs="宋体"/>
          <w:highlight w:val="none"/>
        </w:rPr>
      </w:pPr>
      <w:r>
        <w:rPr>
          <w:rFonts w:hint="eastAsia" w:cs="宋体"/>
          <w:highlight w:val="none"/>
        </w:rPr>
        <w:t>（注：关键部件是指财政部会同有关部门发布的政府采购需求标准规定的需要通过国家有关部门指定的测评机构开展的安全可靠测评的软硬件，如CPU芯片、操作系统、数据库等。）</w:t>
      </w:r>
    </w:p>
    <w:p w14:paraId="19280679">
      <w:pPr>
        <w:pStyle w:val="82"/>
        <w:ind w:firstLine="480" w:firstLineChars="200"/>
        <w:rPr>
          <w:rFonts w:cs="宋体"/>
          <w:highlight w:val="none"/>
        </w:rPr>
      </w:pPr>
      <w:r>
        <w:rPr>
          <w:rFonts w:hint="eastAsia" w:cs="宋体"/>
          <w:highlight w:val="none"/>
        </w:rPr>
        <w:t>②涉及车辆采购，请填写是否属于新能源汽车：</w:t>
      </w:r>
    </w:p>
    <w:p w14:paraId="1FC6CCBB">
      <w:pPr>
        <w:pStyle w:val="82"/>
        <w:ind w:firstLine="480" w:firstLineChars="200"/>
        <w:rPr>
          <w:rFonts w:cs="宋体"/>
          <w:highlight w:val="none"/>
        </w:rPr>
      </w:pPr>
      <w:r>
        <w:rPr>
          <w:rFonts w:cs="宋体"/>
          <w:highlight w:val="none"/>
        </w:rPr>
        <w:sym w:font="Wingdings" w:char="F0A8"/>
      </w:r>
      <w:r>
        <w:rPr>
          <w:rFonts w:hint="eastAsia" w:cs="宋体"/>
          <w:highlight w:val="none"/>
        </w:rPr>
        <w:t>是，《政府采购品目分类目录》底级品目名称：</w:t>
      </w:r>
      <w:r>
        <w:rPr>
          <w:rFonts w:hint="eastAsia" w:cs="宋体"/>
          <w:highlight w:val="none"/>
          <w:u w:val="single"/>
        </w:rPr>
        <w:t xml:space="preserve">     </w:t>
      </w:r>
      <w:r>
        <w:rPr>
          <w:rFonts w:hint="eastAsia" w:cs="宋体"/>
          <w:highlight w:val="none"/>
        </w:rPr>
        <w:t xml:space="preserve"> 数量：</w:t>
      </w:r>
      <w:r>
        <w:rPr>
          <w:rFonts w:hint="eastAsia" w:cs="宋体"/>
          <w:highlight w:val="none"/>
          <w:u w:val="single"/>
        </w:rPr>
        <w:t xml:space="preserve">    </w:t>
      </w:r>
      <w:r>
        <w:rPr>
          <w:rFonts w:hint="eastAsia" w:cs="宋体"/>
          <w:highlight w:val="none"/>
        </w:rPr>
        <w:t xml:space="preserve"> 金额：</w:t>
      </w:r>
      <w:r>
        <w:rPr>
          <w:rFonts w:hint="eastAsia" w:cs="宋体"/>
          <w:highlight w:val="none"/>
          <w:u w:val="single"/>
        </w:rPr>
        <w:t xml:space="preserve">     </w:t>
      </w:r>
      <w:r>
        <w:rPr>
          <w:rFonts w:hint="eastAsia" w:cs="宋体"/>
          <w:highlight w:val="none"/>
        </w:rPr>
        <w:t xml:space="preserve"> </w:t>
      </w:r>
    </w:p>
    <w:p w14:paraId="5F9F0B4D">
      <w:pPr>
        <w:pStyle w:val="82"/>
        <w:ind w:firstLine="480" w:firstLineChars="200"/>
        <w:rPr>
          <w:rFonts w:cs="宋体"/>
          <w:highlight w:val="none"/>
        </w:rPr>
      </w:pPr>
      <w:r>
        <w:rPr>
          <w:rFonts w:cs="宋体"/>
          <w:highlight w:val="none"/>
        </w:rPr>
        <w:sym w:font="Wingdings" w:char="F0A8"/>
      </w:r>
      <w:r>
        <w:rPr>
          <w:rFonts w:hint="eastAsia" w:cs="宋体"/>
          <w:highlight w:val="none"/>
        </w:rPr>
        <w:t>否</w:t>
      </w:r>
    </w:p>
    <w:p w14:paraId="02566371">
      <w:pPr>
        <w:pStyle w:val="82"/>
        <w:ind w:firstLine="480" w:firstLineChars="200"/>
        <w:rPr>
          <w:rFonts w:cs="宋体"/>
          <w:highlight w:val="none"/>
        </w:rPr>
      </w:pPr>
      <w:r>
        <w:rPr>
          <w:rFonts w:hint="eastAsia" w:cs="宋体"/>
          <w:highlight w:val="none"/>
        </w:rPr>
        <w:t>（</w:t>
      </w:r>
      <w:r>
        <w:rPr>
          <w:rFonts w:hint="eastAsia" w:cs="宋体"/>
          <w:highlight w:val="none"/>
          <w:lang w:val="en"/>
        </w:rPr>
        <w:t>4</w:t>
      </w:r>
      <w:r>
        <w:rPr>
          <w:rFonts w:hint="eastAsia" w:cs="宋体"/>
          <w:highlight w:val="none"/>
        </w:rPr>
        <w:t>）政府采购组织形式：</w:t>
      </w:r>
      <w:r>
        <w:rPr>
          <w:rFonts w:cs="宋体"/>
          <w:highlight w:val="none"/>
        </w:rPr>
        <w:sym w:font="Wingdings" w:char="F0A8"/>
      </w:r>
      <w:r>
        <w:rPr>
          <w:rFonts w:hint="eastAsia" w:cs="宋体"/>
          <w:highlight w:val="none"/>
        </w:rPr>
        <w:t xml:space="preserve">政府集中采购  </w:t>
      </w:r>
      <w:r>
        <w:rPr>
          <w:rFonts w:cs="宋体"/>
          <w:highlight w:val="none"/>
        </w:rPr>
        <w:sym w:font="Wingdings" w:char="F0A8"/>
      </w:r>
      <w:r>
        <w:rPr>
          <w:rFonts w:hint="eastAsia" w:cs="宋体"/>
          <w:highlight w:val="none"/>
        </w:rPr>
        <w:t xml:space="preserve">部门集中采购  </w:t>
      </w:r>
      <w:r>
        <w:rPr>
          <w:rFonts w:cs="宋体"/>
          <w:highlight w:val="none"/>
        </w:rPr>
        <w:sym w:font="Wingdings" w:char="F0A8"/>
      </w:r>
      <w:r>
        <w:rPr>
          <w:rFonts w:hint="eastAsia" w:cs="宋体"/>
          <w:highlight w:val="none"/>
        </w:rPr>
        <w:t>分散采购</w:t>
      </w:r>
    </w:p>
    <w:p w14:paraId="25014C0A">
      <w:pPr>
        <w:pStyle w:val="82"/>
        <w:ind w:firstLine="480" w:firstLineChars="200"/>
        <w:rPr>
          <w:rFonts w:hint="eastAsia" w:eastAsia="宋体" w:cs="宋体"/>
          <w:highlight w:val="none"/>
          <w:lang w:eastAsia="zh-CN"/>
        </w:rPr>
      </w:pPr>
      <w:r>
        <w:rPr>
          <w:rFonts w:hint="eastAsia" w:cs="宋体"/>
          <w:highlight w:val="none"/>
        </w:rPr>
        <w:t>（</w:t>
      </w:r>
      <w:r>
        <w:rPr>
          <w:rFonts w:hint="eastAsia" w:cs="宋体"/>
          <w:highlight w:val="none"/>
          <w:lang w:val="en"/>
        </w:rPr>
        <w:t>5</w:t>
      </w:r>
      <w:r>
        <w:rPr>
          <w:rFonts w:hint="eastAsia" w:cs="宋体"/>
          <w:highlight w:val="none"/>
        </w:rPr>
        <w:t>）政府</w:t>
      </w:r>
      <w:r>
        <w:rPr>
          <w:rFonts w:hint="eastAsia" w:cs="宋体"/>
          <w:highlight w:val="none"/>
          <w:lang w:eastAsia="zh-CN"/>
        </w:rPr>
        <w:t>采购人</w:t>
      </w:r>
      <w:r>
        <w:rPr>
          <w:rFonts w:hint="eastAsia" w:cs="宋体"/>
          <w:highlight w:val="none"/>
        </w:rPr>
        <w:t>式：</w:t>
      </w:r>
      <w:r>
        <w:rPr>
          <w:rFonts w:cs="宋体"/>
          <w:highlight w:val="none"/>
        </w:rPr>
        <w:sym w:font="Wingdings" w:char="F0A8"/>
      </w:r>
      <w:r>
        <w:rPr>
          <w:rFonts w:hint="eastAsia" w:cs="宋体"/>
          <w:highlight w:val="none"/>
        </w:rPr>
        <w:t xml:space="preserve">公开招标 </w:t>
      </w:r>
      <w:r>
        <w:rPr>
          <w:rFonts w:cs="宋体"/>
          <w:highlight w:val="none"/>
        </w:rPr>
        <w:sym w:font="Wingdings" w:char="F0A8"/>
      </w:r>
      <w:r>
        <w:rPr>
          <w:rFonts w:hint="eastAsia" w:cs="宋体"/>
          <w:highlight w:val="none"/>
        </w:rPr>
        <w:t xml:space="preserve">邀请招标 </w:t>
      </w:r>
      <w:r>
        <w:rPr>
          <w:rFonts w:cs="宋体"/>
          <w:highlight w:val="none"/>
        </w:rPr>
        <w:sym w:font="Wingdings" w:char="F0A8"/>
      </w:r>
      <w:r>
        <w:rPr>
          <w:rFonts w:hint="eastAsia" w:cs="宋体"/>
          <w:highlight w:val="none"/>
        </w:rPr>
        <w:t xml:space="preserve">竞争性谈判 </w:t>
      </w:r>
      <w:r>
        <w:rPr>
          <w:rFonts w:cs="宋体"/>
          <w:highlight w:val="none"/>
        </w:rPr>
        <w:sym w:font="Wingdings" w:char="F0A8"/>
      </w:r>
      <w:r>
        <w:rPr>
          <w:rFonts w:hint="eastAsia" w:cs="宋体"/>
          <w:highlight w:val="none"/>
        </w:rPr>
        <w:t>竞争性</w:t>
      </w:r>
      <w:r>
        <w:rPr>
          <w:rFonts w:hint="eastAsia" w:cs="宋体"/>
          <w:highlight w:val="none"/>
          <w:lang w:eastAsia="zh-CN"/>
        </w:rPr>
        <w:t>投标</w:t>
      </w:r>
    </w:p>
    <w:p w14:paraId="12C007D5">
      <w:pPr>
        <w:pStyle w:val="82"/>
        <w:ind w:firstLine="440" w:firstLineChars="200"/>
        <w:rPr>
          <w:rFonts w:cs="宋体"/>
          <w:highlight w:val="none"/>
          <w:u w:val="single"/>
        </w:rPr>
      </w:pPr>
      <w:r>
        <w:rPr>
          <w:rFonts w:hint="eastAsia" w:eastAsia="华文楷体" w:cs="宋体"/>
          <w:sz w:val="22"/>
          <w:highlight w:val="none"/>
        </w:rPr>
        <w:t xml:space="preserve">                     </w:t>
      </w:r>
      <w:r>
        <w:rPr>
          <w:rFonts w:cs="宋体"/>
          <w:highlight w:val="none"/>
        </w:rPr>
        <w:sym w:font="Wingdings" w:char="F0A8"/>
      </w:r>
      <w:r>
        <w:rPr>
          <w:rFonts w:hint="eastAsia" w:cs="宋体"/>
          <w:highlight w:val="none"/>
        </w:rPr>
        <w:t xml:space="preserve">询价 </w:t>
      </w:r>
      <w:r>
        <w:rPr>
          <w:rFonts w:cs="宋体"/>
          <w:highlight w:val="none"/>
        </w:rPr>
        <w:sym w:font="Wingdings" w:char="F0A8"/>
      </w:r>
      <w:r>
        <w:rPr>
          <w:rFonts w:hint="eastAsia" w:cs="宋体"/>
          <w:highlight w:val="none"/>
        </w:rPr>
        <w:t xml:space="preserve">单一来源 </w:t>
      </w:r>
      <w:r>
        <w:rPr>
          <w:rFonts w:cs="宋体"/>
          <w:highlight w:val="none"/>
        </w:rPr>
        <w:sym w:font="Wingdings" w:char="F0A8"/>
      </w:r>
      <w:r>
        <w:rPr>
          <w:rFonts w:hint="eastAsia" w:cs="宋体"/>
          <w:highlight w:val="none"/>
        </w:rPr>
        <w:t xml:space="preserve">框架协议 </w:t>
      </w:r>
      <w:r>
        <w:rPr>
          <w:rFonts w:cs="宋体"/>
          <w:highlight w:val="none"/>
        </w:rPr>
        <w:sym w:font="Wingdings" w:char="F0A8"/>
      </w:r>
      <w:r>
        <w:rPr>
          <w:rFonts w:hint="eastAsia" w:cs="宋体"/>
          <w:highlight w:val="none"/>
        </w:rPr>
        <w:t>其他：</w:t>
      </w:r>
      <w:r>
        <w:rPr>
          <w:rFonts w:hint="eastAsia" w:cs="宋体"/>
          <w:highlight w:val="none"/>
          <w:u w:val="single"/>
        </w:rPr>
        <w:t xml:space="preserve">          </w:t>
      </w:r>
    </w:p>
    <w:p w14:paraId="0C01AAFD">
      <w:pPr>
        <w:pStyle w:val="82"/>
        <w:ind w:firstLine="480" w:firstLineChars="200"/>
        <w:rPr>
          <w:rFonts w:cs="宋体"/>
          <w:highlight w:val="none"/>
        </w:rPr>
      </w:pPr>
      <w:r>
        <w:rPr>
          <w:rFonts w:hint="eastAsia" w:cs="宋体"/>
          <w:highlight w:val="none"/>
        </w:rPr>
        <w:t>（注：在框架协议采购的第二阶段，可选择使用该合同文本）</w:t>
      </w:r>
    </w:p>
    <w:p w14:paraId="7980CAFF">
      <w:pPr>
        <w:pStyle w:val="82"/>
        <w:ind w:firstLine="440" w:firstLineChars="200"/>
        <w:rPr>
          <w:highlight w:val="none"/>
        </w:rPr>
      </w:pPr>
      <w:r>
        <w:rPr>
          <w:rFonts w:hint="eastAsia" w:eastAsia="华文楷体" w:cs="华文楷体"/>
          <w:sz w:val="22"/>
          <w:highlight w:val="none"/>
        </w:rPr>
        <w:t>（</w:t>
      </w:r>
      <w:r>
        <w:rPr>
          <w:rFonts w:hint="eastAsia" w:eastAsia="华文楷体" w:cs="华文楷体"/>
          <w:sz w:val="22"/>
          <w:highlight w:val="none"/>
          <w:lang w:val="en"/>
        </w:rPr>
        <w:t>6</w:t>
      </w:r>
      <w:r>
        <w:rPr>
          <w:rFonts w:hint="eastAsia" w:eastAsia="华文楷体" w:cs="华文楷体"/>
          <w:sz w:val="22"/>
          <w:highlight w:val="none"/>
        </w:rPr>
        <w:t>）</w:t>
      </w:r>
      <w:r>
        <w:rPr>
          <w:rFonts w:hint="eastAsia"/>
          <w:highlight w:val="none"/>
        </w:rPr>
        <w:t>中标（成交）采购标的制造商是否为中小企业：</w:t>
      </w:r>
      <w:r>
        <w:rPr>
          <w:highlight w:val="none"/>
        </w:rPr>
        <w:sym w:font="Wingdings" w:char="F0A8"/>
      </w:r>
      <w:r>
        <w:rPr>
          <w:rFonts w:hint="eastAsia"/>
          <w:highlight w:val="none"/>
        </w:rPr>
        <w:t xml:space="preserve">是      </w:t>
      </w:r>
      <w:r>
        <w:rPr>
          <w:highlight w:val="none"/>
        </w:rPr>
        <w:sym w:font="Wingdings" w:char="F0A8"/>
      </w:r>
      <w:r>
        <w:rPr>
          <w:rFonts w:hint="eastAsia"/>
          <w:highlight w:val="none"/>
        </w:rPr>
        <w:t>否</w:t>
      </w:r>
    </w:p>
    <w:p w14:paraId="3DC43C70">
      <w:pPr>
        <w:pStyle w:val="82"/>
        <w:ind w:firstLine="480" w:firstLineChars="200"/>
        <w:rPr>
          <w:iCs/>
          <w:highlight w:val="none"/>
        </w:rPr>
      </w:pPr>
      <w:r>
        <w:rPr>
          <w:rFonts w:hint="eastAsia"/>
          <w:highlight w:val="none"/>
        </w:rPr>
        <w:t>本合同是否为专门面向中小企业的采购合同（中小企业预留合同）：</w:t>
      </w:r>
      <w:r>
        <w:rPr>
          <w:iCs/>
          <w:highlight w:val="none"/>
        </w:rPr>
        <w:sym w:font="Wingdings" w:char="F0A8"/>
      </w:r>
      <w:r>
        <w:rPr>
          <w:rFonts w:hint="eastAsia"/>
          <w:iCs/>
          <w:highlight w:val="none"/>
        </w:rPr>
        <w:t xml:space="preserve">是    </w:t>
      </w:r>
      <w:r>
        <w:rPr>
          <w:iCs/>
          <w:highlight w:val="none"/>
        </w:rPr>
        <w:sym w:font="Wingdings" w:char="F0A8"/>
      </w:r>
      <w:r>
        <w:rPr>
          <w:rFonts w:hint="eastAsia"/>
          <w:iCs/>
          <w:highlight w:val="none"/>
        </w:rPr>
        <w:t>否</w:t>
      </w:r>
    </w:p>
    <w:p w14:paraId="6B44B076">
      <w:pPr>
        <w:pStyle w:val="82"/>
        <w:ind w:firstLine="480" w:firstLineChars="200"/>
        <w:rPr>
          <w:iCs/>
          <w:highlight w:val="none"/>
        </w:rPr>
      </w:pPr>
      <w:r>
        <w:rPr>
          <w:rFonts w:hint="eastAsia"/>
          <w:highlight w:val="none"/>
        </w:rPr>
        <w:t>若本项目不专门面向中小企业采购，是否给予小微企业评审优惠：</w:t>
      </w:r>
      <w:r>
        <w:rPr>
          <w:iCs/>
          <w:highlight w:val="none"/>
        </w:rPr>
        <w:sym w:font="Wingdings" w:char="F0A8"/>
      </w:r>
      <w:r>
        <w:rPr>
          <w:rFonts w:hint="eastAsia"/>
          <w:iCs/>
          <w:highlight w:val="none"/>
        </w:rPr>
        <w:t xml:space="preserve">是   </w:t>
      </w:r>
      <w:r>
        <w:rPr>
          <w:iCs/>
          <w:highlight w:val="none"/>
        </w:rPr>
        <w:sym w:font="Wingdings" w:char="F0A8"/>
      </w:r>
      <w:r>
        <w:rPr>
          <w:rFonts w:hint="eastAsia"/>
          <w:iCs/>
          <w:highlight w:val="none"/>
        </w:rPr>
        <w:t>否</w:t>
      </w:r>
    </w:p>
    <w:p w14:paraId="2C9E9688">
      <w:pPr>
        <w:pStyle w:val="82"/>
        <w:ind w:firstLine="480" w:firstLineChars="200"/>
        <w:rPr>
          <w:iCs/>
          <w:highlight w:val="none"/>
        </w:rPr>
      </w:pPr>
      <w:r>
        <w:rPr>
          <w:rFonts w:hint="eastAsia"/>
          <w:highlight w:val="none"/>
        </w:rPr>
        <w:t>中标（成交）采购标的制造商是否为残疾人福利性单位：</w:t>
      </w:r>
      <w:r>
        <w:rPr>
          <w:iCs/>
          <w:highlight w:val="none"/>
        </w:rPr>
        <w:sym w:font="Wingdings" w:char="F0A8"/>
      </w:r>
      <w:r>
        <w:rPr>
          <w:rFonts w:hint="eastAsia"/>
          <w:iCs/>
          <w:highlight w:val="none"/>
        </w:rPr>
        <w:t xml:space="preserve">是   </w:t>
      </w:r>
      <w:r>
        <w:rPr>
          <w:iCs/>
          <w:highlight w:val="none"/>
        </w:rPr>
        <w:sym w:font="Wingdings" w:char="F0A8"/>
      </w:r>
      <w:r>
        <w:rPr>
          <w:rFonts w:hint="eastAsia"/>
          <w:iCs/>
          <w:highlight w:val="none"/>
        </w:rPr>
        <w:t>否</w:t>
      </w:r>
    </w:p>
    <w:p w14:paraId="03D69E14">
      <w:pPr>
        <w:pStyle w:val="82"/>
        <w:ind w:firstLine="480" w:firstLineChars="200"/>
        <w:rPr>
          <w:highlight w:val="none"/>
        </w:rPr>
      </w:pPr>
      <w:r>
        <w:rPr>
          <w:rFonts w:hint="eastAsia"/>
          <w:highlight w:val="none"/>
        </w:rPr>
        <w:t>中标（成交）采购标的制造商是否为监狱企业：</w:t>
      </w:r>
      <w:r>
        <w:rPr>
          <w:iCs/>
          <w:highlight w:val="none"/>
        </w:rPr>
        <w:sym w:font="Wingdings" w:char="F0A8"/>
      </w:r>
      <w:r>
        <w:rPr>
          <w:rFonts w:hint="eastAsia"/>
          <w:iCs/>
          <w:highlight w:val="none"/>
        </w:rPr>
        <w:t xml:space="preserve">是       </w:t>
      </w:r>
      <w:r>
        <w:rPr>
          <w:iCs/>
          <w:highlight w:val="none"/>
        </w:rPr>
        <w:sym w:font="Wingdings" w:char="F0A8"/>
      </w:r>
      <w:r>
        <w:rPr>
          <w:rFonts w:hint="eastAsia"/>
          <w:iCs/>
          <w:highlight w:val="none"/>
        </w:rPr>
        <w:t>否</w:t>
      </w:r>
    </w:p>
    <w:p w14:paraId="1138DBA6">
      <w:pPr>
        <w:pStyle w:val="82"/>
        <w:ind w:firstLine="480" w:firstLineChars="200"/>
        <w:rPr>
          <w:highlight w:val="none"/>
        </w:rPr>
      </w:pPr>
      <w:r>
        <w:rPr>
          <w:rFonts w:hint="eastAsia"/>
          <w:highlight w:val="none"/>
        </w:rPr>
        <w:t>（</w:t>
      </w:r>
      <w:r>
        <w:rPr>
          <w:rFonts w:hint="eastAsia"/>
          <w:highlight w:val="none"/>
          <w:lang w:val="en"/>
        </w:rPr>
        <w:t>7</w:t>
      </w:r>
      <w:r>
        <w:rPr>
          <w:rFonts w:hint="eastAsia"/>
          <w:highlight w:val="none"/>
        </w:rPr>
        <w:t>）合同是否分包：</w:t>
      </w:r>
      <w:r>
        <w:rPr>
          <w:iCs/>
          <w:highlight w:val="none"/>
        </w:rPr>
        <w:sym w:font="Wingdings" w:char="F0A8"/>
      </w:r>
      <w:r>
        <w:rPr>
          <w:rFonts w:hint="eastAsia"/>
          <w:iCs/>
          <w:highlight w:val="none"/>
        </w:rPr>
        <w:t xml:space="preserve">是       </w:t>
      </w:r>
      <w:r>
        <w:rPr>
          <w:iCs/>
          <w:highlight w:val="none"/>
        </w:rPr>
        <w:sym w:font="Wingdings" w:char="F0A8"/>
      </w:r>
      <w:r>
        <w:rPr>
          <w:rFonts w:hint="eastAsia"/>
          <w:iCs/>
          <w:highlight w:val="none"/>
        </w:rPr>
        <w:t>否</w:t>
      </w:r>
    </w:p>
    <w:p w14:paraId="43925952">
      <w:pPr>
        <w:pStyle w:val="82"/>
        <w:ind w:firstLine="480" w:firstLineChars="200"/>
        <w:rPr>
          <w:highlight w:val="none"/>
          <w:u w:val="single"/>
        </w:rPr>
      </w:pPr>
      <w:r>
        <w:rPr>
          <w:rFonts w:hint="eastAsia"/>
          <w:highlight w:val="none"/>
        </w:rPr>
        <w:t>分包主要内容：</w:t>
      </w:r>
      <w:r>
        <w:rPr>
          <w:rFonts w:hint="eastAsia"/>
          <w:highlight w:val="none"/>
          <w:u w:val="single"/>
        </w:rPr>
        <w:t xml:space="preserve">                                            </w:t>
      </w:r>
    </w:p>
    <w:p w14:paraId="75E1D404">
      <w:pPr>
        <w:pStyle w:val="82"/>
        <w:ind w:firstLine="480" w:firstLineChars="200"/>
        <w:rPr>
          <w:highlight w:val="none"/>
        </w:rPr>
      </w:pPr>
      <w:r>
        <w:rPr>
          <w:rFonts w:hint="eastAsia"/>
          <w:highlight w:val="none"/>
        </w:rPr>
        <w:t>分包供应商/制造商名称（如供应商和制造商不同，请分别填写）：</w:t>
      </w:r>
    </w:p>
    <w:p w14:paraId="4BE67A34">
      <w:pPr>
        <w:pStyle w:val="82"/>
        <w:ind w:firstLine="480" w:firstLineChars="200"/>
        <w:rPr>
          <w:highlight w:val="none"/>
          <w:u w:val="single"/>
        </w:rPr>
      </w:pPr>
      <w:r>
        <w:rPr>
          <w:rFonts w:hint="eastAsia"/>
          <w:highlight w:val="none"/>
        </w:rPr>
        <w:t xml:space="preserve"> </w:t>
      </w:r>
      <w:r>
        <w:rPr>
          <w:rFonts w:hint="eastAsia"/>
          <w:highlight w:val="none"/>
          <w:u w:val="single"/>
        </w:rPr>
        <w:t xml:space="preserve">                                                          </w:t>
      </w:r>
    </w:p>
    <w:p w14:paraId="665F4F2C">
      <w:pPr>
        <w:pStyle w:val="82"/>
        <w:ind w:firstLine="480" w:firstLineChars="200"/>
        <w:rPr>
          <w:highlight w:val="none"/>
        </w:rPr>
      </w:pPr>
      <w:r>
        <w:rPr>
          <w:rFonts w:hint="eastAsia"/>
          <w:highlight w:val="none"/>
        </w:rPr>
        <w:t>分包供应商/制造商类型（如果供应商和制造商不同，只填写制造商类型）：</w:t>
      </w:r>
    </w:p>
    <w:p w14:paraId="363360A0">
      <w:pPr>
        <w:pStyle w:val="82"/>
        <w:ind w:firstLine="480" w:firstLineChars="200"/>
        <w:rPr>
          <w:iCs/>
          <w:highlight w:val="none"/>
        </w:rPr>
      </w:pPr>
      <w:r>
        <w:rPr>
          <w:iCs/>
          <w:highlight w:val="none"/>
        </w:rPr>
        <w:sym w:font="Wingdings" w:char="F0A8"/>
      </w:r>
      <w:r>
        <w:rPr>
          <w:rFonts w:hint="eastAsia"/>
          <w:iCs/>
          <w:highlight w:val="none"/>
        </w:rPr>
        <w:t xml:space="preserve">大型企业  </w:t>
      </w:r>
      <w:r>
        <w:rPr>
          <w:iCs/>
          <w:highlight w:val="none"/>
        </w:rPr>
        <w:sym w:font="Wingdings" w:char="F0A8"/>
      </w:r>
      <w:r>
        <w:rPr>
          <w:rFonts w:hint="eastAsia"/>
          <w:iCs/>
          <w:highlight w:val="none"/>
        </w:rPr>
        <w:t xml:space="preserve">中型企业  </w:t>
      </w:r>
      <w:r>
        <w:rPr>
          <w:iCs/>
          <w:highlight w:val="none"/>
        </w:rPr>
        <w:sym w:font="Wingdings" w:char="F0A8"/>
      </w:r>
      <w:r>
        <w:rPr>
          <w:rFonts w:hint="eastAsia"/>
          <w:iCs/>
          <w:highlight w:val="none"/>
        </w:rPr>
        <w:t xml:space="preserve">小微型企业  </w:t>
      </w:r>
    </w:p>
    <w:p w14:paraId="489F4E84">
      <w:pPr>
        <w:pStyle w:val="82"/>
        <w:ind w:firstLine="480" w:firstLineChars="200"/>
        <w:rPr>
          <w:rFonts w:eastAsia="华文楷体"/>
          <w:highlight w:val="none"/>
        </w:rPr>
      </w:pPr>
      <w:r>
        <w:rPr>
          <w:iCs/>
          <w:highlight w:val="none"/>
        </w:rPr>
        <w:sym w:font="Wingdings" w:char="F0A8"/>
      </w:r>
      <w:r>
        <w:rPr>
          <w:rFonts w:hint="eastAsia"/>
          <w:iCs/>
          <w:highlight w:val="none"/>
        </w:rPr>
        <w:t xml:space="preserve">残疾人福利性单位 </w:t>
      </w:r>
      <w:r>
        <w:rPr>
          <w:iCs/>
          <w:highlight w:val="none"/>
        </w:rPr>
        <w:sym w:font="Wingdings" w:char="F0A8"/>
      </w:r>
      <w:r>
        <w:rPr>
          <w:rFonts w:hint="eastAsia"/>
          <w:iCs/>
          <w:highlight w:val="none"/>
        </w:rPr>
        <w:t xml:space="preserve">监狱企业 </w:t>
      </w:r>
      <w:r>
        <w:rPr>
          <w:iCs/>
          <w:highlight w:val="none"/>
        </w:rPr>
        <w:sym w:font="Wingdings" w:char="F0A8"/>
      </w:r>
      <w:r>
        <w:rPr>
          <w:rFonts w:hint="eastAsia"/>
          <w:iCs/>
          <w:highlight w:val="none"/>
        </w:rPr>
        <w:t>其他</w:t>
      </w:r>
    </w:p>
    <w:p w14:paraId="7EB5D64E">
      <w:pPr>
        <w:pStyle w:val="82"/>
        <w:ind w:firstLine="480" w:firstLineChars="200"/>
        <w:rPr>
          <w:rFonts w:cs="宋体"/>
          <w:iCs/>
          <w:highlight w:val="none"/>
        </w:rPr>
      </w:pPr>
      <w:r>
        <w:rPr>
          <w:rFonts w:hint="eastAsia" w:cs="宋体"/>
          <w:highlight w:val="none"/>
        </w:rPr>
        <w:t>（</w:t>
      </w:r>
      <w:r>
        <w:rPr>
          <w:rFonts w:hint="eastAsia" w:cs="宋体"/>
          <w:highlight w:val="none"/>
          <w:lang w:val="en"/>
        </w:rPr>
        <w:t>8</w:t>
      </w:r>
      <w:r>
        <w:rPr>
          <w:rFonts w:hint="eastAsia" w:cs="宋体"/>
          <w:highlight w:val="none"/>
        </w:rPr>
        <w:t>）中标（成交）供应商是否为外商投资企业：</w:t>
      </w:r>
      <w:r>
        <w:rPr>
          <w:rFonts w:cs="宋体"/>
          <w:iCs/>
          <w:highlight w:val="none"/>
        </w:rPr>
        <w:sym w:font="Wingdings" w:char="F0A8"/>
      </w:r>
      <w:r>
        <w:rPr>
          <w:rFonts w:hint="eastAsia" w:cs="宋体"/>
          <w:iCs/>
          <w:highlight w:val="none"/>
        </w:rPr>
        <w:t xml:space="preserve">是       </w:t>
      </w:r>
      <w:r>
        <w:rPr>
          <w:rFonts w:cs="宋体"/>
          <w:iCs/>
          <w:highlight w:val="none"/>
        </w:rPr>
        <w:sym w:font="Wingdings" w:char="F0A8"/>
      </w:r>
      <w:r>
        <w:rPr>
          <w:rFonts w:hint="eastAsia" w:cs="宋体"/>
          <w:iCs/>
          <w:highlight w:val="none"/>
        </w:rPr>
        <w:t>否</w:t>
      </w:r>
    </w:p>
    <w:p w14:paraId="06ABD703">
      <w:pPr>
        <w:pStyle w:val="82"/>
        <w:ind w:firstLine="480" w:firstLineChars="200"/>
        <w:rPr>
          <w:rFonts w:cs="宋体"/>
          <w:highlight w:val="none"/>
          <w:u w:val="single"/>
        </w:rPr>
      </w:pPr>
      <w:r>
        <w:rPr>
          <w:rFonts w:hint="eastAsia" w:cs="宋体"/>
          <w:highlight w:val="none"/>
        </w:rPr>
        <w:t xml:space="preserve">     外商投资企业类型：</w:t>
      </w:r>
      <w:r>
        <w:rPr>
          <w:rFonts w:cs="宋体"/>
          <w:iCs/>
          <w:highlight w:val="none"/>
        </w:rPr>
        <w:sym w:font="Wingdings" w:char="F0A8"/>
      </w:r>
      <w:r>
        <w:rPr>
          <w:rFonts w:hint="eastAsia" w:cs="宋体"/>
          <w:highlight w:val="none"/>
        </w:rPr>
        <w:t xml:space="preserve">全部由外国投资者投资  </w:t>
      </w:r>
      <w:r>
        <w:rPr>
          <w:rFonts w:cs="宋体"/>
          <w:iCs/>
          <w:highlight w:val="none"/>
        </w:rPr>
        <w:sym w:font="Wingdings" w:char="F0A8"/>
      </w:r>
      <w:r>
        <w:rPr>
          <w:rFonts w:hint="eastAsia" w:cs="宋体"/>
          <w:iCs/>
          <w:highlight w:val="none"/>
        </w:rPr>
        <w:t>部分由外国投资者投资</w:t>
      </w:r>
    </w:p>
    <w:p w14:paraId="60727FB5">
      <w:pPr>
        <w:pStyle w:val="82"/>
        <w:ind w:firstLine="480" w:firstLineChars="200"/>
        <w:rPr>
          <w:rFonts w:cs="宋体"/>
          <w:highlight w:val="none"/>
        </w:rPr>
      </w:pPr>
      <w:r>
        <w:rPr>
          <w:rFonts w:hint="eastAsia" w:cs="宋体"/>
          <w:highlight w:val="none"/>
        </w:rPr>
        <w:t>（</w:t>
      </w:r>
      <w:r>
        <w:rPr>
          <w:rFonts w:hint="eastAsia" w:cs="宋体"/>
          <w:highlight w:val="none"/>
          <w:lang w:val="en"/>
        </w:rPr>
        <w:t>9</w:t>
      </w:r>
      <w:r>
        <w:rPr>
          <w:rFonts w:hint="eastAsia" w:cs="宋体"/>
          <w:highlight w:val="none"/>
        </w:rPr>
        <w:t>）是否涉及进口产品：</w:t>
      </w:r>
    </w:p>
    <w:p w14:paraId="46323A88">
      <w:pPr>
        <w:pStyle w:val="82"/>
        <w:ind w:firstLine="480" w:firstLineChars="200"/>
        <w:rPr>
          <w:rFonts w:cs="宋体"/>
          <w:highlight w:val="none"/>
          <w:u w:val="single"/>
        </w:rPr>
      </w:pPr>
      <w:r>
        <w:rPr>
          <w:rFonts w:cs="宋体"/>
          <w:highlight w:val="none"/>
        </w:rPr>
        <w:sym w:font="Wingdings" w:char="F0A8"/>
      </w:r>
      <w:r>
        <w:rPr>
          <w:rFonts w:hint="eastAsia" w:cs="宋体"/>
          <w:highlight w:val="none"/>
        </w:rPr>
        <w:t>是，《政府采购品目分类目录》底级品目名称：</w:t>
      </w:r>
      <w:r>
        <w:rPr>
          <w:rFonts w:hint="eastAsia" w:cs="宋体"/>
          <w:highlight w:val="none"/>
          <w:u w:val="single"/>
        </w:rPr>
        <w:t xml:space="preserve">         </w:t>
      </w:r>
      <w:r>
        <w:rPr>
          <w:rFonts w:hint="eastAsia" w:cs="宋体"/>
          <w:highlight w:val="none"/>
        </w:rPr>
        <w:t xml:space="preserve"> 金额：</w:t>
      </w:r>
      <w:r>
        <w:rPr>
          <w:rFonts w:hint="eastAsia" w:cs="宋体"/>
          <w:highlight w:val="none"/>
          <w:u w:val="single"/>
        </w:rPr>
        <w:t xml:space="preserve">        </w:t>
      </w:r>
    </w:p>
    <w:p w14:paraId="37E33E01">
      <w:pPr>
        <w:pStyle w:val="82"/>
        <w:ind w:firstLine="480" w:firstLineChars="200"/>
        <w:rPr>
          <w:highlight w:val="none"/>
        </w:rPr>
      </w:pPr>
      <w:r>
        <w:rPr>
          <w:rFonts w:hint="eastAsia" w:cs="宋体"/>
          <w:highlight w:val="none"/>
        </w:rPr>
        <w:t xml:space="preserve">        国别：</w:t>
      </w:r>
      <w:r>
        <w:rPr>
          <w:rFonts w:hint="eastAsia" w:cs="宋体"/>
          <w:highlight w:val="none"/>
          <w:u w:val="single"/>
        </w:rPr>
        <w:t xml:space="preserve">        </w:t>
      </w:r>
      <w:r>
        <w:rPr>
          <w:rFonts w:hint="eastAsia" w:cs="宋体"/>
          <w:highlight w:val="none"/>
        </w:rPr>
        <w:t xml:space="preserve"> 品牌：</w:t>
      </w:r>
      <w:r>
        <w:rPr>
          <w:rFonts w:hint="eastAsia" w:cs="宋体"/>
          <w:highlight w:val="none"/>
          <w:u w:val="single"/>
        </w:rPr>
        <w:t xml:space="preserve">        </w:t>
      </w:r>
      <w:r>
        <w:rPr>
          <w:rFonts w:hint="eastAsia" w:cs="宋体"/>
          <w:highlight w:val="none"/>
        </w:rPr>
        <w:t xml:space="preserve"> 规格型号：</w:t>
      </w:r>
      <w:r>
        <w:rPr>
          <w:rFonts w:hint="eastAsia" w:cs="宋体"/>
          <w:highlight w:val="none"/>
          <w:u w:val="single"/>
        </w:rPr>
        <w:t xml:space="preserve">        </w:t>
      </w:r>
      <w:r>
        <w:rPr>
          <w:rFonts w:hint="eastAsia"/>
          <w:highlight w:val="none"/>
        </w:rPr>
        <w:t xml:space="preserve">      </w:t>
      </w:r>
    </w:p>
    <w:p w14:paraId="72696A01">
      <w:pPr>
        <w:pStyle w:val="82"/>
        <w:ind w:firstLine="480" w:firstLineChars="200"/>
        <w:rPr>
          <w:highlight w:val="none"/>
        </w:rPr>
      </w:pPr>
      <w:r>
        <w:rPr>
          <w:highlight w:val="none"/>
        </w:rPr>
        <w:sym w:font="Wingdings" w:char="F0A8"/>
      </w:r>
      <w:r>
        <w:rPr>
          <w:rFonts w:hint="eastAsia"/>
          <w:highlight w:val="none"/>
        </w:rPr>
        <w:t>否</w:t>
      </w:r>
    </w:p>
    <w:p w14:paraId="3816508B">
      <w:pPr>
        <w:pStyle w:val="82"/>
        <w:ind w:firstLine="480" w:firstLineChars="200"/>
        <w:rPr>
          <w:highlight w:val="none"/>
        </w:rPr>
      </w:pPr>
      <w:r>
        <w:rPr>
          <w:rFonts w:hint="eastAsia"/>
          <w:highlight w:val="none"/>
        </w:rPr>
        <w:t>（1</w:t>
      </w:r>
      <w:r>
        <w:rPr>
          <w:rFonts w:hint="eastAsia"/>
          <w:highlight w:val="none"/>
          <w:lang w:val="en"/>
        </w:rPr>
        <w:t>0</w:t>
      </w:r>
      <w:r>
        <w:rPr>
          <w:rFonts w:hint="eastAsia"/>
          <w:highlight w:val="none"/>
        </w:rPr>
        <w:t>）是否涉及节能产品：</w:t>
      </w:r>
    </w:p>
    <w:p w14:paraId="7A99EEFF">
      <w:pPr>
        <w:pStyle w:val="82"/>
        <w:ind w:firstLine="480" w:firstLineChars="200"/>
        <w:rPr>
          <w:iCs/>
          <w:highlight w:val="none"/>
        </w:rPr>
      </w:pPr>
      <w:r>
        <w:rPr>
          <w:highlight w:val="none"/>
        </w:rPr>
        <w:sym w:font="Wingdings" w:char="F0A8"/>
      </w:r>
      <w:r>
        <w:rPr>
          <w:rFonts w:hint="eastAsia"/>
          <w:highlight w:val="none"/>
        </w:rPr>
        <w:t>是，《节能产品政府采购品目清单》的底级品目名称：</w:t>
      </w:r>
      <w:r>
        <w:rPr>
          <w:rFonts w:hint="eastAsia"/>
          <w:highlight w:val="none"/>
          <w:u w:val="single"/>
        </w:rPr>
        <w:t xml:space="preserve">         </w:t>
      </w:r>
      <w:r>
        <w:rPr>
          <w:rFonts w:hint="eastAsia"/>
          <w:iCs/>
          <w:highlight w:val="none"/>
        </w:rPr>
        <w:t xml:space="preserve">     </w:t>
      </w:r>
    </w:p>
    <w:p w14:paraId="4B9A3E0E">
      <w:pPr>
        <w:pStyle w:val="82"/>
        <w:ind w:left="360" w:firstLine="480" w:firstLineChars="200"/>
        <w:rPr>
          <w:iCs/>
          <w:highlight w:val="none"/>
        </w:rPr>
      </w:pPr>
      <w:r>
        <w:rPr>
          <w:iCs/>
          <w:highlight w:val="none"/>
        </w:rPr>
        <w:sym w:font="Wingdings" w:char="F0A8"/>
      </w:r>
      <w:r>
        <w:rPr>
          <w:rFonts w:hint="eastAsia"/>
          <w:iCs/>
          <w:highlight w:val="none"/>
        </w:rPr>
        <w:t xml:space="preserve">强制采购       </w:t>
      </w:r>
      <w:r>
        <w:rPr>
          <w:iCs/>
          <w:highlight w:val="none"/>
        </w:rPr>
        <w:sym w:font="Wingdings" w:char="F0A8"/>
      </w:r>
      <w:r>
        <w:rPr>
          <w:rFonts w:hint="eastAsia"/>
          <w:iCs/>
          <w:highlight w:val="none"/>
        </w:rPr>
        <w:t xml:space="preserve">优先采购    </w:t>
      </w:r>
    </w:p>
    <w:p w14:paraId="1BA6F0F4">
      <w:pPr>
        <w:pStyle w:val="82"/>
        <w:ind w:firstLine="480" w:firstLineChars="200"/>
        <w:rPr>
          <w:highlight w:val="none"/>
        </w:rPr>
      </w:pPr>
      <w:r>
        <w:rPr>
          <w:highlight w:val="none"/>
        </w:rPr>
        <w:sym w:font="Wingdings" w:char="F0A8"/>
      </w:r>
      <w:r>
        <w:rPr>
          <w:rFonts w:hint="eastAsia"/>
          <w:highlight w:val="none"/>
        </w:rPr>
        <w:t>否</w:t>
      </w:r>
    </w:p>
    <w:p w14:paraId="629D4FB2">
      <w:pPr>
        <w:pStyle w:val="82"/>
        <w:ind w:firstLine="480" w:firstLineChars="200"/>
        <w:rPr>
          <w:highlight w:val="none"/>
        </w:rPr>
      </w:pPr>
      <w:r>
        <w:rPr>
          <w:rFonts w:hint="eastAsia"/>
          <w:highlight w:val="none"/>
        </w:rPr>
        <w:t>是否涉及环境标志产品：</w:t>
      </w:r>
    </w:p>
    <w:p w14:paraId="1A4A2D71">
      <w:pPr>
        <w:pStyle w:val="82"/>
        <w:ind w:firstLine="480" w:firstLineChars="200"/>
        <w:rPr>
          <w:highlight w:val="none"/>
        </w:rPr>
      </w:pPr>
      <w:r>
        <w:rPr>
          <w:highlight w:val="none"/>
        </w:rPr>
        <w:sym w:font="Wingdings" w:char="F0A8"/>
      </w:r>
      <w:r>
        <w:rPr>
          <w:rFonts w:hint="eastAsia"/>
          <w:highlight w:val="none"/>
        </w:rPr>
        <w:t>是，《环境标志产品政府采购品目清单》的底级品目名称：</w:t>
      </w:r>
      <w:r>
        <w:rPr>
          <w:rFonts w:hint="eastAsia"/>
          <w:highlight w:val="none"/>
          <w:u w:val="single"/>
        </w:rPr>
        <w:t xml:space="preserve">         </w:t>
      </w:r>
      <w:r>
        <w:rPr>
          <w:rFonts w:hint="eastAsia"/>
          <w:iCs/>
          <w:highlight w:val="none"/>
        </w:rPr>
        <w:t xml:space="preserve"> </w:t>
      </w:r>
    </w:p>
    <w:p w14:paraId="523B6711">
      <w:pPr>
        <w:pStyle w:val="82"/>
        <w:ind w:left="360" w:firstLine="480" w:firstLineChars="200"/>
        <w:rPr>
          <w:iCs/>
          <w:highlight w:val="none"/>
        </w:rPr>
      </w:pPr>
      <w:r>
        <w:rPr>
          <w:iCs/>
          <w:highlight w:val="none"/>
        </w:rPr>
        <w:sym w:font="Wingdings" w:char="F0A8"/>
      </w:r>
      <w:r>
        <w:rPr>
          <w:rFonts w:hint="eastAsia"/>
          <w:iCs/>
          <w:highlight w:val="none"/>
        </w:rPr>
        <w:t xml:space="preserve">强制采购       </w:t>
      </w:r>
      <w:r>
        <w:rPr>
          <w:iCs/>
          <w:highlight w:val="none"/>
        </w:rPr>
        <w:sym w:font="Wingdings" w:char="F0A8"/>
      </w:r>
      <w:r>
        <w:rPr>
          <w:rFonts w:hint="eastAsia"/>
          <w:iCs/>
          <w:highlight w:val="none"/>
        </w:rPr>
        <w:t xml:space="preserve">优先采购    </w:t>
      </w:r>
    </w:p>
    <w:p w14:paraId="74977EE7">
      <w:pPr>
        <w:pStyle w:val="82"/>
        <w:ind w:firstLine="480" w:firstLineChars="200"/>
        <w:rPr>
          <w:highlight w:val="none"/>
        </w:rPr>
      </w:pPr>
      <w:r>
        <w:rPr>
          <w:highlight w:val="none"/>
        </w:rPr>
        <w:sym w:font="Wingdings" w:char="F0A8"/>
      </w:r>
      <w:r>
        <w:rPr>
          <w:rFonts w:hint="eastAsia"/>
          <w:highlight w:val="none"/>
        </w:rPr>
        <w:t>否</w:t>
      </w:r>
    </w:p>
    <w:p w14:paraId="7325A2A0">
      <w:pPr>
        <w:pStyle w:val="82"/>
        <w:ind w:firstLine="480" w:firstLineChars="200"/>
        <w:rPr>
          <w:highlight w:val="none"/>
        </w:rPr>
      </w:pPr>
      <w:r>
        <w:rPr>
          <w:rFonts w:hint="eastAsia"/>
          <w:highlight w:val="none"/>
        </w:rPr>
        <w:t xml:space="preserve">是否涉及绿色产品： </w:t>
      </w:r>
    </w:p>
    <w:p w14:paraId="41D3966C">
      <w:pPr>
        <w:pStyle w:val="82"/>
        <w:ind w:firstLine="480" w:firstLineChars="200"/>
        <w:rPr>
          <w:rFonts w:cs="华文楷体"/>
          <w:sz w:val="22"/>
          <w:highlight w:val="none"/>
          <w:u w:val="single"/>
        </w:rPr>
      </w:pPr>
      <w:r>
        <w:rPr>
          <w:highlight w:val="none"/>
        </w:rPr>
        <w:sym w:font="Wingdings" w:char="F0A8"/>
      </w:r>
      <w:r>
        <w:rPr>
          <w:rFonts w:hint="eastAsia"/>
          <w:highlight w:val="none"/>
        </w:rPr>
        <w:t>是，绿色产品政府采购相关政策确定的底级品目名称：</w:t>
      </w:r>
      <w:r>
        <w:rPr>
          <w:rFonts w:hint="eastAsia" w:cs="华文楷体"/>
          <w:sz w:val="22"/>
          <w:highlight w:val="none"/>
          <w:u w:val="single"/>
        </w:rPr>
        <w:t xml:space="preserve">         </w:t>
      </w:r>
    </w:p>
    <w:p w14:paraId="4108B5C5">
      <w:pPr>
        <w:pStyle w:val="82"/>
        <w:ind w:left="360" w:firstLine="480" w:firstLineChars="200"/>
        <w:rPr>
          <w:iCs/>
          <w:highlight w:val="none"/>
        </w:rPr>
      </w:pPr>
      <w:r>
        <w:rPr>
          <w:iCs/>
          <w:highlight w:val="none"/>
        </w:rPr>
        <w:sym w:font="Wingdings" w:char="F0A8"/>
      </w:r>
      <w:r>
        <w:rPr>
          <w:rFonts w:hint="eastAsia"/>
          <w:iCs/>
          <w:highlight w:val="none"/>
        </w:rPr>
        <w:t xml:space="preserve">强制采购       </w:t>
      </w:r>
      <w:r>
        <w:rPr>
          <w:iCs/>
          <w:highlight w:val="none"/>
        </w:rPr>
        <w:sym w:font="Wingdings" w:char="F0A8"/>
      </w:r>
      <w:r>
        <w:rPr>
          <w:rFonts w:hint="eastAsia"/>
          <w:iCs/>
          <w:highlight w:val="none"/>
        </w:rPr>
        <w:t xml:space="preserve">优先采购    </w:t>
      </w:r>
    </w:p>
    <w:p w14:paraId="34012639">
      <w:pPr>
        <w:pStyle w:val="82"/>
        <w:ind w:firstLine="480" w:firstLineChars="200"/>
        <w:rPr>
          <w:rFonts w:eastAsia="华文楷体" w:cs="华文楷体"/>
          <w:highlight w:val="none"/>
        </w:rPr>
      </w:pPr>
      <w:r>
        <w:rPr>
          <w:highlight w:val="none"/>
        </w:rPr>
        <w:sym w:font="Wingdings" w:char="F0A8"/>
      </w:r>
      <w:r>
        <w:rPr>
          <w:rFonts w:hint="eastAsia"/>
          <w:highlight w:val="none"/>
        </w:rPr>
        <w:t>否</w:t>
      </w:r>
    </w:p>
    <w:p w14:paraId="27A58836">
      <w:pPr>
        <w:pStyle w:val="82"/>
        <w:ind w:firstLine="480" w:firstLineChars="200"/>
        <w:rPr>
          <w:highlight w:val="none"/>
        </w:rPr>
      </w:pPr>
      <w:r>
        <w:rPr>
          <w:rFonts w:hint="eastAsia"/>
          <w:highlight w:val="none"/>
        </w:rPr>
        <w:t>（1</w:t>
      </w:r>
      <w:r>
        <w:rPr>
          <w:rFonts w:hint="eastAsia"/>
          <w:highlight w:val="none"/>
          <w:lang w:val="en"/>
        </w:rPr>
        <w:t>1</w:t>
      </w:r>
      <w:r>
        <w:rPr>
          <w:rFonts w:hint="eastAsia"/>
          <w:highlight w:val="none"/>
        </w:rPr>
        <w:t>）涉及商品包装和快递包装的，是否参考《商品包装政府采购需求标准（试行）》、《快递包装政府采购需求标准（试行）》明确产品及相关快递服务的具体包装要求：</w:t>
      </w:r>
    </w:p>
    <w:p w14:paraId="15D19891">
      <w:pPr>
        <w:pStyle w:val="82"/>
        <w:ind w:firstLine="480" w:firstLineChars="200"/>
        <w:rPr>
          <w:highlight w:val="none"/>
        </w:rPr>
      </w:pPr>
      <w:r>
        <w:rPr>
          <w:highlight w:val="none"/>
        </w:rPr>
        <w:sym w:font="Wingdings" w:char="F0A8"/>
      </w:r>
      <w:r>
        <w:rPr>
          <w:rFonts w:hint="eastAsia"/>
          <w:highlight w:val="none"/>
        </w:rPr>
        <w:t xml:space="preserve">是       </w:t>
      </w:r>
      <w:r>
        <w:rPr>
          <w:highlight w:val="none"/>
        </w:rPr>
        <w:sym w:font="Wingdings" w:char="F0A8"/>
      </w:r>
      <w:r>
        <w:rPr>
          <w:rFonts w:hint="eastAsia"/>
          <w:highlight w:val="none"/>
        </w:rPr>
        <w:t xml:space="preserve">否      </w:t>
      </w:r>
      <w:r>
        <w:rPr>
          <w:highlight w:val="none"/>
        </w:rPr>
        <w:sym w:font="Wingdings" w:char="F0A8"/>
      </w:r>
      <w:r>
        <w:rPr>
          <w:rFonts w:hint="eastAsia"/>
          <w:highlight w:val="none"/>
        </w:rPr>
        <w:t>不涉及</w:t>
      </w:r>
    </w:p>
    <w:p w14:paraId="7F0657F6">
      <w:pPr>
        <w:pStyle w:val="82"/>
        <w:ind w:firstLineChars="200"/>
        <w:rPr>
          <w:b/>
          <w:highlight w:val="none"/>
        </w:rPr>
      </w:pPr>
      <w:r>
        <w:rPr>
          <w:rFonts w:hint="eastAsia"/>
          <w:b/>
          <w:highlight w:val="none"/>
        </w:rPr>
        <w:t>2.合同金额</w:t>
      </w:r>
    </w:p>
    <w:p w14:paraId="183E730A">
      <w:pPr>
        <w:pStyle w:val="82"/>
        <w:ind w:firstLine="480" w:firstLineChars="200"/>
        <w:rPr>
          <w:highlight w:val="none"/>
        </w:rPr>
      </w:pPr>
      <w:r>
        <w:rPr>
          <w:rFonts w:hint="eastAsia"/>
          <w:highlight w:val="none"/>
        </w:rPr>
        <w:t>（1）合同金额小写：</w:t>
      </w:r>
      <w:r>
        <w:rPr>
          <w:rFonts w:hint="eastAsia"/>
          <w:highlight w:val="none"/>
          <w:u w:val="single"/>
        </w:rPr>
        <w:t xml:space="preserve">                           </w:t>
      </w:r>
    </w:p>
    <w:p w14:paraId="695BD006">
      <w:pPr>
        <w:pStyle w:val="82"/>
        <w:ind w:firstLine="480" w:firstLineChars="200"/>
        <w:rPr>
          <w:highlight w:val="none"/>
          <w:u w:val="single"/>
        </w:rPr>
      </w:pPr>
      <w:r>
        <w:rPr>
          <w:rFonts w:hint="eastAsia"/>
          <w:highlight w:val="none"/>
        </w:rPr>
        <w:t xml:space="preserve">             大写：</w:t>
      </w:r>
      <w:r>
        <w:rPr>
          <w:rFonts w:hint="eastAsia"/>
          <w:highlight w:val="none"/>
          <w:u w:val="single"/>
        </w:rPr>
        <w:t xml:space="preserve">                           </w:t>
      </w:r>
    </w:p>
    <w:p w14:paraId="4475354C">
      <w:pPr>
        <w:pStyle w:val="82"/>
        <w:ind w:firstLine="480" w:firstLineChars="200"/>
        <w:rPr>
          <w:highlight w:val="none"/>
        </w:rPr>
      </w:pPr>
      <w:r>
        <w:rPr>
          <w:rFonts w:hint="eastAsia"/>
          <w:highlight w:val="none"/>
        </w:rPr>
        <w:t xml:space="preserve">     分包金额（如有）小写：</w:t>
      </w:r>
      <w:r>
        <w:rPr>
          <w:rFonts w:hint="eastAsia"/>
          <w:highlight w:val="none"/>
          <w:u w:val="single"/>
        </w:rPr>
        <w:t xml:space="preserve">                   </w:t>
      </w:r>
    </w:p>
    <w:p w14:paraId="0321A57A">
      <w:pPr>
        <w:pStyle w:val="82"/>
        <w:ind w:firstLine="480" w:firstLineChars="200"/>
        <w:rPr>
          <w:highlight w:val="none"/>
          <w:u w:val="single"/>
        </w:rPr>
      </w:pPr>
      <w:r>
        <w:rPr>
          <w:rFonts w:hint="eastAsia"/>
          <w:highlight w:val="none"/>
        </w:rPr>
        <w:t xml:space="preserve">                     大写：</w:t>
      </w:r>
      <w:r>
        <w:rPr>
          <w:rFonts w:hint="eastAsia"/>
          <w:highlight w:val="none"/>
          <w:u w:val="single"/>
        </w:rPr>
        <w:t xml:space="preserve">                   </w:t>
      </w:r>
    </w:p>
    <w:p w14:paraId="7224ED26">
      <w:pPr>
        <w:pStyle w:val="82"/>
        <w:ind w:firstLine="480" w:firstLineChars="200"/>
        <w:rPr>
          <w:highlight w:val="none"/>
        </w:rPr>
      </w:pPr>
      <w:r>
        <w:rPr>
          <w:rFonts w:hint="eastAsia"/>
          <w:highlight w:val="none"/>
        </w:rPr>
        <w:t xml:space="preserve">    （注：固定单价合同应填写单价和最高限价）</w:t>
      </w:r>
    </w:p>
    <w:p w14:paraId="5007A440">
      <w:pPr>
        <w:pStyle w:val="82"/>
        <w:ind w:firstLine="480" w:firstLineChars="200"/>
        <w:rPr>
          <w:highlight w:val="none"/>
        </w:rPr>
      </w:pPr>
      <w:r>
        <w:rPr>
          <w:rFonts w:hint="eastAsia"/>
          <w:highlight w:val="none"/>
        </w:rPr>
        <w:t>（2）合同定价方式（采用组合定价方式的，可以勾选多项）：</w:t>
      </w:r>
    </w:p>
    <w:p w14:paraId="7053728D">
      <w:pPr>
        <w:pStyle w:val="82"/>
        <w:ind w:firstLine="480" w:firstLineChars="200"/>
        <w:rPr>
          <w:highlight w:val="none"/>
        </w:rPr>
      </w:pPr>
      <w:r>
        <w:rPr>
          <w:iCs/>
          <w:highlight w:val="none"/>
        </w:rPr>
        <w:sym w:font="Wingdings" w:char="F0A8"/>
      </w:r>
      <w:r>
        <w:rPr>
          <w:rFonts w:hint="eastAsia"/>
          <w:iCs/>
          <w:highlight w:val="none"/>
        </w:rPr>
        <w:t xml:space="preserve">固定总价 </w:t>
      </w:r>
      <w:r>
        <w:rPr>
          <w:iCs/>
          <w:highlight w:val="none"/>
        </w:rPr>
        <w:sym w:font="Wingdings" w:char="F0FE"/>
      </w:r>
      <w:r>
        <w:rPr>
          <w:rFonts w:hint="eastAsia"/>
          <w:iCs/>
          <w:highlight w:val="none"/>
        </w:rPr>
        <w:t xml:space="preserve">固定单价 </w:t>
      </w:r>
      <w:r>
        <w:rPr>
          <w:iCs/>
          <w:highlight w:val="none"/>
        </w:rPr>
        <w:sym w:font="Wingdings" w:char="F0A8"/>
      </w:r>
      <w:r>
        <w:rPr>
          <w:rFonts w:hint="eastAsia"/>
          <w:iCs/>
          <w:highlight w:val="none"/>
        </w:rPr>
        <w:t xml:space="preserve">固定费率 </w:t>
      </w:r>
      <w:r>
        <w:rPr>
          <w:iCs/>
          <w:highlight w:val="none"/>
        </w:rPr>
        <w:sym w:font="Wingdings" w:char="F0A8"/>
      </w:r>
      <w:r>
        <w:rPr>
          <w:rFonts w:hint="eastAsia"/>
          <w:iCs/>
          <w:highlight w:val="none"/>
        </w:rPr>
        <w:t xml:space="preserve">成本补偿 </w:t>
      </w:r>
      <w:r>
        <w:rPr>
          <w:iCs/>
          <w:highlight w:val="none"/>
        </w:rPr>
        <w:sym w:font="Wingdings" w:char="F0A8"/>
      </w:r>
      <w:r>
        <w:rPr>
          <w:rFonts w:hint="eastAsia"/>
          <w:iCs/>
          <w:highlight w:val="none"/>
        </w:rPr>
        <w:t xml:space="preserve">绩效激励 </w:t>
      </w:r>
      <w:r>
        <w:rPr>
          <w:iCs/>
          <w:highlight w:val="none"/>
        </w:rPr>
        <w:sym w:font="Wingdings" w:char="F0A8"/>
      </w:r>
      <w:r>
        <w:rPr>
          <w:rFonts w:hint="eastAsia"/>
          <w:iCs/>
          <w:highlight w:val="none"/>
        </w:rPr>
        <w:t>其他</w:t>
      </w:r>
      <w:r>
        <w:rPr>
          <w:rFonts w:hint="eastAsia"/>
          <w:highlight w:val="none"/>
          <w:u w:val="single"/>
        </w:rPr>
        <w:t xml:space="preserve">       </w:t>
      </w:r>
    </w:p>
    <w:p w14:paraId="0A6E89AD">
      <w:pPr>
        <w:pStyle w:val="82"/>
        <w:ind w:firstLine="480" w:firstLineChars="200"/>
        <w:rPr>
          <w:highlight w:val="none"/>
        </w:rPr>
      </w:pPr>
      <w:r>
        <w:rPr>
          <w:rFonts w:hint="eastAsia"/>
          <w:highlight w:val="none"/>
        </w:rPr>
        <w:t>（3）付款方式（按项目实际勾选填写）：</w:t>
      </w:r>
    </w:p>
    <w:p w14:paraId="38492A35">
      <w:pPr>
        <w:pStyle w:val="82"/>
        <w:ind w:firstLine="480" w:firstLineChars="200"/>
        <w:rPr>
          <w:highlight w:val="none"/>
          <w:u w:val="single"/>
        </w:rPr>
      </w:pPr>
      <w:r>
        <w:rPr>
          <w:highlight w:val="none"/>
        </w:rPr>
        <w:sym w:font="Wingdings" w:char="F0A8"/>
      </w:r>
      <w:r>
        <w:rPr>
          <w:rFonts w:hint="eastAsia"/>
          <w:highlight w:val="none"/>
        </w:rPr>
        <w:t>全额付款：</w:t>
      </w:r>
      <w:r>
        <w:rPr>
          <w:rFonts w:hint="eastAsia"/>
          <w:highlight w:val="none"/>
          <w:u w:val="single"/>
        </w:rPr>
        <w:t xml:space="preserve">     （应明确一次性支付合同款项的条件）                    </w:t>
      </w:r>
    </w:p>
    <w:p w14:paraId="5232FFAD">
      <w:pPr>
        <w:pStyle w:val="82"/>
        <w:ind w:firstLine="480" w:firstLineChars="200"/>
        <w:rPr>
          <w:highlight w:val="none"/>
        </w:rPr>
      </w:pPr>
      <w:r>
        <w:rPr>
          <w:highlight w:val="none"/>
        </w:rPr>
        <w:sym w:font="Wingdings" w:char="F0A8"/>
      </w:r>
      <w:r>
        <w:rPr>
          <w:rFonts w:hint="eastAsia"/>
          <w:highlight w:val="none"/>
        </w:rPr>
        <w:t>分期付款：</w:t>
      </w:r>
      <w:r>
        <w:rPr>
          <w:rFonts w:hint="eastAsia"/>
          <w:highlight w:val="none"/>
          <w:u w:val="single"/>
        </w:rPr>
        <w:t xml:space="preserve">  （应明确分期支付合同款项的各期比例和支付条件，各期支付条件应与分期履约验收情况挂钩） </w:t>
      </w:r>
      <w:r>
        <w:rPr>
          <w:rFonts w:hint="eastAsia"/>
          <w:highlight w:val="none"/>
        </w:rPr>
        <w:t>，其中涉及预付款的：</w:t>
      </w:r>
      <w:r>
        <w:rPr>
          <w:rFonts w:hint="eastAsia"/>
          <w:highlight w:val="none"/>
          <w:u w:val="single"/>
        </w:rPr>
        <w:t xml:space="preserve"> （应明确预付款的支付比例和支付条件） </w:t>
      </w:r>
    </w:p>
    <w:p w14:paraId="4EDD812A">
      <w:pPr>
        <w:pStyle w:val="82"/>
        <w:ind w:firstLine="480" w:firstLineChars="200"/>
        <w:rPr>
          <w:highlight w:val="none"/>
          <w:u w:val="single"/>
        </w:rPr>
      </w:pPr>
      <w:r>
        <w:rPr>
          <w:highlight w:val="none"/>
        </w:rPr>
        <w:sym w:font="Wingdings" w:char="F0A8"/>
      </w:r>
      <w:r>
        <w:rPr>
          <w:rFonts w:hint="eastAsia"/>
          <w:highlight w:val="none"/>
        </w:rPr>
        <w:t>成本补偿：</w:t>
      </w:r>
      <w:r>
        <w:rPr>
          <w:rFonts w:hint="eastAsia"/>
          <w:highlight w:val="none"/>
          <w:u w:val="single"/>
        </w:rPr>
        <w:t xml:space="preserve">      （应明确按照成本补偿方式的支付方式和支付条件）   </w:t>
      </w:r>
    </w:p>
    <w:p w14:paraId="668DE705">
      <w:pPr>
        <w:pStyle w:val="82"/>
        <w:ind w:firstLine="480" w:firstLineChars="200"/>
        <w:rPr>
          <w:highlight w:val="none"/>
        </w:rPr>
      </w:pPr>
      <w:r>
        <w:rPr>
          <w:highlight w:val="none"/>
        </w:rPr>
        <w:sym w:font="Wingdings" w:char="F0A8"/>
      </w:r>
      <w:r>
        <w:rPr>
          <w:rFonts w:hint="eastAsia"/>
          <w:highlight w:val="none"/>
        </w:rPr>
        <w:t>绩效激励：</w:t>
      </w:r>
      <w:r>
        <w:rPr>
          <w:rFonts w:hint="eastAsia"/>
          <w:highlight w:val="none"/>
          <w:u w:val="single"/>
        </w:rPr>
        <w:t xml:space="preserve">      （应明确按照绩效激励方式的支付方式和支付条件）   </w:t>
      </w:r>
    </w:p>
    <w:p w14:paraId="6AA4EA97">
      <w:pPr>
        <w:pStyle w:val="82"/>
        <w:ind w:firstLineChars="200"/>
        <w:rPr>
          <w:b/>
          <w:highlight w:val="none"/>
          <w:u w:val="single"/>
        </w:rPr>
      </w:pPr>
      <w:r>
        <w:rPr>
          <w:rFonts w:hint="eastAsia"/>
          <w:b/>
          <w:highlight w:val="none"/>
        </w:rPr>
        <w:t>3.合同履行</w:t>
      </w:r>
    </w:p>
    <w:p w14:paraId="0610C667">
      <w:pPr>
        <w:pStyle w:val="82"/>
        <w:ind w:firstLine="480" w:firstLineChars="200"/>
        <w:rPr>
          <w:rFonts w:cs="宋体"/>
          <w:highlight w:val="none"/>
        </w:rPr>
      </w:pPr>
      <w:r>
        <w:rPr>
          <w:rFonts w:hint="eastAsia" w:cs="宋体"/>
          <w:highlight w:val="none"/>
        </w:rPr>
        <w:t>（1）起始日期：</w:t>
      </w:r>
      <w:r>
        <w:rPr>
          <w:rFonts w:hint="eastAsia" w:cs="宋体"/>
          <w:highlight w:val="none"/>
          <w:u w:val="single"/>
        </w:rPr>
        <w:t xml:space="preserve">    </w:t>
      </w:r>
      <w:r>
        <w:rPr>
          <w:rFonts w:hint="eastAsia" w:cs="宋体"/>
          <w:highlight w:val="none"/>
        </w:rPr>
        <w:t>年</w:t>
      </w:r>
      <w:r>
        <w:rPr>
          <w:rFonts w:hint="eastAsia" w:cs="宋体"/>
          <w:highlight w:val="none"/>
          <w:u w:val="single"/>
        </w:rPr>
        <w:t xml:space="preserve">   </w:t>
      </w:r>
      <w:r>
        <w:rPr>
          <w:rFonts w:hint="eastAsia" w:cs="宋体"/>
          <w:highlight w:val="none"/>
        </w:rPr>
        <w:t>月</w:t>
      </w:r>
      <w:r>
        <w:rPr>
          <w:rFonts w:hint="eastAsia" w:cs="宋体"/>
          <w:highlight w:val="none"/>
          <w:u w:val="single"/>
        </w:rPr>
        <w:t xml:space="preserve">   </w:t>
      </w:r>
      <w:r>
        <w:rPr>
          <w:rFonts w:hint="eastAsia" w:cs="宋体"/>
          <w:highlight w:val="none"/>
        </w:rPr>
        <w:t>日，完成日期：</w:t>
      </w:r>
      <w:r>
        <w:rPr>
          <w:rFonts w:hint="eastAsia" w:cs="宋体"/>
          <w:highlight w:val="none"/>
          <w:u w:val="single"/>
        </w:rPr>
        <w:t xml:space="preserve">    </w:t>
      </w:r>
      <w:r>
        <w:rPr>
          <w:rFonts w:hint="eastAsia" w:cs="宋体"/>
          <w:highlight w:val="none"/>
        </w:rPr>
        <w:t>年</w:t>
      </w:r>
      <w:r>
        <w:rPr>
          <w:rFonts w:hint="eastAsia" w:cs="宋体"/>
          <w:highlight w:val="none"/>
          <w:u w:val="single"/>
        </w:rPr>
        <w:t xml:space="preserve">   </w:t>
      </w:r>
      <w:r>
        <w:rPr>
          <w:rFonts w:hint="eastAsia" w:cs="宋体"/>
          <w:highlight w:val="none"/>
        </w:rPr>
        <w:t>月</w:t>
      </w:r>
      <w:r>
        <w:rPr>
          <w:rFonts w:hint="eastAsia" w:cs="宋体"/>
          <w:highlight w:val="none"/>
          <w:u w:val="single"/>
        </w:rPr>
        <w:t xml:space="preserve">   </w:t>
      </w:r>
      <w:r>
        <w:rPr>
          <w:rFonts w:hint="eastAsia" w:cs="宋体"/>
          <w:highlight w:val="none"/>
        </w:rPr>
        <w:t>日。</w:t>
      </w:r>
    </w:p>
    <w:p w14:paraId="114E919B">
      <w:pPr>
        <w:pStyle w:val="82"/>
        <w:ind w:firstLine="480" w:firstLineChars="200"/>
        <w:rPr>
          <w:rFonts w:cs="宋体"/>
          <w:highlight w:val="none"/>
          <w:u w:val="single"/>
        </w:rPr>
      </w:pPr>
      <w:r>
        <w:rPr>
          <w:rFonts w:hint="eastAsia" w:cs="宋体"/>
          <w:highlight w:val="none"/>
        </w:rPr>
        <w:t>（2）履约地点</w:t>
      </w:r>
      <w:r>
        <w:rPr>
          <w:rFonts w:hint="eastAsia" w:cs="宋体"/>
          <w:bCs/>
          <w:highlight w:val="none"/>
        </w:rPr>
        <w:t>：</w:t>
      </w:r>
      <w:r>
        <w:rPr>
          <w:rFonts w:hint="eastAsia" w:cs="宋体"/>
          <w:highlight w:val="none"/>
          <w:u w:val="single"/>
        </w:rPr>
        <w:t xml:space="preserve">                             </w:t>
      </w:r>
    </w:p>
    <w:p w14:paraId="7586DA1E">
      <w:pPr>
        <w:pStyle w:val="82"/>
        <w:ind w:firstLine="480" w:firstLineChars="200"/>
        <w:rPr>
          <w:rFonts w:cs="宋体"/>
          <w:highlight w:val="none"/>
        </w:rPr>
      </w:pPr>
      <w:r>
        <w:rPr>
          <w:rFonts w:hint="eastAsia" w:cs="宋体"/>
          <w:bCs/>
          <w:highlight w:val="none"/>
        </w:rPr>
        <w:t>（3）履约担保：</w:t>
      </w:r>
      <w:r>
        <w:rPr>
          <w:rFonts w:hint="eastAsia" w:cs="宋体"/>
          <w:highlight w:val="none"/>
        </w:rPr>
        <w:t>是否收取履约保证金：</w:t>
      </w:r>
      <w:r>
        <w:rPr>
          <w:rFonts w:cs="宋体"/>
          <w:highlight w:val="none"/>
        </w:rPr>
        <w:sym w:font="Wingdings" w:char="F0A8"/>
      </w:r>
      <w:r>
        <w:rPr>
          <w:rFonts w:hint="eastAsia" w:cs="宋体"/>
          <w:highlight w:val="none"/>
        </w:rPr>
        <w:t xml:space="preserve">是    </w:t>
      </w:r>
      <w:r>
        <w:rPr>
          <w:rFonts w:cs="宋体"/>
          <w:highlight w:val="none"/>
        </w:rPr>
        <w:sym w:font="Wingdings" w:char="F0A8"/>
      </w:r>
      <w:r>
        <w:rPr>
          <w:rFonts w:hint="eastAsia" w:cs="宋体"/>
          <w:highlight w:val="none"/>
        </w:rPr>
        <w:t>否</w:t>
      </w:r>
    </w:p>
    <w:p w14:paraId="3542FC8B">
      <w:pPr>
        <w:pStyle w:val="82"/>
        <w:ind w:firstLine="480" w:firstLineChars="200"/>
        <w:rPr>
          <w:rFonts w:cs="宋体"/>
          <w:highlight w:val="none"/>
        </w:rPr>
      </w:pPr>
      <w:r>
        <w:rPr>
          <w:rFonts w:hint="eastAsia" w:cs="宋体"/>
          <w:highlight w:val="none"/>
        </w:rPr>
        <w:t>收取履约保证金形式：</w:t>
      </w:r>
      <w:r>
        <w:rPr>
          <w:rFonts w:hint="eastAsia" w:cs="宋体"/>
          <w:bCs/>
          <w:highlight w:val="none"/>
          <w:u w:val="single"/>
        </w:rPr>
        <w:t xml:space="preserve">                            </w:t>
      </w:r>
    </w:p>
    <w:p w14:paraId="0DED5201">
      <w:pPr>
        <w:pStyle w:val="82"/>
        <w:ind w:firstLine="480" w:firstLineChars="200"/>
        <w:rPr>
          <w:rFonts w:cs="宋体"/>
          <w:highlight w:val="none"/>
        </w:rPr>
      </w:pPr>
      <w:r>
        <w:rPr>
          <w:rFonts w:hint="eastAsia" w:cs="宋体"/>
          <w:highlight w:val="none"/>
        </w:rPr>
        <w:t>收取履约保证金金额：</w:t>
      </w:r>
      <w:r>
        <w:rPr>
          <w:rFonts w:hint="eastAsia" w:cs="宋体"/>
          <w:bCs/>
          <w:highlight w:val="none"/>
          <w:u w:val="single"/>
        </w:rPr>
        <w:t xml:space="preserve">                            </w:t>
      </w:r>
    </w:p>
    <w:p w14:paraId="0BEC8904">
      <w:pPr>
        <w:pStyle w:val="82"/>
        <w:ind w:firstLine="480" w:firstLineChars="200"/>
        <w:rPr>
          <w:rFonts w:cs="宋体"/>
          <w:highlight w:val="none"/>
        </w:rPr>
      </w:pPr>
      <w:r>
        <w:rPr>
          <w:rFonts w:hint="eastAsia" w:cs="宋体"/>
          <w:bCs/>
          <w:highlight w:val="none"/>
        </w:rPr>
        <w:t>履约担保期限：</w:t>
      </w:r>
      <w:r>
        <w:rPr>
          <w:rFonts w:hint="eastAsia" w:cs="宋体"/>
          <w:bCs/>
          <w:highlight w:val="none"/>
          <w:u w:val="single"/>
        </w:rPr>
        <w:t xml:space="preserve">                                  </w:t>
      </w:r>
    </w:p>
    <w:p w14:paraId="2745834D">
      <w:pPr>
        <w:pStyle w:val="82"/>
        <w:ind w:firstLine="480" w:firstLineChars="200"/>
        <w:rPr>
          <w:rFonts w:cs="宋体"/>
          <w:bCs/>
          <w:highlight w:val="none"/>
        </w:rPr>
      </w:pPr>
      <w:r>
        <w:rPr>
          <w:rFonts w:hint="eastAsia" w:cs="宋体"/>
          <w:bCs/>
          <w:highlight w:val="none"/>
        </w:rPr>
        <w:t>（4）分期履行要求：</w:t>
      </w:r>
      <w:r>
        <w:rPr>
          <w:rFonts w:hint="eastAsia" w:cs="宋体"/>
          <w:bCs/>
          <w:highlight w:val="none"/>
          <w:u w:val="single"/>
        </w:rPr>
        <w:t xml:space="preserve">                                                        </w:t>
      </w:r>
    </w:p>
    <w:p w14:paraId="22D0842D">
      <w:pPr>
        <w:pStyle w:val="82"/>
        <w:ind w:firstLine="480" w:firstLineChars="200"/>
        <w:rPr>
          <w:rFonts w:cs="宋体"/>
          <w:highlight w:val="none"/>
          <w:u w:val="single"/>
        </w:rPr>
      </w:pPr>
      <w:r>
        <w:rPr>
          <w:rFonts w:hint="eastAsia" w:cs="宋体"/>
          <w:bCs/>
          <w:highlight w:val="none"/>
        </w:rPr>
        <w:t>（5）风险处置措施和替代方案：</w:t>
      </w:r>
      <w:r>
        <w:rPr>
          <w:rFonts w:hint="eastAsia" w:cs="宋体"/>
          <w:highlight w:val="none"/>
          <w:u w:val="single"/>
        </w:rPr>
        <w:t xml:space="preserve">                                                               </w:t>
      </w:r>
    </w:p>
    <w:p w14:paraId="47F29E16">
      <w:pPr>
        <w:pStyle w:val="82"/>
        <w:ind w:firstLineChars="200"/>
        <w:rPr>
          <w:b/>
          <w:highlight w:val="none"/>
        </w:rPr>
      </w:pPr>
      <w:r>
        <w:rPr>
          <w:rFonts w:hint="eastAsia"/>
          <w:b/>
          <w:highlight w:val="none"/>
        </w:rPr>
        <w:t>4.合同验收</w:t>
      </w:r>
    </w:p>
    <w:p w14:paraId="22E90E06">
      <w:pPr>
        <w:pStyle w:val="82"/>
        <w:ind w:firstLine="480" w:firstLineChars="200"/>
        <w:rPr>
          <w:bCs/>
          <w:highlight w:val="none"/>
        </w:rPr>
      </w:pPr>
      <w:r>
        <w:rPr>
          <w:rFonts w:hint="eastAsia"/>
          <w:bCs/>
          <w:highlight w:val="none"/>
        </w:rPr>
        <w:t>验收组织方式：</w:t>
      </w:r>
      <w:r>
        <w:rPr>
          <w:rFonts w:cs="宋体"/>
          <w:highlight w:val="none"/>
        </w:rPr>
        <w:sym w:font="Wingdings" w:char="F0A8"/>
      </w:r>
      <w:r>
        <w:rPr>
          <w:rFonts w:hint="eastAsia"/>
          <w:bCs/>
          <w:highlight w:val="none"/>
        </w:rPr>
        <w:t xml:space="preserve">自行组织 </w:t>
      </w:r>
      <w:r>
        <w:rPr>
          <w:rFonts w:cs="宋体"/>
          <w:highlight w:val="none"/>
        </w:rPr>
        <w:sym w:font="Wingdings" w:char="F0A8"/>
      </w:r>
      <w:r>
        <w:rPr>
          <w:rFonts w:hint="eastAsia"/>
          <w:bCs/>
          <w:highlight w:val="none"/>
        </w:rPr>
        <w:t>委托第三方组织</w:t>
      </w:r>
    </w:p>
    <w:p w14:paraId="4DB685EB">
      <w:pPr>
        <w:pStyle w:val="82"/>
        <w:ind w:firstLine="480" w:firstLineChars="200"/>
        <w:rPr>
          <w:bCs/>
          <w:highlight w:val="none"/>
        </w:rPr>
      </w:pPr>
      <w:r>
        <w:rPr>
          <w:rFonts w:hint="eastAsia"/>
          <w:bCs/>
          <w:highlight w:val="none"/>
        </w:rPr>
        <w:t>验收主体：</w:t>
      </w:r>
      <w:r>
        <w:rPr>
          <w:rFonts w:hint="eastAsia"/>
          <w:bCs/>
          <w:highlight w:val="none"/>
          <w:u w:val="single"/>
        </w:rPr>
        <w:t xml:space="preserve">                  </w:t>
      </w:r>
    </w:p>
    <w:p w14:paraId="0026C930">
      <w:pPr>
        <w:pStyle w:val="82"/>
        <w:ind w:firstLine="480" w:firstLineChars="200"/>
        <w:rPr>
          <w:bCs/>
          <w:highlight w:val="none"/>
        </w:rPr>
      </w:pPr>
      <w:r>
        <w:rPr>
          <w:rFonts w:hint="eastAsia"/>
          <w:bCs/>
          <w:highlight w:val="none"/>
        </w:rPr>
        <w:t>是否邀请本项目的其他供应商参加验收：</w:t>
      </w:r>
      <w:r>
        <w:rPr>
          <w:rFonts w:cs="宋体"/>
          <w:highlight w:val="none"/>
        </w:rPr>
        <w:sym w:font="Wingdings" w:char="F0A8"/>
      </w:r>
      <w:r>
        <w:rPr>
          <w:rFonts w:hint="eastAsia"/>
          <w:bCs/>
          <w:highlight w:val="none"/>
        </w:rPr>
        <w:t xml:space="preserve">是  </w:t>
      </w:r>
      <w:r>
        <w:rPr>
          <w:rFonts w:cs="宋体"/>
          <w:highlight w:val="none"/>
        </w:rPr>
        <w:sym w:font="Wingdings" w:char="F0A8"/>
      </w:r>
      <w:r>
        <w:rPr>
          <w:rFonts w:hint="eastAsia"/>
          <w:bCs/>
          <w:highlight w:val="none"/>
        </w:rPr>
        <w:t>否</w:t>
      </w:r>
    </w:p>
    <w:p w14:paraId="0F520D08">
      <w:pPr>
        <w:pStyle w:val="82"/>
        <w:ind w:firstLine="480" w:firstLineChars="200"/>
        <w:rPr>
          <w:bCs/>
          <w:highlight w:val="none"/>
        </w:rPr>
      </w:pPr>
      <w:r>
        <w:rPr>
          <w:rFonts w:hint="eastAsia"/>
          <w:bCs/>
          <w:highlight w:val="none"/>
        </w:rPr>
        <w:t>是否邀请专家参加验收：</w:t>
      </w:r>
      <w:r>
        <w:rPr>
          <w:rFonts w:cs="宋体"/>
          <w:highlight w:val="none"/>
        </w:rPr>
        <w:sym w:font="Wingdings" w:char="F0A8"/>
      </w:r>
      <w:r>
        <w:rPr>
          <w:rFonts w:hint="eastAsia"/>
          <w:bCs/>
          <w:highlight w:val="none"/>
        </w:rPr>
        <w:t xml:space="preserve">是  </w:t>
      </w:r>
      <w:r>
        <w:rPr>
          <w:rFonts w:cs="宋体"/>
          <w:highlight w:val="none"/>
        </w:rPr>
        <w:sym w:font="Wingdings" w:char="F0A8"/>
      </w:r>
      <w:r>
        <w:rPr>
          <w:rFonts w:hint="eastAsia"/>
          <w:bCs/>
          <w:highlight w:val="none"/>
        </w:rPr>
        <w:t>否</w:t>
      </w:r>
    </w:p>
    <w:p w14:paraId="2DB6F822">
      <w:pPr>
        <w:pStyle w:val="82"/>
        <w:ind w:firstLine="480" w:firstLineChars="200"/>
        <w:rPr>
          <w:bCs/>
          <w:highlight w:val="none"/>
        </w:rPr>
      </w:pPr>
      <w:r>
        <w:rPr>
          <w:rFonts w:hint="eastAsia"/>
          <w:bCs/>
          <w:highlight w:val="none"/>
        </w:rPr>
        <w:t>是否邀请服务对象参加验收：</w:t>
      </w:r>
      <w:r>
        <w:rPr>
          <w:rFonts w:cs="宋体"/>
          <w:highlight w:val="none"/>
        </w:rPr>
        <w:sym w:font="Wingdings" w:char="F0A8"/>
      </w:r>
      <w:r>
        <w:rPr>
          <w:rFonts w:hint="eastAsia"/>
          <w:bCs/>
          <w:highlight w:val="none"/>
        </w:rPr>
        <w:t xml:space="preserve">是  </w:t>
      </w:r>
      <w:r>
        <w:rPr>
          <w:rFonts w:cs="宋体"/>
          <w:highlight w:val="none"/>
        </w:rPr>
        <w:sym w:font="Wingdings" w:char="F0A8"/>
      </w:r>
      <w:r>
        <w:rPr>
          <w:rFonts w:hint="eastAsia"/>
          <w:bCs/>
          <w:highlight w:val="none"/>
        </w:rPr>
        <w:t>否</w:t>
      </w:r>
    </w:p>
    <w:p w14:paraId="487E14BC">
      <w:pPr>
        <w:pStyle w:val="82"/>
        <w:ind w:firstLine="480" w:firstLineChars="200"/>
        <w:rPr>
          <w:bCs/>
          <w:highlight w:val="none"/>
        </w:rPr>
      </w:pPr>
      <w:r>
        <w:rPr>
          <w:rFonts w:hint="eastAsia"/>
          <w:bCs/>
          <w:highlight w:val="none"/>
        </w:rPr>
        <w:t>是否邀请第三方检测机构参加验收：</w:t>
      </w:r>
      <w:r>
        <w:rPr>
          <w:rFonts w:cs="宋体"/>
          <w:highlight w:val="none"/>
        </w:rPr>
        <w:sym w:font="Wingdings" w:char="F0A8"/>
      </w:r>
      <w:r>
        <w:rPr>
          <w:rFonts w:hint="eastAsia"/>
          <w:bCs/>
          <w:highlight w:val="none"/>
        </w:rPr>
        <w:t xml:space="preserve">是  </w:t>
      </w:r>
      <w:r>
        <w:rPr>
          <w:rFonts w:cs="宋体"/>
          <w:highlight w:val="none"/>
        </w:rPr>
        <w:sym w:font="Wingdings" w:char="F0A8"/>
      </w:r>
      <w:r>
        <w:rPr>
          <w:rFonts w:hint="eastAsia"/>
          <w:bCs/>
          <w:highlight w:val="none"/>
        </w:rPr>
        <w:t>否</w:t>
      </w:r>
    </w:p>
    <w:p w14:paraId="31069614">
      <w:pPr>
        <w:pStyle w:val="82"/>
        <w:ind w:firstLine="480" w:firstLineChars="200"/>
        <w:rPr>
          <w:bCs/>
          <w:highlight w:val="none"/>
        </w:rPr>
      </w:pPr>
      <w:r>
        <w:rPr>
          <w:rFonts w:hint="eastAsia"/>
          <w:bCs/>
          <w:highlight w:val="none"/>
        </w:rPr>
        <w:t>是否进行抽查检测：</w:t>
      </w:r>
      <w:r>
        <w:rPr>
          <w:rFonts w:cs="宋体"/>
          <w:highlight w:val="none"/>
        </w:rPr>
        <w:sym w:font="Wingdings" w:char="F0A8"/>
      </w:r>
      <w:r>
        <w:rPr>
          <w:rFonts w:hint="eastAsia"/>
          <w:bCs/>
          <w:highlight w:val="none"/>
        </w:rPr>
        <w:t>是，抽查比例：</w:t>
      </w:r>
      <w:r>
        <w:rPr>
          <w:rFonts w:hint="eastAsia"/>
          <w:bCs/>
          <w:highlight w:val="none"/>
          <w:u w:val="single"/>
        </w:rPr>
        <w:t xml:space="preserve">        </w:t>
      </w:r>
      <w:r>
        <w:rPr>
          <w:rFonts w:hint="eastAsia"/>
          <w:bCs/>
          <w:highlight w:val="none"/>
        </w:rPr>
        <w:t xml:space="preserve"> </w:t>
      </w:r>
      <w:r>
        <w:rPr>
          <w:rFonts w:cs="宋体"/>
          <w:highlight w:val="none"/>
        </w:rPr>
        <w:sym w:font="Wingdings" w:char="F0A8"/>
      </w:r>
      <w:r>
        <w:rPr>
          <w:rFonts w:hint="eastAsia"/>
          <w:bCs/>
          <w:highlight w:val="none"/>
        </w:rPr>
        <w:t>否</w:t>
      </w:r>
    </w:p>
    <w:p w14:paraId="203B28DB">
      <w:pPr>
        <w:pStyle w:val="82"/>
        <w:ind w:firstLine="480" w:firstLineChars="200"/>
        <w:rPr>
          <w:bCs/>
          <w:highlight w:val="none"/>
          <w:u w:val="single"/>
        </w:rPr>
      </w:pPr>
      <w:r>
        <w:rPr>
          <w:rFonts w:hint="eastAsia"/>
          <w:bCs/>
          <w:highlight w:val="none"/>
        </w:rPr>
        <w:t>是否存在破坏性检测：</w:t>
      </w:r>
      <w:r>
        <w:rPr>
          <w:rFonts w:cs="宋体"/>
          <w:highlight w:val="none"/>
        </w:rPr>
        <w:sym w:font="Wingdings" w:char="F0A8"/>
      </w:r>
      <w:r>
        <w:rPr>
          <w:rFonts w:hint="eastAsia"/>
          <w:bCs/>
          <w:highlight w:val="none"/>
        </w:rPr>
        <w:t>是，</w:t>
      </w:r>
      <w:r>
        <w:rPr>
          <w:rFonts w:hint="eastAsia"/>
          <w:bCs/>
          <w:highlight w:val="none"/>
          <w:u w:val="single"/>
        </w:rPr>
        <w:t>（应明确对被破坏的检测产品的处理方式）</w:t>
      </w:r>
    </w:p>
    <w:p w14:paraId="722E311C">
      <w:pPr>
        <w:pStyle w:val="82"/>
        <w:ind w:firstLine="480" w:firstLineChars="200"/>
        <w:rPr>
          <w:bCs/>
          <w:highlight w:val="none"/>
        </w:rPr>
      </w:pPr>
      <w:r>
        <w:rPr>
          <w:rFonts w:hint="eastAsia"/>
          <w:bCs/>
          <w:highlight w:val="none"/>
        </w:rPr>
        <w:t xml:space="preserve">                    </w:t>
      </w:r>
      <w:r>
        <w:rPr>
          <w:rFonts w:cs="宋体"/>
          <w:highlight w:val="none"/>
        </w:rPr>
        <w:sym w:font="Wingdings" w:char="F0A8"/>
      </w:r>
      <w:r>
        <w:rPr>
          <w:rFonts w:hint="eastAsia"/>
          <w:bCs/>
          <w:highlight w:val="none"/>
        </w:rPr>
        <w:t>否</w:t>
      </w:r>
    </w:p>
    <w:p w14:paraId="4CC64419">
      <w:pPr>
        <w:pStyle w:val="82"/>
        <w:ind w:firstLine="480" w:firstLineChars="200"/>
        <w:rPr>
          <w:bCs/>
          <w:highlight w:val="none"/>
          <w:u w:val="single"/>
        </w:rPr>
      </w:pPr>
      <w:r>
        <w:rPr>
          <w:rFonts w:hint="eastAsia"/>
          <w:bCs/>
          <w:highlight w:val="none"/>
        </w:rPr>
        <w:t>验收组织的其他事项：</w:t>
      </w:r>
      <w:r>
        <w:rPr>
          <w:rFonts w:hint="eastAsia"/>
          <w:bCs/>
          <w:highlight w:val="none"/>
          <w:u w:val="single"/>
        </w:rPr>
        <w:t xml:space="preserve">                </w:t>
      </w:r>
    </w:p>
    <w:p w14:paraId="5672D396">
      <w:pPr>
        <w:pStyle w:val="82"/>
        <w:ind w:firstLine="480" w:firstLineChars="200"/>
        <w:rPr>
          <w:bCs/>
          <w:highlight w:val="none"/>
          <w:u w:val="single"/>
        </w:rPr>
      </w:pPr>
      <w:r>
        <w:rPr>
          <w:rFonts w:hint="eastAsia"/>
          <w:bCs/>
          <w:highlight w:val="none"/>
        </w:rPr>
        <w:t>（2）履约验收时间：</w:t>
      </w:r>
      <w:r>
        <w:rPr>
          <w:rFonts w:hint="eastAsia"/>
          <w:bCs/>
          <w:highlight w:val="none"/>
          <w:u w:val="single"/>
        </w:rPr>
        <w:t xml:space="preserve">（计划于何时验收/供应商提出验收申请之日起   日内组织验收） </w:t>
      </w:r>
    </w:p>
    <w:p w14:paraId="544A7F35">
      <w:pPr>
        <w:pStyle w:val="82"/>
        <w:ind w:firstLine="480" w:firstLineChars="200"/>
        <w:rPr>
          <w:bCs/>
          <w:highlight w:val="none"/>
        </w:rPr>
      </w:pPr>
      <w:r>
        <w:rPr>
          <w:rFonts w:hint="eastAsia"/>
          <w:bCs/>
          <w:highlight w:val="none"/>
        </w:rPr>
        <w:t>（3）履约验收方式：</w:t>
      </w:r>
      <w:r>
        <w:rPr>
          <w:rFonts w:cs="宋体"/>
          <w:highlight w:val="none"/>
        </w:rPr>
        <w:sym w:font="Wingdings" w:char="F0A8"/>
      </w:r>
      <w:r>
        <w:rPr>
          <w:rFonts w:hint="eastAsia"/>
          <w:bCs/>
          <w:highlight w:val="none"/>
        </w:rPr>
        <w:t xml:space="preserve">一次性验收         </w:t>
      </w:r>
    </w:p>
    <w:p w14:paraId="1E842AEE">
      <w:pPr>
        <w:pStyle w:val="82"/>
        <w:ind w:firstLine="480" w:firstLineChars="200"/>
        <w:rPr>
          <w:bCs/>
          <w:highlight w:val="none"/>
        </w:rPr>
      </w:pPr>
      <w:r>
        <w:rPr>
          <w:rFonts w:hint="eastAsia"/>
          <w:bCs/>
          <w:highlight w:val="none"/>
        </w:rPr>
        <w:t xml:space="preserve">                   </w:t>
      </w:r>
      <w:r>
        <w:rPr>
          <w:rFonts w:cs="宋体"/>
          <w:highlight w:val="none"/>
        </w:rPr>
        <w:sym w:font="Wingdings" w:char="F0A8"/>
      </w:r>
      <w:r>
        <w:rPr>
          <w:rFonts w:hint="eastAsia"/>
          <w:bCs/>
          <w:highlight w:val="none"/>
        </w:rPr>
        <w:t>分期/分项验收：</w:t>
      </w:r>
      <w:r>
        <w:rPr>
          <w:rFonts w:hint="eastAsia"/>
          <w:bCs/>
          <w:highlight w:val="none"/>
          <w:u w:val="single"/>
        </w:rPr>
        <w:t xml:space="preserve"> （应明确分期</w:t>
      </w:r>
      <w:r>
        <w:rPr>
          <w:rFonts w:hint="eastAsia"/>
          <w:bCs/>
          <w:highlight w:val="none"/>
          <w:u w:val="single"/>
          <w:lang w:val="en"/>
        </w:rPr>
        <w:t>/分项验收的工作安排</w:t>
      </w:r>
      <w:r>
        <w:rPr>
          <w:rFonts w:hint="eastAsia"/>
          <w:bCs/>
          <w:highlight w:val="none"/>
          <w:u w:val="single"/>
        </w:rPr>
        <w:t xml:space="preserve">）  </w:t>
      </w:r>
    </w:p>
    <w:p w14:paraId="6272CF1D">
      <w:pPr>
        <w:pStyle w:val="82"/>
        <w:ind w:firstLine="480" w:firstLineChars="200"/>
        <w:rPr>
          <w:bCs/>
          <w:highlight w:val="none"/>
        </w:rPr>
      </w:pPr>
      <w:r>
        <w:rPr>
          <w:rFonts w:hint="eastAsia"/>
          <w:bCs/>
          <w:highlight w:val="none"/>
        </w:rPr>
        <w:t>（4）履约验收程序：</w:t>
      </w:r>
      <w:r>
        <w:rPr>
          <w:rFonts w:hint="eastAsia"/>
          <w:bCs/>
          <w:highlight w:val="none"/>
          <w:u w:val="single"/>
        </w:rPr>
        <w:t xml:space="preserve">                                         </w:t>
      </w:r>
    </w:p>
    <w:p w14:paraId="2E7732A2">
      <w:pPr>
        <w:pStyle w:val="82"/>
        <w:ind w:firstLine="480" w:firstLineChars="200"/>
        <w:rPr>
          <w:bCs/>
          <w:highlight w:val="none"/>
          <w:u w:val="single"/>
        </w:rPr>
      </w:pPr>
      <w:r>
        <w:rPr>
          <w:rFonts w:hint="eastAsia"/>
          <w:bCs/>
          <w:highlight w:val="none"/>
        </w:rPr>
        <w:t>（5）履约验收的内容：</w:t>
      </w:r>
      <w:r>
        <w:rPr>
          <w:rFonts w:hint="eastAsia"/>
          <w:bCs/>
          <w:highlight w:val="none"/>
          <w:u w:val="single"/>
        </w:rPr>
        <w:t xml:space="preserve"> （应当包括每一项技术和商务要求的履约情况，特别是落实政府采购扶持中小企业，支持绿色发展和乡村振兴等政策情况）                                      </w:t>
      </w:r>
    </w:p>
    <w:p w14:paraId="4527A0CA">
      <w:pPr>
        <w:pStyle w:val="82"/>
        <w:ind w:firstLine="480" w:firstLineChars="200"/>
        <w:rPr>
          <w:bCs/>
          <w:highlight w:val="none"/>
          <w:u w:val="single"/>
        </w:rPr>
      </w:pPr>
      <w:r>
        <w:rPr>
          <w:rFonts w:hint="eastAsia"/>
          <w:bCs/>
          <w:highlight w:val="none"/>
        </w:rPr>
        <w:t>（6）履约验收标准：</w:t>
      </w:r>
      <w:r>
        <w:rPr>
          <w:rFonts w:hint="eastAsia"/>
          <w:bCs/>
          <w:highlight w:val="none"/>
          <w:u w:val="single"/>
        </w:rPr>
        <w:t xml:space="preserve">                                         </w:t>
      </w:r>
    </w:p>
    <w:p w14:paraId="12C98EFB">
      <w:pPr>
        <w:pStyle w:val="82"/>
        <w:ind w:firstLine="480" w:firstLineChars="200"/>
        <w:rPr>
          <w:rFonts w:cs="宋体"/>
          <w:highlight w:val="none"/>
        </w:rPr>
      </w:pPr>
      <w:r>
        <w:rPr>
          <w:rFonts w:hint="eastAsia" w:cs="宋体"/>
          <w:bCs/>
          <w:highlight w:val="none"/>
        </w:rPr>
        <w:t>（7）是否以采购活动中供应商提供的样品作为参考：</w:t>
      </w:r>
      <w:r>
        <w:rPr>
          <w:rFonts w:cs="宋体"/>
          <w:highlight w:val="none"/>
        </w:rPr>
        <w:sym w:font="Wingdings" w:char="F0A8"/>
      </w:r>
      <w:r>
        <w:rPr>
          <w:rFonts w:hint="eastAsia" w:cs="宋体"/>
          <w:bCs/>
          <w:highlight w:val="none"/>
        </w:rPr>
        <w:t xml:space="preserve">是  </w:t>
      </w:r>
      <w:r>
        <w:rPr>
          <w:rFonts w:cs="宋体"/>
          <w:highlight w:val="none"/>
        </w:rPr>
        <w:sym w:font="Wingdings" w:char="F0A8"/>
      </w:r>
      <w:r>
        <w:rPr>
          <w:rFonts w:hint="eastAsia" w:cs="宋体"/>
          <w:bCs/>
          <w:highlight w:val="none"/>
        </w:rPr>
        <w:t>否</w:t>
      </w:r>
    </w:p>
    <w:p w14:paraId="481339E2">
      <w:pPr>
        <w:pStyle w:val="82"/>
        <w:ind w:firstLine="480" w:firstLineChars="200"/>
        <w:rPr>
          <w:rFonts w:cs="宋体"/>
          <w:bCs/>
          <w:highlight w:val="none"/>
          <w:u w:val="single"/>
        </w:rPr>
      </w:pPr>
      <w:r>
        <w:rPr>
          <w:rFonts w:hint="eastAsia" w:cs="宋体"/>
          <w:bCs/>
          <w:highlight w:val="none"/>
        </w:rPr>
        <w:t>（8）履约验收其他事项：</w:t>
      </w:r>
      <w:r>
        <w:rPr>
          <w:rFonts w:hint="eastAsia" w:cs="宋体"/>
          <w:bCs/>
          <w:highlight w:val="none"/>
          <w:u w:val="single"/>
        </w:rPr>
        <w:t xml:space="preserve">      （产权过户登记等）          </w:t>
      </w:r>
    </w:p>
    <w:p w14:paraId="3FC563B1">
      <w:pPr>
        <w:pStyle w:val="82"/>
        <w:ind w:firstLineChars="200"/>
        <w:rPr>
          <w:b/>
          <w:highlight w:val="none"/>
        </w:rPr>
      </w:pPr>
      <w:r>
        <w:rPr>
          <w:rFonts w:hint="eastAsia"/>
          <w:b/>
          <w:highlight w:val="none"/>
        </w:rPr>
        <w:t>5.组成合同的文件</w:t>
      </w:r>
    </w:p>
    <w:p w14:paraId="3B8F99A7">
      <w:pPr>
        <w:pStyle w:val="82"/>
        <w:ind w:firstLine="480" w:firstLineChars="200"/>
        <w:rPr>
          <w:highlight w:val="none"/>
        </w:rPr>
      </w:pPr>
      <w:r>
        <w:rPr>
          <w:rFonts w:hint="eastAsia"/>
          <w:highlight w:val="none"/>
        </w:rPr>
        <w:t>本协议书与下列文件一起构成合同文件，如下述文件之间有任何抵触、矛盾或歧义，应按以下顺序解释：</w:t>
      </w:r>
    </w:p>
    <w:p w14:paraId="1C2D75AB">
      <w:pPr>
        <w:pStyle w:val="82"/>
        <w:ind w:firstLine="480" w:firstLineChars="200"/>
        <w:rPr>
          <w:highlight w:val="none"/>
        </w:rPr>
      </w:pPr>
      <w:r>
        <w:rPr>
          <w:rFonts w:hint="eastAsia"/>
          <w:highlight w:val="none"/>
        </w:rPr>
        <w:t>（1）政府采购合同协议书及其变更、补充协议</w:t>
      </w:r>
    </w:p>
    <w:p w14:paraId="21503CEB">
      <w:pPr>
        <w:pStyle w:val="82"/>
        <w:ind w:firstLine="480" w:firstLineChars="200"/>
        <w:rPr>
          <w:highlight w:val="none"/>
        </w:rPr>
      </w:pPr>
      <w:r>
        <w:rPr>
          <w:rFonts w:hint="eastAsia"/>
          <w:highlight w:val="none"/>
        </w:rPr>
        <w:t>（2）政府采购合同专用条款</w:t>
      </w:r>
    </w:p>
    <w:p w14:paraId="1667A7C7">
      <w:pPr>
        <w:pStyle w:val="82"/>
        <w:ind w:firstLine="480" w:firstLineChars="200"/>
        <w:rPr>
          <w:highlight w:val="none"/>
        </w:rPr>
      </w:pPr>
      <w:r>
        <w:rPr>
          <w:rFonts w:hint="eastAsia"/>
          <w:highlight w:val="none"/>
        </w:rPr>
        <w:t>（3）政府采购合同通用条款</w:t>
      </w:r>
    </w:p>
    <w:p w14:paraId="079D3063">
      <w:pPr>
        <w:pStyle w:val="82"/>
        <w:ind w:firstLine="480" w:firstLineChars="200"/>
        <w:rPr>
          <w:highlight w:val="none"/>
        </w:rPr>
      </w:pPr>
      <w:r>
        <w:rPr>
          <w:rFonts w:hint="eastAsia"/>
          <w:highlight w:val="none"/>
        </w:rPr>
        <w:t>（4）中标（成交）通知书</w:t>
      </w:r>
    </w:p>
    <w:p w14:paraId="68973D26">
      <w:pPr>
        <w:pStyle w:val="82"/>
        <w:ind w:firstLine="480" w:firstLineChars="200"/>
        <w:rPr>
          <w:highlight w:val="none"/>
        </w:rPr>
      </w:pPr>
      <w:r>
        <w:rPr>
          <w:rFonts w:hint="eastAsia"/>
          <w:highlight w:val="none"/>
        </w:rPr>
        <w:t>（5）投标（响应）文件</w:t>
      </w:r>
    </w:p>
    <w:p w14:paraId="51EDEFAA">
      <w:pPr>
        <w:pStyle w:val="82"/>
        <w:ind w:firstLine="480" w:firstLineChars="200"/>
        <w:rPr>
          <w:highlight w:val="none"/>
        </w:rPr>
      </w:pPr>
      <w:r>
        <w:rPr>
          <w:rFonts w:hint="eastAsia"/>
          <w:highlight w:val="none"/>
        </w:rPr>
        <w:t>（6）采购文件</w:t>
      </w:r>
    </w:p>
    <w:p w14:paraId="287BD714">
      <w:pPr>
        <w:pStyle w:val="82"/>
        <w:ind w:firstLine="480" w:firstLineChars="200"/>
        <w:rPr>
          <w:highlight w:val="none"/>
        </w:rPr>
      </w:pPr>
      <w:r>
        <w:rPr>
          <w:rFonts w:hint="eastAsia"/>
          <w:highlight w:val="none"/>
        </w:rPr>
        <w:t>（7）有关技术文件，图纸</w:t>
      </w:r>
    </w:p>
    <w:p w14:paraId="5E2D4CE5">
      <w:pPr>
        <w:pStyle w:val="82"/>
        <w:ind w:firstLine="480" w:firstLineChars="200"/>
        <w:rPr>
          <w:rFonts w:cs="宋体"/>
          <w:highlight w:val="none"/>
        </w:rPr>
      </w:pPr>
      <w:r>
        <w:rPr>
          <w:rFonts w:hint="eastAsia" w:cs="宋体"/>
          <w:highlight w:val="none"/>
        </w:rPr>
        <w:t>（8）国家法律、行政法规和规章制度规定或合同约定的作为合同组成部分的其他文件</w:t>
      </w:r>
    </w:p>
    <w:p w14:paraId="18669163">
      <w:pPr>
        <w:pStyle w:val="82"/>
        <w:ind w:firstLineChars="200"/>
        <w:rPr>
          <w:b/>
          <w:highlight w:val="none"/>
        </w:rPr>
      </w:pPr>
      <w:r>
        <w:rPr>
          <w:rFonts w:hint="eastAsia"/>
          <w:b/>
          <w:highlight w:val="none"/>
        </w:rPr>
        <w:t>6.合同生效</w:t>
      </w:r>
    </w:p>
    <w:p w14:paraId="197EB948">
      <w:pPr>
        <w:pStyle w:val="82"/>
        <w:ind w:firstLine="480" w:firstLineChars="200"/>
        <w:rPr>
          <w:highlight w:val="none"/>
        </w:rPr>
      </w:pPr>
      <w:r>
        <w:rPr>
          <w:rFonts w:hint="eastAsia"/>
          <w:highlight w:val="none"/>
        </w:rPr>
        <w:t>本合同自</w:t>
      </w:r>
      <w:r>
        <w:rPr>
          <w:rFonts w:hint="eastAsia"/>
          <w:highlight w:val="none"/>
          <w:u w:val="single"/>
        </w:rPr>
        <w:t xml:space="preserve">                             </w:t>
      </w:r>
      <w:r>
        <w:rPr>
          <w:rFonts w:hint="eastAsia"/>
          <w:highlight w:val="none"/>
        </w:rPr>
        <w:t>生效。</w:t>
      </w:r>
    </w:p>
    <w:p w14:paraId="76D44C52">
      <w:pPr>
        <w:pStyle w:val="82"/>
        <w:ind w:firstLineChars="200"/>
        <w:rPr>
          <w:b/>
          <w:highlight w:val="none"/>
        </w:rPr>
      </w:pPr>
      <w:r>
        <w:rPr>
          <w:rFonts w:hint="eastAsia"/>
          <w:b/>
          <w:highlight w:val="none"/>
        </w:rPr>
        <w:t>7.合同份数</w:t>
      </w:r>
    </w:p>
    <w:p w14:paraId="7ED1D081">
      <w:pPr>
        <w:pStyle w:val="82"/>
        <w:ind w:firstLine="480" w:firstLineChars="200"/>
        <w:rPr>
          <w:highlight w:val="none"/>
        </w:rPr>
      </w:pPr>
      <w:r>
        <w:rPr>
          <w:rFonts w:hint="eastAsia"/>
          <w:highlight w:val="none"/>
        </w:rPr>
        <w:t>本合同一式</w:t>
      </w:r>
      <w:r>
        <w:rPr>
          <w:rFonts w:hint="eastAsia"/>
          <w:highlight w:val="none"/>
          <w:u w:val="single"/>
        </w:rPr>
        <w:t xml:space="preserve">    </w:t>
      </w:r>
      <w:r>
        <w:rPr>
          <w:rFonts w:hint="eastAsia"/>
          <w:highlight w:val="none"/>
        </w:rPr>
        <w:t>份，甲方执</w:t>
      </w:r>
      <w:r>
        <w:rPr>
          <w:rFonts w:hint="eastAsia"/>
          <w:highlight w:val="none"/>
          <w:u w:val="single"/>
        </w:rPr>
        <w:t xml:space="preserve">    </w:t>
      </w:r>
      <w:r>
        <w:rPr>
          <w:rFonts w:hint="eastAsia"/>
          <w:highlight w:val="none"/>
        </w:rPr>
        <w:t>份，乙方执</w:t>
      </w:r>
      <w:r>
        <w:rPr>
          <w:rFonts w:hint="eastAsia"/>
          <w:highlight w:val="none"/>
          <w:u w:val="single"/>
        </w:rPr>
        <w:t xml:space="preserve">    </w:t>
      </w:r>
      <w:r>
        <w:rPr>
          <w:rFonts w:hint="eastAsia"/>
          <w:highlight w:val="none"/>
        </w:rPr>
        <w:t>份，均具有同等法律效力。</w:t>
      </w:r>
    </w:p>
    <w:p w14:paraId="244A8FC4">
      <w:pPr>
        <w:pStyle w:val="82"/>
        <w:ind w:firstLine="480" w:firstLineChars="200"/>
        <w:rPr>
          <w:highlight w:val="none"/>
        </w:rPr>
      </w:pPr>
      <w:r>
        <w:rPr>
          <w:rFonts w:hint="eastAsia"/>
          <w:highlight w:val="none"/>
        </w:rPr>
        <w:t>合同订立时间：</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w:t>
      </w:r>
    </w:p>
    <w:p w14:paraId="5C10C54A">
      <w:pPr>
        <w:pStyle w:val="82"/>
        <w:ind w:firstLine="480" w:firstLineChars="200"/>
        <w:rPr>
          <w:highlight w:val="none"/>
        </w:rPr>
      </w:pPr>
      <w:r>
        <w:rPr>
          <w:rFonts w:hint="eastAsia"/>
          <w:highlight w:val="none"/>
        </w:rPr>
        <w:t>合同订立地点：</w:t>
      </w:r>
      <w:r>
        <w:rPr>
          <w:rFonts w:hint="eastAsia"/>
          <w:highlight w:val="none"/>
          <w:u w:val="single"/>
        </w:rPr>
        <w:t xml:space="preserve">                           </w:t>
      </w:r>
    </w:p>
    <w:p w14:paraId="27E0A3C3">
      <w:pPr>
        <w:pStyle w:val="82"/>
        <w:ind w:firstLine="480" w:firstLineChars="200"/>
        <w:rPr>
          <w:highlight w:val="none"/>
        </w:rPr>
      </w:pPr>
      <w:r>
        <w:rPr>
          <w:rFonts w:hint="eastAsia"/>
          <w:highlight w:val="none"/>
        </w:rPr>
        <w:t>附件：具体标的及其技术要求和商务要求、联合协议、分包意向协议等。</w:t>
      </w:r>
    </w:p>
    <w:p w14:paraId="4C4E7B20">
      <w:pPr>
        <w:pStyle w:val="82"/>
        <w:rPr>
          <w:highlight w:val="none"/>
        </w:rPr>
      </w:pPr>
    </w:p>
    <w:p w14:paraId="4DC666E0">
      <w:pPr>
        <w:pStyle w:val="82"/>
        <w:rPr>
          <w:szCs w:val="21"/>
          <w:highlight w:val="none"/>
        </w:rPr>
      </w:pPr>
      <w:r>
        <w:rPr>
          <w:highlight w:val="none"/>
          <w:lang w:val="en"/>
        </w:rPr>
        <w:t xml:space="preserve">   </w:t>
      </w:r>
    </w:p>
    <w:p w14:paraId="5B8D38AC">
      <w:pPr>
        <w:adjustRightInd/>
        <w:rPr>
          <w:highlight w:val="none"/>
        </w:rPr>
      </w:pPr>
      <w:r>
        <w:rPr>
          <w:highlight w:val="none"/>
        </w:rPr>
        <w:br w:type="page"/>
      </w:r>
    </w:p>
    <w:p w14:paraId="337A35AD">
      <w:pPr>
        <w:adjustRightInd/>
        <w:ind w:firstLine="420" w:firstLineChars="200"/>
        <w:rPr>
          <w:szCs w:val="21"/>
          <w:highlight w:val="none"/>
        </w:rPr>
      </w:pPr>
    </w:p>
    <w:tbl>
      <w:tblPr>
        <w:tblStyle w:val="62"/>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0"/>
        <w:gridCol w:w="2628"/>
        <w:gridCol w:w="2156"/>
        <w:gridCol w:w="2306"/>
      </w:tblGrid>
      <w:tr w14:paraId="55F3B0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top w:val="single" w:color="auto" w:sz="4" w:space="0"/>
              <w:left w:val="single" w:color="auto" w:sz="4" w:space="0"/>
              <w:bottom w:val="single" w:color="auto" w:sz="2" w:space="0"/>
              <w:right w:val="single" w:color="auto" w:sz="2" w:space="0"/>
            </w:tcBorders>
            <w:vAlign w:val="center"/>
          </w:tcPr>
          <w:p w14:paraId="38A3C80A">
            <w:pPr>
              <w:snapToGrid w:val="0"/>
              <w:spacing w:line="360" w:lineRule="auto"/>
              <w:jc w:val="center"/>
              <w:rPr>
                <w:rFonts w:ascii="Calibri" w:hAnsi="Calibri"/>
                <w:sz w:val="24"/>
                <w:highlight w:val="none"/>
              </w:rPr>
            </w:pPr>
            <w:r>
              <w:rPr>
                <w:rFonts w:hint="eastAsia" w:ascii="Calibri" w:hAnsi="Calibri"/>
                <w:sz w:val="24"/>
                <w:highlight w:val="none"/>
              </w:rPr>
              <w:t>甲方（采购人</w:t>
            </w:r>
            <w:r>
              <w:rPr>
                <w:rFonts w:hint="eastAsia" w:ascii="宋体" w:hAnsi="宋体"/>
                <w:sz w:val="24"/>
                <w:highlight w:val="none"/>
              </w:rPr>
              <w:t>、受采购人委托签订合同的单位或</w:t>
            </w:r>
            <w:r>
              <w:rPr>
                <w:rFonts w:hint="eastAsia" w:ascii="Calibri" w:hAnsi="Calibri"/>
                <w:sz w:val="24"/>
                <w:highlight w:val="none"/>
              </w:rPr>
              <w:t>采购文件约定的合同甲方）</w:t>
            </w:r>
          </w:p>
        </w:tc>
        <w:tc>
          <w:tcPr>
            <w:tcW w:w="2437" w:type="pct"/>
            <w:gridSpan w:val="2"/>
            <w:tcBorders>
              <w:top w:val="single" w:color="auto" w:sz="4" w:space="0"/>
              <w:left w:val="single" w:color="auto" w:sz="2" w:space="0"/>
              <w:bottom w:val="single" w:color="auto" w:sz="2" w:space="0"/>
              <w:right w:val="single" w:color="auto" w:sz="4" w:space="0"/>
            </w:tcBorders>
            <w:vAlign w:val="center"/>
          </w:tcPr>
          <w:p w14:paraId="186EF458">
            <w:pPr>
              <w:snapToGrid w:val="0"/>
              <w:spacing w:line="360" w:lineRule="auto"/>
              <w:jc w:val="center"/>
              <w:rPr>
                <w:rFonts w:ascii="Calibri" w:hAnsi="Calibri"/>
                <w:sz w:val="24"/>
                <w:highlight w:val="none"/>
              </w:rPr>
            </w:pPr>
            <w:r>
              <w:rPr>
                <w:rFonts w:hint="eastAsia" w:ascii="Calibri" w:hAnsi="Calibri"/>
                <w:sz w:val="24"/>
                <w:highlight w:val="none"/>
              </w:rPr>
              <w:t>乙方（供应商）</w:t>
            </w:r>
          </w:p>
        </w:tc>
      </w:tr>
      <w:tr w14:paraId="42BDDAF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left w:val="single" w:color="auto" w:sz="4" w:space="0"/>
              <w:bottom w:val="single" w:color="auto" w:sz="2" w:space="0"/>
              <w:right w:val="single" w:color="auto" w:sz="2" w:space="0"/>
            </w:tcBorders>
            <w:vAlign w:val="center"/>
          </w:tcPr>
          <w:p w14:paraId="13808B85">
            <w:pPr>
              <w:snapToGrid w:val="0"/>
              <w:spacing w:line="360" w:lineRule="auto"/>
              <w:jc w:val="center"/>
              <w:rPr>
                <w:rFonts w:ascii="Calibri" w:hAnsi="Calibri"/>
                <w:sz w:val="24"/>
                <w:highlight w:val="none"/>
              </w:rPr>
            </w:pPr>
            <w:r>
              <w:rPr>
                <w:rFonts w:hint="eastAsia" w:ascii="Calibri" w:hAnsi="Calibri"/>
                <w:sz w:val="24"/>
                <w:highlight w:val="none"/>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7F614DF0">
            <w:pPr>
              <w:snapToGrid w:val="0"/>
              <w:spacing w:line="360" w:lineRule="auto"/>
              <w:jc w:val="center"/>
              <w:rPr>
                <w:rFonts w:ascii="Calibri" w:hAnsi="Calibri"/>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FA55E08">
            <w:pPr>
              <w:snapToGrid w:val="0"/>
              <w:spacing w:line="360" w:lineRule="auto"/>
              <w:jc w:val="center"/>
              <w:rPr>
                <w:rFonts w:ascii="Calibri" w:hAnsi="Calibri"/>
                <w:sz w:val="24"/>
                <w:highlight w:val="none"/>
              </w:rPr>
            </w:pPr>
            <w:r>
              <w:rPr>
                <w:rFonts w:hint="eastAsia" w:ascii="Calibri" w:hAnsi="Calibri"/>
                <w:sz w:val="24"/>
                <w:highlight w:val="none"/>
              </w:rPr>
              <w:t>单位名称（公章或合同章）</w:t>
            </w:r>
          </w:p>
        </w:tc>
        <w:tc>
          <w:tcPr>
            <w:tcW w:w="1259" w:type="pct"/>
            <w:tcBorders>
              <w:top w:val="single" w:color="auto" w:sz="2" w:space="0"/>
              <w:left w:val="single" w:color="auto" w:sz="2" w:space="0"/>
              <w:bottom w:val="single" w:color="auto" w:sz="2" w:space="0"/>
              <w:right w:val="single" w:color="auto" w:sz="4" w:space="0"/>
            </w:tcBorders>
            <w:vAlign w:val="center"/>
          </w:tcPr>
          <w:p w14:paraId="51FAC154">
            <w:pPr>
              <w:snapToGrid w:val="0"/>
              <w:spacing w:line="360" w:lineRule="auto"/>
              <w:jc w:val="center"/>
              <w:rPr>
                <w:rFonts w:ascii="Calibri" w:hAnsi="Calibri"/>
                <w:spacing w:val="20"/>
                <w:sz w:val="24"/>
                <w:highlight w:val="none"/>
              </w:rPr>
            </w:pPr>
          </w:p>
        </w:tc>
      </w:tr>
      <w:tr w14:paraId="5379287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left w:val="single" w:color="auto" w:sz="4" w:space="0"/>
              <w:bottom w:val="single" w:color="auto" w:sz="2" w:space="0"/>
              <w:right w:val="single" w:color="auto" w:sz="2" w:space="0"/>
            </w:tcBorders>
            <w:vAlign w:val="center"/>
          </w:tcPr>
          <w:p w14:paraId="7A1136F8">
            <w:pPr>
              <w:snapToGrid w:val="0"/>
              <w:spacing w:line="360" w:lineRule="auto"/>
              <w:jc w:val="center"/>
              <w:rPr>
                <w:rFonts w:ascii="Calibri" w:hAnsi="Calibri"/>
                <w:sz w:val="24"/>
                <w:highlight w:val="none"/>
              </w:rPr>
            </w:pPr>
            <w:r>
              <w:rPr>
                <w:rFonts w:hint="eastAsia" w:ascii="Calibri" w:hAnsi="Calibri"/>
                <w:sz w:val="24"/>
                <w:highlight w:val="none"/>
              </w:rPr>
              <w:t>法定代表人</w:t>
            </w:r>
          </w:p>
          <w:p w14:paraId="786D4D76">
            <w:pPr>
              <w:snapToGrid w:val="0"/>
              <w:spacing w:line="360" w:lineRule="auto"/>
              <w:ind w:firstLine="115" w:firstLineChars="48"/>
              <w:jc w:val="center"/>
              <w:rPr>
                <w:rFonts w:ascii="Calibri" w:hAnsi="Calibri"/>
                <w:sz w:val="24"/>
                <w:highlight w:val="none"/>
              </w:rPr>
            </w:pPr>
            <w:r>
              <w:rPr>
                <w:rFonts w:hint="eastAsia" w:ascii="Calibri" w:hAnsi="Calibri"/>
                <w:sz w:val="24"/>
                <w:highlight w:val="none"/>
              </w:rPr>
              <w:t>或其委托代理人（签章）</w:t>
            </w:r>
          </w:p>
        </w:tc>
        <w:tc>
          <w:tcPr>
            <w:tcW w:w="1436" w:type="pct"/>
            <w:vMerge w:val="restart"/>
            <w:tcBorders>
              <w:top w:val="single" w:color="auto" w:sz="2" w:space="0"/>
              <w:left w:val="single" w:color="auto" w:sz="2" w:space="0"/>
              <w:bottom w:val="single" w:color="auto" w:sz="2" w:space="0"/>
              <w:right w:val="single" w:color="auto" w:sz="2" w:space="0"/>
            </w:tcBorders>
            <w:vAlign w:val="center"/>
          </w:tcPr>
          <w:p w14:paraId="5B87AA67">
            <w:pPr>
              <w:snapToGrid w:val="0"/>
              <w:spacing w:line="360" w:lineRule="auto"/>
              <w:jc w:val="center"/>
              <w:rPr>
                <w:rFonts w:ascii="Calibri" w:hAnsi="Calibri"/>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7CB0464">
            <w:pPr>
              <w:snapToGrid w:val="0"/>
              <w:spacing w:line="360" w:lineRule="auto"/>
              <w:jc w:val="center"/>
              <w:rPr>
                <w:rFonts w:ascii="Calibri" w:hAnsi="Calibri"/>
                <w:sz w:val="24"/>
                <w:highlight w:val="none"/>
              </w:rPr>
            </w:pPr>
            <w:r>
              <w:rPr>
                <w:rFonts w:hint="eastAsia" w:ascii="Calibri" w:hAnsi="Calibri"/>
                <w:sz w:val="24"/>
                <w:highlight w:val="none"/>
              </w:rPr>
              <w:t>法定代表人</w:t>
            </w:r>
          </w:p>
          <w:p w14:paraId="082AB0D4">
            <w:pPr>
              <w:snapToGrid w:val="0"/>
              <w:spacing w:line="360" w:lineRule="auto"/>
              <w:jc w:val="center"/>
              <w:rPr>
                <w:rFonts w:ascii="Calibri" w:hAnsi="Calibri"/>
                <w:sz w:val="24"/>
                <w:highlight w:val="none"/>
              </w:rPr>
            </w:pPr>
            <w:r>
              <w:rPr>
                <w:rFonts w:hint="eastAsia" w:ascii="Calibri" w:hAnsi="Calibri"/>
                <w:sz w:val="24"/>
                <w:highlight w:val="none"/>
              </w:rPr>
              <w:t>或其委托代理人（签章）</w:t>
            </w:r>
          </w:p>
        </w:tc>
        <w:tc>
          <w:tcPr>
            <w:tcW w:w="1259" w:type="pct"/>
            <w:tcBorders>
              <w:top w:val="single" w:color="auto" w:sz="2" w:space="0"/>
              <w:left w:val="single" w:color="auto" w:sz="2" w:space="0"/>
              <w:bottom w:val="single" w:color="auto" w:sz="2" w:space="0"/>
              <w:right w:val="single" w:color="auto" w:sz="4" w:space="0"/>
            </w:tcBorders>
            <w:vAlign w:val="center"/>
          </w:tcPr>
          <w:p w14:paraId="797E9624">
            <w:pPr>
              <w:snapToGrid w:val="0"/>
              <w:spacing w:line="360" w:lineRule="auto"/>
              <w:jc w:val="center"/>
              <w:rPr>
                <w:rFonts w:ascii="Calibri" w:hAnsi="Calibri"/>
                <w:sz w:val="24"/>
                <w:highlight w:val="none"/>
              </w:rPr>
            </w:pPr>
          </w:p>
        </w:tc>
      </w:tr>
      <w:tr w14:paraId="68B70F9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0" w:type="auto"/>
            <w:vMerge w:val="continue"/>
            <w:tcBorders>
              <w:top w:val="single" w:color="auto" w:sz="2" w:space="0"/>
              <w:left w:val="single" w:color="auto" w:sz="4" w:space="0"/>
              <w:bottom w:val="single" w:color="auto" w:sz="2" w:space="0"/>
              <w:right w:val="single" w:color="auto" w:sz="2" w:space="0"/>
            </w:tcBorders>
            <w:vAlign w:val="center"/>
          </w:tcPr>
          <w:p w14:paraId="2EC2D7A7">
            <w:pPr>
              <w:widowControl/>
              <w:adjustRightInd/>
              <w:spacing w:line="360" w:lineRule="auto"/>
              <w:jc w:val="left"/>
              <w:rPr>
                <w:rFonts w:ascii="Calibri" w:hAnsi="Calibri"/>
                <w:sz w:val="24"/>
                <w:highlight w:val="none"/>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14:paraId="5B6ED187">
            <w:pPr>
              <w:widowControl/>
              <w:adjustRightInd/>
              <w:spacing w:line="360" w:lineRule="auto"/>
              <w:jc w:val="left"/>
              <w:rPr>
                <w:rFonts w:ascii="Calibri" w:hAnsi="Calibri"/>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7B8D61B">
            <w:pPr>
              <w:snapToGrid w:val="0"/>
              <w:spacing w:line="360" w:lineRule="auto"/>
              <w:jc w:val="center"/>
              <w:rPr>
                <w:rFonts w:ascii="Calibri" w:hAnsi="Calibri"/>
                <w:sz w:val="24"/>
                <w:highlight w:val="none"/>
              </w:rPr>
            </w:pPr>
            <w:r>
              <w:rPr>
                <w:rFonts w:hint="eastAsia" w:ascii="Calibri" w:hAnsi="Calibri"/>
                <w:sz w:val="24"/>
                <w:highlight w:val="none"/>
              </w:rPr>
              <w:t>拥有者性别</w:t>
            </w:r>
          </w:p>
        </w:tc>
        <w:tc>
          <w:tcPr>
            <w:tcW w:w="1259" w:type="pct"/>
            <w:tcBorders>
              <w:top w:val="single" w:color="auto" w:sz="2" w:space="0"/>
              <w:left w:val="single" w:color="auto" w:sz="2" w:space="0"/>
              <w:bottom w:val="single" w:color="auto" w:sz="2" w:space="0"/>
              <w:right w:val="single" w:color="auto" w:sz="4" w:space="0"/>
            </w:tcBorders>
            <w:vAlign w:val="center"/>
          </w:tcPr>
          <w:p w14:paraId="3A7C3B4A">
            <w:pPr>
              <w:snapToGrid w:val="0"/>
              <w:spacing w:line="360" w:lineRule="auto"/>
              <w:jc w:val="center"/>
              <w:rPr>
                <w:rFonts w:ascii="Calibri" w:hAnsi="Calibri"/>
                <w:spacing w:val="20"/>
                <w:sz w:val="24"/>
                <w:highlight w:val="none"/>
              </w:rPr>
            </w:pPr>
          </w:p>
        </w:tc>
      </w:tr>
      <w:tr w14:paraId="0D6DA2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0FC8E43B">
            <w:pPr>
              <w:snapToGrid w:val="0"/>
              <w:spacing w:line="360" w:lineRule="auto"/>
              <w:jc w:val="center"/>
              <w:rPr>
                <w:rFonts w:ascii="Calibri" w:hAnsi="Calibri"/>
                <w:sz w:val="24"/>
                <w:highlight w:val="none"/>
              </w:rPr>
            </w:pPr>
            <w:r>
              <w:rPr>
                <w:rFonts w:hint="eastAsia" w:ascii="Calibri" w:hAnsi="Calibri"/>
                <w:sz w:val="24"/>
                <w:highlight w:val="none"/>
              </w:rPr>
              <w:t>住</w:t>
            </w:r>
            <w:r>
              <w:rPr>
                <w:rFonts w:ascii="Calibri" w:hAnsi="Calibri"/>
                <w:sz w:val="24"/>
                <w:highlight w:val="none"/>
              </w:rPr>
              <w:t xml:space="preserve">  </w:t>
            </w:r>
            <w:r>
              <w:rPr>
                <w:rFonts w:hint="eastAsia" w:ascii="Calibri" w:hAnsi="Calibri"/>
                <w:sz w:val="24"/>
                <w:highlight w:val="none"/>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0A466AF7">
            <w:pPr>
              <w:snapToGrid w:val="0"/>
              <w:spacing w:line="360" w:lineRule="auto"/>
              <w:jc w:val="center"/>
              <w:rPr>
                <w:rFonts w:ascii="Calibri" w:hAnsi="Calibri"/>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B60AD89">
            <w:pPr>
              <w:snapToGrid w:val="0"/>
              <w:spacing w:line="360" w:lineRule="auto"/>
              <w:jc w:val="center"/>
              <w:rPr>
                <w:rFonts w:ascii="Calibri" w:hAnsi="Calibri"/>
                <w:sz w:val="24"/>
                <w:highlight w:val="none"/>
              </w:rPr>
            </w:pPr>
            <w:r>
              <w:rPr>
                <w:rFonts w:hint="eastAsia" w:ascii="Calibri" w:hAnsi="Calibri"/>
                <w:sz w:val="24"/>
                <w:highlight w:val="none"/>
              </w:rPr>
              <w:t>住</w:t>
            </w:r>
            <w:r>
              <w:rPr>
                <w:rFonts w:ascii="Calibri" w:hAnsi="Calibri"/>
                <w:sz w:val="24"/>
                <w:highlight w:val="none"/>
              </w:rPr>
              <w:t xml:space="preserve">  </w:t>
            </w:r>
            <w:r>
              <w:rPr>
                <w:rFonts w:hint="eastAsia" w:ascii="Calibri" w:hAnsi="Calibri"/>
                <w:sz w:val="24"/>
                <w:highlight w:val="none"/>
              </w:rPr>
              <w:t>所</w:t>
            </w:r>
          </w:p>
        </w:tc>
        <w:tc>
          <w:tcPr>
            <w:tcW w:w="1259" w:type="pct"/>
            <w:tcBorders>
              <w:top w:val="single" w:color="auto" w:sz="2" w:space="0"/>
              <w:left w:val="single" w:color="auto" w:sz="2" w:space="0"/>
              <w:bottom w:val="single" w:color="auto" w:sz="2" w:space="0"/>
              <w:right w:val="single" w:color="auto" w:sz="4" w:space="0"/>
            </w:tcBorders>
            <w:vAlign w:val="center"/>
          </w:tcPr>
          <w:p w14:paraId="1C27C2D0">
            <w:pPr>
              <w:snapToGrid w:val="0"/>
              <w:spacing w:line="360" w:lineRule="auto"/>
              <w:jc w:val="center"/>
              <w:rPr>
                <w:rFonts w:ascii="Calibri" w:hAnsi="Calibri"/>
                <w:spacing w:val="20"/>
                <w:sz w:val="24"/>
                <w:highlight w:val="none"/>
              </w:rPr>
            </w:pPr>
          </w:p>
        </w:tc>
      </w:tr>
      <w:tr w14:paraId="403B849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178290BA">
            <w:pPr>
              <w:snapToGrid w:val="0"/>
              <w:spacing w:line="360" w:lineRule="auto"/>
              <w:jc w:val="center"/>
              <w:rPr>
                <w:rFonts w:ascii="Calibri" w:hAnsi="Calibri"/>
                <w:sz w:val="24"/>
                <w:highlight w:val="none"/>
              </w:rPr>
            </w:pPr>
            <w:r>
              <w:rPr>
                <w:rFonts w:hint="eastAsia" w:ascii="Calibri" w:hAnsi="Calibri"/>
                <w:sz w:val="24"/>
                <w:highlight w:val="none"/>
              </w:rPr>
              <w:t>联</w:t>
            </w:r>
            <w:r>
              <w:rPr>
                <w:rFonts w:ascii="Calibri" w:hAnsi="Calibri"/>
                <w:sz w:val="24"/>
                <w:highlight w:val="none"/>
              </w:rPr>
              <w:t xml:space="preserve"> </w:t>
            </w:r>
            <w:r>
              <w:rPr>
                <w:rFonts w:hint="eastAsia" w:ascii="Calibri" w:hAnsi="Calibri"/>
                <w:sz w:val="24"/>
                <w:highlight w:val="none"/>
              </w:rPr>
              <w:t>系</w:t>
            </w:r>
            <w:r>
              <w:rPr>
                <w:rFonts w:ascii="Calibri" w:hAnsi="Calibri"/>
                <w:sz w:val="24"/>
                <w:highlight w:val="none"/>
              </w:rPr>
              <w:t xml:space="preserve"> </w:t>
            </w:r>
            <w:r>
              <w:rPr>
                <w:rFonts w:hint="eastAsia" w:ascii="Calibri" w:hAnsi="Calibri"/>
                <w:sz w:val="24"/>
                <w:highlight w:val="none"/>
              </w:rPr>
              <w:t>人</w:t>
            </w:r>
          </w:p>
        </w:tc>
        <w:tc>
          <w:tcPr>
            <w:tcW w:w="1436" w:type="pct"/>
            <w:tcBorders>
              <w:top w:val="single" w:color="auto" w:sz="2" w:space="0"/>
              <w:left w:val="single" w:color="auto" w:sz="2" w:space="0"/>
              <w:bottom w:val="single" w:color="auto" w:sz="2" w:space="0"/>
              <w:right w:val="single" w:color="auto" w:sz="2" w:space="0"/>
            </w:tcBorders>
            <w:vAlign w:val="center"/>
          </w:tcPr>
          <w:p w14:paraId="3E01AC76">
            <w:pPr>
              <w:snapToGrid w:val="0"/>
              <w:spacing w:line="360" w:lineRule="auto"/>
              <w:jc w:val="center"/>
              <w:rPr>
                <w:rFonts w:ascii="Calibri" w:hAnsi="Calibri"/>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238AE67">
            <w:pPr>
              <w:snapToGrid w:val="0"/>
              <w:spacing w:line="360" w:lineRule="auto"/>
              <w:jc w:val="center"/>
              <w:rPr>
                <w:rFonts w:ascii="Calibri" w:hAnsi="Calibri"/>
                <w:sz w:val="24"/>
                <w:highlight w:val="none"/>
              </w:rPr>
            </w:pPr>
            <w:r>
              <w:rPr>
                <w:rFonts w:hint="eastAsia" w:ascii="Calibri" w:hAnsi="Calibri"/>
                <w:sz w:val="24"/>
                <w:highlight w:val="none"/>
              </w:rPr>
              <w:t>联</w:t>
            </w:r>
            <w:r>
              <w:rPr>
                <w:rFonts w:ascii="Calibri" w:hAnsi="Calibri"/>
                <w:sz w:val="24"/>
                <w:highlight w:val="none"/>
              </w:rPr>
              <w:t xml:space="preserve"> </w:t>
            </w:r>
            <w:r>
              <w:rPr>
                <w:rFonts w:hint="eastAsia" w:ascii="Calibri" w:hAnsi="Calibri"/>
                <w:sz w:val="24"/>
                <w:highlight w:val="none"/>
              </w:rPr>
              <w:t>系</w:t>
            </w:r>
            <w:r>
              <w:rPr>
                <w:rFonts w:ascii="Calibri" w:hAnsi="Calibri"/>
                <w:sz w:val="24"/>
                <w:highlight w:val="none"/>
              </w:rPr>
              <w:t xml:space="preserve"> </w:t>
            </w:r>
            <w:r>
              <w:rPr>
                <w:rFonts w:hint="eastAsia" w:ascii="Calibri" w:hAnsi="Calibri"/>
                <w:sz w:val="24"/>
                <w:highlight w:val="none"/>
              </w:rPr>
              <w:t>人</w:t>
            </w:r>
          </w:p>
        </w:tc>
        <w:tc>
          <w:tcPr>
            <w:tcW w:w="1259" w:type="pct"/>
            <w:tcBorders>
              <w:top w:val="single" w:color="auto" w:sz="2" w:space="0"/>
              <w:left w:val="single" w:color="auto" w:sz="2" w:space="0"/>
              <w:bottom w:val="single" w:color="auto" w:sz="2" w:space="0"/>
              <w:right w:val="single" w:color="auto" w:sz="4" w:space="0"/>
            </w:tcBorders>
            <w:vAlign w:val="center"/>
          </w:tcPr>
          <w:p w14:paraId="110B85DD">
            <w:pPr>
              <w:snapToGrid w:val="0"/>
              <w:spacing w:line="360" w:lineRule="auto"/>
              <w:jc w:val="center"/>
              <w:rPr>
                <w:rFonts w:ascii="Calibri" w:hAnsi="Calibri"/>
                <w:spacing w:val="20"/>
                <w:sz w:val="24"/>
                <w:highlight w:val="none"/>
              </w:rPr>
            </w:pPr>
          </w:p>
        </w:tc>
      </w:tr>
      <w:tr w14:paraId="6749C95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15611E9C">
            <w:pPr>
              <w:snapToGrid w:val="0"/>
              <w:spacing w:line="360" w:lineRule="auto"/>
              <w:jc w:val="center"/>
              <w:rPr>
                <w:rFonts w:ascii="Calibri" w:hAnsi="Calibri"/>
                <w:sz w:val="24"/>
                <w:highlight w:val="none"/>
              </w:rPr>
            </w:pPr>
            <w:r>
              <w:rPr>
                <w:rFonts w:hint="eastAsia" w:ascii="Calibri" w:hAnsi="Calibri"/>
                <w:sz w:val="24"/>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33A7D341">
            <w:pPr>
              <w:snapToGrid w:val="0"/>
              <w:spacing w:line="360" w:lineRule="auto"/>
              <w:jc w:val="center"/>
              <w:rPr>
                <w:rFonts w:ascii="Calibri" w:hAnsi="Calibri"/>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FE3F2F6">
            <w:pPr>
              <w:snapToGrid w:val="0"/>
              <w:spacing w:line="360" w:lineRule="auto"/>
              <w:jc w:val="center"/>
              <w:rPr>
                <w:rFonts w:ascii="Calibri" w:hAnsi="Calibri"/>
                <w:sz w:val="24"/>
                <w:highlight w:val="none"/>
              </w:rPr>
            </w:pPr>
            <w:r>
              <w:rPr>
                <w:rFonts w:hint="eastAsia" w:ascii="Calibri" w:hAnsi="Calibri"/>
                <w:sz w:val="24"/>
                <w:highlight w:val="none"/>
              </w:rPr>
              <w:t>联系电话</w:t>
            </w:r>
          </w:p>
        </w:tc>
        <w:tc>
          <w:tcPr>
            <w:tcW w:w="1259" w:type="pct"/>
            <w:tcBorders>
              <w:top w:val="single" w:color="auto" w:sz="2" w:space="0"/>
              <w:left w:val="single" w:color="auto" w:sz="2" w:space="0"/>
              <w:bottom w:val="single" w:color="auto" w:sz="2" w:space="0"/>
              <w:right w:val="single" w:color="auto" w:sz="4" w:space="0"/>
            </w:tcBorders>
            <w:vAlign w:val="center"/>
          </w:tcPr>
          <w:p w14:paraId="395C89CC">
            <w:pPr>
              <w:snapToGrid w:val="0"/>
              <w:spacing w:line="360" w:lineRule="auto"/>
              <w:jc w:val="center"/>
              <w:rPr>
                <w:rFonts w:ascii="Calibri" w:hAnsi="Calibri"/>
                <w:spacing w:val="20"/>
                <w:sz w:val="24"/>
                <w:highlight w:val="none"/>
              </w:rPr>
            </w:pPr>
          </w:p>
        </w:tc>
      </w:tr>
      <w:tr w14:paraId="4A331F4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4675F9DC">
            <w:pPr>
              <w:snapToGrid w:val="0"/>
              <w:spacing w:line="360" w:lineRule="auto"/>
              <w:jc w:val="center"/>
              <w:rPr>
                <w:rFonts w:ascii="Calibri" w:hAnsi="Calibri"/>
                <w:sz w:val="24"/>
                <w:highlight w:val="none"/>
              </w:rPr>
            </w:pPr>
            <w:r>
              <w:rPr>
                <w:rFonts w:hint="eastAsia" w:ascii="Calibri" w:hAnsi="Calibri"/>
                <w:sz w:val="24"/>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287601FA">
            <w:pPr>
              <w:snapToGrid w:val="0"/>
              <w:spacing w:line="360" w:lineRule="auto"/>
              <w:jc w:val="center"/>
              <w:rPr>
                <w:rFonts w:ascii="Calibri" w:hAnsi="Calibri"/>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1960086">
            <w:pPr>
              <w:snapToGrid w:val="0"/>
              <w:spacing w:line="360" w:lineRule="auto"/>
              <w:jc w:val="center"/>
              <w:rPr>
                <w:rFonts w:ascii="Calibri" w:hAnsi="Calibri"/>
                <w:sz w:val="24"/>
                <w:highlight w:val="none"/>
              </w:rPr>
            </w:pPr>
            <w:r>
              <w:rPr>
                <w:rFonts w:hint="eastAsia" w:ascii="Calibri" w:hAnsi="Calibri"/>
                <w:sz w:val="24"/>
                <w:highlight w:val="none"/>
              </w:rPr>
              <w:t>通信地址</w:t>
            </w:r>
          </w:p>
        </w:tc>
        <w:tc>
          <w:tcPr>
            <w:tcW w:w="1259" w:type="pct"/>
            <w:tcBorders>
              <w:top w:val="single" w:color="auto" w:sz="2" w:space="0"/>
              <w:left w:val="single" w:color="auto" w:sz="2" w:space="0"/>
              <w:bottom w:val="single" w:color="auto" w:sz="2" w:space="0"/>
              <w:right w:val="single" w:color="auto" w:sz="4" w:space="0"/>
            </w:tcBorders>
            <w:vAlign w:val="center"/>
          </w:tcPr>
          <w:p w14:paraId="44F1E6BF">
            <w:pPr>
              <w:snapToGrid w:val="0"/>
              <w:spacing w:line="360" w:lineRule="auto"/>
              <w:jc w:val="center"/>
              <w:rPr>
                <w:rFonts w:ascii="Calibri" w:hAnsi="Calibri"/>
                <w:spacing w:val="20"/>
                <w:sz w:val="24"/>
                <w:highlight w:val="none"/>
              </w:rPr>
            </w:pPr>
          </w:p>
        </w:tc>
      </w:tr>
      <w:tr w14:paraId="4FC19C2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420D25A8">
            <w:pPr>
              <w:snapToGrid w:val="0"/>
              <w:spacing w:line="360" w:lineRule="auto"/>
              <w:jc w:val="center"/>
              <w:rPr>
                <w:rFonts w:ascii="Calibri" w:hAnsi="Calibri"/>
                <w:sz w:val="24"/>
                <w:highlight w:val="none"/>
              </w:rPr>
            </w:pPr>
            <w:r>
              <w:rPr>
                <w:rFonts w:hint="eastAsia" w:ascii="Calibri" w:hAnsi="Calibri"/>
                <w:sz w:val="24"/>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4638AFFC">
            <w:pPr>
              <w:snapToGrid w:val="0"/>
              <w:spacing w:line="360" w:lineRule="auto"/>
              <w:jc w:val="center"/>
              <w:rPr>
                <w:rFonts w:ascii="Calibri" w:hAnsi="Calibri"/>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DFA8D7D">
            <w:pPr>
              <w:snapToGrid w:val="0"/>
              <w:spacing w:line="360" w:lineRule="auto"/>
              <w:jc w:val="center"/>
              <w:rPr>
                <w:rFonts w:ascii="Calibri" w:hAnsi="Calibri"/>
                <w:sz w:val="24"/>
                <w:highlight w:val="none"/>
              </w:rPr>
            </w:pPr>
            <w:r>
              <w:rPr>
                <w:rFonts w:hint="eastAsia" w:ascii="Calibri" w:hAnsi="Calibri"/>
                <w:sz w:val="24"/>
                <w:highlight w:val="none"/>
              </w:rPr>
              <w:t>邮政编码</w:t>
            </w:r>
          </w:p>
        </w:tc>
        <w:tc>
          <w:tcPr>
            <w:tcW w:w="1259" w:type="pct"/>
            <w:tcBorders>
              <w:top w:val="single" w:color="auto" w:sz="2" w:space="0"/>
              <w:left w:val="single" w:color="auto" w:sz="2" w:space="0"/>
              <w:bottom w:val="single" w:color="auto" w:sz="2" w:space="0"/>
              <w:right w:val="single" w:color="auto" w:sz="4" w:space="0"/>
            </w:tcBorders>
            <w:vAlign w:val="center"/>
          </w:tcPr>
          <w:p w14:paraId="7515AACC">
            <w:pPr>
              <w:snapToGrid w:val="0"/>
              <w:spacing w:line="360" w:lineRule="auto"/>
              <w:jc w:val="center"/>
              <w:rPr>
                <w:rFonts w:ascii="Calibri" w:hAnsi="Calibri"/>
                <w:spacing w:val="20"/>
                <w:sz w:val="24"/>
                <w:highlight w:val="none"/>
              </w:rPr>
            </w:pPr>
          </w:p>
        </w:tc>
      </w:tr>
      <w:tr w14:paraId="0CE82C0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22BFE202">
            <w:pPr>
              <w:snapToGrid w:val="0"/>
              <w:spacing w:line="360" w:lineRule="auto"/>
              <w:jc w:val="center"/>
              <w:rPr>
                <w:rFonts w:ascii="Calibri" w:hAnsi="Calibri"/>
                <w:sz w:val="24"/>
                <w:highlight w:val="none"/>
              </w:rPr>
            </w:pPr>
            <w:r>
              <w:rPr>
                <w:rFonts w:hint="eastAsia" w:ascii="Calibri" w:hAnsi="Calibri"/>
                <w:sz w:val="24"/>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31C8CE65">
            <w:pPr>
              <w:snapToGrid w:val="0"/>
              <w:spacing w:line="360" w:lineRule="auto"/>
              <w:jc w:val="center"/>
              <w:rPr>
                <w:rFonts w:ascii="Calibri" w:hAnsi="Calibri"/>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5A84462">
            <w:pPr>
              <w:snapToGrid w:val="0"/>
              <w:spacing w:line="360" w:lineRule="auto"/>
              <w:jc w:val="center"/>
              <w:rPr>
                <w:rFonts w:ascii="Calibri" w:hAnsi="Calibri"/>
                <w:sz w:val="24"/>
                <w:highlight w:val="none"/>
              </w:rPr>
            </w:pPr>
            <w:r>
              <w:rPr>
                <w:rFonts w:hint="eastAsia" w:ascii="Calibri" w:hAnsi="Calibri"/>
                <w:sz w:val="24"/>
                <w:highlight w:val="none"/>
              </w:rPr>
              <w:t>电子邮箱</w:t>
            </w:r>
          </w:p>
        </w:tc>
        <w:tc>
          <w:tcPr>
            <w:tcW w:w="1259" w:type="pct"/>
            <w:tcBorders>
              <w:top w:val="single" w:color="auto" w:sz="2" w:space="0"/>
              <w:left w:val="single" w:color="auto" w:sz="2" w:space="0"/>
              <w:bottom w:val="single" w:color="auto" w:sz="2" w:space="0"/>
              <w:right w:val="single" w:color="auto" w:sz="4" w:space="0"/>
            </w:tcBorders>
            <w:vAlign w:val="center"/>
          </w:tcPr>
          <w:p w14:paraId="72653EAB">
            <w:pPr>
              <w:snapToGrid w:val="0"/>
              <w:spacing w:line="360" w:lineRule="auto"/>
              <w:jc w:val="center"/>
              <w:rPr>
                <w:rFonts w:ascii="Calibri" w:hAnsi="Calibri"/>
                <w:spacing w:val="20"/>
                <w:sz w:val="24"/>
                <w:highlight w:val="none"/>
              </w:rPr>
            </w:pPr>
          </w:p>
        </w:tc>
      </w:tr>
      <w:tr w14:paraId="33C1863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0C8FFA55">
            <w:pPr>
              <w:snapToGrid w:val="0"/>
              <w:spacing w:line="360" w:lineRule="auto"/>
              <w:jc w:val="center"/>
              <w:rPr>
                <w:rFonts w:ascii="Calibri" w:hAnsi="Calibri"/>
                <w:sz w:val="24"/>
                <w:highlight w:val="none"/>
              </w:rPr>
            </w:pPr>
            <w:r>
              <w:rPr>
                <w:rFonts w:hint="eastAsia" w:ascii="Calibri" w:hAnsi="Calibri"/>
                <w:sz w:val="24"/>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429A1D84">
            <w:pPr>
              <w:snapToGrid w:val="0"/>
              <w:spacing w:line="360" w:lineRule="auto"/>
              <w:jc w:val="center"/>
              <w:rPr>
                <w:rFonts w:ascii="Calibri" w:hAnsi="Calibri"/>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32526DC">
            <w:pPr>
              <w:snapToGrid w:val="0"/>
              <w:spacing w:line="360" w:lineRule="auto"/>
              <w:jc w:val="center"/>
              <w:rPr>
                <w:rFonts w:ascii="Calibri" w:hAnsi="Calibri"/>
                <w:sz w:val="24"/>
                <w:highlight w:val="none"/>
              </w:rPr>
            </w:pPr>
            <w:r>
              <w:rPr>
                <w:rFonts w:hint="eastAsia" w:ascii="Calibri" w:hAnsi="Calibri"/>
                <w:sz w:val="24"/>
                <w:highlight w:val="none"/>
              </w:rPr>
              <w:t>统一社会信用代码</w:t>
            </w:r>
          </w:p>
        </w:tc>
        <w:tc>
          <w:tcPr>
            <w:tcW w:w="1259" w:type="pct"/>
            <w:tcBorders>
              <w:top w:val="single" w:color="auto" w:sz="2" w:space="0"/>
              <w:left w:val="single" w:color="auto" w:sz="2" w:space="0"/>
              <w:bottom w:val="single" w:color="auto" w:sz="2" w:space="0"/>
              <w:right w:val="single" w:color="auto" w:sz="4" w:space="0"/>
            </w:tcBorders>
            <w:vAlign w:val="center"/>
          </w:tcPr>
          <w:p w14:paraId="7FB52595">
            <w:pPr>
              <w:snapToGrid w:val="0"/>
              <w:spacing w:line="360" w:lineRule="auto"/>
              <w:jc w:val="center"/>
              <w:rPr>
                <w:rFonts w:ascii="Calibri" w:hAnsi="Calibri"/>
                <w:spacing w:val="20"/>
                <w:sz w:val="24"/>
                <w:highlight w:val="none"/>
              </w:rPr>
            </w:pPr>
          </w:p>
        </w:tc>
      </w:tr>
      <w:tr w14:paraId="31CA88F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19C1F35C">
            <w:pPr>
              <w:snapToGrid w:val="0"/>
              <w:spacing w:line="360" w:lineRule="auto"/>
              <w:jc w:val="center"/>
              <w:rPr>
                <w:rFonts w:ascii="Calibri" w:hAnsi="Calibri"/>
                <w:sz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717E5D3C">
            <w:pPr>
              <w:snapToGrid w:val="0"/>
              <w:spacing w:line="360" w:lineRule="auto"/>
              <w:jc w:val="center"/>
              <w:rPr>
                <w:rFonts w:ascii="Calibri" w:hAnsi="Calibri"/>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D859322">
            <w:pPr>
              <w:snapToGrid w:val="0"/>
              <w:spacing w:line="360" w:lineRule="auto"/>
              <w:jc w:val="center"/>
              <w:rPr>
                <w:rFonts w:ascii="Calibri" w:hAnsi="Calibri"/>
                <w:sz w:val="24"/>
                <w:highlight w:val="none"/>
              </w:rPr>
            </w:pPr>
            <w:r>
              <w:rPr>
                <w:rFonts w:hint="eastAsia" w:ascii="Calibri" w:hAnsi="Calibri"/>
                <w:sz w:val="24"/>
                <w:highlight w:val="none"/>
              </w:rPr>
              <w:t>开户名称</w:t>
            </w:r>
          </w:p>
        </w:tc>
        <w:tc>
          <w:tcPr>
            <w:tcW w:w="1259" w:type="pct"/>
            <w:tcBorders>
              <w:top w:val="single" w:color="auto" w:sz="2" w:space="0"/>
              <w:left w:val="single" w:color="auto" w:sz="2" w:space="0"/>
              <w:bottom w:val="single" w:color="auto" w:sz="2" w:space="0"/>
              <w:right w:val="single" w:color="auto" w:sz="4" w:space="0"/>
            </w:tcBorders>
            <w:vAlign w:val="center"/>
          </w:tcPr>
          <w:p w14:paraId="696A77D7">
            <w:pPr>
              <w:snapToGrid w:val="0"/>
              <w:spacing w:line="360" w:lineRule="auto"/>
              <w:jc w:val="center"/>
              <w:rPr>
                <w:rFonts w:ascii="Calibri" w:hAnsi="Calibri"/>
                <w:spacing w:val="20"/>
                <w:sz w:val="24"/>
                <w:highlight w:val="none"/>
              </w:rPr>
            </w:pPr>
          </w:p>
        </w:tc>
      </w:tr>
      <w:tr w14:paraId="724C6C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06E7698D">
            <w:pPr>
              <w:snapToGrid w:val="0"/>
              <w:spacing w:line="360" w:lineRule="auto"/>
              <w:jc w:val="center"/>
              <w:rPr>
                <w:rFonts w:ascii="Calibri" w:hAnsi="Calibri"/>
                <w:sz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7788CEB4">
            <w:pPr>
              <w:snapToGrid w:val="0"/>
              <w:spacing w:line="360" w:lineRule="auto"/>
              <w:jc w:val="center"/>
              <w:rPr>
                <w:rFonts w:ascii="Calibri" w:hAnsi="Calibri"/>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3DA42D0">
            <w:pPr>
              <w:snapToGrid w:val="0"/>
              <w:spacing w:line="360" w:lineRule="auto"/>
              <w:jc w:val="center"/>
              <w:rPr>
                <w:rFonts w:ascii="Calibri" w:hAnsi="Calibri"/>
                <w:sz w:val="24"/>
                <w:highlight w:val="none"/>
              </w:rPr>
            </w:pPr>
            <w:r>
              <w:rPr>
                <w:rFonts w:hint="eastAsia" w:ascii="Calibri" w:hAnsi="Calibri"/>
                <w:sz w:val="24"/>
                <w:highlight w:val="none"/>
              </w:rPr>
              <w:t>开户银行</w:t>
            </w:r>
          </w:p>
        </w:tc>
        <w:tc>
          <w:tcPr>
            <w:tcW w:w="1259" w:type="pct"/>
            <w:tcBorders>
              <w:top w:val="single" w:color="auto" w:sz="2" w:space="0"/>
              <w:left w:val="single" w:color="auto" w:sz="2" w:space="0"/>
              <w:bottom w:val="single" w:color="auto" w:sz="2" w:space="0"/>
              <w:right w:val="single" w:color="auto" w:sz="4" w:space="0"/>
            </w:tcBorders>
            <w:vAlign w:val="center"/>
          </w:tcPr>
          <w:p w14:paraId="3E1B2B58">
            <w:pPr>
              <w:snapToGrid w:val="0"/>
              <w:spacing w:line="360" w:lineRule="auto"/>
              <w:jc w:val="center"/>
              <w:rPr>
                <w:rFonts w:ascii="Calibri" w:hAnsi="Calibri"/>
                <w:spacing w:val="20"/>
                <w:sz w:val="24"/>
                <w:highlight w:val="none"/>
              </w:rPr>
            </w:pPr>
          </w:p>
        </w:tc>
      </w:tr>
      <w:tr w14:paraId="7EFCE33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59F7F2C9">
            <w:pPr>
              <w:snapToGrid w:val="0"/>
              <w:spacing w:line="360" w:lineRule="auto"/>
              <w:jc w:val="center"/>
              <w:rPr>
                <w:rFonts w:ascii="Calibri" w:hAnsi="Calibri"/>
                <w:sz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03A839AF">
            <w:pPr>
              <w:snapToGrid w:val="0"/>
              <w:spacing w:line="360" w:lineRule="auto"/>
              <w:jc w:val="center"/>
              <w:rPr>
                <w:rFonts w:ascii="Calibri" w:hAnsi="Calibri"/>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866F7B8">
            <w:pPr>
              <w:snapToGrid w:val="0"/>
              <w:spacing w:line="360" w:lineRule="auto"/>
              <w:jc w:val="center"/>
              <w:rPr>
                <w:rFonts w:ascii="Calibri" w:hAnsi="Calibri"/>
                <w:sz w:val="24"/>
                <w:highlight w:val="none"/>
              </w:rPr>
            </w:pPr>
            <w:r>
              <w:rPr>
                <w:rFonts w:hint="eastAsia" w:ascii="Calibri" w:hAnsi="Calibri"/>
                <w:sz w:val="24"/>
                <w:highlight w:val="none"/>
              </w:rPr>
              <w:t>银行账号</w:t>
            </w:r>
          </w:p>
        </w:tc>
        <w:tc>
          <w:tcPr>
            <w:tcW w:w="1259" w:type="pct"/>
            <w:tcBorders>
              <w:top w:val="single" w:color="auto" w:sz="2" w:space="0"/>
              <w:left w:val="single" w:color="auto" w:sz="2" w:space="0"/>
              <w:bottom w:val="single" w:color="auto" w:sz="2" w:space="0"/>
              <w:right w:val="single" w:color="auto" w:sz="4" w:space="0"/>
            </w:tcBorders>
            <w:vAlign w:val="center"/>
          </w:tcPr>
          <w:p w14:paraId="7D48C1AF">
            <w:pPr>
              <w:snapToGrid w:val="0"/>
              <w:spacing w:line="360" w:lineRule="auto"/>
              <w:jc w:val="center"/>
              <w:rPr>
                <w:rFonts w:ascii="Calibri" w:hAnsi="Calibri"/>
                <w:spacing w:val="20"/>
                <w:sz w:val="24"/>
                <w:highlight w:val="none"/>
              </w:rPr>
            </w:pPr>
          </w:p>
        </w:tc>
      </w:tr>
      <w:tr w14:paraId="6ACC337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left w:val="single" w:color="auto" w:sz="4" w:space="0"/>
              <w:bottom w:val="single" w:color="auto" w:sz="4" w:space="0"/>
              <w:right w:val="single" w:color="auto" w:sz="4" w:space="0"/>
            </w:tcBorders>
            <w:vAlign w:val="center"/>
          </w:tcPr>
          <w:p w14:paraId="34BA821A">
            <w:pPr>
              <w:snapToGrid w:val="0"/>
              <w:spacing w:line="360" w:lineRule="auto"/>
              <w:jc w:val="left"/>
              <w:rPr>
                <w:rFonts w:ascii="Calibri" w:hAnsi="Calibri"/>
                <w:spacing w:val="20"/>
                <w:sz w:val="24"/>
                <w:highlight w:val="none"/>
              </w:rPr>
            </w:pPr>
            <w:r>
              <w:rPr>
                <w:rFonts w:hint="eastAsia" w:ascii="宋体" w:hAnsi="宋体"/>
                <w:sz w:val="24"/>
                <w:highlight w:val="none"/>
              </w:rPr>
              <w:t>注：涉及联合体或其他合同主体的信息应按上表格式加列。</w:t>
            </w:r>
          </w:p>
        </w:tc>
      </w:tr>
    </w:tbl>
    <w:p w14:paraId="51DC0B60">
      <w:pPr>
        <w:keepNext/>
        <w:keepLines/>
        <w:snapToGrid w:val="0"/>
        <w:spacing w:before="120" w:beforeLines="50" w:line="360" w:lineRule="auto"/>
        <w:jc w:val="center"/>
        <w:outlineLvl w:val="1"/>
        <w:rPr>
          <w:rFonts w:ascii="黑体" w:hAnsi="黑体" w:eastAsia="黑体"/>
          <w:b/>
          <w:bCs/>
          <w:sz w:val="28"/>
          <w:szCs w:val="28"/>
          <w:highlight w:val="none"/>
        </w:rPr>
      </w:pPr>
      <w:r>
        <w:rPr>
          <w:rFonts w:hint="eastAsia" w:ascii="宋体" w:hAnsi="宋体"/>
          <w:b/>
          <w:bCs/>
          <w:szCs w:val="21"/>
          <w:highlight w:val="none"/>
          <w:u w:val="single"/>
        </w:rPr>
        <w:br w:type="page"/>
      </w:r>
      <w:bookmarkStart w:id="421" w:name="_Toc27624"/>
      <w:r>
        <w:rPr>
          <w:rFonts w:hint="eastAsia" w:ascii="黑体" w:hAnsi="黑体" w:eastAsia="黑体"/>
          <w:sz w:val="28"/>
          <w:szCs w:val="28"/>
          <w:highlight w:val="none"/>
        </w:rPr>
        <w:t>第二节 政府采购合同通用条款</w:t>
      </w:r>
      <w:bookmarkEnd w:id="421"/>
    </w:p>
    <w:p w14:paraId="00AC3344">
      <w:pPr>
        <w:tabs>
          <w:tab w:val="left" w:pos="8820"/>
          <w:tab w:val="left" w:pos="9345"/>
          <w:tab w:val="left" w:pos="9765"/>
        </w:tabs>
        <w:snapToGrid w:val="0"/>
        <w:spacing w:line="360" w:lineRule="auto"/>
        <w:jc w:val="left"/>
        <w:rPr>
          <w:rFonts w:ascii="宋体" w:hAnsi="宋体"/>
          <w:b/>
          <w:bCs/>
          <w:sz w:val="24"/>
          <w:highlight w:val="none"/>
        </w:rPr>
      </w:pPr>
      <w:r>
        <w:rPr>
          <w:rFonts w:hint="eastAsia" w:ascii="宋体" w:hAnsi="宋体"/>
          <w:b/>
          <w:sz w:val="24"/>
          <w:highlight w:val="none"/>
        </w:rPr>
        <w:t xml:space="preserve">1. </w:t>
      </w:r>
      <w:r>
        <w:rPr>
          <w:rFonts w:hint="eastAsia" w:ascii="宋体" w:hAnsi="宋体"/>
          <w:b/>
          <w:bCs/>
          <w:sz w:val="24"/>
          <w:highlight w:val="none"/>
        </w:rPr>
        <w:t>定义</w:t>
      </w:r>
    </w:p>
    <w:p w14:paraId="04442BCE">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1.1合同当事人</w:t>
      </w:r>
    </w:p>
    <w:p w14:paraId="2139A6E9">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（1）采购人（以下称甲方）是指使用财政性资金，通过政府</w:t>
      </w:r>
      <w:r>
        <w:rPr>
          <w:rFonts w:hint="eastAsia" w:ascii="宋体" w:hAnsi="宋体"/>
          <w:sz w:val="24"/>
          <w:highlight w:val="none"/>
          <w:lang w:eastAsia="zh-CN"/>
        </w:rPr>
        <w:t>采购人</w:t>
      </w:r>
      <w:r>
        <w:rPr>
          <w:rFonts w:hint="eastAsia" w:ascii="宋体" w:hAnsi="宋体"/>
          <w:sz w:val="24"/>
          <w:highlight w:val="none"/>
        </w:rPr>
        <w:t>式向供应商购买货物及其相关服务的国家机关、事业单位、团体组织。</w:t>
      </w:r>
    </w:p>
    <w:p w14:paraId="6AA3EA44">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（2）供应商（以下称乙方）是指参加政府采购活动并且中标（成交），向采购人提供合同约定的货物及其相关服务的法人、非法人组织或者自然人。</w:t>
      </w:r>
    </w:p>
    <w:p w14:paraId="1CD0058C">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（3）其他合同主体是指除采购人和供应商以外，</w:t>
      </w:r>
      <w:r>
        <w:rPr>
          <w:rFonts w:hint="eastAsia" w:ascii="宋体" w:hAnsi="宋体" w:cs="宋体"/>
          <w:bCs/>
          <w:sz w:val="24"/>
          <w:highlight w:val="none"/>
        </w:rPr>
        <w:t>依法参与合同缔结或履行，享有权利、承担义务的合同当事人</w:t>
      </w:r>
      <w:r>
        <w:rPr>
          <w:rFonts w:hint="eastAsia" w:ascii="宋体" w:hAnsi="宋体"/>
          <w:sz w:val="24"/>
          <w:highlight w:val="none"/>
        </w:rPr>
        <w:t>。</w:t>
      </w:r>
    </w:p>
    <w:p w14:paraId="65C8E59B">
      <w:pPr>
        <w:tabs>
          <w:tab w:val="left" w:pos="570"/>
          <w:tab w:val="left" w:pos="9240"/>
          <w:tab w:val="left" w:pos="9555"/>
        </w:tabs>
        <w:snapToGrid w:val="0"/>
        <w:spacing w:line="360" w:lineRule="auto"/>
        <w:ind w:firstLine="480" w:firstLineChars="200"/>
        <w:jc w:val="left"/>
        <w:rPr>
          <w:rFonts w:ascii="宋体" w:hAnsi="宋体"/>
          <w:sz w:val="24"/>
          <w:highlight w:val="none"/>
        </w:rPr>
      </w:pPr>
      <w:r>
        <w:rPr>
          <w:rFonts w:hint="eastAsia" w:ascii="宋体" w:hAnsi="宋体"/>
          <w:sz w:val="24"/>
          <w:highlight w:val="none"/>
        </w:rPr>
        <w:t>1.2本合同下列术语应解释为：</w:t>
      </w:r>
    </w:p>
    <w:p w14:paraId="398692E7">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（1）“合同”系指</w:t>
      </w:r>
      <w:r>
        <w:rPr>
          <w:rFonts w:hint="eastAsia" w:ascii="宋体" w:hAnsi="宋体" w:cs="宋体"/>
          <w:bCs/>
          <w:sz w:val="24"/>
          <w:highlight w:val="none"/>
        </w:rPr>
        <w:t>合同当事人意思表示达成一致的任何协议，包括签署的</w:t>
      </w:r>
      <w:r>
        <w:rPr>
          <w:rFonts w:hint="eastAsia" w:ascii="宋体" w:hAnsi="宋体"/>
          <w:sz w:val="24"/>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cs="宋体"/>
          <w:sz w:val="24"/>
          <w:highlight w:val="none"/>
        </w:rPr>
        <w:t>国家法律、行政法规和规章制度规定或合同约定的作为合同组成部分的其他文件</w:t>
      </w:r>
      <w:r>
        <w:rPr>
          <w:rFonts w:hint="eastAsia" w:ascii="宋体" w:hAnsi="宋体"/>
          <w:sz w:val="24"/>
          <w:highlight w:val="none"/>
        </w:rPr>
        <w:t>。</w:t>
      </w:r>
    </w:p>
    <w:p w14:paraId="2351BF45">
      <w:pPr>
        <w:tabs>
          <w:tab w:val="left" w:pos="570"/>
          <w:tab w:val="left" w:pos="9240"/>
          <w:tab w:val="left" w:pos="9555"/>
        </w:tabs>
        <w:snapToGrid w:val="0"/>
        <w:spacing w:line="360" w:lineRule="auto"/>
        <w:ind w:firstLine="480" w:firstLineChars="200"/>
        <w:jc w:val="left"/>
        <w:rPr>
          <w:rFonts w:ascii="宋体" w:hAnsi="宋体"/>
          <w:sz w:val="24"/>
          <w:highlight w:val="none"/>
        </w:rPr>
      </w:pPr>
      <w:r>
        <w:rPr>
          <w:rFonts w:hint="eastAsia" w:ascii="宋体" w:hAnsi="宋体"/>
          <w:sz w:val="24"/>
          <w:highlight w:val="none"/>
        </w:rPr>
        <w:t>（2）“合同价款”系指根据本合同规定乙方在全面履行合同义务后甲方应支付给乙方的价款。</w:t>
      </w:r>
    </w:p>
    <w:p w14:paraId="02BFDFF1">
      <w:pPr>
        <w:tabs>
          <w:tab w:val="left" w:pos="570"/>
          <w:tab w:val="left" w:pos="9240"/>
          <w:tab w:val="left" w:pos="9555"/>
        </w:tabs>
        <w:snapToGrid w:val="0"/>
        <w:spacing w:line="360" w:lineRule="auto"/>
        <w:ind w:firstLine="480" w:firstLineChars="200"/>
        <w:jc w:val="left"/>
        <w:rPr>
          <w:rFonts w:ascii="宋体" w:hAnsi="宋体"/>
          <w:sz w:val="24"/>
          <w:highlight w:val="none"/>
        </w:rPr>
      </w:pPr>
      <w:r>
        <w:rPr>
          <w:rFonts w:hint="eastAsia" w:ascii="宋体" w:hAnsi="宋体"/>
          <w:sz w:val="24"/>
          <w:highlight w:val="none"/>
        </w:rPr>
        <w:t>（3）“货物”系指乙方根据本合同规定须向甲方提供的各种形态和种类的物品，包括原材料、设备、产品（包括软件）及相关的其备品备件、工具、手册及</w:t>
      </w:r>
      <w:r>
        <w:rPr>
          <w:rFonts w:hint="eastAsia" w:ascii="宋体" w:hAnsi="宋体"/>
          <w:sz w:val="24"/>
          <w:highlight w:val="none"/>
          <w:lang w:val="en"/>
        </w:rPr>
        <w:t>其他</w:t>
      </w:r>
      <w:r>
        <w:rPr>
          <w:rFonts w:hint="eastAsia" w:ascii="宋体" w:hAnsi="宋体"/>
          <w:sz w:val="24"/>
          <w:highlight w:val="none"/>
        </w:rPr>
        <w:t>技术资料和材料等。</w:t>
      </w:r>
    </w:p>
    <w:p w14:paraId="64251262">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（4）“相关服务”系指根据合同规定，乙方应提供的与货物有关的技术、管理和</w:t>
      </w:r>
      <w:r>
        <w:rPr>
          <w:rFonts w:hint="eastAsia" w:ascii="宋体" w:hAnsi="宋体"/>
          <w:sz w:val="24"/>
          <w:highlight w:val="none"/>
          <w:lang w:val="en"/>
        </w:rPr>
        <w:t>其他</w:t>
      </w:r>
      <w:r>
        <w:rPr>
          <w:rFonts w:hint="eastAsia" w:ascii="宋体" w:hAnsi="宋体"/>
          <w:sz w:val="24"/>
          <w:highlight w:val="none"/>
        </w:rPr>
        <w:t>服务，包括但不限于：管理和质量保证、运输、保险、检验、现场准备、安装、集成、调试、培训、维修、废弃处置、技术支持等以及合同中规定乙方应承担的</w:t>
      </w:r>
      <w:r>
        <w:rPr>
          <w:rFonts w:hint="eastAsia" w:ascii="宋体" w:hAnsi="宋体"/>
          <w:sz w:val="24"/>
          <w:highlight w:val="none"/>
          <w:lang w:val="en"/>
        </w:rPr>
        <w:t>其他</w:t>
      </w:r>
      <w:r>
        <w:rPr>
          <w:rFonts w:hint="eastAsia" w:ascii="宋体" w:hAnsi="宋体"/>
          <w:sz w:val="24"/>
          <w:highlight w:val="none"/>
        </w:rPr>
        <w:t>义务。</w:t>
      </w:r>
    </w:p>
    <w:p w14:paraId="1BAEDACF">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（5）“分包”系指中标（成交）供应商按采购文件、投标（响应）文件的规定，根据分包意向协议，将中标（成交）项目中的部分履约内容，分给具有相应资质条件的供应商履行合同的行为。</w:t>
      </w:r>
    </w:p>
    <w:p w14:paraId="78874717">
      <w:pPr>
        <w:tabs>
          <w:tab w:val="left" w:pos="570"/>
          <w:tab w:val="left" w:pos="9240"/>
          <w:tab w:val="left" w:pos="9555"/>
        </w:tabs>
        <w:snapToGrid w:val="0"/>
        <w:spacing w:line="360" w:lineRule="auto"/>
        <w:ind w:firstLine="480" w:firstLineChars="200"/>
        <w:jc w:val="left"/>
        <w:rPr>
          <w:rFonts w:ascii="宋体" w:hAnsi="宋体"/>
          <w:sz w:val="24"/>
          <w:highlight w:val="none"/>
        </w:rPr>
      </w:pPr>
      <w:r>
        <w:rPr>
          <w:rFonts w:hint="eastAsia" w:ascii="宋体" w:hAnsi="宋体"/>
          <w:sz w:val="24"/>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sz w:val="24"/>
          <w:highlight w:val="none"/>
        </w:rPr>
        <w:t>政府采购合同专用条款</w:t>
      </w:r>
      <w:r>
        <w:rPr>
          <w:rFonts w:hint="eastAsia" w:ascii="宋体" w:hAnsi="宋体"/>
          <w:sz w:val="24"/>
          <w:highlight w:val="none"/>
        </w:rPr>
        <w:t>】。</w:t>
      </w:r>
    </w:p>
    <w:p w14:paraId="08E95BAC">
      <w:pPr>
        <w:tabs>
          <w:tab w:val="left" w:pos="570"/>
          <w:tab w:val="left" w:pos="9240"/>
          <w:tab w:val="left" w:pos="9555"/>
        </w:tabs>
        <w:snapToGrid w:val="0"/>
        <w:spacing w:line="360" w:lineRule="auto"/>
        <w:ind w:firstLine="480" w:firstLineChars="200"/>
        <w:jc w:val="left"/>
        <w:rPr>
          <w:rFonts w:ascii="宋体" w:hAnsi="宋体"/>
          <w:sz w:val="24"/>
          <w:highlight w:val="none"/>
        </w:rPr>
      </w:pPr>
      <w:r>
        <w:rPr>
          <w:rFonts w:hint="eastAsia" w:ascii="宋体" w:hAnsi="宋体"/>
          <w:sz w:val="24"/>
          <w:highlight w:val="none"/>
        </w:rPr>
        <w:t>（7）其他术语解释，见【</w:t>
      </w:r>
      <w:r>
        <w:rPr>
          <w:rFonts w:hint="eastAsia" w:ascii="宋体" w:hAnsi="宋体"/>
          <w:b/>
          <w:bCs/>
          <w:sz w:val="24"/>
          <w:highlight w:val="none"/>
        </w:rPr>
        <w:t>政府采购合同专用条款</w:t>
      </w:r>
      <w:r>
        <w:rPr>
          <w:rFonts w:hint="eastAsia" w:ascii="宋体" w:hAnsi="宋体"/>
          <w:sz w:val="24"/>
          <w:highlight w:val="none"/>
        </w:rPr>
        <w:t>】。</w:t>
      </w:r>
    </w:p>
    <w:p w14:paraId="5855173D">
      <w:pPr>
        <w:tabs>
          <w:tab w:val="left" w:pos="8820"/>
          <w:tab w:val="left" w:pos="9345"/>
          <w:tab w:val="left" w:pos="9765"/>
        </w:tabs>
        <w:snapToGrid w:val="0"/>
        <w:spacing w:line="360" w:lineRule="auto"/>
        <w:jc w:val="left"/>
        <w:rPr>
          <w:rFonts w:ascii="宋体" w:hAnsi="宋体"/>
          <w:b/>
          <w:sz w:val="24"/>
          <w:highlight w:val="none"/>
        </w:rPr>
      </w:pPr>
      <w:r>
        <w:rPr>
          <w:rFonts w:hint="eastAsia" w:ascii="宋体" w:hAnsi="宋体"/>
          <w:b/>
          <w:sz w:val="24"/>
          <w:highlight w:val="none"/>
        </w:rPr>
        <w:t>2. 合同标的及金额</w:t>
      </w:r>
    </w:p>
    <w:p w14:paraId="50680179">
      <w:pPr>
        <w:autoSpaceDE w:val="0"/>
        <w:autoSpaceDN w:val="0"/>
        <w:snapToGrid w:val="0"/>
        <w:spacing w:line="360" w:lineRule="auto"/>
        <w:ind w:firstLine="480" w:firstLineChars="200"/>
        <w:jc w:val="left"/>
        <w:rPr>
          <w:rFonts w:ascii="宋体" w:hAnsi="宋体"/>
          <w:b/>
          <w:bCs/>
          <w:i/>
          <w:iCs/>
          <w:sz w:val="24"/>
          <w:highlight w:val="none"/>
        </w:rPr>
      </w:pPr>
      <w:r>
        <w:rPr>
          <w:rFonts w:hint="eastAsia" w:ascii="宋体" w:hAnsi="宋体"/>
          <w:sz w:val="24"/>
          <w:highlight w:val="none"/>
        </w:rPr>
        <w:t>2.1 合同标的及金额应与中标（成交）结果一致。乙方为履行本合同而发生的所有费用均应包含在合同价款中，甲方不再另行支付</w:t>
      </w:r>
      <w:r>
        <w:rPr>
          <w:rFonts w:hint="eastAsia" w:ascii="宋体" w:hAnsi="宋体"/>
          <w:sz w:val="24"/>
          <w:highlight w:val="none"/>
          <w:lang w:val="en"/>
        </w:rPr>
        <w:t>其他</w:t>
      </w:r>
      <w:r>
        <w:rPr>
          <w:rFonts w:hint="eastAsia" w:ascii="宋体" w:hAnsi="宋体"/>
          <w:sz w:val="24"/>
          <w:highlight w:val="none"/>
        </w:rPr>
        <w:t>任何费用。</w:t>
      </w:r>
    </w:p>
    <w:p w14:paraId="7F18DA0C">
      <w:pPr>
        <w:snapToGrid w:val="0"/>
        <w:spacing w:line="360" w:lineRule="auto"/>
        <w:jc w:val="left"/>
        <w:rPr>
          <w:rFonts w:ascii="宋体" w:hAnsi="宋体"/>
          <w:b/>
          <w:sz w:val="24"/>
          <w:highlight w:val="none"/>
        </w:rPr>
      </w:pPr>
      <w:r>
        <w:rPr>
          <w:rFonts w:hint="eastAsia" w:ascii="宋体" w:hAnsi="宋体"/>
          <w:b/>
          <w:sz w:val="24"/>
          <w:highlight w:val="none"/>
        </w:rPr>
        <w:t>3. 履行合同的时间、地点和方式</w:t>
      </w:r>
    </w:p>
    <w:p w14:paraId="0214E384">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 xml:space="preserve">3.1 </w:t>
      </w:r>
      <w:r>
        <w:rPr>
          <w:rFonts w:hint="eastAsia" w:ascii="宋体" w:hAnsi="宋体" w:cs="宋体"/>
          <w:sz w:val="24"/>
          <w:highlight w:val="none"/>
        </w:rPr>
        <w:t>乙方应当在约定的时间、地点，按照约定方式履行合同。</w:t>
      </w:r>
    </w:p>
    <w:p w14:paraId="4262B470">
      <w:pPr>
        <w:autoSpaceDE w:val="0"/>
        <w:autoSpaceDN w:val="0"/>
        <w:snapToGrid w:val="0"/>
        <w:spacing w:line="360" w:lineRule="auto"/>
        <w:jc w:val="left"/>
        <w:rPr>
          <w:rFonts w:ascii="宋体" w:hAnsi="宋体"/>
          <w:b/>
          <w:bCs/>
          <w:sz w:val="24"/>
          <w:highlight w:val="none"/>
        </w:rPr>
      </w:pPr>
      <w:r>
        <w:rPr>
          <w:rFonts w:hint="eastAsia" w:ascii="宋体" w:hAnsi="宋体"/>
          <w:b/>
          <w:bCs/>
          <w:sz w:val="24"/>
          <w:highlight w:val="none"/>
        </w:rPr>
        <w:t>4. 甲方的权利和义务</w:t>
      </w:r>
    </w:p>
    <w:p w14:paraId="16043CAB">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0425191B">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4.2 甲方有权要求乙方按时提交各阶段有关安排计划，并有权定期核对乙方提供货物数量、规格、质量等内容。甲方有权督促乙方工作并要求乙方更换不符合要求的货物。</w:t>
      </w:r>
    </w:p>
    <w:p w14:paraId="4DD5D566">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4.3 甲方有权要求乙方对缺陷部分予以修复，并按合同约定享有货物保修及其他合同约定的权利。</w:t>
      </w:r>
    </w:p>
    <w:p w14:paraId="7A1096B1">
      <w:pPr>
        <w:adjustRightInd/>
        <w:snapToGrid w:val="0"/>
        <w:spacing w:line="360" w:lineRule="auto"/>
        <w:ind w:firstLine="480" w:firstLineChars="200"/>
        <w:rPr>
          <w:rFonts w:eastAsia="华文楷体"/>
          <w:sz w:val="24"/>
          <w:highlight w:val="none"/>
        </w:rPr>
      </w:pPr>
      <w:r>
        <w:rPr>
          <w:rFonts w:hint="eastAsia" w:ascii="宋体" w:hAnsi="宋体"/>
          <w:sz w:val="24"/>
          <w:highlight w:val="none"/>
        </w:rPr>
        <w:t>4.4 甲方应当按照合同约定及时对交付的货物进行验收，</w:t>
      </w:r>
      <w:r>
        <w:rPr>
          <w:rFonts w:hint="eastAsia" w:ascii="宋体" w:hAnsi="宋体" w:cs="宋体"/>
          <w:sz w:val="24"/>
          <w:highlight w:val="none"/>
        </w:rPr>
        <w:t>未</w:t>
      </w:r>
      <w:r>
        <w:rPr>
          <w:rFonts w:hint="eastAsia" w:ascii="宋体" w:hAnsi="宋体"/>
          <w:sz w:val="24"/>
          <w:highlight w:val="none"/>
        </w:rPr>
        <w:t>在</w:t>
      </w:r>
      <w:r>
        <w:rPr>
          <w:rFonts w:hint="eastAsia" w:ascii="宋体" w:hAnsi="宋体" w:cs="宋体"/>
          <w:b/>
          <w:bCs/>
          <w:sz w:val="24"/>
          <w:highlight w:val="none"/>
        </w:rPr>
        <w:t>【政府采购合同专用条款】</w:t>
      </w:r>
      <w:r>
        <w:rPr>
          <w:rFonts w:hint="eastAsia" w:ascii="宋体" w:hAnsi="宋体" w:cs="宋体"/>
          <w:sz w:val="24"/>
          <w:highlight w:val="none"/>
        </w:rPr>
        <w:t>约定的期限内对乙方履约提出任何异议或者向乙方作出任何说明的，</w:t>
      </w:r>
      <w:r>
        <w:rPr>
          <w:rFonts w:hint="eastAsia" w:ascii="宋体" w:hAnsi="宋体"/>
          <w:sz w:val="24"/>
          <w:highlight w:val="none"/>
        </w:rPr>
        <w:t>视为验收通过。</w:t>
      </w:r>
    </w:p>
    <w:p w14:paraId="0360EE70">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4.5 甲方应当根据合同约定及时向乙方支付合同价款，不得以内部人员变更、履行内部付款流程等为由，拒绝或迟延支付。</w:t>
      </w:r>
    </w:p>
    <w:p w14:paraId="76CC359B">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4.6 国家法律法规规定及</w:t>
      </w:r>
      <w:r>
        <w:rPr>
          <w:rFonts w:hint="eastAsia" w:ascii="宋体" w:hAnsi="宋体" w:cs="宋体"/>
          <w:b/>
          <w:bCs/>
          <w:sz w:val="24"/>
          <w:highlight w:val="none"/>
        </w:rPr>
        <w:t>【政府采购合同专用条款】</w:t>
      </w:r>
      <w:r>
        <w:rPr>
          <w:rFonts w:hint="eastAsia" w:ascii="宋体" w:hAnsi="宋体"/>
          <w:sz w:val="24"/>
          <w:highlight w:val="none"/>
        </w:rPr>
        <w:t>约定应由甲方承担的其他义务和责任。</w:t>
      </w:r>
    </w:p>
    <w:p w14:paraId="0FF85568">
      <w:pPr>
        <w:autoSpaceDE w:val="0"/>
        <w:autoSpaceDN w:val="0"/>
        <w:snapToGrid w:val="0"/>
        <w:spacing w:line="360" w:lineRule="auto"/>
        <w:jc w:val="left"/>
        <w:rPr>
          <w:rFonts w:ascii="宋体" w:hAnsi="宋体"/>
          <w:b/>
          <w:bCs/>
          <w:sz w:val="24"/>
          <w:highlight w:val="none"/>
        </w:rPr>
      </w:pPr>
      <w:r>
        <w:rPr>
          <w:rFonts w:hint="eastAsia" w:ascii="宋体" w:hAnsi="宋体"/>
          <w:b/>
          <w:bCs/>
          <w:sz w:val="24"/>
          <w:highlight w:val="none"/>
        </w:rPr>
        <w:t>5. 乙方的权利和义务</w:t>
      </w:r>
    </w:p>
    <w:p w14:paraId="6C8BC1FB">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5.1 签署合同后，乙方应确定项目负责人（或项目联系人），负责与本合同有关的事务。</w:t>
      </w:r>
    </w:p>
    <w:p w14:paraId="213C216C">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64116FB2">
      <w:pPr>
        <w:adjustRightInd/>
        <w:spacing w:line="360" w:lineRule="auto"/>
        <w:ind w:firstLine="422" w:firstLineChars="176"/>
        <w:rPr>
          <w:rFonts w:ascii="宋体" w:hAnsi="宋体" w:cs="宋体"/>
          <w:sz w:val="24"/>
          <w:highlight w:val="none"/>
        </w:rPr>
      </w:pPr>
      <w:r>
        <w:rPr>
          <w:rFonts w:hint="eastAsia" w:ascii="宋体" w:hAnsi="宋体"/>
          <w:sz w:val="24"/>
          <w:highlight w:val="none"/>
        </w:rPr>
        <w:t>5.3乙方有权</w:t>
      </w:r>
      <w:r>
        <w:rPr>
          <w:rFonts w:hint="eastAsia" w:ascii="宋体" w:hAnsi="宋体" w:cs="宋体"/>
          <w:sz w:val="24"/>
          <w:highlight w:val="none"/>
        </w:rPr>
        <w:t>根据合同约定向甲方收取合同价款。</w:t>
      </w:r>
    </w:p>
    <w:p w14:paraId="7007F01A">
      <w:pPr>
        <w:adjustRightInd/>
        <w:spacing w:line="360" w:lineRule="auto"/>
        <w:ind w:firstLine="422" w:firstLineChars="176"/>
        <w:rPr>
          <w:rFonts w:ascii="宋体" w:hAnsi="宋体" w:cs="宋体"/>
          <w:sz w:val="24"/>
          <w:highlight w:val="none"/>
        </w:rPr>
      </w:pPr>
      <w:r>
        <w:rPr>
          <w:rFonts w:hint="eastAsia" w:ascii="宋体" w:hAnsi="宋体"/>
          <w:sz w:val="24"/>
          <w:highlight w:val="none"/>
        </w:rPr>
        <w:t>5.4</w:t>
      </w:r>
      <w:r>
        <w:rPr>
          <w:rFonts w:hint="eastAsia" w:ascii="宋体" w:hAnsi="宋体" w:cs="宋体"/>
          <w:sz w:val="24"/>
          <w:highlight w:val="none"/>
        </w:rPr>
        <w:t>国家法律法规规定</w:t>
      </w:r>
      <w:r>
        <w:rPr>
          <w:rFonts w:hint="eastAsia" w:ascii="宋体" w:hAnsi="宋体"/>
          <w:sz w:val="24"/>
          <w:highlight w:val="none"/>
        </w:rPr>
        <w:t>及</w:t>
      </w:r>
      <w:r>
        <w:rPr>
          <w:rFonts w:hint="eastAsia" w:ascii="宋体" w:hAnsi="宋体" w:cs="宋体"/>
          <w:b/>
          <w:bCs/>
          <w:sz w:val="24"/>
          <w:highlight w:val="none"/>
        </w:rPr>
        <w:t>【政府采购合同专用条款】</w:t>
      </w:r>
      <w:r>
        <w:rPr>
          <w:rFonts w:hint="eastAsia" w:ascii="宋体" w:hAnsi="宋体" w:cs="宋体"/>
          <w:sz w:val="24"/>
          <w:highlight w:val="none"/>
        </w:rPr>
        <w:t>约定应由乙方承担的其他义务和责任。</w:t>
      </w:r>
    </w:p>
    <w:p w14:paraId="45241650">
      <w:pPr>
        <w:autoSpaceDE w:val="0"/>
        <w:autoSpaceDN w:val="0"/>
        <w:snapToGrid w:val="0"/>
        <w:spacing w:line="360" w:lineRule="auto"/>
        <w:jc w:val="left"/>
        <w:rPr>
          <w:rFonts w:ascii="宋体" w:hAnsi="宋体"/>
          <w:b/>
          <w:bCs/>
          <w:sz w:val="24"/>
          <w:highlight w:val="none"/>
        </w:rPr>
      </w:pPr>
      <w:r>
        <w:rPr>
          <w:rFonts w:hint="eastAsia" w:ascii="宋体" w:hAnsi="宋体"/>
          <w:b/>
          <w:bCs/>
          <w:sz w:val="24"/>
          <w:highlight w:val="none"/>
        </w:rPr>
        <w:t>6.合同履行</w:t>
      </w:r>
    </w:p>
    <w:p w14:paraId="59EB02E6">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6.1 甲乙双方应当按照</w:t>
      </w:r>
      <w:r>
        <w:rPr>
          <w:rFonts w:hint="eastAsia" w:ascii="宋体" w:hAnsi="宋体" w:cs="宋体"/>
          <w:b/>
          <w:bCs/>
          <w:sz w:val="24"/>
          <w:highlight w:val="none"/>
        </w:rPr>
        <w:t>【政府采购合同专用条款】</w:t>
      </w:r>
      <w:r>
        <w:rPr>
          <w:rFonts w:hint="eastAsia" w:ascii="宋体" w:hAnsi="宋体"/>
          <w:sz w:val="24"/>
          <w:highlight w:val="none"/>
        </w:rPr>
        <w:t>约定顺序履行合同义务；如果没有先后顺序的，应当同时履行。</w:t>
      </w:r>
    </w:p>
    <w:p w14:paraId="35857845">
      <w:pPr>
        <w:autoSpaceDE w:val="0"/>
        <w:autoSpaceDN w:val="0"/>
        <w:snapToGrid w:val="0"/>
        <w:spacing w:line="360" w:lineRule="auto"/>
        <w:ind w:firstLine="480" w:firstLineChars="200"/>
        <w:jc w:val="left"/>
        <w:rPr>
          <w:sz w:val="24"/>
          <w:highlight w:val="none"/>
        </w:rPr>
      </w:pPr>
      <w:r>
        <w:rPr>
          <w:rFonts w:hint="eastAsia" w:ascii="宋体" w:hAnsi="宋体"/>
          <w:sz w:val="24"/>
          <w:highlight w:val="none"/>
        </w:rPr>
        <w:t>6.2 甲乙双方按照合同约定顺序履行合同义务时，应当先履行一方未履行的，后履行一方有权拒绝其履行请求。先履行一方履行不符合约定的，后履行一方有权拒绝其相应的履行请求。</w:t>
      </w:r>
    </w:p>
    <w:p w14:paraId="3654627F">
      <w:pPr>
        <w:snapToGrid w:val="0"/>
        <w:spacing w:line="360" w:lineRule="auto"/>
        <w:jc w:val="left"/>
        <w:rPr>
          <w:rFonts w:ascii="宋体" w:hAnsi="宋体"/>
          <w:b/>
          <w:bCs/>
          <w:sz w:val="24"/>
          <w:highlight w:val="none"/>
        </w:rPr>
      </w:pPr>
      <w:r>
        <w:rPr>
          <w:rFonts w:hint="eastAsia" w:ascii="宋体" w:hAnsi="宋体"/>
          <w:b/>
          <w:bCs/>
          <w:sz w:val="24"/>
          <w:highlight w:val="none"/>
        </w:rPr>
        <w:t>7. 货物包装、运输、保险和交付要求</w:t>
      </w:r>
    </w:p>
    <w:p w14:paraId="6169313B">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7.1 本合同</w:t>
      </w:r>
      <w:r>
        <w:rPr>
          <w:rFonts w:hint="eastAsia" w:ascii="宋体" w:hAnsi="宋体"/>
          <w:bCs/>
          <w:sz w:val="24"/>
          <w:highlight w:val="none"/>
        </w:rPr>
        <w:t>涉及商品包装、快递包装的，</w:t>
      </w:r>
      <w:r>
        <w:rPr>
          <w:rFonts w:hint="eastAsia" w:ascii="宋体" w:hAnsi="宋体"/>
          <w:sz w:val="24"/>
          <w:highlight w:val="none"/>
        </w:rPr>
        <w:t>除</w:t>
      </w:r>
      <w:r>
        <w:rPr>
          <w:rFonts w:hint="eastAsia" w:ascii="宋体" w:hAnsi="宋体"/>
          <w:b/>
          <w:sz w:val="24"/>
          <w:highlight w:val="none"/>
        </w:rPr>
        <w:t>【政府采购合同专用条款】</w:t>
      </w:r>
      <w:r>
        <w:rPr>
          <w:rFonts w:hint="eastAsia" w:ascii="宋体" w:hAnsi="宋体"/>
          <w:bCs/>
          <w:sz w:val="24"/>
          <w:highlight w:val="none"/>
        </w:rPr>
        <w:t>另有约定外，</w:t>
      </w:r>
      <w:r>
        <w:rPr>
          <w:rFonts w:hint="eastAsia" w:ascii="宋体" w:hAnsi="宋体"/>
          <w:sz w:val="24"/>
          <w:highlight w:val="none"/>
        </w:rPr>
        <w:t>包装应适应远距离运输、防潮、防震、防锈和防野蛮装卸等要求，确保货物安全无损地运抵</w:t>
      </w:r>
      <w:r>
        <w:rPr>
          <w:rFonts w:hint="eastAsia" w:ascii="宋体" w:hAnsi="宋体"/>
          <w:b/>
          <w:sz w:val="24"/>
          <w:highlight w:val="none"/>
        </w:rPr>
        <w:t>【政府采购合同专用条款】</w:t>
      </w:r>
      <w:r>
        <w:rPr>
          <w:rFonts w:hint="eastAsia" w:ascii="宋体" w:hAnsi="宋体"/>
          <w:bCs/>
          <w:sz w:val="24"/>
          <w:highlight w:val="none"/>
        </w:rPr>
        <w:t>约定的</w:t>
      </w:r>
      <w:r>
        <w:rPr>
          <w:rFonts w:hint="eastAsia" w:ascii="宋体" w:hAnsi="宋体"/>
          <w:sz w:val="24"/>
          <w:highlight w:val="none"/>
        </w:rPr>
        <w:t>指定现场。</w:t>
      </w:r>
    </w:p>
    <w:p w14:paraId="0C30219C">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7.2 除</w:t>
      </w:r>
      <w:r>
        <w:rPr>
          <w:rFonts w:hint="eastAsia" w:ascii="宋体" w:hAnsi="宋体"/>
          <w:b/>
          <w:sz w:val="24"/>
          <w:highlight w:val="none"/>
        </w:rPr>
        <w:t>【政府采购合同专用条款】</w:t>
      </w:r>
      <w:r>
        <w:rPr>
          <w:rFonts w:hint="eastAsia" w:ascii="宋体" w:hAnsi="宋体"/>
          <w:bCs/>
          <w:sz w:val="24"/>
          <w:highlight w:val="none"/>
        </w:rPr>
        <w:t>另有约定外，</w:t>
      </w:r>
      <w:r>
        <w:rPr>
          <w:rFonts w:hint="eastAsia" w:ascii="宋体" w:hAnsi="宋体"/>
          <w:sz w:val="24"/>
          <w:highlight w:val="none"/>
        </w:rPr>
        <w:t>乙方负责办理将货物运抵本合同规定的交货地点，并装卸、交付至甲方的一切运输事项，相关费用应包含在合同价款中。</w:t>
      </w:r>
    </w:p>
    <w:p w14:paraId="6CE3B526">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7.3 货物保险要求按</w:t>
      </w:r>
      <w:r>
        <w:rPr>
          <w:rFonts w:hint="eastAsia" w:ascii="宋体" w:hAnsi="宋体"/>
          <w:b/>
          <w:sz w:val="24"/>
          <w:highlight w:val="none"/>
        </w:rPr>
        <w:t>【政府采购合同专用条款】</w:t>
      </w:r>
      <w:r>
        <w:rPr>
          <w:rFonts w:hint="eastAsia" w:ascii="宋体" w:hAnsi="宋体"/>
          <w:bCs/>
          <w:sz w:val="24"/>
          <w:highlight w:val="none"/>
        </w:rPr>
        <w:t>规定执行</w:t>
      </w:r>
      <w:r>
        <w:rPr>
          <w:rFonts w:hint="eastAsia" w:ascii="宋体" w:hAnsi="宋体"/>
          <w:sz w:val="24"/>
          <w:highlight w:val="none"/>
        </w:rPr>
        <w:t>。</w:t>
      </w:r>
    </w:p>
    <w:p w14:paraId="75992651">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0222FFB8">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 xml:space="preserve">7.5 </w:t>
      </w:r>
      <w:r>
        <w:rPr>
          <w:rFonts w:hint="eastAsia" w:ascii="宋体" w:hAnsi="宋体" w:cs="宋体"/>
          <w:sz w:val="24"/>
          <w:highlight w:val="none"/>
        </w:rPr>
        <w:t>乙方在运输到达之前应提前通知甲方，并提示货物运输装卸的注意事项，甲方配合乙方做好货物的接收工作。</w:t>
      </w:r>
    </w:p>
    <w:p w14:paraId="48072C6B">
      <w:pPr>
        <w:widowControl/>
        <w:autoSpaceDE w:val="0"/>
        <w:autoSpaceDN w:val="0"/>
        <w:spacing w:line="360" w:lineRule="auto"/>
        <w:ind w:firstLine="480" w:firstLineChars="200"/>
        <w:jc w:val="left"/>
        <w:rPr>
          <w:rFonts w:ascii="华文楷体" w:hAnsi="华文楷体" w:eastAsia="华文楷体" w:cs="华文楷体"/>
          <w:kern w:val="0"/>
          <w:sz w:val="24"/>
          <w:highlight w:val="none"/>
        </w:rPr>
      </w:pPr>
      <w:r>
        <w:rPr>
          <w:rFonts w:hint="eastAsia" w:ascii="宋体" w:hAnsi="宋体"/>
          <w:sz w:val="24"/>
          <w:highlight w:val="none"/>
        </w:rPr>
        <w:t>7.6 如因包装、运输问题导致货物损毁、丢失或者品质下降，甲方有权要求降价、换货、拒收部分或整批货物，由此产生的费用和损失，均由乙方承担。</w:t>
      </w:r>
    </w:p>
    <w:p w14:paraId="7E0FBB21">
      <w:pPr>
        <w:snapToGrid w:val="0"/>
        <w:spacing w:line="360" w:lineRule="auto"/>
        <w:jc w:val="left"/>
        <w:rPr>
          <w:rFonts w:ascii="宋体" w:hAnsi="宋体"/>
          <w:b/>
          <w:sz w:val="24"/>
          <w:highlight w:val="none"/>
        </w:rPr>
      </w:pPr>
      <w:r>
        <w:rPr>
          <w:rFonts w:hint="eastAsia" w:ascii="宋体" w:hAnsi="宋体"/>
          <w:b/>
          <w:sz w:val="24"/>
          <w:highlight w:val="none"/>
        </w:rPr>
        <w:t>8. 质量标准和保证</w:t>
      </w:r>
    </w:p>
    <w:p w14:paraId="65AEC0BC">
      <w:pPr>
        <w:snapToGrid w:val="0"/>
        <w:spacing w:line="360" w:lineRule="auto"/>
        <w:ind w:firstLine="480" w:firstLineChars="200"/>
        <w:jc w:val="left"/>
        <w:rPr>
          <w:rFonts w:ascii="宋体" w:hAnsi="宋体" w:cs="Courier New"/>
          <w:b/>
          <w:sz w:val="24"/>
          <w:highlight w:val="none"/>
        </w:rPr>
      </w:pPr>
      <w:r>
        <w:rPr>
          <w:rFonts w:hint="eastAsia" w:ascii="宋体" w:hAnsi="宋体" w:cs="Courier New"/>
          <w:sz w:val="24"/>
          <w:highlight w:val="none"/>
        </w:rPr>
        <w:t>8.1 质量标准</w:t>
      </w:r>
    </w:p>
    <w:p w14:paraId="28F9392E">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（1）本合同下提供的货物应符合合同</w:t>
      </w:r>
      <w:r>
        <w:rPr>
          <w:rFonts w:hint="eastAsia" w:ascii="宋体" w:hAnsi="宋体" w:cs="宋体"/>
          <w:sz w:val="24"/>
          <w:highlight w:val="none"/>
        </w:rPr>
        <w:t>约定的品牌、规格型号、技术性能、配置、质量、数量等要求。</w:t>
      </w:r>
      <w:r>
        <w:rPr>
          <w:rFonts w:hint="eastAsia" w:ascii="宋体" w:hAnsi="宋体"/>
          <w:sz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51EADD29">
      <w:pPr>
        <w:snapToGrid w:val="0"/>
        <w:spacing w:line="360" w:lineRule="auto"/>
        <w:ind w:firstLine="480" w:firstLineChars="200"/>
        <w:jc w:val="left"/>
        <w:rPr>
          <w:rFonts w:ascii="宋体" w:hAnsi="宋体" w:cs="Courier New"/>
          <w:sz w:val="24"/>
          <w:highlight w:val="none"/>
        </w:rPr>
      </w:pPr>
      <w:r>
        <w:rPr>
          <w:rFonts w:hint="eastAsia" w:ascii="宋体" w:hAnsi="宋体" w:cs="Courier New"/>
          <w:sz w:val="24"/>
          <w:highlight w:val="none"/>
        </w:rPr>
        <w:t>（2）采用中华人民共和国法定计量单位。</w:t>
      </w:r>
    </w:p>
    <w:p w14:paraId="27C92968">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（3）乙方所提供的货物应符合国家有关安全、环保、卫生的规定。</w:t>
      </w:r>
    </w:p>
    <w:p w14:paraId="138CBC70">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（4）乙方应向甲方提交所提供货物的技术文件，包括相应的中文技术文件，如：产品目录、图纸、操作手册、使用说明、维护手册或服务指南等。上述文件应包装好随货物一同发运。</w:t>
      </w:r>
    </w:p>
    <w:p w14:paraId="28E250DE">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8.2 保证</w:t>
      </w:r>
    </w:p>
    <w:p w14:paraId="6E4B9D07">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（1）乙方应保证提供的货物完全符合合同规定的质量、规格和性能要求。乙方应保证货物在正确安装、正常使用和保养条件下，</w:t>
      </w:r>
      <w:r>
        <w:rPr>
          <w:rFonts w:hint="eastAsia" w:ascii="宋体" w:hAnsi="宋体" w:cs="宋体"/>
          <w:sz w:val="24"/>
          <w:highlight w:val="none"/>
        </w:rPr>
        <w:t>在其使用寿命期内具备合同约定的性能</w:t>
      </w:r>
      <w:r>
        <w:rPr>
          <w:rFonts w:hint="eastAsia" w:ascii="宋体" w:hAnsi="宋体"/>
          <w:sz w:val="24"/>
          <w:highlight w:val="none"/>
        </w:rPr>
        <w:t>。存在质量保证期的，货物最终交付验收合格后在</w:t>
      </w:r>
      <w:r>
        <w:rPr>
          <w:rFonts w:hint="eastAsia" w:ascii="宋体" w:hAnsi="宋体"/>
          <w:b/>
          <w:sz w:val="24"/>
          <w:highlight w:val="none"/>
        </w:rPr>
        <w:t>【政府采购合同专用条款】</w:t>
      </w:r>
      <w:r>
        <w:rPr>
          <w:rFonts w:hint="eastAsia" w:ascii="宋体" w:hAnsi="宋体"/>
          <w:sz w:val="24"/>
          <w:highlight w:val="none"/>
        </w:rPr>
        <w:t>规定或乙方书面承诺（两者以较长的为准）的质量保证期内，本保证保持有效。</w:t>
      </w:r>
    </w:p>
    <w:p w14:paraId="0F9CD110">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（2）在质量保证期内所发现的缺陷，甲方应尽快以书面形式通知乙方。</w:t>
      </w:r>
    </w:p>
    <w:p w14:paraId="1A66E0C5">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（3）乙方收到通知后，应在</w:t>
      </w:r>
      <w:r>
        <w:rPr>
          <w:rFonts w:hint="eastAsia" w:ascii="宋体" w:hAnsi="宋体"/>
          <w:b/>
          <w:sz w:val="24"/>
          <w:highlight w:val="none"/>
        </w:rPr>
        <w:t>【政府采购合同专用条款】</w:t>
      </w:r>
      <w:r>
        <w:rPr>
          <w:rFonts w:hint="eastAsia" w:ascii="宋体" w:hAnsi="宋体"/>
          <w:sz w:val="24"/>
          <w:highlight w:val="none"/>
        </w:rPr>
        <w:t>规定的响应时间内以合理的速度免费维修或更换有缺陷的货物或部件。</w:t>
      </w:r>
    </w:p>
    <w:p w14:paraId="61D36315">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71AB336F">
      <w:pPr>
        <w:snapToGrid w:val="0"/>
        <w:spacing w:line="360" w:lineRule="auto"/>
        <w:ind w:firstLine="480" w:firstLineChars="200"/>
        <w:jc w:val="left"/>
        <w:rPr>
          <w:sz w:val="24"/>
          <w:highlight w:val="none"/>
        </w:rPr>
      </w:pPr>
      <w:r>
        <w:rPr>
          <w:rFonts w:hint="eastAsia" w:ascii="宋体" w:hAnsi="宋体"/>
          <w:sz w:val="24"/>
          <w:highlight w:val="none"/>
        </w:rPr>
        <w:t>（5）乙方在约定的时间内未能弥补缺陷，甲方可采取必要的补救措施，但其风险和费用将由乙方承担，甲方根据合同约定对乙方行使的其他权利不受影响。</w:t>
      </w:r>
    </w:p>
    <w:p w14:paraId="6777BADE">
      <w:pPr>
        <w:snapToGrid w:val="0"/>
        <w:spacing w:line="360" w:lineRule="auto"/>
        <w:jc w:val="left"/>
        <w:rPr>
          <w:rFonts w:ascii="宋体" w:hAnsi="宋体"/>
          <w:b/>
          <w:bCs/>
          <w:sz w:val="24"/>
          <w:highlight w:val="none"/>
        </w:rPr>
      </w:pPr>
      <w:r>
        <w:rPr>
          <w:rFonts w:hint="eastAsia" w:ascii="宋体" w:hAnsi="宋体"/>
          <w:b/>
          <w:bCs/>
          <w:sz w:val="24"/>
          <w:highlight w:val="none"/>
        </w:rPr>
        <w:t>9. 权利瑕疵担保</w:t>
      </w:r>
    </w:p>
    <w:p w14:paraId="21A1F894">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9.1 乙方保证对其出售的货物享有合法的权利。</w:t>
      </w:r>
    </w:p>
    <w:p w14:paraId="4CF9C96F">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 xml:space="preserve">9.2 </w:t>
      </w:r>
      <w:r>
        <w:rPr>
          <w:rFonts w:hint="eastAsia" w:ascii="宋体" w:hAnsi="宋体" w:cs="宋体"/>
          <w:sz w:val="24"/>
          <w:highlight w:val="none"/>
        </w:rPr>
        <w:t>乙方保证在交付的货物上不存在抵押权等担保物权。</w:t>
      </w:r>
    </w:p>
    <w:p w14:paraId="0625384F">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9.3 如甲方使用上述货物构成对第三人侵权的，则由乙方承担全部责任。</w:t>
      </w:r>
    </w:p>
    <w:p w14:paraId="5D391824">
      <w:pPr>
        <w:autoSpaceDE w:val="0"/>
        <w:autoSpaceDN w:val="0"/>
        <w:snapToGrid w:val="0"/>
        <w:spacing w:line="360" w:lineRule="auto"/>
        <w:jc w:val="left"/>
        <w:rPr>
          <w:rFonts w:ascii="宋体" w:hAnsi="宋体"/>
          <w:b/>
          <w:bCs/>
          <w:sz w:val="24"/>
          <w:highlight w:val="none"/>
        </w:rPr>
      </w:pPr>
      <w:r>
        <w:rPr>
          <w:rFonts w:hint="eastAsia" w:ascii="宋体" w:hAnsi="宋体"/>
          <w:b/>
          <w:bCs/>
          <w:sz w:val="24"/>
          <w:highlight w:val="none"/>
        </w:rPr>
        <w:t>10. 知识产权保护</w:t>
      </w:r>
    </w:p>
    <w:p w14:paraId="71BDEE11">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10.1 乙方对其所销售的货物应当享有知识产权或经权利人合法授权，保证没有侵犯任何第三人的知识产权等权利。</w:t>
      </w:r>
      <w:bookmarkStart w:id="422" w:name="_Hlk163047038"/>
      <w:r>
        <w:rPr>
          <w:rFonts w:hint="eastAsia" w:ascii="宋体" w:hAnsi="宋体" w:cs="宋体"/>
          <w:sz w:val="24"/>
          <w:highlight w:val="none"/>
        </w:rPr>
        <w:t>因违反前述约定对第三人构成侵权的，应当由乙方向第三人承担法律责任；甲方依法向第三人赔偿后，有权向乙方追偿。甲方有其他损失的，乙方应当赔偿</w:t>
      </w:r>
      <w:bookmarkEnd w:id="422"/>
      <w:r>
        <w:rPr>
          <w:rFonts w:hint="eastAsia" w:ascii="宋体" w:hAnsi="宋体"/>
          <w:sz w:val="24"/>
          <w:highlight w:val="none"/>
        </w:rPr>
        <w:t>。</w:t>
      </w:r>
    </w:p>
    <w:p w14:paraId="77FB7B07">
      <w:pPr>
        <w:autoSpaceDE w:val="0"/>
        <w:autoSpaceDN w:val="0"/>
        <w:snapToGrid w:val="0"/>
        <w:spacing w:line="360" w:lineRule="auto"/>
        <w:jc w:val="left"/>
        <w:rPr>
          <w:rFonts w:ascii="宋体" w:hAnsi="宋体"/>
          <w:b/>
          <w:bCs/>
          <w:sz w:val="24"/>
          <w:highlight w:val="none"/>
        </w:rPr>
      </w:pPr>
      <w:r>
        <w:rPr>
          <w:rFonts w:hint="eastAsia" w:ascii="宋体" w:hAnsi="宋体"/>
          <w:b/>
          <w:bCs/>
          <w:sz w:val="24"/>
          <w:highlight w:val="none"/>
        </w:rPr>
        <w:t>11. 保密义务</w:t>
      </w:r>
    </w:p>
    <w:p w14:paraId="26A7FB3A">
      <w:pPr>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 w:val="24"/>
          <w:highlight w:val="none"/>
        </w:rPr>
        <w:t>【政府采购合同专用条款】</w:t>
      </w:r>
      <w:r>
        <w:rPr>
          <w:rFonts w:hint="eastAsia" w:ascii="宋体" w:hAnsi="宋体" w:cs="宋体"/>
          <w:sz w:val="24"/>
          <w:highlight w:val="none"/>
        </w:rPr>
        <w:t>中约定。</w:t>
      </w:r>
    </w:p>
    <w:p w14:paraId="1966A418">
      <w:pPr>
        <w:autoSpaceDE w:val="0"/>
        <w:autoSpaceDN w:val="0"/>
        <w:snapToGrid w:val="0"/>
        <w:spacing w:line="360" w:lineRule="auto"/>
        <w:jc w:val="left"/>
        <w:rPr>
          <w:rFonts w:ascii="宋体" w:hAnsi="宋体"/>
          <w:b/>
          <w:bCs/>
          <w:sz w:val="24"/>
          <w:highlight w:val="none"/>
        </w:rPr>
      </w:pPr>
      <w:r>
        <w:rPr>
          <w:rFonts w:hint="eastAsia" w:ascii="宋体" w:hAnsi="宋体"/>
          <w:b/>
          <w:bCs/>
          <w:sz w:val="24"/>
          <w:highlight w:val="none"/>
        </w:rPr>
        <w:t>12. 合同价款支付</w:t>
      </w:r>
    </w:p>
    <w:p w14:paraId="6AAF8BB2">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12.1 合同价款支付按照国库集中支付制度及财政管理相关规定执行。</w:t>
      </w:r>
    </w:p>
    <w:p w14:paraId="05B9F351">
      <w:pPr>
        <w:keepNext/>
        <w:keepLines/>
        <w:adjustRightInd/>
        <w:spacing w:line="360" w:lineRule="auto"/>
        <w:ind w:firstLine="480" w:firstLineChars="200"/>
        <w:rPr>
          <w:rFonts w:ascii="Arial" w:hAnsi="Arial"/>
          <w:b/>
          <w:bCs/>
          <w:sz w:val="24"/>
          <w:highlight w:val="none"/>
        </w:rPr>
      </w:pPr>
      <w:r>
        <w:rPr>
          <w:rFonts w:hint="eastAsia" w:ascii="宋体" w:hAnsi="宋体"/>
          <w:sz w:val="24"/>
          <w:highlight w:val="none"/>
        </w:rPr>
        <w:t>12.2 对于满足合同约定支付条件的，甲方原则上应当自收到发票后5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b/>
          <w:bCs/>
          <w:sz w:val="24"/>
          <w:highlight w:val="none"/>
        </w:rPr>
        <w:t>政府采购合同专用条款</w:t>
      </w:r>
      <w:r>
        <w:rPr>
          <w:rFonts w:hint="eastAsia" w:ascii="宋体" w:hAnsi="宋体"/>
          <w:sz w:val="24"/>
          <w:highlight w:val="none"/>
        </w:rPr>
        <w:t>】中约定。</w:t>
      </w:r>
    </w:p>
    <w:p w14:paraId="23DE87EF">
      <w:pPr>
        <w:adjustRightInd/>
        <w:spacing w:line="360" w:lineRule="auto"/>
        <w:rPr>
          <w:rFonts w:ascii="宋体" w:hAnsi="宋体"/>
          <w:b/>
          <w:bCs/>
          <w:sz w:val="24"/>
          <w:highlight w:val="none"/>
        </w:rPr>
      </w:pPr>
      <w:r>
        <w:rPr>
          <w:rFonts w:hint="eastAsia" w:ascii="宋体" w:hAnsi="宋体"/>
          <w:b/>
          <w:bCs/>
          <w:sz w:val="24"/>
          <w:highlight w:val="none"/>
        </w:rPr>
        <w:t>13. 履约保证金</w:t>
      </w:r>
    </w:p>
    <w:p w14:paraId="107EB90E">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 xml:space="preserve">13.1 </w:t>
      </w:r>
      <w:r>
        <w:rPr>
          <w:rFonts w:hint="eastAsia" w:ascii="宋体" w:hAnsi="宋体" w:cs="宋体"/>
          <w:sz w:val="24"/>
          <w:highlight w:val="none"/>
        </w:rPr>
        <w:t>乙方应当以支票、汇票、本票或者金融机构、担保机构出具的保函等非现金形式提交。</w:t>
      </w:r>
    </w:p>
    <w:p w14:paraId="1E0F2ECD">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13.2 如果乙方出现</w:t>
      </w:r>
      <w:r>
        <w:rPr>
          <w:rFonts w:hint="eastAsia" w:ascii="宋体" w:hAnsi="宋体" w:cs="宋体"/>
          <w:b/>
          <w:bCs/>
          <w:sz w:val="24"/>
          <w:highlight w:val="none"/>
        </w:rPr>
        <w:t>【政府采购合同专用条款】</w:t>
      </w:r>
      <w:r>
        <w:rPr>
          <w:rFonts w:hint="eastAsia" w:ascii="宋体" w:hAnsi="宋体" w:cs="宋体"/>
          <w:sz w:val="24"/>
          <w:highlight w:val="none"/>
        </w:rPr>
        <w:t>约定情形的</w:t>
      </w:r>
      <w:r>
        <w:rPr>
          <w:rFonts w:hint="eastAsia" w:ascii="宋体" w:hAnsi="宋体"/>
          <w:sz w:val="24"/>
          <w:highlight w:val="none"/>
        </w:rPr>
        <w:t>，履约保证金不予退还；如果乙方未能按合同约定全面履行义务，甲方有权从履约保证金中取得补偿或赔偿，且不影响甲方要求乙方承担合同约定的超过履约保证金的违约责任的权利。</w:t>
      </w:r>
    </w:p>
    <w:p w14:paraId="78B1908B">
      <w:pPr>
        <w:adjustRightInd/>
        <w:spacing w:line="360" w:lineRule="auto"/>
        <w:ind w:firstLine="420"/>
        <w:rPr>
          <w:sz w:val="24"/>
          <w:highlight w:val="none"/>
        </w:rPr>
      </w:pPr>
      <w:r>
        <w:rPr>
          <w:rFonts w:hint="eastAsia" w:ascii="宋体" w:hAnsi="宋体"/>
          <w:sz w:val="24"/>
          <w:highlight w:val="none"/>
        </w:rPr>
        <w:t>13.3 甲方在项目通过验收后按照</w:t>
      </w:r>
      <w:r>
        <w:rPr>
          <w:rFonts w:hint="eastAsia" w:ascii="宋体" w:hAnsi="宋体"/>
          <w:b/>
          <w:sz w:val="24"/>
          <w:highlight w:val="none"/>
        </w:rPr>
        <w:t>【政府采购合同专用条款】</w:t>
      </w:r>
      <w:r>
        <w:rPr>
          <w:rFonts w:hint="eastAsia" w:ascii="宋体" w:hAnsi="宋体"/>
          <w:sz w:val="24"/>
          <w:highlight w:val="none"/>
        </w:rPr>
        <w:t>规定的时间内将履约保证金退还乙方；逾期退还的，乙方可要求甲方支付违约金，违约金按照</w:t>
      </w:r>
      <w:r>
        <w:rPr>
          <w:rFonts w:hint="eastAsia" w:ascii="宋体" w:hAnsi="宋体"/>
          <w:b/>
          <w:sz w:val="24"/>
          <w:highlight w:val="none"/>
        </w:rPr>
        <w:t>【政府采购合同专用条款】</w:t>
      </w:r>
      <w:r>
        <w:rPr>
          <w:rFonts w:hint="eastAsia" w:ascii="宋体" w:hAnsi="宋体"/>
          <w:sz w:val="24"/>
          <w:highlight w:val="none"/>
        </w:rPr>
        <w:t>规定支付。</w:t>
      </w:r>
    </w:p>
    <w:p w14:paraId="6C70470F">
      <w:pPr>
        <w:autoSpaceDE w:val="0"/>
        <w:autoSpaceDN w:val="0"/>
        <w:snapToGrid w:val="0"/>
        <w:spacing w:line="360" w:lineRule="auto"/>
        <w:jc w:val="left"/>
        <w:rPr>
          <w:rFonts w:ascii="宋体" w:hAnsi="宋体"/>
          <w:b/>
          <w:sz w:val="24"/>
          <w:highlight w:val="none"/>
        </w:rPr>
      </w:pPr>
      <w:r>
        <w:rPr>
          <w:rFonts w:hint="eastAsia" w:ascii="宋体" w:hAnsi="宋体"/>
          <w:b/>
          <w:bCs/>
          <w:sz w:val="24"/>
          <w:highlight w:val="none"/>
        </w:rPr>
        <w:t xml:space="preserve">14. </w:t>
      </w:r>
      <w:r>
        <w:rPr>
          <w:rFonts w:hint="eastAsia"/>
          <w:b/>
          <w:sz w:val="24"/>
          <w:highlight w:val="none"/>
        </w:rPr>
        <w:t>售后</w:t>
      </w:r>
      <w:r>
        <w:rPr>
          <w:rFonts w:hint="eastAsia" w:ascii="宋体" w:hAnsi="宋体"/>
          <w:b/>
          <w:sz w:val="24"/>
          <w:highlight w:val="none"/>
        </w:rPr>
        <w:t>服务</w:t>
      </w:r>
    </w:p>
    <w:p w14:paraId="7AD52974">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14.1 除项目不涉及或采购活动中明确约定无须承担外，乙方还应提供下列服务：</w:t>
      </w:r>
    </w:p>
    <w:p w14:paraId="5096A157">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（1）货物的现场移动、安装、调试、启动监督及技术支持；</w:t>
      </w:r>
    </w:p>
    <w:p w14:paraId="080871A9">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（2）提供货物组装和维修所需的专用工具和辅助材料；</w:t>
      </w:r>
    </w:p>
    <w:p w14:paraId="291C4B1B">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（3）在</w:t>
      </w:r>
      <w:r>
        <w:rPr>
          <w:rFonts w:hint="eastAsia" w:ascii="宋体" w:hAnsi="宋体" w:cs="宋体"/>
          <w:b/>
          <w:bCs/>
          <w:sz w:val="24"/>
          <w:highlight w:val="none"/>
        </w:rPr>
        <w:t>【政府采购合同专用条款】</w:t>
      </w:r>
      <w:r>
        <w:rPr>
          <w:rFonts w:hint="eastAsia" w:ascii="宋体" w:hAnsi="宋体"/>
          <w:sz w:val="24"/>
          <w:highlight w:val="none"/>
        </w:rPr>
        <w:t>约定的期限内对所有的货物实施运行监督、维修，但前提条件是该服务并不能免除乙方在质量保证期内所承担的义务；</w:t>
      </w:r>
    </w:p>
    <w:p w14:paraId="227B79D4">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（4）在制造商所在地或指定现场就货物的安装、启动、运营、维护、废弃处置等对甲方操作人员进行培训</w:t>
      </w:r>
      <w:r>
        <w:rPr>
          <w:rFonts w:hint="eastAsia" w:ascii="宋体" w:hAnsi="宋体" w:cs="宋体"/>
          <w:sz w:val="24"/>
          <w:highlight w:val="none"/>
        </w:rPr>
        <w:t>；</w:t>
      </w:r>
    </w:p>
    <w:p w14:paraId="46FEB8BB">
      <w:pPr>
        <w:widowControl/>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（5）依照法律、行政法规的规定或者按照</w:t>
      </w:r>
      <w:r>
        <w:rPr>
          <w:rFonts w:hint="eastAsia" w:ascii="宋体" w:hAnsi="宋体" w:cs="宋体"/>
          <w:b/>
          <w:bCs/>
          <w:kern w:val="0"/>
          <w:sz w:val="24"/>
          <w:highlight w:val="none"/>
        </w:rPr>
        <w:t>【政府采购合同专用条款】</w:t>
      </w:r>
      <w:r>
        <w:rPr>
          <w:rFonts w:hint="eastAsia" w:ascii="宋体" w:hAnsi="宋体" w:cs="宋体"/>
          <w:kern w:val="0"/>
          <w:sz w:val="24"/>
          <w:highlight w:val="none"/>
        </w:rPr>
        <w:t>约定，货物在有效使用年限届满后应予回收的，乙方负有自行或者委托第三人对货物予以回收的义务；</w:t>
      </w:r>
    </w:p>
    <w:p w14:paraId="5188F921">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（6）</w:t>
      </w:r>
      <w:r>
        <w:rPr>
          <w:rFonts w:hint="eastAsia" w:ascii="宋体" w:hAnsi="宋体"/>
          <w:b/>
          <w:sz w:val="24"/>
          <w:highlight w:val="none"/>
        </w:rPr>
        <w:t>【政府采购合同专用条款】</w:t>
      </w:r>
      <w:r>
        <w:rPr>
          <w:rFonts w:hint="eastAsia" w:ascii="宋体" w:hAnsi="宋体"/>
          <w:sz w:val="24"/>
          <w:highlight w:val="none"/>
        </w:rPr>
        <w:t>规定由乙方提供的其他服务。</w:t>
      </w:r>
    </w:p>
    <w:p w14:paraId="4EAFDCE1">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14.2 乙方提供的售后服务的费用已包含在合同价款中，甲方不再另行支付。</w:t>
      </w:r>
    </w:p>
    <w:p w14:paraId="6EEE3ED9">
      <w:pPr>
        <w:snapToGrid w:val="0"/>
        <w:spacing w:line="360" w:lineRule="auto"/>
        <w:jc w:val="left"/>
        <w:rPr>
          <w:rFonts w:ascii="宋体" w:hAnsi="宋体"/>
          <w:b/>
          <w:bCs/>
          <w:sz w:val="24"/>
          <w:highlight w:val="none"/>
        </w:rPr>
      </w:pPr>
      <w:r>
        <w:rPr>
          <w:rFonts w:hint="eastAsia" w:ascii="宋体" w:hAnsi="宋体"/>
          <w:b/>
          <w:bCs/>
          <w:sz w:val="24"/>
          <w:highlight w:val="none"/>
        </w:rPr>
        <w:t>15. 违约责任</w:t>
      </w:r>
    </w:p>
    <w:p w14:paraId="668EC561">
      <w:pPr>
        <w:snapToGrid w:val="0"/>
        <w:spacing w:line="360" w:lineRule="auto"/>
        <w:ind w:firstLine="480" w:firstLineChars="200"/>
        <w:jc w:val="left"/>
        <w:rPr>
          <w:rFonts w:ascii="宋体" w:hAnsi="宋体"/>
          <w:bCs/>
          <w:sz w:val="24"/>
          <w:highlight w:val="none"/>
        </w:rPr>
      </w:pPr>
      <w:r>
        <w:rPr>
          <w:rFonts w:hint="eastAsia" w:ascii="宋体" w:hAnsi="宋体"/>
          <w:bCs/>
          <w:sz w:val="24"/>
          <w:highlight w:val="none"/>
        </w:rPr>
        <w:t>15.1质量瑕疵的违约责任</w:t>
      </w:r>
    </w:p>
    <w:p w14:paraId="0E1A230D">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乙方提供的产品不符合合同约定的质量标准或存在产品质量缺陷，甲方有权要求乙方根据</w:t>
      </w:r>
      <w:r>
        <w:rPr>
          <w:rFonts w:hint="eastAsia" w:ascii="宋体" w:hAnsi="宋体"/>
          <w:b/>
          <w:sz w:val="24"/>
          <w:highlight w:val="none"/>
        </w:rPr>
        <w:t>【政府采购合同专用条款】</w:t>
      </w:r>
      <w:r>
        <w:rPr>
          <w:rFonts w:hint="eastAsia" w:ascii="宋体" w:hAnsi="宋体"/>
          <w:bCs/>
          <w:sz w:val="24"/>
          <w:highlight w:val="none"/>
        </w:rPr>
        <w:t>要求</w:t>
      </w:r>
      <w:r>
        <w:rPr>
          <w:rFonts w:hint="eastAsia" w:ascii="宋体" w:hAnsi="宋体"/>
          <w:sz w:val="24"/>
          <w:highlight w:val="none"/>
        </w:rPr>
        <w:t>及时修理、重作、更换，并承担由此给甲方造成的损失。</w:t>
      </w:r>
    </w:p>
    <w:p w14:paraId="15476621">
      <w:pPr>
        <w:autoSpaceDE w:val="0"/>
        <w:autoSpaceDN w:val="0"/>
        <w:snapToGrid w:val="0"/>
        <w:spacing w:line="360" w:lineRule="auto"/>
        <w:ind w:firstLine="480" w:firstLineChars="200"/>
        <w:jc w:val="left"/>
        <w:rPr>
          <w:rFonts w:ascii="宋体" w:hAnsi="宋体"/>
          <w:bCs/>
          <w:sz w:val="24"/>
          <w:highlight w:val="none"/>
        </w:rPr>
      </w:pPr>
      <w:r>
        <w:rPr>
          <w:rFonts w:hint="eastAsia" w:ascii="宋体" w:hAnsi="宋体"/>
          <w:bCs/>
          <w:sz w:val="24"/>
          <w:highlight w:val="none"/>
        </w:rPr>
        <w:t>15.2 迟延交货的违约责任</w:t>
      </w:r>
    </w:p>
    <w:p w14:paraId="5FFFD77D">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1A6E9613">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（2）如果乙方没有按照合同规定的时间交货和提供相关服务，甲方有权从货款中扣除误期赔偿费而不影响合同项下的其他补救方法，赔偿费按</w:t>
      </w:r>
      <w:r>
        <w:rPr>
          <w:rFonts w:hint="eastAsia" w:ascii="宋体" w:hAnsi="宋体"/>
          <w:b/>
          <w:sz w:val="24"/>
          <w:highlight w:val="none"/>
        </w:rPr>
        <w:t>【政府采购合同专用条款】</w:t>
      </w:r>
      <w:r>
        <w:rPr>
          <w:rFonts w:hint="eastAsia" w:ascii="宋体" w:hAnsi="宋体"/>
          <w:sz w:val="24"/>
          <w:highlight w:val="none"/>
        </w:rPr>
        <w:t>规定执行。如果涉及公共利益，且赔偿金额无法弥补公共利益损失，甲方可要求继续履行或者采取其他补救措施。</w:t>
      </w:r>
    </w:p>
    <w:p w14:paraId="329A34BA">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15.3 迟延支付的违约责任</w:t>
      </w:r>
    </w:p>
    <w:p w14:paraId="0156A645">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甲方存在迟延支付乙方合同款项的，应当承担</w:t>
      </w:r>
      <w:r>
        <w:rPr>
          <w:rFonts w:hint="eastAsia" w:ascii="宋体" w:hAnsi="宋体"/>
          <w:b/>
          <w:bCs/>
          <w:sz w:val="24"/>
          <w:highlight w:val="none"/>
        </w:rPr>
        <w:t>【政府采购合同专用条款】</w:t>
      </w:r>
      <w:r>
        <w:rPr>
          <w:rFonts w:hint="eastAsia" w:ascii="宋体" w:hAnsi="宋体"/>
          <w:sz w:val="24"/>
          <w:highlight w:val="none"/>
        </w:rPr>
        <w:t>规定的逾期付款利息。</w:t>
      </w:r>
    </w:p>
    <w:p w14:paraId="57AA0A5B">
      <w:pPr>
        <w:snapToGrid w:val="0"/>
        <w:spacing w:line="360" w:lineRule="auto"/>
        <w:ind w:firstLine="480" w:firstLineChars="200"/>
        <w:jc w:val="left"/>
        <w:rPr>
          <w:rFonts w:ascii="宋体" w:hAnsi="宋体"/>
          <w:sz w:val="24"/>
          <w:highlight w:val="none"/>
        </w:rPr>
      </w:pPr>
      <w:r>
        <w:rPr>
          <w:rFonts w:hint="eastAsia" w:ascii="宋体" w:hAnsi="宋体"/>
          <w:bCs/>
          <w:sz w:val="24"/>
          <w:highlight w:val="none"/>
        </w:rPr>
        <w:t>15.4其他违约责任根据项目实际需要按</w:t>
      </w:r>
      <w:r>
        <w:rPr>
          <w:rFonts w:hint="eastAsia" w:ascii="宋体" w:hAnsi="宋体"/>
          <w:b/>
          <w:bCs/>
          <w:sz w:val="24"/>
          <w:highlight w:val="none"/>
        </w:rPr>
        <w:t>【政府采购合同专用条款】</w:t>
      </w:r>
      <w:r>
        <w:rPr>
          <w:rFonts w:hint="eastAsia" w:ascii="宋体" w:hAnsi="宋体"/>
          <w:sz w:val="24"/>
          <w:highlight w:val="none"/>
        </w:rPr>
        <w:t>规定执行。</w:t>
      </w:r>
    </w:p>
    <w:p w14:paraId="26B1235B">
      <w:pPr>
        <w:snapToGrid w:val="0"/>
        <w:spacing w:line="360" w:lineRule="auto"/>
        <w:jc w:val="left"/>
        <w:rPr>
          <w:rFonts w:ascii="宋体" w:hAnsi="宋体"/>
          <w:b/>
          <w:bCs/>
          <w:sz w:val="24"/>
          <w:highlight w:val="none"/>
        </w:rPr>
      </w:pPr>
      <w:r>
        <w:rPr>
          <w:rFonts w:hint="eastAsia" w:ascii="宋体" w:hAnsi="宋体"/>
          <w:b/>
          <w:bCs/>
          <w:sz w:val="24"/>
          <w:highlight w:val="none"/>
        </w:rPr>
        <w:t>16. 合同变更、中止与终止</w:t>
      </w:r>
    </w:p>
    <w:p w14:paraId="526D455A">
      <w:pPr>
        <w:snapToGrid w:val="0"/>
        <w:spacing w:line="360" w:lineRule="auto"/>
        <w:jc w:val="left"/>
        <w:rPr>
          <w:rFonts w:ascii="宋体" w:hAnsi="宋体"/>
          <w:sz w:val="24"/>
          <w:highlight w:val="none"/>
        </w:rPr>
      </w:pPr>
      <w:r>
        <w:rPr>
          <w:rFonts w:hint="eastAsia" w:ascii="宋体" w:hAnsi="宋体"/>
          <w:sz w:val="24"/>
          <w:highlight w:val="none"/>
        </w:rPr>
        <w:t xml:space="preserve">    16.1合同的变更</w:t>
      </w:r>
    </w:p>
    <w:p w14:paraId="517F9CC2">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政府采购合同履行中，在不改变合同其他条款的前提下，甲方可以在合同价款10%的范围内追加与合同标的相同的货物，并就此与乙方协商一致后签订补充协议。</w:t>
      </w:r>
    </w:p>
    <w:p w14:paraId="5D929AAA">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16.2合同的中止</w:t>
      </w:r>
    </w:p>
    <w:p w14:paraId="050306BE">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（1）合同履行过程中因供应商就采购文件、采购过程或结果提起投诉的，甲方认为有必要的，可以中止合同的履行。</w:t>
      </w:r>
    </w:p>
    <w:p w14:paraId="331BE85F">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4B9CAD5A">
      <w:pPr>
        <w:widowControl/>
        <w:autoSpaceDE w:val="0"/>
        <w:autoSpaceDN w:val="0"/>
        <w:spacing w:line="360" w:lineRule="auto"/>
        <w:ind w:firstLine="480" w:firstLineChars="200"/>
        <w:rPr>
          <w:rFonts w:ascii="华文楷体" w:hAnsi="华文楷体" w:eastAsia="华文楷体" w:cs="华文楷体"/>
          <w:kern w:val="0"/>
          <w:sz w:val="24"/>
          <w:highlight w:val="none"/>
        </w:rPr>
      </w:pPr>
      <w:r>
        <w:rPr>
          <w:rFonts w:hint="eastAsia" w:ascii="宋体" w:hAnsi="宋体" w:cs="宋体"/>
          <w:kern w:val="0"/>
          <w:sz w:val="24"/>
          <w:highlight w:val="none"/>
        </w:rPr>
        <w:t>（3）乙方分立、合并或者变更住所的，应当及时以书面形式告知甲方。乙方没有及时告知甲方，致使合同履行发生困难的，甲方可以中止合同履行并要求乙方承担由此给甲方造成的损失。</w:t>
      </w:r>
    </w:p>
    <w:p w14:paraId="55D44668">
      <w:pPr>
        <w:adjustRightInd/>
        <w:snapToGrid w:val="0"/>
        <w:spacing w:line="360" w:lineRule="auto"/>
        <w:ind w:firstLine="480" w:firstLineChars="200"/>
        <w:jc w:val="left"/>
        <w:rPr>
          <w:sz w:val="24"/>
          <w:highlight w:val="none"/>
        </w:rPr>
      </w:pPr>
      <w:r>
        <w:rPr>
          <w:rFonts w:hint="eastAsia" w:ascii="宋体" w:hAnsi="宋体"/>
          <w:sz w:val="24"/>
          <w:highlight w:val="none"/>
        </w:rPr>
        <w:t>（4）甲方不得以行政区划调整、政府换届、机构或者职能调整以及相关责任人更替为由中止合同。</w:t>
      </w:r>
    </w:p>
    <w:p w14:paraId="4363DA75">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16.3合同的终止</w:t>
      </w:r>
    </w:p>
    <w:p w14:paraId="7528F153">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（1）合同因有效期限届满而终止；</w:t>
      </w:r>
    </w:p>
    <w:p w14:paraId="539E35B8">
      <w:pPr>
        <w:adjustRightInd/>
        <w:snapToGrid w:val="0"/>
        <w:spacing w:line="360" w:lineRule="auto"/>
        <w:ind w:firstLine="480" w:firstLineChars="200"/>
        <w:rPr>
          <w:rFonts w:ascii="宋体" w:hAnsi="宋体" w:cs="宋体"/>
          <w:sz w:val="24"/>
          <w:highlight w:val="none"/>
        </w:rPr>
      </w:pPr>
      <w:r>
        <w:rPr>
          <w:rFonts w:hint="eastAsia" w:ascii="宋体" w:hAnsi="宋体"/>
          <w:sz w:val="24"/>
          <w:highlight w:val="none"/>
        </w:rPr>
        <w:t>（2）乙方未按合同约定履行，构成根本性违约的，甲方有权终止合同，</w:t>
      </w:r>
      <w:r>
        <w:rPr>
          <w:rFonts w:hint="eastAsia" w:ascii="宋体" w:hAnsi="宋体" w:cs="宋体"/>
          <w:sz w:val="24"/>
          <w:highlight w:val="none"/>
        </w:rPr>
        <w:t>并追究乙方的违约责任</w:t>
      </w:r>
      <w:r>
        <w:rPr>
          <w:rFonts w:hint="eastAsia" w:ascii="宋体" w:hAnsi="宋体"/>
          <w:sz w:val="24"/>
          <w:highlight w:val="none"/>
        </w:rPr>
        <w:t>。</w:t>
      </w:r>
    </w:p>
    <w:p w14:paraId="44610048">
      <w:pPr>
        <w:widowControl/>
        <w:autoSpaceDE w:val="0"/>
        <w:autoSpaceDN w:val="0"/>
        <w:spacing w:line="360" w:lineRule="auto"/>
        <w:ind w:firstLine="480" w:firstLineChars="200"/>
        <w:jc w:val="left"/>
        <w:rPr>
          <w:rFonts w:ascii="宋体" w:hAnsi="宋体" w:eastAsia="华文楷体" w:cs="华文楷体"/>
          <w:kern w:val="0"/>
          <w:sz w:val="24"/>
          <w:highlight w:val="none"/>
        </w:rPr>
      </w:pPr>
      <w:r>
        <w:rPr>
          <w:rFonts w:hint="eastAsia" w:ascii="宋体" w:hAnsi="宋体" w:eastAsia="华文楷体" w:cs="华文楷体"/>
          <w:kern w:val="0"/>
          <w:sz w:val="24"/>
          <w:highlight w:val="none"/>
        </w:rPr>
        <w:t xml:space="preserve">16.4 </w:t>
      </w:r>
      <w:r>
        <w:rPr>
          <w:rFonts w:hint="eastAsia" w:ascii="宋体" w:hAnsi="宋体"/>
          <w:sz w:val="24"/>
          <w:highlight w:val="none"/>
        </w:rPr>
        <w:t>涉及国家利益、社会公共利益的情形</w:t>
      </w:r>
    </w:p>
    <w:p w14:paraId="35FB2EAE">
      <w:pPr>
        <w:widowControl/>
        <w:autoSpaceDE w:val="0"/>
        <w:autoSpaceDN w:val="0"/>
        <w:spacing w:line="360" w:lineRule="auto"/>
        <w:ind w:firstLine="480" w:firstLineChars="200"/>
        <w:rPr>
          <w:rFonts w:ascii="华文楷体" w:hAnsi="华文楷体" w:eastAsia="华文楷体" w:cs="华文楷体"/>
          <w:kern w:val="0"/>
          <w:sz w:val="24"/>
          <w:highlight w:val="none"/>
        </w:rPr>
      </w:pPr>
      <w:r>
        <w:rPr>
          <w:rFonts w:hint="eastAsia" w:ascii="宋体" w:hAnsi="宋体" w:cs="宋体"/>
          <w:kern w:val="0"/>
          <w:sz w:val="24"/>
          <w:highlight w:val="none"/>
        </w:rPr>
        <w:t>政府采购合同继续履行将损害国家利益和社会公共利益的，双方当事人应当变更、中止或者终止合同。有过错的一方应当承担赔偿责任，双方都有过错的，各自承担相应的责任。</w:t>
      </w:r>
    </w:p>
    <w:p w14:paraId="106E90AB">
      <w:pPr>
        <w:autoSpaceDE w:val="0"/>
        <w:autoSpaceDN w:val="0"/>
        <w:snapToGrid w:val="0"/>
        <w:spacing w:line="360" w:lineRule="auto"/>
        <w:jc w:val="left"/>
        <w:rPr>
          <w:rFonts w:ascii="宋体" w:hAnsi="宋体"/>
          <w:b/>
          <w:bCs/>
          <w:sz w:val="24"/>
          <w:highlight w:val="none"/>
        </w:rPr>
      </w:pPr>
      <w:r>
        <w:rPr>
          <w:rFonts w:hint="eastAsia" w:ascii="宋体" w:hAnsi="宋体"/>
          <w:b/>
          <w:bCs/>
          <w:sz w:val="24"/>
          <w:highlight w:val="none"/>
        </w:rPr>
        <w:t>17. 合同分包</w:t>
      </w:r>
    </w:p>
    <w:p w14:paraId="7CB13504">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17.1 乙方不得将合同转包给其他供应商。涉及合同分包的，乙方应根据采购文件和投标（响应）文件规定进行合同分包。</w:t>
      </w:r>
    </w:p>
    <w:p w14:paraId="043B1EB6">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17.2 乙方执行政府采购政策向中小企业依法分包的，乙方应当按采购文件和投标（响应）文件签订分包意向协议，分包意向协议属于本合同组成部分。</w:t>
      </w:r>
    </w:p>
    <w:p w14:paraId="304EA2D8">
      <w:pPr>
        <w:autoSpaceDE w:val="0"/>
        <w:autoSpaceDN w:val="0"/>
        <w:snapToGrid w:val="0"/>
        <w:spacing w:line="360" w:lineRule="auto"/>
        <w:jc w:val="left"/>
        <w:rPr>
          <w:rFonts w:ascii="宋体" w:hAnsi="宋体"/>
          <w:b/>
          <w:bCs/>
          <w:sz w:val="24"/>
          <w:highlight w:val="none"/>
        </w:rPr>
      </w:pPr>
      <w:r>
        <w:rPr>
          <w:rFonts w:hint="eastAsia" w:ascii="宋体" w:hAnsi="宋体"/>
          <w:b/>
          <w:bCs/>
          <w:sz w:val="24"/>
          <w:highlight w:val="none"/>
        </w:rPr>
        <w:t>18. 不可抗力</w:t>
      </w:r>
    </w:p>
    <w:p w14:paraId="7582FB1C">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18.1 不可抗力是指合同双方不能预见、不能避免且不能克服的客观情况。</w:t>
      </w:r>
    </w:p>
    <w:p w14:paraId="5D9EA322">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18.2 任何一方对由于不可抗力造成的部分或全部不能履行合同不承担违约责任。但迟延履行后发生不可抗力的，不能免除责任。</w:t>
      </w:r>
    </w:p>
    <w:p w14:paraId="14F09A80">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206156D6">
      <w:pPr>
        <w:autoSpaceDE w:val="0"/>
        <w:autoSpaceDN w:val="0"/>
        <w:snapToGrid w:val="0"/>
        <w:spacing w:line="360" w:lineRule="auto"/>
        <w:jc w:val="left"/>
        <w:rPr>
          <w:rFonts w:ascii="宋体" w:hAnsi="宋体"/>
          <w:b/>
          <w:bCs/>
          <w:sz w:val="24"/>
          <w:highlight w:val="none"/>
        </w:rPr>
      </w:pPr>
      <w:r>
        <w:rPr>
          <w:rFonts w:hint="eastAsia" w:ascii="宋体" w:hAnsi="宋体"/>
          <w:b/>
          <w:bCs/>
          <w:sz w:val="24"/>
          <w:highlight w:val="none"/>
        </w:rPr>
        <w:t>19. 解决争议的方法</w:t>
      </w:r>
    </w:p>
    <w:p w14:paraId="57187FC2">
      <w:pPr>
        <w:widowControl/>
        <w:autoSpaceDE w:val="0"/>
        <w:autoSpaceDN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6B9282C8">
      <w:pPr>
        <w:widowControl/>
        <w:autoSpaceDE w:val="0"/>
        <w:autoSpaceDN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19.2 选择仲裁的，应在</w:t>
      </w:r>
      <w:r>
        <w:rPr>
          <w:rFonts w:hint="eastAsia" w:ascii="宋体" w:hAnsi="宋体" w:cs="宋体"/>
          <w:b/>
          <w:bCs/>
          <w:kern w:val="0"/>
          <w:sz w:val="24"/>
          <w:highlight w:val="none"/>
        </w:rPr>
        <w:t>【政府采购合同专用条款】</w:t>
      </w:r>
      <w:r>
        <w:rPr>
          <w:rFonts w:hint="eastAsia" w:ascii="宋体" w:hAnsi="宋体" w:cs="宋体"/>
          <w:kern w:val="0"/>
          <w:sz w:val="24"/>
          <w:highlight w:val="none"/>
        </w:rPr>
        <w:t>中明确仲裁机构及仲裁地；通过诉讼方式解决的，可以在</w:t>
      </w:r>
      <w:r>
        <w:rPr>
          <w:rFonts w:hint="eastAsia" w:ascii="宋体" w:hAnsi="宋体" w:cs="宋体"/>
          <w:b/>
          <w:bCs/>
          <w:kern w:val="0"/>
          <w:sz w:val="24"/>
          <w:highlight w:val="none"/>
        </w:rPr>
        <w:t>【政府采购合同专用条款】</w:t>
      </w:r>
      <w:r>
        <w:rPr>
          <w:rFonts w:hint="eastAsia" w:ascii="宋体" w:hAnsi="宋体" w:cs="宋体"/>
          <w:kern w:val="0"/>
          <w:sz w:val="24"/>
          <w:highlight w:val="none"/>
        </w:rPr>
        <w:t>中进一步约定选择与争议有实际联系的地点的人民法院管辖，但管辖法院的约定不得违反级别管辖和专属管辖的规定。</w:t>
      </w:r>
    </w:p>
    <w:p w14:paraId="4D389DF0">
      <w:pPr>
        <w:widowControl/>
        <w:autoSpaceDE w:val="0"/>
        <w:autoSpaceDN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19.3 如甲乙双方有争议的事项不影响合同其他部分的履行，在争议解决期间，合同其他部分应当继续履行。</w:t>
      </w:r>
    </w:p>
    <w:p w14:paraId="3E5BA400">
      <w:pPr>
        <w:autoSpaceDE w:val="0"/>
        <w:autoSpaceDN w:val="0"/>
        <w:snapToGrid w:val="0"/>
        <w:spacing w:line="360" w:lineRule="auto"/>
        <w:jc w:val="left"/>
        <w:rPr>
          <w:rFonts w:ascii="宋体" w:hAnsi="宋体"/>
          <w:sz w:val="24"/>
          <w:highlight w:val="none"/>
        </w:rPr>
      </w:pPr>
      <w:r>
        <w:rPr>
          <w:rFonts w:hint="eastAsia" w:ascii="宋体" w:hAnsi="宋体"/>
          <w:b/>
          <w:sz w:val="24"/>
          <w:highlight w:val="none"/>
        </w:rPr>
        <w:t>20. 政府采购政策</w:t>
      </w:r>
    </w:p>
    <w:p w14:paraId="4CB7CE89">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 xml:space="preserve">20.1 </w:t>
      </w:r>
      <w:r>
        <w:rPr>
          <w:rFonts w:hint="eastAsia" w:ascii="宋体" w:hAnsi="宋体" w:cs="宋体"/>
          <w:sz w:val="24"/>
          <w:highlight w:val="none"/>
          <w:lang w:val="en-GB"/>
        </w:rPr>
        <w:t>本合同应当按照规定执行政府采购政策。</w:t>
      </w:r>
    </w:p>
    <w:p w14:paraId="6AFE8CC4">
      <w:pPr>
        <w:autoSpaceDE w:val="0"/>
        <w:autoSpaceDN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20.2 本合同依法执行政府采购政策的方式和内容，属于合同履约验收的范围。</w:t>
      </w:r>
      <w:r>
        <w:rPr>
          <w:rFonts w:hint="eastAsia" w:ascii="宋体" w:hAnsi="宋体" w:cs="宋体"/>
          <w:sz w:val="24"/>
          <w:highlight w:val="none"/>
        </w:rPr>
        <w:t>甲乙双方</w:t>
      </w:r>
      <w:r>
        <w:rPr>
          <w:rFonts w:hint="eastAsia" w:ascii="宋体" w:hAnsi="宋体" w:cs="宋体"/>
          <w:sz w:val="24"/>
          <w:highlight w:val="none"/>
          <w:lang w:val="en-GB"/>
        </w:rPr>
        <w:t>未按规定要求执行政府采购政策造成损失的</w:t>
      </w:r>
      <w:r>
        <w:rPr>
          <w:rFonts w:hint="eastAsia" w:ascii="宋体" w:hAnsi="宋体"/>
          <w:sz w:val="24"/>
          <w:highlight w:val="none"/>
        </w:rPr>
        <w:t>，有过错的一方应当承担赔偿责任，双方都有过错的，各自承担相应的责任。</w:t>
      </w:r>
    </w:p>
    <w:p w14:paraId="6383DD56">
      <w:pPr>
        <w:adjustRightInd/>
        <w:spacing w:line="360" w:lineRule="auto"/>
        <w:ind w:firstLine="480" w:firstLineChars="200"/>
        <w:rPr>
          <w:rFonts w:ascii="Calibri" w:hAnsi="Calibri"/>
          <w:sz w:val="24"/>
          <w:highlight w:val="none"/>
        </w:rPr>
      </w:pPr>
      <w:r>
        <w:rPr>
          <w:rFonts w:hint="eastAsia" w:ascii="宋体" w:hAnsi="宋体"/>
          <w:sz w:val="24"/>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633F9DA">
      <w:pPr>
        <w:autoSpaceDE w:val="0"/>
        <w:autoSpaceDN w:val="0"/>
        <w:snapToGrid w:val="0"/>
        <w:spacing w:line="360" w:lineRule="auto"/>
        <w:jc w:val="left"/>
        <w:rPr>
          <w:rFonts w:ascii="宋体" w:hAnsi="宋体"/>
          <w:b/>
          <w:sz w:val="24"/>
          <w:highlight w:val="none"/>
        </w:rPr>
      </w:pPr>
      <w:r>
        <w:rPr>
          <w:rFonts w:hint="eastAsia" w:ascii="宋体" w:hAnsi="宋体"/>
          <w:b/>
          <w:sz w:val="24"/>
          <w:highlight w:val="none"/>
        </w:rPr>
        <w:t>21. 法律适用</w:t>
      </w:r>
    </w:p>
    <w:p w14:paraId="33F5FB9B">
      <w:pPr>
        <w:widowControl/>
        <w:autoSpaceDE w:val="0"/>
        <w:autoSpaceDN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21.1 本合同的订立、生效、解释、履行及与本合同有关的争议解决，均适用法律、行政法规。</w:t>
      </w:r>
    </w:p>
    <w:p w14:paraId="6F8E4B6E">
      <w:pPr>
        <w:widowControl/>
        <w:autoSpaceDE w:val="0"/>
        <w:autoSpaceDN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21.2 本合同条款与法律、行政法规的强制性规定不一致的，双方当事人应按照法律、行政法规的强制性规定修改本合同的相关条款。</w:t>
      </w:r>
    </w:p>
    <w:p w14:paraId="4BD994DE">
      <w:pPr>
        <w:autoSpaceDE w:val="0"/>
        <w:autoSpaceDN w:val="0"/>
        <w:snapToGrid w:val="0"/>
        <w:spacing w:line="360" w:lineRule="auto"/>
        <w:jc w:val="left"/>
        <w:rPr>
          <w:rFonts w:ascii="宋体" w:hAnsi="宋体"/>
          <w:b/>
          <w:sz w:val="24"/>
          <w:highlight w:val="none"/>
        </w:rPr>
      </w:pPr>
      <w:r>
        <w:rPr>
          <w:rFonts w:hint="eastAsia" w:ascii="宋体" w:hAnsi="宋体"/>
          <w:b/>
          <w:sz w:val="24"/>
          <w:highlight w:val="none"/>
        </w:rPr>
        <w:t>22. 通知</w:t>
      </w:r>
    </w:p>
    <w:p w14:paraId="39E9C6DF">
      <w:pPr>
        <w:widowControl/>
        <w:autoSpaceDE w:val="0"/>
        <w:autoSpaceDN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22.1 本合同任何一方向对方发出的通知、信件、数据电文等，应当发送至本合同第一部分《政府采购合同协议书》所约定的通讯地址、联系人、联系电话或电子邮箱。</w:t>
      </w:r>
    </w:p>
    <w:p w14:paraId="6C71DAB3">
      <w:pPr>
        <w:widowControl/>
        <w:autoSpaceDE w:val="0"/>
        <w:autoSpaceDN w:val="0"/>
        <w:spacing w:line="360" w:lineRule="auto"/>
        <w:rPr>
          <w:rFonts w:ascii="华文楷体" w:hAnsi="华文楷体" w:eastAsia="华文楷体" w:cs="华文楷体"/>
          <w:kern w:val="0"/>
          <w:sz w:val="24"/>
          <w:highlight w:val="none"/>
        </w:rPr>
      </w:pPr>
      <w:r>
        <w:rPr>
          <w:rFonts w:hint="eastAsia" w:ascii="宋体" w:hAnsi="宋体" w:cs="宋体"/>
          <w:kern w:val="0"/>
          <w:sz w:val="24"/>
          <w:highlight w:val="none"/>
        </w:rPr>
        <w:t xml:space="preserve">    22.2 一方当事人变更名称、住所、联系人、联系电话或电子邮箱等信息的，应当在变更后3日内及时书面通知对方，对方实际收到变更通知前的送达仍为有效送达。</w:t>
      </w:r>
    </w:p>
    <w:p w14:paraId="64729B34">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22.3本合同一方给另一方的通知均应采用书面形式，传真或快递送到本合同中规定的对方的地址和办理签收手续。</w:t>
      </w:r>
    </w:p>
    <w:p w14:paraId="7CBB96A3">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22.4通知以送达之日或通知书中规定的生效之日起生效，两者中以较迟之日为准。</w:t>
      </w:r>
    </w:p>
    <w:p w14:paraId="721F17EE">
      <w:pPr>
        <w:autoSpaceDE w:val="0"/>
        <w:autoSpaceDN w:val="0"/>
        <w:snapToGrid w:val="0"/>
        <w:spacing w:line="360" w:lineRule="auto"/>
        <w:jc w:val="left"/>
        <w:rPr>
          <w:rFonts w:ascii="宋体" w:hAnsi="宋体"/>
          <w:b/>
          <w:sz w:val="24"/>
          <w:highlight w:val="none"/>
        </w:rPr>
      </w:pPr>
      <w:r>
        <w:rPr>
          <w:rFonts w:hint="eastAsia" w:ascii="宋体" w:hAnsi="宋体"/>
          <w:b/>
          <w:sz w:val="24"/>
          <w:highlight w:val="none"/>
        </w:rPr>
        <w:t>23. 合同未尽事项</w:t>
      </w:r>
    </w:p>
    <w:p w14:paraId="2F86DFC4">
      <w:pPr>
        <w:snapToGrid w:val="0"/>
        <w:spacing w:line="360" w:lineRule="auto"/>
        <w:ind w:firstLine="480" w:firstLineChars="200"/>
        <w:jc w:val="left"/>
        <w:rPr>
          <w:rFonts w:ascii="宋体" w:hAnsi="宋体"/>
          <w:bCs/>
          <w:sz w:val="24"/>
          <w:highlight w:val="none"/>
        </w:rPr>
      </w:pPr>
      <w:r>
        <w:rPr>
          <w:rFonts w:hint="eastAsia" w:ascii="宋体" w:hAnsi="宋体"/>
          <w:bCs/>
          <w:sz w:val="24"/>
          <w:highlight w:val="none"/>
        </w:rPr>
        <w:t>23.1合同未尽事项见</w:t>
      </w:r>
      <w:r>
        <w:rPr>
          <w:rFonts w:hint="eastAsia" w:ascii="宋体" w:hAnsi="宋体"/>
          <w:b/>
          <w:sz w:val="24"/>
          <w:highlight w:val="none"/>
        </w:rPr>
        <w:t>【政府采购合同专用条款】</w:t>
      </w:r>
      <w:r>
        <w:rPr>
          <w:rFonts w:hint="eastAsia" w:ascii="宋体" w:hAnsi="宋体"/>
          <w:bCs/>
          <w:sz w:val="24"/>
          <w:highlight w:val="none"/>
        </w:rPr>
        <w:t>。</w:t>
      </w:r>
    </w:p>
    <w:p w14:paraId="3675E891">
      <w:pPr>
        <w:snapToGrid w:val="0"/>
        <w:spacing w:line="360" w:lineRule="auto"/>
        <w:jc w:val="left"/>
        <w:rPr>
          <w:rFonts w:ascii="黑体" w:hAnsi="华文中宋" w:eastAsia="黑体"/>
          <w:sz w:val="24"/>
          <w:highlight w:val="none"/>
        </w:rPr>
      </w:pPr>
      <w:r>
        <w:rPr>
          <w:rFonts w:hint="eastAsia" w:ascii="宋体" w:hAnsi="宋体"/>
          <w:bCs/>
          <w:sz w:val="24"/>
          <w:highlight w:val="none"/>
        </w:rPr>
        <w:t xml:space="preserve">    23.2 合同附件与合同正文具有同等的法律效力。</w:t>
      </w:r>
      <w:bookmarkStart w:id="423" w:name="_Toc20313"/>
      <w:r>
        <w:rPr>
          <w:rFonts w:hint="eastAsia" w:ascii="黑体" w:hAnsi="华文中宋" w:eastAsia="黑体"/>
          <w:sz w:val="24"/>
          <w:highlight w:val="none"/>
        </w:rPr>
        <w:br w:type="page"/>
      </w:r>
    </w:p>
    <w:p w14:paraId="5E41D92C">
      <w:pPr>
        <w:keepNext/>
        <w:keepLines/>
        <w:snapToGrid w:val="0"/>
        <w:spacing w:line="360" w:lineRule="auto"/>
        <w:jc w:val="center"/>
        <w:outlineLvl w:val="1"/>
        <w:rPr>
          <w:rFonts w:ascii="黑体" w:hAnsi="华文中宋" w:eastAsia="黑体"/>
          <w:sz w:val="24"/>
          <w:highlight w:val="none"/>
        </w:rPr>
      </w:pPr>
      <w:r>
        <w:rPr>
          <w:rFonts w:hint="eastAsia" w:ascii="黑体" w:hAnsi="华文中宋" w:eastAsia="黑体"/>
          <w:sz w:val="24"/>
          <w:highlight w:val="none"/>
        </w:rPr>
        <w:t>第三节 政府采购合同专用条款</w:t>
      </w:r>
      <w:bookmarkEnd w:id="423"/>
    </w:p>
    <w:tbl>
      <w:tblPr>
        <w:tblStyle w:val="62"/>
        <w:tblW w:w="8520"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1"/>
      </w:tblGrid>
      <w:tr w14:paraId="3FFF52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double" w:color="auto" w:sz="4" w:space="0"/>
              <w:left w:val="double" w:color="auto" w:sz="4" w:space="0"/>
              <w:bottom w:val="single" w:color="auto" w:sz="6" w:space="0"/>
              <w:right w:val="single" w:color="auto" w:sz="6" w:space="0"/>
            </w:tcBorders>
            <w:vAlign w:val="center"/>
          </w:tcPr>
          <w:p w14:paraId="1DCDD22A">
            <w:pPr>
              <w:snapToGrid w:val="0"/>
              <w:spacing w:line="360" w:lineRule="auto"/>
              <w:jc w:val="center"/>
              <w:rPr>
                <w:rFonts w:ascii="宋体" w:hAnsi="宋体"/>
                <w:sz w:val="24"/>
                <w:highlight w:val="none"/>
              </w:rPr>
            </w:pPr>
            <w:r>
              <w:rPr>
                <w:rFonts w:hint="eastAsia" w:ascii="宋体" w:hAnsi="宋体"/>
                <w:sz w:val="24"/>
                <w:highlight w:val="none"/>
              </w:rPr>
              <w:t>第二节</w:t>
            </w:r>
          </w:p>
          <w:p w14:paraId="1C2C1A42">
            <w:pPr>
              <w:snapToGrid w:val="0"/>
              <w:spacing w:line="360" w:lineRule="auto"/>
              <w:jc w:val="center"/>
              <w:rPr>
                <w:rFonts w:ascii="宋体" w:hAnsi="宋体"/>
                <w:sz w:val="24"/>
                <w:highlight w:val="none"/>
              </w:rPr>
            </w:pPr>
            <w:r>
              <w:rPr>
                <w:rFonts w:hint="eastAsia" w:ascii="宋体" w:hAnsi="宋体"/>
                <w:sz w:val="24"/>
                <w:highlight w:val="none"/>
              </w:rPr>
              <w:t>第1.2（6）项</w:t>
            </w:r>
          </w:p>
        </w:tc>
        <w:tc>
          <w:tcPr>
            <w:tcW w:w="1742" w:type="dxa"/>
            <w:tcBorders>
              <w:top w:val="double" w:color="auto" w:sz="4" w:space="0"/>
              <w:left w:val="single" w:color="auto" w:sz="6" w:space="0"/>
              <w:bottom w:val="single" w:color="auto" w:sz="6" w:space="0"/>
              <w:right w:val="single" w:color="auto" w:sz="6" w:space="0"/>
            </w:tcBorders>
            <w:vAlign w:val="center"/>
          </w:tcPr>
          <w:p w14:paraId="4D43A710">
            <w:pPr>
              <w:snapToGrid w:val="0"/>
              <w:spacing w:line="360" w:lineRule="auto"/>
              <w:jc w:val="left"/>
              <w:rPr>
                <w:rFonts w:ascii="宋体" w:hAnsi="宋体"/>
                <w:sz w:val="24"/>
                <w:highlight w:val="none"/>
              </w:rPr>
            </w:pPr>
            <w:r>
              <w:rPr>
                <w:rFonts w:hint="eastAsia" w:ascii="宋体" w:hAnsi="宋体"/>
                <w:sz w:val="24"/>
                <w:highlight w:val="none"/>
              </w:rPr>
              <w:t>联合体具体要求</w:t>
            </w:r>
          </w:p>
        </w:tc>
        <w:tc>
          <w:tcPr>
            <w:tcW w:w="5170" w:type="dxa"/>
            <w:tcBorders>
              <w:top w:val="double" w:color="auto" w:sz="4" w:space="0"/>
              <w:left w:val="single" w:color="auto" w:sz="6" w:space="0"/>
              <w:bottom w:val="single" w:color="auto" w:sz="6" w:space="0"/>
              <w:right w:val="double" w:color="auto" w:sz="4" w:space="0"/>
            </w:tcBorders>
            <w:vAlign w:val="center"/>
          </w:tcPr>
          <w:p w14:paraId="7024955A">
            <w:pPr>
              <w:snapToGrid w:val="0"/>
              <w:spacing w:line="360" w:lineRule="auto"/>
              <w:jc w:val="left"/>
              <w:rPr>
                <w:rFonts w:ascii="宋体" w:hAnsi="宋体"/>
                <w:sz w:val="24"/>
                <w:highlight w:val="none"/>
              </w:rPr>
            </w:pPr>
          </w:p>
        </w:tc>
      </w:tr>
      <w:tr w14:paraId="6EE8B4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tcBorders>
              <w:top w:val="single" w:color="auto" w:sz="6" w:space="0"/>
              <w:left w:val="double" w:color="auto" w:sz="4" w:space="0"/>
              <w:bottom w:val="single" w:color="auto" w:sz="6" w:space="0"/>
              <w:right w:val="single" w:color="auto" w:sz="6" w:space="0"/>
            </w:tcBorders>
            <w:vAlign w:val="center"/>
          </w:tcPr>
          <w:p w14:paraId="16735F3C">
            <w:pPr>
              <w:snapToGrid w:val="0"/>
              <w:spacing w:line="360" w:lineRule="auto"/>
              <w:jc w:val="center"/>
              <w:rPr>
                <w:rFonts w:ascii="宋体" w:hAnsi="宋体"/>
                <w:sz w:val="24"/>
                <w:highlight w:val="none"/>
              </w:rPr>
            </w:pPr>
            <w:r>
              <w:rPr>
                <w:rFonts w:hint="eastAsia" w:ascii="宋体" w:hAnsi="宋体"/>
                <w:sz w:val="24"/>
                <w:highlight w:val="none"/>
              </w:rPr>
              <w:t>第二节</w:t>
            </w:r>
          </w:p>
          <w:p w14:paraId="5A7878EE">
            <w:pPr>
              <w:snapToGrid w:val="0"/>
              <w:spacing w:line="360" w:lineRule="auto"/>
              <w:jc w:val="center"/>
              <w:rPr>
                <w:rFonts w:ascii="宋体" w:hAnsi="宋体"/>
                <w:sz w:val="24"/>
                <w:highlight w:val="none"/>
              </w:rPr>
            </w:pPr>
            <w:r>
              <w:rPr>
                <w:rFonts w:hint="eastAsia" w:ascii="宋体" w:hAnsi="宋体"/>
                <w:sz w:val="24"/>
                <w:highlight w:val="none"/>
              </w:rPr>
              <w:t>第1.2（7）项</w:t>
            </w:r>
          </w:p>
        </w:tc>
        <w:tc>
          <w:tcPr>
            <w:tcW w:w="1742" w:type="dxa"/>
            <w:tcBorders>
              <w:top w:val="single" w:color="auto" w:sz="6" w:space="0"/>
              <w:left w:val="single" w:color="auto" w:sz="6" w:space="0"/>
              <w:bottom w:val="single" w:color="auto" w:sz="6" w:space="0"/>
              <w:right w:val="single" w:color="auto" w:sz="6" w:space="0"/>
            </w:tcBorders>
            <w:vAlign w:val="center"/>
          </w:tcPr>
          <w:p w14:paraId="397EEE52">
            <w:pPr>
              <w:snapToGrid w:val="0"/>
              <w:spacing w:line="360" w:lineRule="auto"/>
              <w:jc w:val="left"/>
              <w:rPr>
                <w:rFonts w:ascii="宋体" w:hAnsi="宋体"/>
                <w:sz w:val="24"/>
                <w:highlight w:val="none"/>
              </w:rPr>
            </w:pPr>
            <w:r>
              <w:rPr>
                <w:rFonts w:hint="eastAsia" w:ascii="宋体" w:hAnsi="宋体"/>
                <w:sz w:val="24"/>
                <w:highlight w:val="none"/>
              </w:rPr>
              <w:t>其他术语解释</w:t>
            </w:r>
          </w:p>
        </w:tc>
        <w:tc>
          <w:tcPr>
            <w:tcW w:w="5170" w:type="dxa"/>
            <w:tcBorders>
              <w:top w:val="single" w:color="auto" w:sz="6" w:space="0"/>
              <w:left w:val="single" w:color="auto" w:sz="6" w:space="0"/>
              <w:bottom w:val="single" w:color="auto" w:sz="6" w:space="0"/>
              <w:right w:val="double" w:color="auto" w:sz="4" w:space="0"/>
            </w:tcBorders>
            <w:vAlign w:val="center"/>
          </w:tcPr>
          <w:p w14:paraId="247DD403">
            <w:pPr>
              <w:snapToGrid w:val="0"/>
              <w:spacing w:line="360" w:lineRule="auto"/>
              <w:jc w:val="left"/>
              <w:rPr>
                <w:rFonts w:ascii="宋体" w:hAnsi="宋体"/>
                <w:sz w:val="24"/>
                <w:highlight w:val="none"/>
              </w:rPr>
            </w:pPr>
          </w:p>
        </w:tc>
      </w:tr>
      <w:tr w14:paraId="7B2C3B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22D3B3DF">
            <w:pPr>
              <w:snapToGrid w:val="0"/>
              <w:spacing w:line="360" w:lineRule="auto"/>
              <w:jc w:val="center"/>
              <w:rPr>
                <w:rFonts w:ascii="宋体" w:hAnsi="宋体"/>
                <w:sz w:val="24"/>
                <w:highlight w:val="none"/>
              </w:rPr>
            </w:pPr>
            <w:r>
              <w:rPr>
                <w:rFonts w:hint="eastAsia" w:ascii="宋体" w:hAnsi="宋体"/>
                <w:sz w:val="24"/>
                <w:highlight w:val="none"/>
              </w:rPr>
              <w:t>第二节</w:t>
            </w:r>
          </w:p>
          <w:p w14:paraId="16B92D0E">
            <w:pPr>
              <w:snapToGrid w:val="0"/>
              <w:spacing w:line="360" w:lineRule="auto"/>
              <w:jc w:val="center"/>
              <w:rPr>
                <w:rFonts w:ascii="宋体" w:hAnsi="宋体"/>
                <w:sz w:val="24"/>
                <w:highlight w:val="none"/>
              </w:rPr>
            </w:pPr>
            <w:r>
              <w:rPr>
                <w:rFonts w:hint="eastAsia" w:ascii="宋体" w:hAnsi="宋体"/>
                <w:sz w:val="24"/>
                <w:highlight w:val="none"/>
              </w:rPr>
              <w:t>第4.4款</w:t>
            </w:r>
          </w:p>
        </w:tc>
        <w:tc>
          <w:tcPr>
            <w:tcW w:w="1742" w:type="dxa"/>
            <w:tcBorders>
              <w:top w:val="single" w:color="auto" w:sz="6" w:space="0"/>
              <w:left w:val="single" w:color="auto" w:sz="6" w:space="0"/>
              <w:bottom w:val="single" w:color="auto" w:sz="6" w:space="0"/>
              <w:right w:val="single" w:color="auto" w:sz="6" w:space="0"/>
            </w:tcBorders>
            <w:vAlign w:val="center"/>
          </w:tcPr>
          <w:p w14:paraId="097A2C5D">
            <w:pPr>
              <w:snapToGrid w:val="0"/>
              <w:spacing w:line="360" w:lineRule="auto"/>
              <w:jc w:val="left"/>
              <w:rPr>
                <w:rFonts w:ascii="宋体" w:hAnsi="宋体"/>
                <w:sz w:val="24"/>
                <w:highlight w:val="none"/>
              </w:rPr>
            </w:pPr>
            <w:r>
              <w:rPr>
                <w:rFonts w:hint="eastAsia" w:ascii="宋体" w:hAnsi="宋体"/>
                <w:sz w:val="24"/>
                <w:highlight w:val="none"/>
              </w:rPr>
              <w:t>履约验收中甲方提出异议或作出说明的期限</w:t>
            </w:r>
          </w:p>
        </w:tc>
        <w:tc>
          <w:tcPr>
            <w:tcW w:w="5170" w:type="dxa"/>
            <w:tcBorders>
              <w:top w:val="single" w:color="auto" w:sz="6" w:space="0"/>
              <w:left w:val="single" w:color="auto" w:sz="6" w:space="0"/>
              <w:bottom w:val="single" w:color="auto" w:sz="6" w:space="0"/>
              <w:right w:val="double" w:color="auto" w:sz="4" w:space="0"/>
            </w:tcBorders>
            <w:vAlign w:val="center"/>
          </w:tcPr>
          <w:p w14:paraId="6E5B4931">
            <w:pPr>
              <w:snapToGrid w:val="0"/>
              <w:spacing w:line="360" w:lineRule="auto"/>
              <w:jc w:val="left"/>
              <w:rPr>
                <w:rFonts w:ascii="宋体" w:hAnsi="宋体"/>
                <w:sz w:val="24"/>
                <w:highlight w:val="none"/>
              </w:rPr>
            </w:pPr>
          </w:p>
        </w:tc>
      </w:tr>
      <w:tr w14:paraId="4FEF09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57E168DE">
            <w:pPr>
              <w:snapToGrid w:val="0"/>
              <w:spacing w:line="360" w:lineRule="auto"/>
              <w:jc w:val="center"/>
              <w:rPr>
                <w:rFonts w:ascii="宋体" w:hAnsi="宋体"/>
                <w:sz w:val="24"/>
                <w:highlight w:val="none"/>
              </w:rPr>
            </w:pPr>
            <w:r>
              <w:rPr>
                <w:rFonts w:hint="eastAsia" w:ascii="宋体" w:hAnsi="宋体"/>
                <w:sz w:val="24"/>
                <w:highlight w:val="none"/>
              </w:rPr>
              <w:t>第二节</w:t>
            </w:r>
          </w:p>
          <w:p w14:paraId="3E2CC563">
            <w:pPr>
              <w:snapToGrid w:val="0"/>
              <w:spacing w:line="360" w:lineRule="auto"/>
              <w:jc w:val="center"/>
              <w:rPr>
                <w:rFonts w:ascii="宋体" w:hAnsi="宋体"/>
                <w:sz w:val="24"/>
                <w:highlight w:val="none"/>
              </w:rPr>
            </w:pPr>
            <w:r>
              <w:rPr>
                <w:rFonts w:hint="eastAsia" w:ascii="宋体" w:hAnsi="宋体"/>
                <w:sz w:val="24"/>
                <w:highlight w:val="none"/>
              </w:rPr>
              <w:t>第4.6款</w:t>
            </w:r>
          </w:p>
        </w:tc>
        <w:tc>
          <w:tcPr>
            <w:tcW w:w="1742" w:type="dxa"/>
            <w:tcBorders>
              <w:top w:val="single" w:color="auto" w:sz="6" w:space="0"/>
              <w:left w:val="single" w:color="auto" w:sz="6" w:space="0"/>
              <w:bottom w:val="single" w:color="auto" w:sz="6" w:space="0"/>
              <w:right w:val="single" w:color="auto" w:sz="6" w:space="0"/>
            </w:tcBorders>
            <w:vAlign w:val="center"/>
          </w:tcPr>
          <w:p w14:paraId="79B1133D">
            <w:pPr>
              <w:snapToGrid w:val="0"/>
              <w:spacing w:line="360" w:lineRule="auto"/>
              <w:jc w:val="left"/>
              <w:rPr>
                <w:rFonts w:ascii="宋体" w:hAnsi="宋体"/>
                <w:sz w:val="24"/>
                <w:highlight w:val="none"/>
              </w:rPr>
            </w:pPr>
            <w:r>
              <w:rPr>
                <w:rFonts w:hint="eastAsia" w:ascii="宋体" w:hAnsi="宋体"/>
                <w:sz w:val="24"/>
                <w:highlight w:val="none"/>
              </w:rPr>
              <w:t>约定甲方承担的其他义务和责任</w:t>
            </w:r>
          </w:p>
        </w:tc>
        <w:tc>
          <w:tcPr>
            <w:tcW w:w="5170" w:type="dxa"/>
            <w:tcBorders>
              <w:top w:val="single" w:color="auto" w:sz="6" w:space="0"/>
              <w:left w:val="single" w:color="auto" w:sz="6" w:space="0"/>
              <w:bottom w:val="single" w:color="auto" w:sz="6" w:space="0"/>
              <w:right w:val="double" w:color="auto" w:sz="4" w:space="0"/>
            </w:tcBorders>
            <w:vAlign w:val="center"/>
          </w:tcPr>
          <w:p w14:paraId="2DFC1774">
            <w:pPr>
              <w:snapToGrid w:val="0"/>
              <w:spacing w:line="360" w:lineRule="auto"/>
              <w:jc w:val="left"/>
              <w:rPr>
                <w:rFonts w:ascii="宋体" w:hAnsi="宋体"/>
                <w:sz w:val="24"/>
                <w:highlight w:val="none"/>
              </w:rPr>
            </w:pPr>
          </w:p>
        </w:tc>
      </w:tr>
      <w:tr w14:paraId="469C3F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7005B86F">
            <w:pPr>
              <w:snapToGrid w:val="0"/>
              <w:spacing w:line="360" w:lineRule="auto"/>
              <w:jc w:val="center"/>
              <w:rPr>
                <w:rFonts w:ascii="宋体" w:hAnsi="宋体"/>
                <w:sz w:val="24"/>
                <w:highlight w:val="none"/>
              </w:rPr>
            </w:pPr>
            <w:r>
              <w:rPr>
                <w:rFonts w:hint="eastAsia" w:ascii="宋体" w:hAnsi="宋体"/>
                <w:sz w:val="24"/>
                <w:highlight w:val="none"/>
              </w:rPr>
              <w:t>第二节</w:t>
            </w:r>
          </w:p>
          <w:p w14:paraId="21629354">
            <w:pPr>
              <w:adjustRightInd/>
              <w:snapToGrid w:val="0"/>
              <w:spacing w:line="360" w:lineRule="auto"/>
              <w:jc w:val="center"/>
              <w:rPr>
                <w:rFonts w:ascii="Calibri" w:hAnsi="Calibri"/>
                <w:sz w:val="24"/>
                <w:highlight w:val="none"/>
              </w:rPr>
            </w:pPr>
            <w:r>
              <w:rPr>
                <w:rFonts w:hint="eastAsia" w:ascii="宋体" w:hAnsi="宋体"/>
                <w:sz w:val="24"/>
                <w:highlight w:val="none"/>
              </w:rPr>
              <w:t>第5.4款</w:t>
            </w:r>
          </w:p>
        </w:tc>
        <w:tc>
          <w:tcPr>
            <w:tcW w:w="1742" w:type="dxa"/>
            <w:tcBorders>
              <w:top w:val="single" w:color="auto" w:sz="6" w:space="0"/>
              <w:left w:val="single" w:color="auto" w:sz="6" w:space="0"/>
              <w:bottom w:val="single" w:color="auto" w:sz="6" w:space="0"/>
              <w:right w:val="single" w:color="auto" w:sz="6" w:space="0"/>
            </w:tcBorders>
            <w:vAlign w:val="center"/>
          </w:tcPr>
          <w:p w14:paraId="3F34ED32">
            <w:pPr>
              <w:snapToGrid w:val="0"/>
              <w:spacing w:line="360" w:lineRule="auto"/>
              <w:jc w:val="left"/>
              <w:rPr>
                <w:rFonts w:ascii="宋体" w:hAnsi="宋体"/>
                <w:sz w:val="24"/>
                <w:highlight w:val="none"/>
              </w:rPr>
            </w:pPr>
            <w:r>
              <w:rPr>
                <w:rFonts w:hint="eastAsia" w:ascii="宋体" w:hAnsi="宋体"/>
                <w:sz w:val="24"/>
                <w:highlight w:val="none"/>
              </w:rPr>
              <w:t>约定乙方承担的其他义务和责任</w:t>
            </w:r>
          </w:p>
        </w:tc>
        <w:tc>
          <w:tcPr>
            <w:tcW w:w="5170" w:type="dxa"/>
            <w:tcBorders>
              <w:top w:val="single" w:color="auto" w:sz="6" w:space="0"/>
              <w:left w:val="single" w:color="auto" w:sz="6" w:space="0"/>
              <w:bottom w:val="single" w:color="auto" w:sz="6" w:space="0"/>
              <w:right w:val="double" w:color="auto" w:sz="4" w:space="0"/>
            </w:tcBorders>
            <w:vAlign w:val="center"/>
          </w:tcPr>
          <w:p w14:paraId="3784279F">
            <w:pPr>
              <w:snapToGrid w:val="0"/>
              <w:spacing w:line="360" w:lineRule="auto"/>
              <w:jc w:val="left"/>
              <w:rPr>
                <w:rFonts w:ascii="宋体" w:hAnsi="宋体"/>
                <w:sz w:val="24"/>
                <w:highlight w:val="none"/>
              </w:rPr>
            </w:pPr>
          </w:p>
        </w:tc>
      </w:tr>
      <w:tr w14:paraId="7EDE41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33A57848">
            <w:pPr>
              <w:snapToGrid w:val="0"/>
              <w:spacing w:line="360" w:lineRule="auto"/>
              <w:jc w:val="center"/>
              <w:rPr>
                <w:rFonts w:ascii="宋体" w:hAnsi="宋体"/>
                <w:sz w:val="24"/>
                <w:highlight w:val="none"/>
              </w:rPr>
            </w:pPr>
            <w:r>
              <w:rPr>
                <w:rFonts w:hint="eastAsia" w:ascii="宋体" w:hAnsi="宋体"/>
                <w:sz w:val="24"/>
                <w:highlight w:val="none"/>
              </w:rPr>
              <w:t>第二节</w:t>
            </w:r>
          </w:p>
          <w:p w14:paraId="5F6D46C7">
            <w:pPr>
              <w:adjustRightInd/>
              <w:snapToGrid w:val="0"/>
              <w:spacing w:line="360" w:lineRule="auto"/>
              <w:jc w:val="center"/>
              <w:rPr>
                <w:rFonts w:ascii="宋体" w:hAnsi="宋体"/>
                <w:sz w:val="24"/>
                <w:highlight w:val="none"/>
              </w:rPr>
            </w:pPr>
            <w:r>
              <w:rPr>
                <w:rFonts w:hint="eastAsia" w:ascii="宋体" w:hAnsi="宋体"/>
                <w:sz w:val="24"/>
                <w:highlight w:val="none"/>
              </w:rPr>
              <w:t>第6.1款</w:t>
            </w:r>
          </w:p>
        </w:tc>
        <w:tc>
          <w:tcPr>
            <w:tcW w:w="1742" w:type="dxa"/>
            <w:tcBorders>
              <w:top w:val="single" w:color="auto" w:sz="6" w:space="0"/>
              <w:left w:val="single" w:color="auto" w:sz="6" w:space="0"/>
              <w:bottom w:val="single" w:color="auto" w:sz="6" w:space="0"/>
              <w:right w:val="single" w:color="auto" w:sz="6" w:space="0"/>
            </w:tcBorders>
            <w:vAlign w:val="center"/>
          </w:tcPr>
          <w:p w14:paraId="41F8E908">
            <w:pPr>
              <w:snapToGrid w:val="0"/>
              <w:spacing w:line="360" w:lineRule="auto"/>
              <w:jc w:val="left"/>
              <w:rPr>
                <w:rFonts w:ascii="宋体" w:hAnsi="宋体"/>
                <w:sz w:val="24"/>
                <w:highlight w:val="none"/>
              </w:rPr>
            </w:pPr>
            <w:r>
              <w:rPr>
                <w:rFonts w:hint="eastAsia" w:ascii="宋体" w:hAnsi="宋体"/>
                <w:sz w:val="24"/>
                <w:highlight w:val="none"/>
              </w:rPr>
              <w:t>履行合同义务的顺序</w:t>
            </w:r>
          </w:p>
        </w:tc>
        <w:tc>
          <w:tcPr>
            <w:tcW w:w="5170" w:type="dxa"/>
            <w:tcBorders>
              <w:top w:val="single" w:color="auto" w:sz="6" w:space="0"/>
              <w:left w:val="single" w:color="auto" w:sz="6" w:space="0"/>
              <w:bottom w:val="single" w:color="auto" w:sz="6" w:space="0"/>
              <w:right w:val="double" w:color="auto" w:sz="4" w:space="0"/>
            </w:tcBorders>
            <w:vAlign w:val="center"/>
          </w:tcPr>
          <w:p w14:paraId="68C8532F">
            <w:pPr>
              <w:snapToGrid w:val="0"/>
              <w:spacing w:line="360" w:lineRule="auto"/>
              <w:jc w:val="left"/>
              <w:rPr>
                <w:rFonts w:ascii="宋体" w:hAnsi="宋体"/>
                <w:sz w:val="24"/>
                <w:highlight w:val="none"/>
              </w:rPr>
            </w:pPr>
          </w:p>
        </w:tc>
      </w:tr>
      <w:tr w14:paraId="44D848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tcBorders>
              <w:top w:val="single" w:color="auto" w:sz="6" w:space="0"/>
              <w:left w:val="double" w:color="auto" w:sz="4" w:space="0"/>
              <w:bottom w:val="single" w:color="auto" w:sz="6" w:space="0"/>
              <w:right w:val="single" w:color="auto" w:sz="6" w:space="0"/>
            </w:tcBorders>
            <w:vAlign w:val="center"/>
          </w:tcPr>
          <w:p w14:paraId="1CF4606D">
            <w:pPr>
              <w:snapToGrid w:val="0"/>
              <w:spacing w:line="360" w:lineRule="auto"/>
              <w:jc w:val="center"/>
              <w:rPr>
                <w:rFonts w:ascii="宋体" w:hAnsi="宋体"/>
                <w:sz w:val="24"/>
                <w:highlight w:val="none"/>
              </w:rPr>
            </w:pPr>
            <w:r>
              <w:rPr>
                <w:rFonts w:hint="eastAsia" w:ascii="宋体" w:hAnsi="宋体"/>
                <w:sz w:val="24"/>
                <w:highlight w:val="none"/>
              </w:rPr>
              <w:t>第二节</w:t>
            </w:r>
          </w:p>
          <w:p w14:paraId="274687A1">
            <w:pPr>
              <w:snapToGrid w:val="0"/>
              <w:spacing w:line="360" w:lineRule="auto"/>
              <w:jc w:val="center"/>
              <w:rPr>
                <w:rFonts w:ascii="宋体" w:hAnsi="宋体"/>
                <w:sz w:val="24"/>
                <w:highlight w:val="none"/>
              </w:rPr>
            </w:pPr>
            <w:r>
              <w:rPr>
                <w:rFonts w:hint="eastAsia" w:ascii="宋体" w:hAnsi="宋体"/>
                <w:sz w:val="24"/>
                <w:highlight w:val="none"/>
              </w:rPr>
              <w:t>第7.1款</w:t>
            </w:r>
          </w:p>
        </w:tc>
        <w:tc>
          <w:tcPr>
            <w:tcW w:w="1742" w:type="dxa"/>
            <w:tcBorders>
              <w:top w:val="single" w:color="auto" w:sz="6" w:space="0"/>
              <w:left w:val="single" w:color="auto" w:sz="6" w:space="0"/>
              <w:bottom w:val="single" w:color="auto" w:sz="6" w:space="0"/>
              <w:right w:val="single" w:color="auto" w:sz="6" w:space="0"/>
            </w:tcBorders>
            <w:vAlign w:val="center"/>
          </w:tcPr>
          <w:p w14:paraId="60D2FD77">
            <w:pPr>
              <w:snapToGrid w:val="0"/>
              <w:spacing w:line="360" w:lineRule="auto"/>
              <w:jc w:val="left"/>
              <w:rPr>
                <w:rFonts w:ascii="宋体" w:hAnsi="宋体"/>
                <w:sz w:val="24"/>
                <w:highlight w:val="none"/>
              </w:rPr>
            </w:pPr>
            <w:r>
              <w:rPr>
                <w:rFonts w:hint="eastAsia" w:ascii="宋体" w:hAnsi="宋体"/>
                <w:sz w:val="24"/>
                <w:highlight w:val="none"/>
              </w:rPr>
              <w:t>包装特殊要求</w:t>
            </w:r>
          </w:p>
        </w:tc>
        <w:tc>
          <w:tcPr>
            <w:tcW w:w="5170" w:type="dxa"/>
            <w:tcBorders>
              <w:top w:val="single" w:color="auto" w:sz="6" w:space="0"/>
              <w:left w:val="single" w:color="auto" w:sz="6" w:space="0"/>
              <w:bottom w:val="single" w:color="auto" w:sz="6" w:space="0"/>
              <w:right w:val="double" w:color="auto" w:sz="4" w:space="0"/>
            </w:tcBorders>
            <w:vAlign w:val="center"/>
          </w:tcPr>
          <w:p w14:paraId="2597FEDD">
            <w:pPr>
              <w:adjustRightInd/>
              <w:spacing w:line="360" w:lineRule="auto"/>
              <w:rPr>
                <w:rFonts w:ascii="Calibri" w:hAnsi="Calibri"/>
                <w:sz w:val="24"/>
                <w:highlight w:val="none"/>
              </w:rPr>
            </w:pPr>
          </w:p>
        </w:tc>
      </w:tr>
      <w:tr w14:paraId="5E50BE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tcBorders>
              <w:top w:val="single" w:color="auto" w:sz="6" w:space="0"/>
              <w:left w:val="double" w:color="auto" w:sz="4" w:space="0"/>
              <w:bottom w:val="single" w:color="auto" w:sz="6" w:space="0"/>
              <w:right w:val="single" w:color="auto" w:sz="6" w:space="0"/>
            </w:tcBorders>
            <w:vAlign w:val="center"/>
          </w:tcPr>
          <w:p w14:paraId="31009D35">
            <w:pPr>
              <w:widowControl/>
              <w:adjustRightInd/>
              <w:spacing w:line="360" w:lineRule="auto"/>
              <w:jc w:val="left"/>
              <w:rPr>
                <w:rFonts w:ascii="宋体" w:hAnsi="宋体"/>
                <w:sz w:val="24"/>
                <w:highlight w:val="none"/>
              </w:rPr>
            </w:pPr>
          </w:p>
        </w:tc>
        <w:tc>
          <w:tcPr>
            <w:tcW w:w="1742" w:type="dxa"/>
            <w:tcBorders>
              <w:top w:val="single" w:color="auto" w:sz="6" w:space="0"/>
              <w:left w:val="single" w:color="auto" w:sz="6" w:space="0"/>
              <w:bottom w:val="single" w:color="auto" w:sz="6" w:space="0"/>
              <w:right w:val="single" w:color="auto" w:sz="6" w:space="0"/>
            </w:tcBorders>
            <w:vAlign w:val="center"/>
          </w:tcPr>
          <w:p w14:paraId="1288ED0B">
            <w:pPr>
              <w:snapToGrid w:val="0"/>
              <w:spacing w:line="360" w:lineRule="auto"/>
              <w:jc w:val="left"/>
              <w:rPr>
                <w:rFonts w:ascii="宋体" w:hAnsi="宋体"/>
                <w:sz w:val="24"/>
                <w:highlight w:val="none"/>
              </w:rPr>
            </w:pPr>
            <w:r>
              <w:rPr>
                <w:rFonts w:hint="eastAsia" w:ascii="宋体" w:hAnsi="宋体"/>
                <w:sz w:val="24"/>
                <w:highlight w:val="none"/>
              </w:rPr>
              <w:t>指定现场</w:t>
            </w:r>
          </w:p>
        </w:tc>
        <w:tc>
          <w:tcPr>
            <w:tcW w:w="5170" w:type="dxa"/>
            <w:tcBorders>
              <w:top w:val="single" w:color="auto" w:sz="6" w:space="0"/>
              <w:left w:val="single" w:color="auto" w:sz="6" w:space="0"/>
              <w:bottom w:val="single" w:color="auto" w:sz="6" w:space="0"/>
              <w:right w:val="double" w:color="auto" w:sz="4" w:space="0"/>
            </w:tcBorders>
            <w:vAlign w:val="center"/>
          </w:tcPr>
          <w:p w14:paraId="64903E07">
            <w:pPr>
              <w:adjustRightInd/>
              <w:spacing w:line="360" w:lineRule="auto"/>
              <w:rPr>
                <w:rFonts w:ascii="Calibri" w:hAnsi="Calibri"/>
                <w:sz w:val="24"/>
                <w:highlight w:val="none"/>
              </w:rPr>
            </w:pPr>
          </w:p>
        </w:tc>
      </w:tr>
      <w:tr w14:paraId="789278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tcBorders>
              <w:top w:val="single" w:color="auto" w:sz="6" w:space="0"/>
              <w:left w:val="double" w:color="auto" w:sz="4" w:space="0"/>
              <w:bottom w:val="single" w:color="auto" w:sz="6" w:space="0"/>
              <w:right w:val="single" w:color="auto" w:sz="6" w:space="0"/>
            </w:tcBorders>
            <w:vAlign w:val="center"/>
          </w:tcPr>
          <w:p w14:paraId="61CADAE1">
            <w:pPr>
              <w:snapToGrid w:val="0"/>
              <w:spacing w:line="360" w:lineRule="auto"/>
              <w:jc w:val="center"/>
              <w:rPr>
                <w:rFonts w:ascii="宋体" w:hAnsi="宋体"/>
                <w:sz w:val="24"/>
                <w:highlight w:val="none"/>
              </w:rPr>
            </w:pPr>
            <w:r>
              <w:rPr>
                <w:rFonts w:hint="eastAsia" w:ascii="宋体" w:hAnsi="宋体"/>
                <w:sz w:val="24"/>
                <w:highlight w:val="none"/>
              </w:rPr>
              <w:t>第二节</w:t>
            </w:r>
          </w:p>
          <w:p w14:paraId="344E43F1">
            <w:pPr>
              <w:snapToGrid w:val="0"/>
              <w:spacing w:line="360" w:lineRule="auto"/>
              <w:jc w:val="center"/>
              <w:rPr>
                <w:rFonts w:ascii="宋体" w:hAnsi="宋体"/>
                <w:sz w:val="24"/>
                <w:highlight w:val="none"/>
              </w:rPr>
            </w:pPr>
            <w:r>
              <w:rPr>
                <w:rFonts w:hint="eastAsia" w:ascii="宋体" w:hAnsi="宋体"/>
                <w:sz w:val="24"/>
                <w:highlight w:val="none"/>
              </w:rPr>
              <w:t>第7.2款</w:t>
            </w:r>
          </w:p>
        </w:tc>
        <w:tc>
          <w:tcPr>
            <w:tcW w:w="1742" w:type="dxa"/>
            <w:tcBorders>
              <w:top w:val="single" w:color="auto" w:sz="6" w:space="0"/>
              <w:left w:val="single" w:color="auto" w:sz="6" w:space="0"/>
              <w:bottom w:val="single" w:color="auto" w:sz="6" w:space="0"/>
              <w:right w:val="single" w:color="auto" w:sz="6" w:space="0"/>
            </w:tcBorders>
            <w:vAlign w:val="center"/>
          </w:tcPr>
          <w:p w14:paraId="21AEFA06">
            <w:pPr>
              <w:snapToGrid w:val="0"/>
              <w:spacing w:line="360" w:lineRule="auto"/>
              <w:jc w:val="left"/>
              <w:rPr>
                <w:rFonts w:ascii="宋体" w:hAnsi="宋体"/>
                <w:sz w:val="24"/>
                <w:highlight w:val="none"/>
              </w:rPr>
            </w:pPr>
            <w:r>
              <w:rPr>
                <w:rFonts w:hint="eastAsia" w:ascii="宋体" w:hAnsi="宋体"/>
                <w:sz w:val="24"/>
                <w:highlight w:val="none"/>
              </w:rPr>
              <w:t>运输特殊要求</w:t>
            </w:r>
          </w:p>
        </w:tc>
        <w:tc>
          <w:tcPr>
            <w:tcW w:w="5170" w:type="dxa"/>
            <w:tcBorders>
              <w:top w:val="single" w:color="auto" w:sz="6" w:space="0"/>
              <w:left w:val="single" w:color="auto" w:sz="6" w:space="0"/>
              <w:bottom w:val="single" w:color="auto" w:sz="6" w:space="0"/>
              <w:right w:val="double" w:color="auto" w:sz="4" w:space="0"/>
            </w:tcBorders>
            <w:vAlign w:val="center"/>
          </w:tcPr>
          <w:p w14:paraId="2FFDC54B">
            <w:pPr>
              <w:adjustRightInd/>
              <w:spacing w:line="360" w:lineRule="auto"/>
              <w:rPr>
                <w:rFonts w:ascii="Calibri" w:hAnsi="Calibri"/>
                <w:sz w:val="24"/>
                <w:highlight w:val="none"/>
              </w:rPr>
            </w:pPr>
          </w:p>
        </w:tc>
      </w:tr>
      <w:tr w14:paraId="05D776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tcBorders>
              <w:top w:val="single" w:color="auto" w:sz="6" w:space="0"/>
              <w:left w:val="double" w:color="auto" w:sz="4" w:space="0"/>
              <w:bottom w:val="single" w:color="auto" w:sz="6" w:space="0"/>
              <w:right w:val="single" w:color="auto" w:sz="6" w:space="0"/>
            </w:tcBorders>
            <w:vAlign w:val="center"/>
          </w:tcPr>
          <w:p w14:paraId="2F594160">
            <w:pPr>
              <w:snapToGrid w:val="0"/>
              <w:spacing w:line="360" w:lineRule="auto"/>
              <w:jc w:val="center"/>
              <w:rPr>
                <w:rFonts w:ascii="宋体" w:hAnsi="宋体"/>
                <w:sz w:val="24"/>
                <w:highlight w:val="none"/>
              </w:rPr>
            </w:pPr>
            <w:r>
              <w:rPr>
                <w:rFonts w:hint="eastAsia" w:ascii="宋体" w:hAnsi="宋体"/>
                <w:sz w:val="24"/>
                <w:highlight w:val="none"/>
              </w:rPr>
              <w:t>第二节</w:t>
            </w:r>
          </w:p>
          <w:p w14:paraId="2347A412">
            <w:pPr>
              <w:snapToGrid w:val="0"/>
              <w:spacing w:line="360" w:lineRule="auto"/>
              <w:jc w:val="center"/>
              <w:rPr>
                <w:rFonts w:ascii="宋体" w:hAnsi="宋体"/>
                <w:sz w:val="24"/>
                <w:highlight w:val="none"/>
              </w:rPr>
            </w:pPr>
            <w:r>
              <w:rPr>
                <w:rFonts w:hint="eastAsia" w:ascii="宋体" w:hAnsi="宋体"/>
                <w:sz w:val="24"/>
                <w:highlight w:val="none"/>
              </w:rPr>
              <w:t>第7.3款</w:t>
            </w:r>
          </w:p>
        </w:tc>
        <w:tc>
          <w:tcPr>
            <w:tcW w:w="1742" w:type="dxa"/>
            <w:tcBorders>
              <w:top w:val="single" w:color="auto" w:sz="6" w:space="0"/>
              <w:left w:val="single" w:color="auto" w:sz="6" w:space="0"/>
              <w:bottom w:val="single" w:color="auto" w:sz="6" w:space="0"/>
              <w:right w:val="single" w:color="auto" w:sz="6" w:space="0"/>
            </w:tcBorders>
            <w:vAlign w:val="center"/>
          </w:tcPr>
          <w:p w14:paraId="4D2C3633">
            <w:pPr>
              <w:snapToGrid w:val="0"/>
              <w:spacing w:line="360" w:lineRule="auto"/>
              <w:jc w:val="left"/>
              <w:rPr>
                <w:rFonts w:ascii="宋体" w:hAnsi="宋体"/>
                <w:sz w:val="24"/>
                <w:highlight w:val="none"/>
              </w:rPr>
            </w:pPr>
            <w:r>
              <w:rPr>
                <w:rFonts w:hint="eastAsia" w:ascii="宋体" w:hAnsi="宋体"/>
                <w:sz w:val="24"/>
                <w:highlight w:val="none"/>
              </w:rPr>
              <w:t>保险要求</w:t>
            </w:r>
          </w:p>
        </w:tc>
        <w:tc>
          <w:tcPr>
            <w:tcW w:w="5170" w:type="dxa"/>
            <w:tcBorders>
              <w:top w:val="single" w:color="auto" w:sz="6" w:space="0"/>
              <w:left w:val="single" w:color="auto" w:sz="6" w:space="0"/>
              <w:bottom w:val="single" w:color="auto" w:sz="6" w:space="0"/>
              <w:right w:val="double" w:color="auto" w:sz="4" w:space="0"/>
            </w:tcBorders>
            <w:vAlign w:val="center"/>
          </w:tcPr>
          <w:p w14:paraId="33AD2B5A">
            <w:pPr>
              <w:adjustRightInd/>
              <w:spacing w:line="360" w:lineRule="auto"/>
              <w:rPr>
                <w:rFonts w:ascii="Calibri" w:hAnsi="Calibri"/>
                <w:sz w:val="24"/>
                <w:highlight w:val="none"/>
              </w:rPr>
            </w:pPr>
          </w:p>
        </w:tc>
      </w:tr>
      <w:tr w14:paraId="72ACEF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64B583C8">
            <w:pPr>
              <w:snapToGrid w:val="0"/>
              <w:spacing w:line="360" w:lineRule="auto"/>
              <w:jc w:val="center"/>
              <w:rPr>
                <w:rFonts w:ascii="宋体" w:hAnsi="宋体"/>
                <w:sz w:val="24"/>
                <w:highlight w:val="none"/>
              </w:rPr>
            </w:pPr>
            <w:r>
              <w:rPr>
                <w:rFonts w:hint="eastAsia" w:ascii="宋体" w:hAnsi="宋体"/>
                <w:sz w:val="24"/>
                <w:highlight w:val="none"/>
              </w:rPr>
              <w:t>第二节</w:t>
            </w:r>
          </w:p>
          <w:p w14:paraId="1851A7FE">
            <w:pPr>
              <w:snapToGrid w:val="0"/>
              <w:spacing w:line="360" w:lineRule="auto"/>
              <w:jc w:val="center"/>
              <w:rPr>
                <w:rFonts w:ascii="宋体" w:hAnsi="宋体"/>
                <w:sz w:val="24"/>
                <w:highlight w:val="none"/>
              </w:rPr>
            </w:pPr>
            <w:r>
              <w:rPr>
                <w:rFonts w:hint="eastAsia" w:ascii="宋体" w:hAnsi="宋体"/>
                <w:sz w:val="24"/>
                <w:highlight w:val="none"/>
              </w:rPr>
              <w:t>第8.2（1）项</w:t>
            </w:r>
          </w:p>
        </w:tc>
        <w:tc>
          <w:tcPr>
            <w:tcW w:w="1742" w:type="dxa"/>
            <w:tcBorders>
              <w:top w:val="single" w:color="auto" w:sz="6" w:space="0"/>
              <w:left w:val="single" w:color="auto" w:sz="6" w:space="0"/>
              <w:bottom w:val="single" w:color="auto" w:sz="6" w:space="0"/>
              <w:right w:val="single" w:color="auto" w:sz="6" w:space="0"/>
            </w:tcBorders>
            <w:vAlign w:val="center"/>
          </w:tcPr>
          <w:p w14:paraId="1ABB73FD">
            <w:pPr>
              <w:snapToGrid w:val="0"/>
              <w:spacing w:line="360" w:lineRule="auto"/>
              <w:jc w:val="left"/>
              <w:rPr>
                <w:rFonts w:ascii="宋体" w:hAnsi="宋体"/>
                <w:sz w:val="24"/>
                <w:highlight w:val="none"/>
              </w:rPr>
            </w:pPr>
            <w:r>
              <w:rPr>
                <w:rFonts w:hint="eastAsia" w:ascii="宋体" w:hAnsi="宋体"/>
                <w:sz w:val="24"/>
                <w:highlight w:val="none"/>
              </w:rPr>
              <w:t>质量保证期</w:t>
            </w:r>
          </w:p>
        </w:tc>
        <w:tc>
          <w:tcPr>
            <w:tcW w:w="5170" w:type="dxa"/>
            <w:tcBorders>
              <w:top w:val="single" w:color="auto" w:sz="6" w:space="0"/>
              <w:left w:val="single" w:color="auto" w:sz="6" w:space="0"/>
              <w:bottom w:val="single" w:color="auto" w:sz="6" w:space="0"/>
              <w:right w:val="double" w:color="auto" w:sz="4" w:space="0"/>
            </w:tcBorders>
            <w:vAlign w:val="center"/>
          </w:tcPr>
          <w:p w14:paraId="2C90113A">
            <w:pPr>
              <w:autoSpaceDE w:val="0"/>
              <w:autoSpaceDN w:val="0"/>
              <w:snapToGrid w:val="0"/>
              <w:spacing w:line="360" w:lineRule="auto"/>
              <w:ind w:firstLine="480" w:firstLineChars="200"/>
              <w:jc w:val="left"/>
              <w:rPr>
                <w:rFonts w:ascii="宋体" w:hAnsi="宋体"/>
                <w:sz w:val="24"/>
                <w:highlight w:val="none"/>
              </w:rPr>
            </w:pPr>
          </w:p>
        </w:tc>
      </w:tr>
      <w:tr w14:paraId="197393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2FFE1265">
            <w:pPr>
              <w:snapToGrid w:val="0"/>
              <w:spacing w:line="360" w:lineRule="auto"/>
              <w:jc w:val="center"/>
              <w:rPr>
                <w:rFonts w:ascii="宋体" w:hAnsi="宋体"/>
                <w:sz w:val="24"/>
                <w:highlight w:val="none"/>
              </w:rPr>
            </w:pPr>
            <w:r>
              <w:rPr>
                <w:rFonts w:hint="eastAsia" w:ascii="宋体" w:hAnsi="宋体"/>
                <w:sz w:val="24"/>
                <w:highlight w:val="none"/>
              </w:rPr>
              <w:t>第二节</w:t>
            </w:r>
          </w:p>
          <w:p w14:paraId="46B81A54">
            <w:pPr>
              <w:snapToGrid w:val="0"/>
              <w:spacing w:line="360" w:lineRule="auto"/>
              <w:jc w:val="center"/>
              <w:rPr>
                <w:rFonts w:ascii="宋体" w:hAnsi="宋体"/>
                <w:sz w:val="24"/>
                <w:highlight w:val="none"/>
              </w:rPr>
            </w:pPr>
            <w:r>
              <w:rPr>
                <w:rFonts w:hint="eastAsia" w:ascii="宋体" w:hAnsi="宋体"/>
                <w:sz w:val="24"/>
                <w:highlight w:val="none"/>
              </w:rPr>
              <w:t>第8.2（3）项</w:t>
            </w:r>
          </w:p>
        </w:tc>
        <w:tc>
          <w:tcPr>
            <w:tcW w:w="1742" w:type="dxa"/>
            <w:tcBorders>
              <w:top w:val="single" w:color="auto" w:sz="6" w:space="0"/>
              <w:left w:val="single" w:color="auto" w:sz="6" w:space="0"/>
              <w:bottom w:val="single" w:color="auto" w:sz="6" w:space="0"/>
              <w:right w:val="single" w:color="auto" w:sz="6" w:space="0"/>
            </w:tcBorders>
            <w:vAlign w:val="center"/>
          </w:tcPr>
          <w:p w14:paraId="516A58A3">
            <w:pPr>
              <w:snapToGrid w:val="0"/>
              <w:spacing w:line="360" w:lineRule="auto"/>
              <w:jc w:val="left"/>
              <w:rPr>
                <w:rFonts w:ascii="宋体" w:hAnsi="宋体"/>
                <w:sz w:val="24"/>
                <w:highlight w:val="none"/>
              </w:rPr>
            </w:pPr>
            <w:r>
              <w:rPr>
                <w:rFonts w:hint="eastAsia" w:ascii="宋体" w:hAnsi="宋体"/>
                <w:sz w:val="24"/>
                <w:highlight w:val="none"/>
              </w:rPr>
              <w:t>货物质量缺陷</w:t>
            </w:r>
          </w:p>
          <w:p w14:paraId="7A9DE25D">
            <w:pPr>
              <w:snapToGrid w:val="0"/>
              <w:spacing w:line="360" w:lineRule="auto"/>
              <w:jc w:val="left"/>
              <w:rPr>
                <w:rFonts w:ascii="宋体" w:hAnsi="宋体"/>
                <w:sz w:val="24"/>
                <w:highlight w:val="none"/>
              </w:rPr>
            </w:pPr>
            <w:r>
              <w:rPr>
                <w:rFonts w:hint="eastAsia" w:ascii="宋体" w:hAnsi="宋体"/>
                <w:sz w:val="24"/>
                <w:highlight w:val="none"/>
              </w:rPr>
              <w:t>响应时间</w:t>
            </w:r>
          </w:p>
        </w:tc>
        <w:tc>
          <w:tcPr>
            <w:tcW w:w="5170" w:type="dxa"/>
            <w:tcBorders>
              <w:top w:val="single" w:color="auto" w:sz="6" w:space="0"/>
              <w:left w:val="single" w:color="auto" w:sz="6" w:space="0"/>
              <w:bottom w:val="single" w:color="auto" w:sz="6" w:space="0"/>
              <w:right w:val="double" w:color="auto" w:sz="4" w:space="0"/>
            </w:tcBorders>
            <w:vAlign w:val="center"/>
          </w:tcPr>
          <w:p w14:paraId="5627862E">
            <w:pPr>
              <w:snapToGrid w:val="0"/>
              <w:spacing w:line="360" w:lineRule="auto"/>
              <w:jc w:val="left"/>
              <w:rPr>
                <w:rFonts w:ascii="宋体" w:hAnsi="宋体"/>
                <w:sz w:val="24"/>
                <w:highlight w:val="none"/>
              </w:rPr>
            </w:pPr>
          </w:p>
        </w:tc>
      </w:tr>
      <w:tr w14:paraId="28FBB8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7FF30D9B">
            <w:pPr>
              <w:adjustRightInd/>
              <w:snapToGrid w:val="0"/>
              <w:spacing w:line="360" w:lineRule="auto"/>
              <w:jc w:val="center"/>
              <w:rPr>
                <w:rFonts w:ascii="宋体" w:hAnsi="宋体" w:cs="宋体"/>
                <w:sz w:val="24"/>
                <w:highlight w:val="none"/>
              </w:rPr>
            </w:pPr>
            <w:r>
              <w:rPr>
                <w:rFonts w:hint="eastAsia" w:ascii="宋体" w:hAnsi="宋体" w:cs="宋体"/>
                <w:sz w:val="24"/>
                <w:highlight w:val="none"/>
              </w:rPr>
              <w:t>第二节</w:t>
            </w:r>
          </w:p>
          <w:p w14:paraId="0B8B6B35">
            <w:pPr>
              <w:widowControl/>
              <w:autoSpaceDE w:val="0"/>
              <w:autoSpaceDN w:val="0"/>
              <w:spacing w:line="360" w:lineRule="auto"/>
              <w:jc w:val="center"/>
              <w:rPr>
                <w:rFonts w:ascii="华文楷体" w:hAnsi="华文楷体" w:eastAsia="华文楷体" w:cs="华文楷体"/>
                <w:kern w:val="0"/>
                <w:sz w:val="24"/>
                <w:highlight w:val="none"/>
              </w:rPr>
            </w:pPr>
            <w:r>
              <w:rPr>
                <w:rFonts w:hint="eastAsia" w:ascii="宋体" w:hAnsi="宋体" w:cs="宋体"/>
                <w:kern w:val="0"/>
                <w:sz w:val="24"/>
                <w:highlight w:val="none"/>
              </w:rPr>
              <w:t>第11.1款</w:t>
            </w:r>
          </w:p>
        </w:tc>
        <w:tc>
          <w:tcPr>
            <w:tcW w:w="1742" w:type="dxa"/>
            <w:tcBorders>
              <w:top w:val="single" w:color="auto" w:sz="6" w:space="0"/>
              <w:left w:val="single" w:color="auto" w:sz="6" w:space="0"/>
              <w:bottom w:val="single" w:color="auto" w:sz="6" w:space="0"/>
              <w:right w:val="single" w:color="auto" w:sz="6" w:space="0"/>
            </w:tcBorders>
            <w:vAlign w:val="center"/>
          </w:tcPr>
          <w:p w14:paraId="5C692765">
            <w:pPr>
              <w:snapToGrid w:val="0"/>
              <w:spacing w:line="360" w:lineRule="auto"/>
              <w:rPr>
                <w:rFonts w:ascii="宋体" w:hAnsi="宋体"/>
                <w:sz w:val="24"/>
                <w:highlight w:val="none"/>
              </w:rPr>
            </w:pPr>
            <w:r>
              <w:rPr>
                <w:rFonts w:hint="eastAsia" w:ascii="宋体" w:hAnsi="宋体"/>
                <w:sz w:val="24"/>
                <w:highlight w:val="none"/>
              </w:rPr>
              <w:t>其他应当保密的信息</w:t>
            </w:r>
          </w:p>
        </w:tc>
        <w:tc>
          <w:tcPr>
            <w:tcW w:w="5170" w:type="dxa"/>
            <w:tcBorders>
              <w:top w:val="single" w:color="auto" w:sz="6" w:space="0"/>
              <w:left w:val="single" w:color="auto" w:sz="6" w:space="0"/>
              <w:bottom w:val="single" w:color="auto" w:sz="6" w:space="0"/>
              <w:right w:val="double" w:color="auto" w:sz="4" w:space="0"/>
            </w:tcBorders>
            <w:vAlign w:val="center"/>
          </w:tcPr>
          <w:p w14:paraId="137A2C65">
            <w:pPr>
              <w:snapToGrid w:val="0"/>
              <w:spacing w:line="360" w:lineRule="auto"/>
              <w:jc w:val="left"/>
              <w:rPr>
                <w:rFonts w:ascii="宋体" w:hAnsi="宋体"/>
                <w:sz w:val="24"/>
                <w:highlight w:val="none"/>
              </w:rPr>
            </w:pPr>
          </w:p>
        </w:tc>
      </w:tr>
      <w:tr w14:paraId="2AF5FC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14:paraId="4961B1FA">
            <w:pPr>
              <w:snapToGrid w:val="0"/>
              <w:spacing w:line="360" w:lineRule="auto"/>
              <w:jc w:val="center"/>
              <w:rPr>
                <w:rFonts w:ascii="宋体" w:hAnsi="宋体"/>
                <w:sz w:val="24"/>
                <w:highlight w:val="none"/>
              </w:rPr>
            </w:pPr>
            <w:r>
              <w:rPr>
                <w:rFonts w:hint="eastAsia" w:ascii="宋体" w:hAnsi="宋体"/>
                <w:sz w:val="24"/>
                <w:highlight w:val="none"/>
              </w:rPr>
              <w:t>第二节</w:t>
            </w:r>
          </w:p>
          <w:p w14:paraId="2091C4BC">
            <w:pPr>
              <w:snapToGrid w:val="0"/>
              <w:spacing w:line="360" w:lineRule="auto"/>
              <w:jc w:val="center"/>
              <w:rPr>
                <w:rFonts w:ascii="宋体" w:hAnsi="宋体"/>
                <w:sz w:val="24"/>
                <w:highlight w:val="none"/>
              </w:rPr>
            </w:pPr>
            <w:r>
              <w:rPr>
                <w:rFonts w:hint="eastAsia" w:ascii="宋体" w:hAnsi="宋体"/>
                <w:sz w:val="24"/>
                <w:highlight w:val="none"/>
              </w:rPr>
              <w:t>第12.2款</w:t>
            </w:r>
          </w:p>
        </w:tc>
        <w:tc>
          <w:tcPr>
            <w:tcW w:w="1742" w:type="dxa"/>
            <w:tcBorders>
              <w:top w:val="single" w:color="auto" w:sz="6" w:space="0"/>
              <w:left w:val="single" w:color="auto" w:sz="6" w:space="0"/>
              <w:bottom w:val="single" w:color="auto" w:sz="6" w:space="0"/>
              <w:right w:val="single" w:color="auto" w:sz="6" w:space="0"/>
            </w:tcBorders>
            <w:vAlign w:val="center"/>
          </w:tcPr>
          <w:p w14:paraId="11AD129E">
            <w:pPr>
              <w:snapToGrid w:val="0"/>
              <w:spacing w:line="360" w:lineRule="auto"/>
              <w:jc w:val="left"/>
              <w:rPr>
                <w:rFonts w:ascii="宋体" w:hAnsi="宋体"/>
                <w:sz w:val="24"/>
                <w:highlight w:val="none"/>
              </w:rPr>
            </w:pPr>
            <w:r>
              <w:rPr>
                <w:rFonts w:hint="eastAsia" w:ascii="宋体" w:hAnsi="宋体"/>
                <w:sz w:val="24"/>
                <w:highlight w:val="none"/>
              </w:rPr>
              <w:t>合同价款支付时间</w:t>
            </w:r>
          </w:p>
        </w:tc>
        <w:tc>
          <w:tcPr>
            <w:tcW w:w="5170" w:type="dxa"/>
            <w:tcBorders>
              <w:top w:val="single" w:color="auto" w:sz="6" w:space="0"/>
              <w:left w:val="single" w:color="auto" w:sz="6" w:space="0"/>
              <w:bottom w:val="single" w:color="auto" w:sz="6" w:space="0"/>
              <w:right w:val="double" w:color="auto" w:sz="4" w:space="0"/>
            </w:tcBorders>
            <w:vAlign w:val="center"/>
          </w:tcPr>
          <w:p w14:paraId="3E401B0D">
            <w:pPr>
              <w:snapToGrid w:val="0"/>
              <w:spacing w:line="360" w:lineRule="auto"/>
              <w:jc w:val="left"/>
              <w:rPr>
                <w:rFonts w:ascii="宋体" w:hAnsi="宋体"/>
                <w:sz w:val="24"/>
                <w:highlight w:val="none"/>
              </w:rPr>
            </w:pPr>
          </w:p>
        </w:tc>
      </w:tr>
      <w:tr w14:paraId="130E14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14:paraId="16E6EE54">
            <w:pPr>
              <w:snapToGrid w:val="0"/>
              <w:spacing w:line="360" w:lineRule="auto"/>
              <w:jc w:val="center"/>
              <w:rPr>
                <w:rFonts w:ascii="宋体" w:hAnsi="宋体"/>
                <w:sz w:val="24"/>
                <w:highlight w:val="none"/>
              </w:rPr>
            </w:pPr>
            <w:r>
              <w:rPr>
                <w:rFonts w:hint="eastAsia" w:ascii="宋体" w:hAnsi="宋体"/>
                <w:sz w:val="24"/>
                <w:highlight w:val="none"/>
              </w:rPr>
              <w:t>第二节</w:t>
            </w:r>
          </w:p>
          <w:p w14:paraId="10F729C2">
            <w:pPr>
              <w:snapToGrid w:val="0"/>
              <w:spacing w:line="360" w:lineRule="auto"/>
              <w:jc w:val="center"/>
              <w:rPr>
                <w:rFonts w:ascii="宋体" w:hAnsi="宋体"/>
                <w:sz w:val="24"/>
                <w:highlight w:val="none"/>
              </w:rPr>
            </w:pPr>
            <w:r>
              <w:rPr>
                <w:rFonts w:hint="eastAsia" w:ascii="宋体" w:hAnsi="宋体"/>
                <w:sz w:val="24"/>
                <w:highlight w:val="none"/>
              </w:rPr>
              <w:t>第13.2款</w:t>
            </w:r>
          </w:p>
        </w:tc>
        <w:tc>
          <w:tcPr>
            <w:tcW w:w="1742" w:type="dxa"/>
            <w:tcBorders>
              <w:top w:val="single" w:color="auto" w:sz="6" w:space="0"/>
              <w:left w:val="single" w:color="auto" w:sz="6" w:space="0"/>
              <w:bottom w:val="single" w:color="auto" w:sz="6" w:space="0"/>
              <w:right w:val="single" w:color="auto" w:sz="6" w:space="0"/>
            </w:tcBorders>
            <w:vAlign w:val="center"/>
          </w:tcPr>
          <w:p w14:paraId="66B10FD0">
            <w:pPr>
              <w:snapToGrid w:val="0"/>
              <w:spacing w:line="360" w:lineRule="auto"/>
              <w:jc w:val="left"/>
              <w:rPr>
                <w:rFonts w:ascii="宋体" w:hAnsi="宋体"/>
                <w:sz w:val="24"/>
                <w:highlight w:val="none"/>
              </w:rPr>
            </w:pPr>
            <w:r>
              <w:rPr>
                <w:rFonts w:hint="eastAsia" w:ascii="宋体" w:hAnsi="宋体"/>
                <w:sz w:val="24"/>
                <w:highlight w:val="none"/>
              </w:rPr>
              <w:t>履约保证金不予退还的情形</w:t>
            </w:r>
          </w:p>
        </w:tc>
        <w:tc>
          <w:tcPr>
            <w:tcW w:w="5170" w:type="dxa"/>
            <w:tcBorders>
              <w:top w:val="single" w:color="auto" w:sz="6" w:space="0"/>
              <w:left w:val="single" w:color="auto" w:sz="6" w:space="0"/>
              <w:bottom w:val="single" w:color="auto" w:sz="6" w:space="0"/>
              <w:right w:val="double" w:color="auto" w:sz="4" w:space="0"/>
            </w:tcBorders>
            <w:vAlign w:val="center"/>
          </w:tcPr>
          <w:p w14:paraId="58E01BDC">
            <w:pPr>
              <w:snapToGrid w:val="0"/>
              <w:spacing w:line="360" w:lineRule="auto"/>
              <w:jc w:val="left"/>
              <w:rPr>
                <w:rFonts w:ascii="宋体" w:hAnsi="宋体"/>
                <w:sz w:val="24"/>
                <w:highlight w:val="none"/>
              </w:rPr>
            </w:pPr>
          </w:p>
        </w:tc>
      </w:tr>
      <w:tr w14:paraId="0E0B7F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1BB247BC">
            <w:pPr>
              <w:snapToGrid w:val="0"/>
              <w:spacing w:line="360" w:lineRule="auto"/>
              <w:jc w:val="center"/>
              <w:rPr>
                <w:rFonts w:ascii="宋体" w:hAnsi="宋体"/>
                <w:sz w:val="24"/>
                <w:highlight w:val="none"/>
              </w:rPr>
            </w:pPr>
            <w:r>
              <w:rPr>
                <w:rFonts w:hint="eastAsia" w:ascii="宋体" w:hAnsi="宋体"/>
                <w:sz w:val="24"/>
                <w:highlight w:val="none"/>
              </w:rPr>
              <w:t>第二节</w:t>
            </w:r>
          </w:p>
          <w:p w14:paraId="5525B9F1">
            <w:pPr>
              <w:snapToGrid w:val="0"/>
              <w:spacing w:line="360" w:lineRule="auto"/>
              <w:jc w:val="center"/>
              <w:rPr>
                <w:rFonts w:ascii="宋体" w:hAnsi="宋体"/>
                <w:sz w:val="24"/>
                <w:highlight w:val="none"/>
              </w:rPr>
            </w:pPr>
            <w:r>
              <w:rPr>
                <w:rFonts w:hint="eastAsia" w:ascii="宋体" w:hAnsi="宋体"/>
                <w:sz w:val="24"/>
                <w:highlight w:val="none"/>
              </w:rPr>
              <w:t>第13.3款</w:t>
            </w:r>
          </w:p>
        </w:tc>
        <w:tc>
          <w:tcPr>
            <w:tcW w:w="1742" w:type="dxa"/>
            <w:tcBorders>
              <w:top w:val="single" w:color="auto" w:sz="6" w:space="0"/>
              <w:left w:val="single" w:color="auto" w:sz="6" w:space="0"/>
              <w:bottom w:val="single" w:color="auto" w:sz="6" w:space="0"/>
              <w:right w:val="single" w:color="auto" w:sz="6" w:space="0"/>
            </w:tcBorders>
            <w:vAlign w:val="center"/>
          </w:tcPr>
          <w:p w14:paraId="43310AA6">
            <w:pPr>
              <w:snapToGrid w:val="0"/>
              <w:spacing w:line="360" w:lineRule="auto"/>
              <w:jc w:val="left"/>
              <w:rPr>
                <w:rFonts w:ascii="宋体" w:hAnsi="宋体"/>
                <w:sz w:val="24"/>
                <w:highlight w:val="none"/>
              </w:rPr>
            </w:pPr>
            <w:r>
              <w:rPr>
                <w:rFonts w:hint="eastAsia" w:ascii="宋体" w:hAnsi="宋体"/>
                <w:sz w:val="24"/>
                <w:highlight w:val="none"/>
              </w:rPr>
              <w:t>履约保证金退还时间及逾期退还的违约金</w:t>
            </w:r>
          </w:p>
        </w:tc>
        <w:tc>
          <w:tcPr>
            <w:tcW w:w="5170" w:type="dxa"/>
            <w:tcBorders>
              <w:top w:val="single" w:color="auto" w:sz="6" w:space="0"/>
              <w:left w:val="single" w:color="auto" w:sz="6" w:space="0"/>
              <w:bottom w:val="single" w:color="auto" w:sz="6" w:space="0"/>
              <w:right w:val="double" w:color="auto" w:sz="4" w:space="0"/>
            </w:tcBorders>
            <w:vAlign w:val="center"/>
          </w:tcPr>
          <w:p w14:paraId="7AB58CBF">
            <w:pPr>
              <w:snapToGrid w:val="0"/>
              <w:spacing w:line="360" w:lineRule="auto"/>
              <w:jc w:val="left"/>
              <w:rPr>
                <w:rFonts w:ascii="宋体" w:hAnsi="宋体"/>
                <w:sz w:val="24"/>
                <w:highlight w:val="none"/>
              </w:rPr>
            </w:pPr>
          </w:p>
        </w:tc>
      </w:tr>
      <w:tr w14:paraId="3E1924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14:paraId="3746A95B">
            <w:pPr>
              <w:snapToGrid w:val="0"/>
              <w:spacing w:line="360" w:lineRule="auto"/>
              <w:jc w:val="center"/>
              <w:rPr>
                <w:rFonts w:ascii="宋体" w:hAnsi="宋体"/>
                <w:sz w:val="24"/>
                <w:highlight w:val="none"/>
              </w:rPr>
            </w:pPr>
            <w:r>
              <w:rPr>
                <w:rFonts w:hint="eastAsia" w:ascii="宋体" w:hAnsi="宋体"/>
                <w:sz w:val="24"/>
                <w:highlight w:val="none"/>
              </w:rPr>
              <w:t>第二节</w:t>
            </w:r>
          </w:p>
          <w:p w14:paraId="4E8FE391">
            <w:pPr>
              <w:snapToGrid w:val="0"/>
              <w:spacing w:line="360" w:lineRule="auto"/>
              <w:jc w:val="center"/>
              <w:rPr>
                <w:rFonts w:ascii="宋体" w:hAnsi="宋体"/>
                <w:sz w:val="24"/>
                <w:highlight w:val="none"/>
              </w:rPr>
            </w:pPr>
            <w:r>
              <w:rPr>
                <w:rFonts w:hint="eastAsia" w:ascii="宋体" w:hAnsi="宋体"/>
                <w:sz w:val="24"/>
                <w:highlight w:val="none"/>
              </w:rPr>
              <w:t>第14.1（3）项</w:t>
            </w:r>
          </w:p>
        </w:tc>
        <w:tc>
          <w:tcPr>
            <w:tcW w:w="1742" w:type="dxa"/>
            <w:tcBorders>
              <w:top w:val="single" w:color="auto" w:sz="6" w:space="0"/>
              <w:left w:val="single" w:color="auto" w:sz="6" w:space="0"/>
              <w:bottom w:val="single" w:color="auto" w:sz="6" w:space="0"/>
              <w:right w:val="single" w:color="auto" w:sz="6" w:space="0"/>
            </w:tcBorders>
            <w:vAlign w:val="center"/>
          </w:tcPr>
          <w:p w14:paraId="08AAC891">
            <w:pPr>
              <w:snapToGrid w:val="0"/>
              <w:spacing w:line="360" w:lineRule="auto"/>
              <w:jc w:val="left"/>
              <w:rPr>
                <w:rFonts w:ascii="宋体" w:hAnsi="宋体"/>
                <w:sz w:val="24"/>
                <w:highlight w:val="none"/>
              </w:rPr>
            </w:pPr>
            <w:r>
              <w:rPr>
                <w:rFonts w:hint="eastAsia" w:ascii="宋体" w:hAnsi="宋体"/>
                <w:sz w:val="24"/>
                <w:highlight w:val="none"/>
              </w:rPr>
              <w:t>运行监督、维修期限</w:t>
            </w:r>
          </w:p>
        </w:tc>
        <w:tc>
          <w:tcPr>
            <w:tcW w:w="5170" w:type="dxa"/>
            <w:tcBorders>
              <w:top w:val="single" w:color="auto" w:sz="6" w:space="0"/>
              <w:left w:val="single" w:color="auto" w:sz="6" w:space="0"/>
              <w:bottom w:val="single" w:color="auto" w:sz="6" w:space="0"/>
              <w:right w:val="double" w:color="auto" w:sz="4" w:space="0"/>
            </w:tcBorders>
            <w:vAlign w:val="center"/>
          </w:tcPr>
          <w:p w14:paraId="1269D23C">
            <w:pPr>
              <w:snapToGrid w:val="0"/>
              <w:spacing w:line="360" w:lineRule="auto"/>
              <w:jc w:val="left"/>
              <w:rPr>
                <w:rFonts w:ascii="宋体" w:hAnsi="宋体"/>
                <w:sz w:val="24"/>
                <w:highlight w:val="none"/>
              </w:rPr>
            </w:pPr>
          </w:p>
        </w:tc>
      </w:tr>
      <w:tr w14:paraId="260272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14:paraId="23EDF4EA">
            <w:pPr>
              <w:snapToGrid w:val="0"/>
              <w:spacing w:line="360" w:lineRule="auto"/>
              <w:jc w:val="center"/>
              <w:rPr>
                <w:rFonts w:ascii="宋体" w:hAnsi="宋体"/>
                <w:sz w:val="24"/>
                <w:highlight w:val="none"/>
              </w:rPr>
            </w:pPr>
            <w:r>
              <w:rPr>
                <w:rFonts w:hint="eastAsia" w:ascii="宋体" w:hAnsi="宋体"/>
                <w:sz w:val="24"/>
                <w:highlight w:val="none"/>
              </w:rPr>
              <w:t>第二节</w:t>
            </w:r>
          </w:p>
          <w:p w14:paraId="32FA722B">
            <w:pPr>
              <w:snapToGrid w:val="0"/>
              <w:spacing w:line="360" w:lineRule="auto"/>
              <w:jc w:val="center"/>
              <w:rPr>
                <w:rFonts w:ascii="宋体" w:hAnsi="宋体"/>
                <w:sz w:val="24"/>
                <w:highlight w:val="none"/>
              </w:rPr>
            </w:pPr>
            <w:r>
              <w:rPr>
                <w:rFonts w:hint="eastAsia" w:ascii="宋体" w:hAnsi="宋体"/>
                <w:sz w:val="24"/>
                <w:highlight w:val="none"/>
              </w:rPr>
              <w:t>第14.1（5）项</w:t>
            </w:r>
          </w:p>
        </w:tc>
        <w:tc>
          <w:tcPr>
            <w:tcW w:w="1742" w:type="dxa"/>
            <w:tcBorders>
              <w:top w:val="single" w:color="auto" w:sz="6" w:space="0"/>
              <w:left w:val="single" w:color="auto" w:sz="6" w:space="0"/>
              <w:bottom w:val="single" w:color="auto" w:sz="6" w:space="0"/>
              <w:right w:val="single" w:color="auto" w:sz="6" w:space="0"/>
            </w:tcBorders>
            <w:vAlign w:val="center"/>
          </w:tcPr>
          <w:p w14:paraId="7E80E128">
            <w:pPr>
              <w:snapToGrid w:val="0"/>
              <w:spacing w:line="360" w:lineRule="auto"/>
              <w:jc w:val="left"/>
              <w:rPr>
                <w:rFonts w:ascii="宋体" w:hAnsi="宋体"/>
                <w:sz w:val="24"/>
                <w:highlight w:val="none"/>
              </w:rPr>
            </w:pPr>
            <w:r>
              <w:rPr>
                <w:rFonts w:hint="eastAsia" w:ascii="宋体" w:hAnsi="宋体"/>
                <w:sz w:val="24"/>
                <w:highlight w:val="none"/>
              </w:rPr>
              <w:t>货物回收的约定</w:t>
            </w:r>
          </w:p>
        </w:tc>
        <w:tc>
          <w:tcPr>
            <w:tcW w:w="5170" w:type="dxa"/>
            <w:tcBorders>
              <w:top w:val="single" w:color="auto" w:sz="6" w:space="0"/>
              <w:left w:val="single" w:color="auto" w:sz="6" w:space="0"/>
              <w:bottom w:val="single" w:color="auto" w:sz="6" w:space="0"/>
              <w:right w:val="double" w:color="auto" w:sz="4" w:space="0"/>
            </w:tcBorders>
            <w:vAlign w:val="center"/>
          </w:tcPr>
          <w:p w14:paraId="3F33A443">
            <w:pPr>
              <w:snapToGrid w:val="0"/>
              <w:spacing w:line="360" w:lineRule="auto"/>
              <w:jc w:val="left"/>
              <w:rPr>
                <w:rFonts w:ascii="宋体" w:hAnsi="宋体"/>
                <w:sz w:val="24"/>
                <w:highlight w:val="none"/>
              </w:rPr>
            </w:pPr>
          </w:p>
        </w:tc>
      </w:tr>
      <w:tr w14:paraId="3A2B8F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674A7B9B">
            <w:pPr>
              <w:snapToGrid w:val="0"/>
              <w:spacing w:line="360" w:lineRule="auto"/>
              <w:jc w:val="center"/>
              <w:rPr>
                <w:rFonts w:ascii="宋体" w:hAnsi="宋体"/>
                <w:sz w:val="24"/>
                <w:highlight w:val="none"/>
              </w:rPr>
            </w:pPr>
            <w:r>
              <w:rPr>
                <w:rFonts w:hint="eastAsia" w:ascii="宋体" w:hAnsi="宋体"/>
                <w:sz w:val="24"/>
                <w:highlight w:val="none"/>
              </w:rPr>
              <w:t>第二节</w:t>
            </w:r>
          </w:p>
          <w:p w14:paraId="227E8A76">
            <w:pPr>
              <w:snapToGrid w:val="0"/>
              <w:spacing w:line="360" w:lineRule="auto"/>
              <w:jc w:val="center"/>
              <w:rPr>
                <w:rFonts w:ascii="宋体" w:hAnsi="宋体"/>
                <w:sz w:val="24"/>
                <w:highlight w:val="none"/>
              </w:rPr>
            </w:pPr>
            <w:r>
              <w:rPr>
                <w:rFonts w:hint="eastAsia" w:ascii="宋体" w:hAnsi="宋体"/>
                <w:sz w:val="24"/>
                <w:highlight w:val="none"/>
              </w:rPr>
              <w:t>第14.1（6）项</w:t>
            </w:r>
          </w:p>
        </w:tc>
        <w:tc>
          <w:tcPr>
            <w:tcW w:w="1742" w:type="dxa"/>
            <w:tcBorders>
              <w:top w:val="single" w:color="auto" w:sz="6" w:space="0"/>
              <w:left w:val="single" w:color="auto" w:sz="6" w:space="0"/>
              <w:bottom w:val="single" w:color="auto" w:sz="6" w:space="0"/>
              <w:right w:val="single" w:color="auto" w:sz="6" w:space="0"/>
            </w:tcBorders>
            <w:vAlign w:val="center"/>
          </w:tcPr>
          <w:p w14:paraId="1AF4F455">
            <w:pPr>
              <w:snapToGrid w:val="0"/>
              <w:spacing w:line="360" w:lineRule="auto"/>
              <w:jc w:val="left"/>
              <w:rPr>
                <w:rFonts w:ascii="宋体" w:hAnsi="宋体"/>
                <w:sz w:val="24"/>
                <w:highlight w:val="none"/>
              </w:rPr>
            </w:pPr>
            <w:r>
              <w:rPr>
                <w:rFonts w:hint="eastAsia" w:ascii="宋体" w:hAnsi="宋体"/>
                <w:sz w:val="24"/>
                <w:highlight w:val="none"/>
              </w:rPr>
              <w:t>乙方提供的其他服务</w:t>
            </w:r>
          </w:p>
        </w:tc>
        <w:tc>
          <w:tcPr>
            <w:tcW w:w="5170" w:type="dxa"/>
            <w:tcBorders>
              <w:top w:val="single" w:color="auto" w:sz="6" w:space="0"/>
              <w:left w:val="single" w:color="auto" w:sz="6" w:space="0"/>
              <w:bottom w:val="single" w:color="auto" w:sz="6" w:space="0"/>
              <w:right w:val="double" w:color="auto" w:sz="4" w:space="0"/>
            </w:tcBorders>
            <w:vAlign w:val="center"/>
          </w:tcPr>
          <w:p w14:paraId="1C6186FB">
            <w:pPr>
              <w:snapToGrid w:val="0"/>
              <w:spacing w:line="360" w:lineRule="auto"/>
              <w:jc w:val="left"/>
              <w:rPr>
                <w:rFonts w:ascii="宋体" w:hAnsi="宋体"/>
                <w:sz w:val="24"/>
                <w:highlight w:val="none"/>
              </w:rPr>
            </w:pPr>
          </w:p>
        </w:tc>
      </w:tr>
      <w:tr w14:paraId="1FD57E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19B277FC">
            <w:pPr>
              <w:snapToGrid w:val="0"/>
              <w:spacing w:line="360" w:lineRule="auto"/>
              <w:jc w:val="center"/>
              <w:rPr>
                <w:rFonts w:ascii="宋体" w:hAnsi="宋体"/>
                <w:sz w:val="24"/>
                <w:highlight w:val="none"/>
              </w:rPr>
            </w:pPr>
            <w:r>
              <w:rPr>
                <w:rFonts w:hint="eastAsia" w:ascii="宋体" w:hAnsi="宋体"/>
                <w:sz w:val="24"/>
                <w:highlight w:val="none"/>
              </w:rPr>
              <w:t>第二节</w:t>
            </w:r>
          </w:p>
          <w:p w14:paraId="0238CF55">
            <w:pPr>
              <w:snapToGrid w:val="0"/>
              <w:spacing w:line="360" w:lineRule="auto"/>
              <w:jc w:val="center"/>
              <w:rPr>
                <w:rFonts w:ascii="宋体" w:hAnsi="宋体"/>
                <w:sz w:val="24"/>
                <w:highlight w:val="none"/>
              </w:rPr>
            </w:pPr>
            <w:r>
              <w:rPr>
                <w:rFonts w:hint="eastAsia" w:ascii="宋体" w:hAnsi="宋体"/>
                <w:sz w:val="24"/>
                <w:highlight w:val="none"/>
              </w:rPr>
              <w:t>第15.1款</w:t>
            </w:r>
          </w:p>
        </w:tc>
        <w:tc>
          <w:tcPr>
            <w:tcW w:w="1742" w:type="dxa"/>
            <w:tcBorders>
              <w:top w:val="single" w:color="auto" w:sz="6" w:space="0"/>
              <w:left w:val="single" w:color="auto" w:sz="6" w:space="0"/>
              <w:bottom w:val="single" w:color="auto" w:sz="6" w:space="0"/>
              <w:right w:val="single" w:color="auto" w:sz="6" w:space="0"/>
            </w:tcBorders>
            <w:vAlign w:val="center"/>
          </w:tcPr>
          <w:p w14:paraId="13DE80EA">
            <w:pPr>
              <w:snapToGrid w:val="0"/>
              <w:spacing w:line="360" w:lineRule="auto"/>
              <w:jc w:val="left"/>
              <w:rPr>
                <w:rFonts w:ascii="宋体" w:hAnsi="宋体"/>
                <w:sz w:val="24"/>
                <w:highlight w:val="none"/>
              </w:rPr>
            </w:pPr>
            <w:r>
              <w:rPr>
                <w:rFonts w:hint="eastAsia" w:ascii="宋体" w:hAnsi="宋体"/>
                <w:sz w:val="24"/>
                <w:highlight w:val="none"/>
              </w:rPr>
              <w:t>修理、重作、更换相关具体规定</w:t>
            </w:r>
          </w:p>
        </w:tc>
        <w:tc>
          <w:tcPr>
            <w:tcW w:w="5170" w:type="dxa"/>
            <w:tcBorders>
              <w:top w:val="single" w:color="auto" w:sz="6" w:space="0"/>
              <w:left w:val="single" w:color="auto" w:sz="6" w:space="0"/>
              <w:bottom w:val="single" w:color="auto" w:sz="6" w:space="0"/>
              <w:right w:val="double" w:color="auto" w:sz="4" w:space="0"/>
            </w:tcBorders>
            <w:vAlign w:val="center"/>
          </w:tcPr>
          <w:p w14:paraId="7D303B31">
            <w:pPr>
              <w:snapToGrid w:val="0"/>
              <w:spacing w:line="360" w:lineRule="auto"/>
              <w:jc w:val="left"/>
              <w:rPr>
                <w:rFonts w:ascii="宋体" w:hAnsi="宋体"/>
                <w:sz w:val="24"/>
                <w:highlight w:val="none"/>
              </w:rPr>
            </w:pPr>
          </w:p>
        </w:tc>
      </w:tr>
      <w:tr w14:paraId="734C60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3D0039FD">
            <w:pPr>
              <w:snapToGrid w:val="0"/>
              <w:spacing w:line="360" w:lineRule="auto"/>
              <w:jc w:val="center"/>
              <w:rPr>
                <w:rFonts w:ascii="宋体" w:hAnsi="宋体"/>
                <w:sz w:val="24"/>
                <w:highlight w:val="none"/>
              </w:rPr>
            </w:pPr>
            <w:r>
              <w:rPr>
                <w:rFonts w:hint="eastAsia" w:ascii="宋体" w:hAnsi="宋体"/>
                <w:sz w:val="24"/>
                <w:highlight w:val="none"/>
              </w:rPr>
              <w:t>第二节</w:t>
            </w:r>
          </w:p>
          <w:p w14:paraId="12F56B63">
            <w:pPr>
              <w:snapToGrid w:val="0"/>
              <w:spacing w:line="360" w:lineRule="auto"/>
              <w:jc w:val="center"/>
              <w:rPr>
                <w:rFonts w:ascii="宋体" w:hAnsi="宋体"/>
                <w:sz w:val="24"/>
                <w:highlight w:val="none"/>
              </w:rPr>
            </w:pPr>
            <w:r>
              <w:rPr>
                <w:rFonts w:hint="eastAsia" w:ascii="宋体" w:hAnsi="宋体"/>
                <w:sz w:val="24"/>
                <w:highlight w:val="none"/>
              </w:rPr>
              <w:t>第15.2（2）项</w:t>
            </w:r>
          </w:p>
        </w:tc>
        <w:tc>
          <w:tcPr>
            <w:tcW w:w="1742" w:type="dxa"/>
            <w:tcBorders>
              <w:top w:val="single" w:color="auto" w:sz="6" w:space="0"/>
              <w:left w:val="single" w:color="auto" w:sz="6" w:space="0"/>
              <w:bottom w:val="single" w:color="auto" w:sz="6" w:space="0"/>
              <w:right w:val="single" w:color="auto" w:sz="6" w:space="0"/>
            </w:tcBorders>
            <w:vAlign w:val="center"/>
          </w:tcPr>
          <w:p w14:paraId="2B2F1270">
            <w:pPr>
              <w:snapToGrid w:val="0"/>
              <w:spacing w:line="360" w:lineRule="auto"/>
              <w:jc w:val="left"/>
              <w:rPr>
                <w:rFonts w:ascii="宋体" w:hAnsi="宋体"/>
                <w:sz w:val="24"/>
                <w:highlight w:val="none"/>
              </w:rPr>
            </w:pPr>
            <w:r>
              <w:rPr>
                <w:rFonts w:hint="eastAsia" w:ascii="宋体" w:hAnsi="宋体"/>
                <w:sz w:val="24"/>
                <w:highlight w:val="none"/>
              </w:rPr>
              <w:t>迟延交货赔偿费</w:t>
            </w:r>
          </w:p>
        </w:tc>
        <w:tc>
          <w:tcPr>
            <w:tcW w:w="5170" w:type="dxa"/>
            <w:tcBorders>
              <w:top w:val="single" w:color="auto" w:sz="6" w:space="0"/>
              <w:left w:val="single" w:color="auto" w:sz="6" w:space="0"/>
              <w:bottom w:val="single" w:color="auto" w:sz="6" w:space="0"/>
              <w:right w:val="double" w:color="auto" w:sz="4" w:space="0"/>
            </w:tcBorders>
            <w:vAlign w:val="center"/>
          </w:tcPr>
          <w:p w14:paraId="3E547B81">
            <w:pPr>
              <w:snapToGrid w:val="0"/>
              <w:spacing w:line="360" w:lineRule="auto"/>
              <w:jc w:val="left"/>
              <w:rPr>
                <w:rFonts w:ascii="宋体" w:hAnsi="宋体"/>
                <w:sz w:val="24"/>
                <w:highlight w:val="none"/>
                <w:u w:val="single"/>
              </w:rPr>
            </w:pPr>
          </w:p>
        </w:tc>
      </w:tr>
      <w:tr w14:paraId="26D451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14F0BD35">
            <w:pPr>
              <w:snapToGrid w:val="0"/>
              <w:spacing w:line="360" w:lineRule="auto"/>
              <w:jc w:val="center"/>
              <w:rPr>
                <w:rFonts w:ascii="宋体" w:hAnsi="宋体"/>
                <w:sz w:val="24"/>
                <w:highlight w:val="none"/>
              </w:rPr>
            </w:pPr>
            <w:r>
              <w:rPr>
                <w:rFonts w:hint="eastAsia" w:ascii="宋体" w:hAnsi="宋体"/>
                <w:sz w:val="24"/>
                <w:highlight w:val="none"/>
              </w:rPr>
              <w:t>第二节</w:t>
            </w:r>
          </w:p>
          <w:p w14:paraId="08109DAD">
            <w:pPr>
              <w:snapToGrid w:val="0"/>
              <w:spacing w:line="360" w:lineRule="auto"/>
              <w:jc w:val="center"/>
              <w:rPr>
                <w:rFonts w:ascii="宋体" w:hAnsi="宋体"/>
                <w:sz w:val="24"/>
                <w:highlight w:val="none"/>
              </w:rPr>
            </w:pPr>
            <w:r>
              <w:rPr>
                <w:rFonts w:hint="eastAsia" w:ascii="宋体" w:hAnsi="宋体"/>
                <w:sz w:val="24"/>
                <w:highlight w:val="none"/>
              </w:rPr>
              <w:t>第15.3款</w:t>
            </w:r>
          </w:p>
        </w:tc>
        <w:tc>
          <w:tcPr>
            <w:tcW w:w="1742" w:type="dxa"/>
            <w:tcBorders>
              <w:top w:val="single" w:color="auto" w:sz="6" w:space="0"/>
              <w:left w:val="single" w:color="auto" w:sz="6" w:space="0"/>
              <w:bottom w:val="single" w:color="auto" w:sz="6" w:space="0"/>
              <w:right w:val="single" w:color="auto" w:sz="6" w:space="0"/>
            </w:tcBorders>
            <w:vAlign w:val="center"/>
          </w:tcPr>
          <w:p w14:paraId="711ACFEC">
            <w:pPr>
              <w:snapToGrid w:val="0"/>
              <w:spacing w:line="360" w:lineRule="auto"/>
              <w:jc w:val="left"/>
              <w:rPr>
                <w:rFonts w:ascii="宋体" w:hAnsi="宋体"/>
                <w:sz w:val="24"/>
                <w:highlight w:val="none"/>
              </w:rPr>
            </w:pPr>
            <w:r>
              <w:rPr>
                <w:rFonts w:hint="eastAsia" w:ascii="宋体" w:hAnsi="宋体"/>
                <w:sz w:val="24"/>
                <w:highlight w:val="none"/>
              </w:rPr>
              <w:t>逾期付款利息</w:t>
            </w:r>
          </w:p>
        </w:tc>
        <w:tc>
          <w:tcPr>
            <w:tcW w:w="5170" w:type="dxa"/>
            <w:tcBorders>
              <w:top w:val="single" w:color="auto" w:sz="6" w:space="0"/>
              <w:left w:val="single" w:color="auto" w:sz="6" w:space="0"/>
              <w:bottom w:val="single" w:color="auto" w:sz="6" w:space="0"/>
              <w:right w:val="double" w:color="auto" w:sz="4" w:space="0"/>
            </w:tcBorders>
            <w:vAlign w:val="center"/>
          </w:tcPr>
          <w:p w14:paraId="178EEBC0">
            <w:pPr>
              <w:snapToGrid w:val="0"/>
              <w:spacing w:line="360" w:lineRule="auto"/>
              <w:jc w:val="left"/>
              <w:rPr>
                <w:rFonts w:ascii="宋体" w:hAnsi="宋体"/>
                <w:sz w:val="24"/>
                <w:highlight w:val="none"/>
                <w:u w:val="single"/>
              </w:rPr>
            </w:pPr>
          </w:p>
        </w:tc>
      </w:tr>
      <w:tr w14:paraId="77A6A1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top w:val="single" w:color="auto" w:sz="6" w:space="0"/>
              <w:left w:val="double" w:color="auto" w:sz="4" w:space="0"/>
              <w:bottom w:val="single" w:color="auto" w:sz="2" w:space="0"/>
              <w:right w:val="single" w:color="auto" w:sz="2" w:space="0"/>
            </w:tcBorders>
            <w:vAlign w:val="center"/>
          </w:tcPr>
          <w:p w14:paraId="668EDAD8">
            <w:pPr>
              <w:snapToGrid w:val="0"/>
              <w:spacing w:line="360" w:lineRule="auto"/>
              <w:jc w:val="center"/>
              <w:rPr>
                <w:rFonts w:ascii="宋体" w:hAnsi="宋体"/>
                <w:sz w:val="24"/>
                <w:highlight w:val="none"/>
              </w:rPr>
            </w:pPr>
            <w:r>
              <w:rPr>
                <w:rFonts w:hint="eastAsia" w:ascii="宋体" w:hAnsi="宋体"/>
                <w:sz w:val="24"/>
                <w:highlight w:val="none"/>
              </w:rPr>
              <w:t>第二节</w:t>
            </w:r>
          </w:p>
          <w:p w14:paraId="1F578E56">
            <w:pPr>
              <w:snapToGrid w:val="0"/>
              <w:spacing w:line="360" w:lineRule="auto"/>
              <w:jc w:val="center"/>
              <w:rPr>
                <w:rFonts w:ascii="宋体" w:hAnsi="宋体"/>
                <w:sz w:val="24"/>
                <w:highlight w:val="none"/>
              </w:rPr>
            </w:pPr>
            <w:r>
              <w:rPr>
                <w:rFonts w:hint="eastAsia" w:ascii="宋体" w:hAnsi="宋体"/>
                <w:sz w:val="24"/>
                <w:highlight w:val="none"/>
              </w:rPr>
              <w:t>第15.4款</w:t>
            </w:r>
          </w:p>
        </w:tc>
        <w:tc>
          <w:tcPr>
            <w:tcW w:w="1742" w:type="dxa"/>
            <w:tcBorders>
              <w:top w:val="single" w:color="auto" w:sz="6" w:space="0"/>
              <w:left w:val="single" w:color="auto" w:sz="2" w:space="0"/>
              <w:bottom w:val="single" w:color="auto" w:sz="2" w:space="0"/>
              <w:right w:val="single" w:color="auto" w:sz="2" w:space="0"/>
            </w:tcBorders>
            <w:vAlign w:val="center"/>
          </w:tcPr>
          <w:p w14:paraId="4C0BBFC5">
            <w:pPr>
              <w:snapToGrid w:val="0"/>
              <w:spacing w:line="360" w:lineRule="auto"/>
              <w:jc w:val="left"/>
              <w:rPr>
                <w:rFonts w:ascii="宋体" w:hAnsi="宋体"/>
                <w:sz w:val="24"/>
                <w:highlight w:val="none"/>
              </w:rPr>
            </w:pPr>
            <w:r>
              <w:rPr>
                <w:rFonts w:hint="eastAsia" w:ascii="宋体" w:hAnsi="宋体"/>
                <w:sz w:val="24"/>
                <w:highlight w:val="none"/>
              </w:rPr>
              <w:t>其他违约责任</w:t>
            </w:r>
          </w:p>
        </w:tc>
        <w:tc>
          <w:tcPr>
            <w:tcW w:w="5170" w:type="dxa"/>
            <w:tcBorders>
              <w:top w:val="single" w:color="auto" w:sz="6" w:space="0"/>
              <w:left w:val="single" w:color="auto" w:sz="2" w:space="0"/>
              <w:bottom w:val="single" w:color="auto" w:sz="2" w:space="0"/>
              <w:right w:val="double" w:color="auto" w:sz="4" w:space="0"/>
            </w:tcBorders>
            <w:vAlign w:val="center"/>
          </w:tcPr>
          <w:p w14:paraId="6173649E">
            <w:pPr>
              <w:snapToGrid w:val="0"/>
              <w:spacing w:line="360" w:lineRule="auto"/>
              <w:jc w:val="left"/>
              <w:rPr>
                <w:rFonts w:ascii="宋体" w:hAnsi="宋体"/>
                <w:sz w:val="24"/>
                <w:highlight w:val="none"/>
                <w:u w:val="single"/>
              </w:rPr>
            </w:pPr>
          </w:p>
        </w:tc>
      </w:tr>
      <w:tr w14:paraId="102FE8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left w:val="double" w:color="auto" w:sz="4" w:space="0"/>
              <w:bottom w:val="single" w:color="auto" w:sz="6" w:space="0"/>
              <w:right w:val="single" w:color="auto" w:sz="2" w:space="0"/>
            </w:tcBorders>
            <w:vAlign w:val="center"/>
          </w:tcPr>
          <w:p w14:paraId="1C0BA868">
            <w:pPr>
              <w:snapToGrid w:val="0"/>
              <w:spacing w:line="360" w:lineRule="auto"/>
              <w:jc w:val="center"/>
              <w:rPr>
                <w:rFonts w:ascii="宋体" w:hAnsi="宋体"/>
                <w:sz w:val="24"/>
                <w:highlight w:val="none"/>
              </w:rPr>
            </w:pPr>
            <w:r>
              <w:rPr>
                <w:rFonts w:hint="eastAsia" w:ascii="宋体" w:hAnsi="宋体"/>
                <w:sz w:val="24"/>
                <w:highlight w:val="none"/>
              </w:rPr>
              <w:t>第二节</w:t>
            </w:r>
          </w:p>
          <w:p w14:paraId="1DAB8A17">
            <w:pPr>
              <w:snapToGrid w:val="0"/>
              <w:spacing w:line="360" w:lineRule="auto"/>
              <w:jc w:val="center"/>
              <w:rPr>
                <w:rFonts w:ascii="宋体" w:hAnsi="宋体"/>
                <w:sz w:val="24"/>
                <w:highlight w:val="none"/>
              </w:rPr>
            </w:pPr>
            <w:r>
              <w:rPr>
                <w:rFonts w:hint="eastAsia" w:ascii="宋体" w:hAnsi="宋体"/>
                <w:sz w:val="24"/>
                <w:highlight w:val="none"/>
              </w:rPr>
              <w:t>第19.2款</w:t>
            </w:r>
          </w:p>
        </w:tc>
        <w:tc>
          <w:tcPr>
            <w:tcW w:w="1742" w:type="dxa"/>
            <w:tcBorders>
              <w:top w:val="single" w:color="auto" w:sz="2" w:space="0"/>
              <w:left w:val="single" w:color="auto" w:sz="2" w:space="0"/>
              <w:bottom w:val="single" w:color="auto" w:sz="6" w:space="0"/>
              <w:right w:val="single" w:color="auto" w:sz="2" w:space="0"/>
            </w:tcBorders>
            <w:vAlign w:val="center"/>
          </w:tcPr>
          <w:p w14:paraId="2B8EA8A1">
            <w:pPr>
              <w:snapToGrid w:val="0"/>
              <w:spacing w:line="360" w:lineRule="auto"/>
              <w:jc w:val="left"/>
              <w:rPr>
                <w:rFonts w:ascii="宋体" w:hAnsi="宋体"/>
                <w:sz w:val="24"/>
                <w:highlight w:val="none"/>
              </w:rPr>
            </w:pPr>
            <w:r>
              <w:rPr>
                <w:rFonts w:hint="eastAsia" w:ascii="宋体" w:hAnsi="宋体"/>
                <w:sz w:val="24"/>
                <w:highlight w:val="none"/>
              </w:rPr>
              <w:t>解决争议的方法</w:t>
            </w:r>
          </w:p>
        </w:tc>
        <w:tc>
          <w:tcPr>
            <w:tcW w:w="5170" w:type="dxa"/>
            <w:tcBorders>
              <w:top w:val="single" w:color="auto" w:sz="2" w:space="0"/>
              <w:left w:val="single" w:color="auto" w:sz="2" w:space="0"/>
              <w:bottom w:val="single" w:color="auto" w:sz="6" w:space="0"/>
              <w:right w:val="double" w:color="auto" w:sz="4" w:space="0"/>
            </w:tcBorders>
            <w:vAlign w:val="center"/>
          </w:tcPr>
          <w:p w14:paraId="40DA8EB1">
            <w:pPr>
              <w:autoSpaceDE w:val="0"/>
              <w:autoSpaceDN w:val="0"/>
              <w:snapToGrid w:val="0"/>
              <w:spacing w:line="360" w:lineRule="auto"/>
              <w:jc w:val="left"/>
              <w:rPr>
                <w:rFonts w:ascii="宋体" w:hAnsi="宋体" w:cs="宋体"/>
                <w:iCs/>
                <w:sz w:val="24"/>
                <w:highlight w:val="none"/>
              </w:rPr>
            </w:pPr>
            <w:r>
              <w:rPr>
                <w:rFonts w:hint="eastAsia" w:ascii="宋体" w:hAnsi="宋体" w:cs="宋体"/>
                <w:iCs/>
                <w:sz w:val="24"/>
                <w:highlight w:val="none"/>
              </w:rPr>
              <w:t>因本合同及合同有关事项发生的争议，按下列第</w:t>
            </w:r>
            <w:r>
              <w:rPr>
                <w:rFonts w:hint="eastAsia" w:ascii="宋体" w:hAnsi="宋体" w:cs="宋体"/>
                <w:iCs/>
                <w:sz w:val="24"/>
                <w:highlight w:val="none"/>
                <w:u w:val="single"/>
              </w:rPr>
              <w:t xml:space="preserve">   </w:t>
            </w:r>
            <w:r>
              <w:rPr>
                <w:rFonts w:hint="eastAsia" w:ascii="宋体" w:hAnsi="宋体" w:cs="宋体"/>
                <w:iCs/>
                <w:sz w:val="24"/>
                <w:highlight w:val="none"/>
              </w:rPr>
              <w:t>种方式解决：</w:t>
            </w:r>
          </w:p>
          <w:p w14:paraId="0EB5687A">
            <w:pPr>
              <w:autoSpaceDE w:val="0"/>
              <w:autoSpaceDN w:val="0"/>
              <w:snapToGrid w:val="0"/>
              <w:spacing w:line="360" w:lineRule="auto"/>
              <w:jc w:val="left"/>
              <w:rPr>
                <w:rFonts w:ascii="宋体" w:hAnsi="宋体" w:cs="宋体"/>
                <w:iCs/>
                <w:sz w:val="24"/>
                <w:highlight w:val="none"/>
              </w:rPr>
            </w:pPr>
            <w:r>
              <w:rPr>
                <w:rFonts w:hint="eastAsia" w:ascii="宋体" w:hAnsi="宋体" w:cs="宋体"/>
                <w:iCs/>
                <w:sz w:val="24"/>
                <w:highlight w:val="none"/>
              </w:rPr>
              <w:t>（1）向</w:t>
            </w:r>
            <w:r>
              <w:rPr>
                <w:rFonts w:hint="eastAsia" w:ascii="宋体" w:hAnsi="宋体" w:cs="宋体"/>
                <w:iCs/>
                <w:sz w:val="24"/>
                <w:highlight w:val="none"/>
                <w:u w:val="single"/>
              </w:rPr>
              <w:t xml:space="preserve">                    </w:t>
            </w:r>
            <w:r>
              <w:rPr>
                <w:rFonts w:hint="eastAsia" w:ascii="宋体" w:hAnsi="宋体" w:cs="宋体"/>
                <w:iCs/>
                <w:sz w:val="24"/>
                <w:highlight w:val="none"/>
              </w:rPr>
              <w:t>仲裁委员会申请仲裁，仲裁地点为</w:t>
            </w:r>
            <w:r>
              <w:rPr>
                <w:rFonts w:hint="eastAsia" w:ascii="宋体" w:hAnsi="宋体" w:cs="宋体"/>
                <w:iCs/>
                <w:sz w:val="24"/>
                <w:highlight w:val="none"/>
                <w:u w:val="single"/>
              </w:rPr>
              <w:t xml:space="preserve">           </w:t>
            </w:r>
            <w:r>
              <w:rPr>
                <w:rFonts w:hint="eastAsia" w:ascii="宋体" w:hAnsi="宋体" w:cs="宋体"/>
                <w:iCs/>
                <w:sz w:val="24"/>
                <w:highlight w:val="none"/>
              </w:rPr>
              <w:t>；</w:t>
            </w:r>
          </w:p>
          <w:p w14:paraId="7B765176">
            <w:pPr>
              <w:snapToGrid w:val="0"/>
              <w:spacing w:line="360" w:lineRule="auto"/>
              <w:jc w:val="left"/>
              <w:rPr>
                <w:rFonts w:ascii="宋体" w:hAnsi="宋体"/>
                <w:sz w:val="24"/>
                <w:highlight w:val="none"/>
                <w:u w:val="single"/>
              </w:rPr>
            </w:pPr>
            <w:r>
              <w:rPr>
                <w:rFonts w:hint="eastAsia" w:ascii="宋体" w:hAnsi="宋体" w:cs="宋体"/>
                <w:iCs/>
                <w:sz w:val="24"/>
                <w:highlight w:val="none"/>
              </w:rPr>
              <w:t>（2）向</w:t>
            </w:r>
            <w:r>
              <w:rPr>
                <w:rFonts w:hint="eastAsia" w:ascii="宋体" w:hAnsi="宋体" w:cs="宋体"/>
                <w:iCs/>
                <w:sz w:val="24"/>
                <w:highlight w:val="none"/>
                <w:u w:val="single"/>
              </w:rPr>
              <w:t xml:space="preserve">                    </w:t>
            </w:r>
            <w:r>
              <w:rPr>
                <w:rFonts w:hint="eastAsia" w:ascii="宋体" w:hAnsi="宋体" w:cs="宋体"/>
                <w:iCs/>
                <w:sz w:val="24"/>
                <w:highlight w:val="none"/>
              </w:rPr>
              <w:t>人民法院起诉。</w:t>
            </w:r>
          </w:p>
        </w:tc>
      </w:tr>
      <w:tr w14:paraId="6A3DDC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tcBorders>
              <w:top w:val="single" w:color="auto" w:sz="6" w:space="0"/>
              <w:left w:val="double" w:color="auto" w:sz="4" w:space="0"/>
              <w:bottom w:val="double" w:color="auto" w:sz="4" w:space="0"/>
              <w:right w:val="single" w:color="auto" w:sz="6" w:space="0"/>
            </w:tcBorders>
            <w:vAlign w:val="center"/>
          </w:tcPr>
          <w:p w14:paraId="37C4A3E7">
            <w:pPr>
              <w:snapToGrid w:val="0"/>
              <w:spacing w:line="360" w:lineRule="auto"/>
              <w:jc w:val="center"/>
              <w:rPr>
                <w:rFonts w:ascii="宋体" w:hAnsi="宋体"/>
                <w:sz w:val="24"/>
                <w:highlight w:val="none"/>
              </w:rPr>
            </w:pPr>
            <w:r>
              <w:rPr>
                <w:rFonts w:hint="eastAsia" w:ascii="宋体" w:hAnsi="宋体"/>
                <w:sz w:val="24"/>
                <w:highlight w:val="none"/>
              </w:rPr>
              <w:t>第二节</w:t>
            </w:r>
          </w:p>
          <w:p w14:paraId="192BD1FB">
            <w:pPr>
              <w:snapToGrid w:val="0"/>
              <w:spacing w:line="360" w:lineRule="auto"/>
              <w:jc w:val="center"/>
              <w:rPr>
                <w:rFonts w:ascii="宋体" w:hAnsi="宋体"/>
                <w:sz w:val="24"/>
                <w:highlight w:val="none"/>
              </w:rPr>
            </w:pPr>
            <w:r>
              <w:rPr>
                <w:rFonts w:hint="eastAsia" w:ascii="宋体" w:hAnsi="宋体"/>
                <w:sz w:val="24"/>
                <w:highlight w:val="none"/>
              </w:rPr>
              <w:t>第23.1款</w:t>
            </w:r>
          </w:p>
        </w:tc>
        <w:tc>
          <w:tcPr>
            <w:tcW w:w="1742" w:type="dxa"/>
            <w:tcBorders>
              <w:top w:val="single" w:color="auto" w:sz="6" w:space="0"/>
              <w:left w:val="single" w:color="auto" w:sz="6" w:space="0"/>
              <w:bottom w:val="double" w:color="auto" w:sz="4" w:space="0"/>
              <w:right w:val="single" w:color="auto" w:sz="6" w:space="0"/>
            </w:tcBorders>
            <w:vAlign w:val="center"/>
          </w:tcPr>
          <w:p w14:paraId="44D237CD">
            <w:pPr>
              <w:snapToGrid w:val="0"/>
              <w:spacing w:line="360" w:lineRule="auto"/>
              <w:jc w:val="left"/>
              <w:rPr>
                <w:rFonts w:ascii="宋体" w:hAnsi="宋体"/>
                <w:sz w:val="24"/>
                <w:highlight w:val="none"/>
              </w:rPr>
            </w:pPr>
            <w:r>
              <w:rPr>
                <w:rFonts w:hint="eastAsia" w:ascii="宋体" w:hAnsi="宋体"/>
                <w:bCs/>
                <w:sz w:val="24"/>
                <w:highlight w:val="none"/>
              </w:rPr>
              <w:t>其他专用条款</w:t>
            </w:r>
          </w:p>
        </w:tc>
        <w:tc>
          <w:tcPr>
            <w:tcW w:w="5170" w:type="dxa"/>
            <w:tcBorders>
              <w:top w:val="single" w:color="auto" w:sz="6" w:space="0"/>
              <w:left w:val="single" w:color="auto" w:sz="6" w:space="0"/>
              <w:bottom w:val="double" w:color="auto" w:sz="4" w:space="0"/>
              <w:right w:val="double" w:color="auto" w:sz="4" w:space="0"/>
            </w:tcBorders>
            <w:vAlign w:val="center"/>
          </w:tcPr>
          <w:p w14:paraId="221AD222">
            <w:pPr>
              <w:snapToGrid w:val="0"/>
              <w:spacing w:line="360" w:lineRule="auto"/>
              <w:jc w:val="left"/>
              <w:rPr>
                <w:rFonts w:ascii="宋体" w:hAnsi="宋体"/>
                <w:sz w:val="24"/>
                <w:highlight w:val="none"/>
              </w:rPr>
            </w:pPr>
          </w:p>
        </w:tc>
      </w:tr>
    </w:tbl>
    <w:p w14:paraId="0961CC36">
      <w:pPr>
        <w:adjustRightInd/>
        <w:rPr>
          <w:highlight w:val="none"/>
        </w:rPr>
      </w:pPr>
    </w:p>
    <w:p w14:paraId="7A486448">
      <w:pPr>
        <w:adjustRightInd/>
        <w:rPr>
          <w:highlight w:val="none"/>
        </w:rPr>
      </w:pPr>
    </w:p>
    <w:p w14:paraId="26863CBF">
      <w:pPr>
        <w:spacing w:line="360" w:lineRule="auto"/>
        <w:ind w:left="-420" w:leftChars="-200" w:right="-420" w:rightChars="-200"/>
        <w:rPr>
          <w:rFonts w:ascii="宋体" w:hAnsi="宋体" w:cs="宋体"/>
          <w:sz w:val="24"/>
          <w:highlight w:val="none"/>
        </w:rPr>
      </w:pPr>
    </w:p>
    <w:p w14:paraId="14777452">
      <w:pPr>
        <w:pStyle w:val="4"/>
        <w:rPr>
          <w:highlight w:val="none"/>
        </w:rPr>
      </w:pPr>
      <w:r>
        <w:rPr>
          <w:highlight w:val="none"/>
        </w:rPr>
        <w:br w:type="page"/>
      </w:r>
    </w:p>
    <w:p w14:paraId="044D807D">
      <w:pPr>
        <w:rPr>
          <w:highlight w:val="none"/>
        </w:rPr>
      </w:pPr>
    </w:p>
    <w:p w14:paraId="74D87AFD">
      <w:pPr>
        <w:spacing w:line="360" w:lineRule="auto"/>
        <w:ind w:left="720" w:firstLine="723" w:firstLineChars="200"/>
        <w:outlineLvl w:val="0"/>
        <w:rPr>
          <w:rFonts w:ascii="宋体" w:hAnsi="宋体" w:cs="宋体"/>
          <w:b/>
          <w:sz w:val="36"/>
          <w:szCs w:val="20"/>
          <w:highlight w:val="none"/>
        </w:rPr>
      </w:pPr>
      <w:bookmarkStart w:id="424" w:name="_Toc176185126"/>
      <w:bookmarkStart w:id="425" w:name="_Toc176343853"/>
      <w:r>
        <w:rPr>
          <w:rFonts w:hint="eastAsia" w:ascii="宋体" w:hAnsi="宋体" w:cs="宋体"/>
          <w:b/>
          <w:sz w:val="36"/>
          <w:szCs w:val="20"/>
          <w:highlight w:val="none"/>
        </w:rPr>
        <w:t>第六部分</w:t>
      </w:r>
      <w:bookmarkEnd w:id="415"/>
      <w:r>
        <w:rPr>
          <w:rFonts w:hint="eastAsia" w:ascii="宋体" w:hAnsi="宋体" w:cs="宋体"/>
          <w:b/>
          <w:sz w:val="36"/>
          <w:szCs w:val="20"/>
          <w:highlight w:val="none"/>
        </w:rPr>
        <w:t xml:space="preserve"> </w:t>
      </w:r>
      <w:bookmarkEnd w:id="416"/>
      <w:r>
        <w:rPr>
          <w:rFonts w:hint="eastAsia" w:ascii="宋体" w:hAnsi="宋体" w:cs="宋体"/>
          <w:b/>
          <w:sz w:val="36"/>
          <w:szCs w:val="20"/>
          <w:highlight w:val="none"/>
        </w:rPr>
        <w:t xml:space="preserve"> 应提交的有关格式范例</w:t>
      </w:r>
      <w:bookmarkEnd w:id="424"/>
      <w:bookmarkEnd w:id="425"/>
    </w:p>
    <w:p w14:paraId="7D68D86F">
      <w:pPr>
        <w:pStyle w:val="82"/>
        <w:rPr>
          <w:highlight w:val="none"/>
        </w:rPr>
      </w:pPr>
    </w:p>
    <w:p w14:paraId="6B4B55D9">
      <w:pPr>
        <w:spacing w:line="360" w:lineRule="auto"/>
        <w:jc w:val="center"/>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3E8F09B3">
      <w:pPr>
        <w:spacing w:line="360" w:lineRule="auto"/>
        <w:jc w:val="center"/>
        <w:rPr>
          <w:rFonts w:ascii="宋体" w:hAnsi="宋体" w:cs="宋体"/>
          <w:b/>
          <w:kern w:val="0"/>
          <w:sz w:val="36"/>
          <w:szCs w:val="36"/>
          <w:highlight w:val="none"/>
        </w:rPr>
      </w:pPr>
      <w:r>
        <w:rPr>
          <w:rFonts w:hint="eastAsia" w:ascii="宋体" w:hAnsi="宋体" w:cs="宋体"/>
          <w:b/>
          <w:kern w:val="0"/>
          <w:sz w:val="36"/>
          <w:szCs w:val="36"/>
          <w:highlight w:val="none"/>
        </w:rPr>
        <w:t>目录</w:t>
      </w:r>
    </w:p>
    <w:p w14:paraId="09B324A9">
      <w:pPr>
        <w:pStyle w:val="82"/>
        <w:rPr>
          <w:highlight w:val="none"/>
        </w:rPr>
      </w:pPr>
    </w:p>
    <w:p w14:paraId="447AFECD">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47B56B81">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14:paraId="32E4625D">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）落实政府采购政策需满足的资格要求………………………………（页码）</w:t>
      </w:r>
    </w:p>
    <w:p w14:paraId="2CD3E9A1">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）本项目的特定资格要求………………………………………………（页码）</w:t>
      </w:r>
    </w:p>
    <w:p w14:paraId="413C1561">
      <w:pPr>
        <w:snapToGrid w:val="0"/>
        <w:spacing w:line="360" w:lineRule="auto"/>
        <w:ind w:firstLine="480" w:firstLineChars="200"/>
        <w:rPr>
          <w:rFonts w:ascii="宋体" w:hAnsi="宋体" w:cs="宋体"/>
          <w:sz w:val="24"/>
          <w:highlight w:val="none"/>
        </w:rPr>
      </w:pPr>
    </w:p>
    <w:p w14:paraId="37D8042F">
      <w:pPr>
        <w:spacing w:line="360" w:lineRule="auto"/>
        <w:ind w:firstLine="480" w:firstLineChars="200"/>
        <w:rPr>
          <w:rFonts w:ascii="宋体" w:hAnsi="宋体" w:cs="宋体"/>
          <w:sz w:val="24"/>
          <w:highlight w:val="none"/>
        </w:rPr>
      </w:pPr>
    </w:p>
    <w:p w14:paraId="217E4A93">
      <w:pPr>
        <w:snapToGrid w:val="0"/>
        <w:spacing w:line="360" w:lineRule="auto"/>
        <w:ind w:right="480"/>
        <w:jc w:val="center"/>
        <w:rPr>
          <w:rFonts w:ascii="宋体" w:hAnsi="宋体" w:cs="宋体"/>
          <w:kern w:val="0"/>
          <w:sz w:val="24"/>
          <w:highlight w:val="none"/>
        </w:rPr>
      </w:pPr>
      <w:r>
        <w:rPr>
          <w:rFonts w:hint="eastAsia" w:ascii="宋体" w:hAnsi="宋体" w:cs="宋体"/>
          <w:kern w:val="0"/>
          <w:sz w:val="24"/>
          <w:highlight w:val="none"/>
        </w:rPr>
        <w:br w:type="page"/>
      </w:r>
    </w:p>
    <w:p w14:paraId="028960EA">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一、 符合参加政府采购活动应当具备的一般条件的承诺函</w:t>
      </w:r>
    </w:p>
    <w:p w14:paraId="23F2170F">
      <w:pPr>
        <w:snapToGrid w:val="0"/>
        <w:spacing w:line="360" w:lineRule="auto"/>
        <w:ind w:right="480"/>
        <w:jc w:val="center"/>
        <w:rPr>
          <w:rFonts w:ascii="宋体" w:hAnsi="宋体" w:cs="宋体"/>
          <w:sz w:val="24"/>
          <w:highlight w:val="none"/>
        </w:rPr>
      </w:pPr>
    </w:p>
    <w:p w14:paraId="66DFF1C1">
      <w:pPr>
        <w:snapToGrid w:val="0"/>
        <w:spacing w:line="360" w:lineRule="auto"/>
        <w:jc w:val="center"/>
        <w:rPr>
          <w:rFonts w:ascii="宋体" w:hAnsi="宋体" w:cs="宋体"/>
          <w:b/>
          <w:sz w:val="24"/>
          <w:highlight w:val="none"/>
        </w:rPr>
      </w:pPr>
      <w:r>
        <w:rPr>
          <w:rFonts w:hint="eastAsia" w:ascii="宋体" w:hAnsi="宋体" w:cs="宋体"/>
          <w:b/>
          <w:sz w:val="24"/>
          <w:highlight w:val="none"/>
        </w:rPr>
        <w:t>北海市政府采购供应商信用承诺函（格式）</w:t>
      </w:r>
    </w:p>
    <w:p w14:paraId="51F0BAD1">
      <w:pPr>
        <w:snapToGrid w:val="0"/>
        <w:spacing w:line="360" w:lineRule="auto"/>
        <w:rPr>
          <w:rFonts w:ascii="宋体" w:hAnsi="宋体" w:cs="宋体"/>
          <w:color w:val="0000FF"/>
          <w:sz w:val="24"/>
          <w:highlight w:val="none"/>
        </w:rPr>
      </w:pPr>
    </w:p>
    <w:p w14:paraId="5138F822">
      <w:pPr>
        <w:snapToGrid w:val="0"/>
        <w:spacing w:line="360" w:lineRule="auto"/>
        <w:ind w:right="480"/>
        <w:rPr>
          <w:rFonts w:ascii="宋体" w:hAnsi="宋体" w:cs="宋体"/>
          <w:sz w:val="24"/>
          <w:highlight w:val="none"/>
        </w:rPr>
      </w:pPr>
      <w:r>
        <w:rPr>
          <w:rFonts w:hint="eastAsia" w:ascii="宋体" w:hAnsi="宋体" w:cs="宋体"/>
          <w:sz w:val="24"/>
          <w:highlight w:val="none"/>
        </w:rPr>
        <w:t>（采购人）、（采购代理机构） ：</w:t>
      </w:r>
    </w:p>
    <w:p w14:paraId="0BD6F712">
      <w:pPr>
        <w:snapToGrid w:val="0"/>
        <w:spacing w:line="360" w:lineRule="auto"/>
        <w:ind w:right="480"/>
        <w:rPr>
          <w:rFonts w:ascii="宋体" w:hAnsi="宋体" w:cs="宋体"/>
          <w:sz w:val="24"/>
          <w:highlight w:val="none"/>
        </w:rPr>
      </w:pPr>
      <w:r>
        <w:rPr>
          <w:rFonts w:hint="eastAsia" w:ascii="宋体" w:hAnsi="宋体" w:cs="宋体"/>
          <w:sz w:val="24"/>
          <w:highlight w:val="none"/>
        </w:rPr>
        <w:t>供应商名称：</w:t>
      </w:r>
    </w:p>
    <w:p w14:paraId="4F480C85">
      <w:pPr>
        <w:snapToGrid w:val="0"/>
        <w:spacing w:line="360" w:lineRule="auto"/>
        <w:ind w:right="480"/>
        <w:rPr>
          <w:rFonts w:ascii="宋体" w:hAnsi="宋体" w:cs="宋体"/>
          <w:sz w:val="24"/>
          <w:highlight w:val="none"/>
        </w:rPr>
      </w:pPr>
      <w:r>
        <w:rPr>
          <w:rFonts w:hint="eastAsia" w:ascii="宋体" w:hAnsi="宋体" w:cs="宋体"/>
          <w:sz w:val="24"/>
          <w:highlight w:val="none"/>
        </w:rPr>
        <w:t>统一社会信用代码：</w:t>
      </w:r>
    </w:p>
    <w:p w14:paraId="2513117A">
      <w:pPr>
        <w:snapToGrid w:val="0"/>
        <w:spacing w:line="360" w:lineRule="auto"/>
        <w:ind w:right="480"/>
        <w:rPr>
          <w:rFonts w:ascii="宋体" w:hAnsi="宋体" w:cs="宋体"/>
          <w:sz w:val="24"/>
          <w:highlight w:val="none"/>
        </w:rPr>
      </w:pPr>
      <w:r>
        <w:rPr>
          <w:rFonts w:hint="eastAsia" w:ascii="宋体" w:hAnsi="宋体" w:cs="宋体"/>
          <w:sz w:val="24"/>
          <w:highlight w:val="none"/>
        </w:rPr>
        <w:t>供应商地址：</w:t>
      </w:r>
    </w:p>
    <w:p w14:paraId="5E382295">
      <w:pPr>
        <w:snapToGrid w:val="0"/>
        <w:spacing w:line="360" w:lineRule="auto"/>
        <w:ind w:right="482" w:firstLine="480" w:firstLineChars="200"/>
        <w:rPr>
          <w:rFonts w:ascii="宋体" w:hAnsi="宋体" w:cs="宋体"/>
          <w:sz w:val="24"/>
          <w:highlight w:val="none"/>
        </w:rPr>
      </w:pPr>
      <w:r>
        <w:rPr>
          <w:rFonts w:hint="eastAsia" w:ascii="宋体" w:hAnsi="宋体" w:cs="宋体"/>
          <w:sz w:val="24"/>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48CD8698">
      <w:pPr>
        <w:snapToGrid w:val="0"/>
        <w:spacing w:line="360" w:lineRule="auto"/>
        <w:ind w:right="482" w:firstLine="480" w:firstLineChars="200"/>
        <w:rPr>
          <w:rFonts w:ascii="宋体" w:hAnsi="宋体" w:cs="宋体"/>
          <w:sz w:val="24"/>
          <w:highlight w:val="none"/>
        </w:rPr>
      </w:pPr>
      <w:r>
        <w:rPr>
          <w:rFonts w:hint="eastAsia" w:ascii="宋体" w:hAnsi="宋体" w:cs="宋体"/>
          <w:sz w:val="24"/>
          <w:highlight w:val="none"/>
        </w:rPr>
        <w:t>1.我单位具有符合采购文件资格要求独立承担民事责任的能力。</w:t>
      </w:r>
    </w:p>
    <w:p w14:paraId="6298D12C">
      <w:pPr>
        <w:snapToGrid w:val="0"/>
        <w:spacing w:line="360" w:lineRule="auto"/>
        <w:ind w:right="482" w:firstLine="480" w:firstLineChars="200"/>
        <w:rPr>
          <w:rFonts w:ascii="宋体" w:hAnsi="宋体" w:cs="宋体"/>
          <w:sz w:val="24"/>
          <w:highlight w:val="none"/>
        </w:rPr>
      </w:pPr>
      <w:r>
        <w:rPr>
          <w:rFonts w:hint="eastAsia" w:ascii="宋体" w:hAnsi="宋体" w:cs="宋体"/>
          <w:sz w:val="24"/>
          <w:highlight w:val="none"/>
        </w:rPr>
        <w:t>2.我单位具有符合采购文件资格要求的财务状况报告。</w:t>
      </w:r>
    </w:p>
    <w:p w14:paraId="42131011">
      <w:pPr>
        <w:snapToGrid w:val="0"/>
        <w:spacing w:line="360" w:lineRule="auto"/>
        <w:ind w:right="482" w:firstLine="480" w:firstLineChars="200"/>
        <w:rPr>
          <w:rFonts w:ascii="宋体" w:hAnsi="宋体" w:cs="宋体"/>
          <w:sz w:val="24"/>
          <w:highlight w:val="none"/>
        </w:rPr>
      </w:pPr>
      <w:r>
        <w:rPr>
          <w:rFonts w:hint="eastAsia" w:ascii="宋体" w:hAnsi="宋体" w:cs="宋体"/>
          <w:sz w:val="24"/>
          <w:highlight w:val="none"/>
        </w:rPr>
        <w:t>3.我单位具有符合采购文件资格要求的依法缴纳税收和社会保障记录的良好记录。</w:t>
      </w:r>
    </w:p>
    <w:p w14:paraId="215DB9B3">
      <w:pPr>
        <w:snapToGrid w:val="0"/>
        <w:spacing w:line="360" w:lineRule="auto"/>
        <w:ind w:right="482" w:firstLine="480" w:firstLineChars="200"/>
        <w:rPr>
          <w:rFonts w:ascii="宋体" w:hAnsi="宋体" w:cs="宋体"/>
          <w:sz w:val="24"/>
          <w:highlight w:val="none"/>
        </w:rPr>
      </w:pPr>
      <w:r>
        <w:rPr>
          <w:rFonts w:hint="eastAsia" w:ascii="宋体" w:hAnsi="宋体" w:cs="宋体"/>
          <w:sz w:val="24"/>
          <w:highlight w:val="none"/>
        </w:rPr>
        <w:t>4.我单位具有符合采购文件资格要求履行合同所必需的设备和专业技术能力。</w:t>
      </w:r>
    </w:p>
    <w:p w14:paraId="2775DD87">
      <w:pPr>
        <w:snapToGrid w:val="0"/>
        <w:spacing w:line="360" w:lineRule="auto"/>
        <w:ind w:right="482"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01B3D1CF">
      <w:pPr>
        <w:snapToGrid w:val="0"/>
        <w:spacing w:line="360" w:lineRule="auto"/>
        <w:ind w:right="482" w:firstLine="480" w:firstLineChars="200"/>
        <w:rPr>
          <w:rFonts w:ascii="宋体" w:hAnsi="宋体" w:cs="宋体"/>
          <w:sz w:val="24"/>
          <w:highlight w:val="none"/>
        </w:rPr>
      </w:pPr>
      <w:r>
        <w:rPr>
          <w:rFonts w:hint="eastAsia" w:ascii="宋体" w:hAnsi="宋体" w:cs="宋体"/>
          <w:sz w:val="24"/>
          <w:highlight w:val="none"/>
        </w:rPr>
        <w:t>若我单位承诺不实，自愿承担提供虚假材料谋取中标、成交的法律责任。</w:t>
      </w:r>
    </w:p>
    <w:p w14:paraId="74CBDD41">
      <w:pPr>
        <w:snapToGrid w:val="0"/>
        <w:spacing w:line="360" w:lineRule="auto"/>
        <w:ind w:right="480"/>
        <w:rPr>
          <w:rFonts w:ascii="宋体" w:hAnsi="宋体" w:cs="宋体"/>
          <w:sz w:val="24"/>
          <w:highlight w:val="none"/>
        </w:rPr>
      </w:pPr>
    </w:p>
    <w:p w14:paraId="0B820437">
      <w:pPr>
        <w:spacing w:line="360" w:lineRule="auto"/>
        <w:ind w:firstLine="3600" w:firstLineChars="1500"/>
        <w:rPr>
          <w:rFonts w:ascii="宋体" w:hAnsi="宋体" w:cs="宋体"/>
          <w:sz w:val="24"/>
          <w:highlight w:val="none"/>
        </w:rPr>
      </w:pPr>
      <w:r>
        <w:rPr>
          <w:rFonts w:hint="eastAsia" w:ascii="宋体" w:hAnsi="宋体" w:cs="宋体"/>
          <w:sz w:val="24"/>
          <w:highlight w:val="none"/>
        </w:rPr>
        <w:t>投标人名称（公章）：</w:t>
      </w:r>
    </w:p>
    <w:p w14:paraId="307BB1AA">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法定代表人（负责人）或委托代理人(签名)：                          </w:t>
      </w:r>
    </w:p>
    <w:p w14:paraId="108E981D">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7AA08058">
      <w:pPr>
        <w:snapToGrid w:val="0"/>
        <w:spacing w:line="360" w:lineRule="auto"/>
        <w:ind w:right="480"/>
        <w:rPr>
          <w:rFonts w:ascii="宋体" w:hAnsi="宋体" w:cs="宋体"/>
          <w:sz w:val="24"/>
          <w:highlight w:val="none"/>
        </w:rPr>
      </w:pPr>
    </w:p>
    <w:p w14:paraId="6EBED574">
      <w:pPr>
        <w:snapToGrid w:val="0"/>
        <w:spacing w:line="360" w:lineRule="auto"/>
        <w:ind w:right="480"/>
        <w:jc w:val="center"/>
        <w:rPr>
          <w:rFonts w:ascii="宋体" w:hAnsi="宋体" w:cs="宋体"/>
          <w:b/>
          <w:kern w:val="0"/>
          <w:sz w:val="32"/>
          <w:szCs w:val="32"/>
          <w:highlight w:val="none"/>
        </w:rPr>
      </w:pPr>
    </w:p>
    <w:p w14:paraId="3A72AFA6">
      <w:pPr>
        <w:rPr>
          <w:rFonts w:ascii="宋体" w:hAnsi="宋体" w:cs="宋体"/>
          <w:highlight w:val="none"/>
        </w:rPr>
      </w:pPr>
    </w:p>
    <w:p w14:paraId="422206A9">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14:paraId="0AAB2450">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1A235C82">
      <w:pPr>
        <w:snapToGrid w:val="0"/>
        <w:spacing w:line="360" w:lineRule="auto"/>
        <w:ind w:right="480"/>
        <w:jc w:val="center"/>
        <w:rPr>
          <w:rFonts w:ascii="宋体" w:hAnsi="宋体" w:cs="宋体"/>
          <w:b/>
          <w:kern w:val="0"/>
          <w:sz w:val="32"/>
          <w:szCs w:val="32"/>
          <w:highlight w:val="none"/>
        </w:rPr>
      </w:pPr>
    </w:p>
    <w:p w14:paraId="5896F02D">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14:paraId="4AA765CA">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3C1559D2">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.专门面向中小企业，货物全部由符合政策要求的中小企业（或小微企业）制造的，提供相应的中小企业声明函（附件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14:paraId="10E9058D">
      <w:pPr>
        <w:widowControl/>
        <w:spacing w:line="360" w:lineRule="auto"/>
        <w:ind w:firstLine="480"/>
        <w:jc w:val="left"/>
        <w:rPr>
          <w:rFonts w:ascii="宋体" w:hAnsi="宋体" w:cs="宋体"/>
          <w:sz w:val="24"/>
          <w:highlight w:val="none"/>
        </w:rPr>
      </w:pPr>
    </w:p>
    <w:p w14:paraId="37C03A06">
      <w:pPr>
        <w:widowControl/>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），联合协议中中小企业合同金额应当达到招标公告载明的比例；如果供应商本身提供所有标的均由中小企业制造的，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p>
    <w:p w14:paraId="24FBFF50">
      <w:pPr>
        <w:snapToGrid w:val="0"/>
        <w:spacing w:before="50" w:after="50" w:line="360" w:lineRule="auto"/>
        <w:jc w:val="center"/>
        <w:rPr>
          <w:rFonts w:ascii="宋体" w:hAnsi="宋体" w:cs="宋体"/>
          <w:sz w:val="24"/>
          <w:highlight w:val="none"/>
        </w:rPr>
      </w:pPr>
      <w:r>
        <w:rPr>
          <w:rFonts w:hint="eastAsia" w:ascii="宋体" w:hAnsi="宋体" w:cs="宋体"/>
          <w:b/>
          <w:sz w:val="24"/>
          <w:highlight w:val="none"/>
        </w:rPr>
        <w:t xml:space="preserve">    </w:t>
      </w:r>
    </w:p>
    <w:p w14:paraId="14323355">
      <w:pPr>
        <w:spacing w:line="360" w:lineRule="auto"/>
        <w:ind w:firstLine="482" w:firstLineChars="200"/>
        <w:rPr>
          <w:rFonts w:ascii="宋体" w:hAnsi="宋体" w:cs="宋体"/>
          <w:sz w:val="24"/>
          <w:highlight w:val="none"/>
        </w:rPr>
      </w:pPr>
      <w:r>
        <w:rPr>
          <w:rFonts w:hint="eastAsia" w:ascii="宋体" w:hAnsi="宋体" w:cs="宋体"/>
          <w:b/>
          <w:sz w:val="24"/>
          <w:highlight w:val="none"/>
        </w:rPr>
        <w:t>C、</w:t>
      </w:r>
      <w:r>
        <w:rPr>
          <w:rFonts w:hint="eastAsia" w:ascii="宋体" w:hAnsi="宋体" w:cs="宋体"/>
          <w:sz w:val="24"/>
          <w:highlight w:val="none"/>
        </w:rPr>
        <w:t>要求合同分包的，提供分包意向协议（附件6）和中小企业声明函（附件</w:t>
      </w:r>
      <w:r>
        <w:rPr>
          <w:rFonts w:ascii="宋体" w:hAnsi="宋体" w:cs="宋体"/>
          <w:sz w:val="24"/>
          <w:highlight w:val="none"/>
        </w:rPr>
        <w:t>7</w:t>
      </w:r>
      <w:r>
        <w:rPr>
          <w:rFonts w:hint="eastAsia" w:ascii="宋体" w:hAnsi="宋体" w:cs="宋体"/>
          <w:sz w:val="24"/>
          <w:highlight w:val="none"/>
        </w:rPr>
        <w:t>），分包意向协议中中小企业合同金额应当达到招标公告载明的比例；如果供应商本身提供所有标的均由中小企业制造的，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14:paraId="0AA2510B">
      <w:pPr>
        <w:widowControl/>
        <w:spacing w:line="360" w:lineRule="auto"/>
        <w:ind w:left="150"/>
        <w:jc w:val="center"/>
        <w:rPr>
          <w:rFonts w:ascii="宋体" w:hAnsi="宋体" w:cs="宋体"/>
          <w:b/>
          <w:kern w:val="0"/>
          <w:sz w:val="32"/>
          <w:szCs w:val="32"/>
          <w:highlight w:val="none"/>
        </w:rPr>
      </w:pPr>
    </w:p>
    <w:p w14:paraId="1DC14CE7">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14:paraId="35D5D5FB">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3CAAFD8D">
      <w:pPr>
        <w:rPr>
          <w:rFonts w:ascii="宋体" w:hAnsi="宋体" w:cs="宋体"/>
          <w:highlight w:val="none"/>
        </w:rPr>
      </w:pPr>
    </w:p>
    <w:p w14:paraId="0616DC93">
      <w:pPr>
        <w:widowControl/>
        <w:adjustRightInd/>
        <w:jc w:val="center"/>
        <w:rPr>
          <w:rFonts w:ascii="宋体" w:hAnsi="宋体" w:cs="宋体"/>
          <w:b/>
          <w:kern w:val="0"/>
          <w:sz w:val="32"/>
          <w:szCs w:val="32"/>
          <w:highlight w:val="none"/>
        </w:rPr>
      </w:pPr>
      <w:r>
        <w:rPr>
          <w:rFonts w:ascii="宋体" w:hAnsi="宋体" w:cs="宋体"/>
          <w:b/>
          <w:kern w:val="0"/>
          <w:sz w:val="32"/>
          <w:szCs w:val="32"/>
          <w:highlight w:val="none"/>
        </w:rPr>
        <w:br w:type="page"/>
      </w:r>
    </w:p>
    <w:p w14:paraId="0757AE54">
      <w:pPr>
        <w:widowControl/>
        <w:adjustRightInd/>
        <w:jc w:val="center"/>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15F88BD4">
      <w:pPr>
        <w:spacing w:line="360" w:lineRule="auto"/>
        <w:jc w:val="center"/>
        <w:rPr>
          <w:rFonts w:ascii="宋体" w:hAnsi="宋体" w:cs="宋体"/>
          <w:b/>
          <w:kern w:val="0"/>
          <w:sz w:val="28"/>
          <w:szCs w:val="28"/>
          <w:highlight w:val="none"/>
        </w:rPr>
      </w:pPr>
      <w:r>
        <w:rPr>
          <w:rFonts w:hint="eastAsia" w:ascii="宋体" w:hAnsi="宋体" w:cs="宋体"/>
          <w:b/>
          <w:kern w:val="0"/>
          <w:sz w:val="28"/>
          <w:szCs w:val="28"/>
          <w:highlight w:val="none"/>
        </w:rPr>
        <w:t>目录</w:t>
      </w:r>
    </w:p>
    <w:p w14:paraId="69F9A73A">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634B6AB4">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highlight w:val="none"/>
        </w:rPr>
        <w:t>…………………………………………………………………………（页码）</w:t>
      </w:r>
    </w:p>
    <w:p w14:paraId="077DF5D8">
      <w:pPr>
        <w:snapToGrid w:val="0"/>
        <w:spacing w:line="360" w:lineRule="auto"/>
        <w:ind w:firstLine="480" w:firstLineChars="200"/>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w:t>
      </w:r>
      <w:r>
        <w:rPr>
          <w:rFonts w:hint="eastAsia" w:ascii="宋体" w:hAnsi="宋体" w:cs="宋体"/>
          <w:highlight w:val="none"/>
        </w:rPr>
        <w:t>………………………………………………………………………（页码）</w:t>
      </w:r>
    </w:p>
    <w:p w14:paraId="4366544C">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）评标标准相应的商务技术资料</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6</w:t>
      </w:r>
      <w:r>
        <w:rPr>
          <w:rFonts w:hint="eastAsia" w:ascii="宋体" w:hAnsi="宋体" w:cs="宋体"/>
          <w:sz w:val="24"/>
          <w:highlight w:val="none"/>
        </w:rPr>
        <w:t>）投标标的清单</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7</w:t>
      </w:r>
      <w:r>
        <w:rPr>
          <w:rFonts w:hint="eastAsia" w:ascii="宋体" w:hAnsi="宋体" w:cs="宋体"/>
          <w:sz w:val="24"/>
          <w:highlight w:val="none"/>
        </w:rPr>
        <w:t>）商务技术偏离表</w:t>
      </w:r>
      <w:r>
        <w:rPr>
          <w:rFonts w:hint="eastAsia" w:ascii="宋体" w:hAnsi="宋体" w:cs="宋体"/>
          <w:highlight w:val="none"/>
        </w:rPr>
        <w:t>………………………………………………………………………（页码）</w:t>
      </w:r>
    </w:p>
    <w:p w14:paraId="05FC28F4">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14:paraId="4ECAF8FA">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hint="eastAsia" w:ascii="宋体" w:hAnsi="宋体" w:cs="宋体"/>
          <w:sz w:val="24"/>
          <w:highlight w:val="none"/>
        </w:rPr>
        <w:t>9</w:t>
      </w:r>
      <w:r>
        <w:rPr>
          <w:rFonts w:hint="eastAsia" w:ascii="宋体" w:hAnsi="宋体" w:cs="宋体"/>
          <w:sz w:val="24"/>
          <w:highlight w:val="none"/>
          <w:lang w:val="zh-CN"/>
        </w:rPr>
        <w:t>）承诺函</w:t>
      </w:r>
      <w:r>
        <w:rPr>
          <w:rFonts w:hint="eastAsia" w:ascii="宋体" w:hAnsi="宋体" w:cs="宋体"/>
          <w:highlight w:val="none"/>
        </w:rPr>
        <w:t>……………………………………………………………………………………（页码）</w:t>
      </w:r>
    </w:p>
    <w:p w14:paraId="659B46CF">
      <w:pPr>
        <w:snapToGrid w:val="0"/>
        <w:spacing w:line="360" w:lineRule="auto"/>
        <w:ind w:left="479" w:leftChars="228"/>
        <w:rPr>
          <w:rFonts w:ascii="宋体" w:hAnsi="宋体" w:cs="宋体"/>
          <w:color w:val="FF0000"/>
          <w:highlight w:val="none"/>
        </w:rPr>
      </w:pPr>
      <w:r>
        <w:rPr>
          <w:rFonts w:hint="eastAsia" w:ascii="宋体" w:hAnsi="宋体" w:cs="宋体"/>
          <w:color w:val="FF0000"/>
          <w:sz w:val="24"/>
          <w:highlight w:val="none"/>
          <w:lang w:val="zh-CN"/>
        </w:rPr>
        <w:t>（</w:t>
      </w:r>
      <w:r>
        <w:rPr>
          <w:rFonts w:hint="eastAsia" w:ascii="宋体" w:hAnsi="宋体" w:cs="宋体"/>
          <w:color w:val="FF0000"/>
          <w:sz w:val="24"/>
          <w:highlight w:val="none"/>
        </w:rPr>
        <w:t>10</w:t>
      </w:r>
      <w:r>
        <w:rPr>
          <w:rFonts w:hint="eastAsia" w:ascii="宋体" w:hAnsi="宋体" w:cs="宋体"/>
          <w:color w:val="FF0000"/>
          <w:sz w:val="24"/>
          <w:highlight w:val="none"/>
          <w:lang w:val="zh-CN"/>
        </w:rPr>
        <w:t>）技术解决方案</w:t>
      </w:r>
      <w:r>
        <w:rPr>
          <w:rFonts w:hint="eastAsia" w:ascii="宋体" w:hAnsi="宋体" w:cs="宋体"/>
          <w:color w:val="FF0000"/>
          <w:highlight w:val="none"/>
        </w:rPr>
        <w:t>…………………………………………………………………………（页码）</w:t>
      </w:r>
    </w:p>
    <w:p w14:paraId="75808A68">
      <w:pPr>
        <w:snapToGrid w:val="0"/>
        <w:spacing w:line="360" w:lineRule="auto"/>
        <w:ind w:left="479" w:leftChars="228"/>
        <w:rPr>
          <w:rFonts w:ascii="宋体" w:hAnsi="宋体" w:cs="宋体"/>
          <w:color w:val="FF0000"/>
          <w:highlight w:val="none"/>
        </w:rPr>
      </w:pPr>
      <w:r>
        <w:rPr>
          <w:rFonts w:hint="eastAsia" w:ascii="宋体" w:hAnsi="宋体" w:cs="宋体"/>
          <w:color w:val="FF0000"/>
          <w:sz w:val="24"/>
          <w:highlight w:val="none"/>
          <w:lang w:val="zh-CN"/>
        </w:rPr>
        <w:t>（</w:t>
      </w:r>
      <w:r>
        <w:rPr>
          <w:rFonts w:hint="eastAsia" w:ascii="宋体" w:hAnsi="宋体" w:cs="宋体"/>
          <w:color w:val="FF0000"/>
          <w:sz w:val="24"/>
          <w:highlight w:val="none"/>
        </w:rPr>
        <w:t>11</w:t>
      </w:r>
      <w:r>
        <w:rPr>
          <w:rFonts w:hint="eastAsia" w:ascii="宋体" w:hAnsi="宋体" w:cs="宋体"/>
          <w:color w:val="FF0000"/>
          <w:sz w:val="24"/>
          <w:highlight w:val="none"/>
          <w:lang w:val="zh-CN"/>
        </w:rPr>
        <w:t>）组织实施方案</w:t>
      </w:r>
      <w:r>
        <w:rPr>
          <w:rFonts w:hint="eastAsia" w:ascii="宋体" w:hAnsi="宋体" w:cs="宋体"/>
          <w:color w:val="FF0000"/>
          <w:highlight w:val="none"/>
        </w:rPr>
        <w:t>…………………………………………………………………………（页码）</w:t>
      </w:r>
    </w:p>
    <w:p w14:paraId="23A6FBD6">
      <w:pPr>
        <w:snapToGrid w:val="0"/>
        <w:spacing w:line="360" w:lineRule="auto"/>
        <w:ind w:left="479" w:leftChars="228"/>
        <w:rPr>
          <w:rFonts w:ascii="宋体" w:hAnsi="宋体" w:cs="宋体"/>
          <w:color w:val="FF0000"/>
          <w:highlight w:val="none"/>
        </w:rPr>
      </w:pPr>
      <w:r>
        <w:rPr>
          <w:rFonts w:hint="eastAsia" w:ascii="宋体" w:hAnsi="宋体" w:cs="宋体"/>
          <w:color w:val="FF0000"/>
          <w:sz w:val="24"/>
          <w:highlight w:val="none"/>
          <w:lang w:val="zh-CN"/>
        </w:rPr>
        <w:t>（</w:t>
      </w:r>
      <w:r>
        <w:rPr>
          <w:rFonts w:hint="eastAsia" w:ascii="宋体" w:hAnsi="宋体" w:cs="宋体"/>
          <w:color w:val="FF0000"/>
          <w:sz w:val="24"/>
          <w:highlight w:val="none"/>
        </w:rPr>
        <w:t>12</w:t>
      </w:r>
      <w:r>
        <w:rPr>
          <w:rFonts w:hint="eastAsia" w:ascii="宋体" w:hAnsi="宋体" w:cs="宋体"/>
          <w:color w:val="FF0000"/>
          <w:sz w:val="24"/>
          <w:highlight w:val="none"/>
          <w:lang w:val="zh-CN"/>
        </w:rPr>
        <w:t>）售后服务方案</w:t>
      </w:r>
      <w:r>
        <w:rPr>
          <w:rFonts w:hint="eastAsia" w:ascii="宋体" w:hAnsi="宋体" w:cs="宋体"/>
          <w:color w:val="FF0000"/>
          <w:highlight w:val="none"/>
        </w:rPr>
        <w:t>…………………………………………………………………………（页码）</w:t>
      </w:r>
    </w:p>
    <w:p w14:paraId="5334EF9A">
      <w:pPr>
        <w:pStyle w:val="82"/>
        <w:rPr>
          <w:highlight w:val="none"/>
        </w:rPr>
      </w:pPr>
    </w:p>
    <w:p w14:paraId="4673047F">
      <w:pPr>
        <w:snapToGrid w:val="0"/>
        <w:spacing w:line="360" w:lineRule="auto"/>
        <w:jc w:val="center"/>
        <w:rPr>
          <w:rFonts w:ascii="宋体" w:hAnsi="宋体" w:cs="宋体"/>
          <w:b/>
          <w:kern w:val="0"/>
          <w:sz w:val="32"/>
          <w:szCs w:val="32"/>
          <w:highlight w:val="none"/>
        </w:rPr>
      </w:pPr>
    </w:p>
    <w:p w14:paraId="53956740">
      <w:pPr>
        <w:snapToGrid w:val="0"/>
        <w:spacing w:line="360" w:lineRule="auto"/>
        <w:jc w:val="center"/>
        <w:rPr>
          <w:rFonts w:ascii="宋体" w:hAnsi="宋体" w:cs="宋体"/>
          <w:b/>
          <w:kern w:val="0"/>
          <w:sz w:val="32"/>
          <w:szCs w:val="32"/>
          <w:highlight w:val="none"/>
          <w:lang w:val="zh-CN"/>
        </w:rPr>
      </w:pPr>
    </w:p>
    <w:p w14:paraId="0905B3BE">
      <w:pPr>
        <w:snapToGrid w:val="0"/>
        <w:spacing w:line="360" w:lineRule="auto"/>
        <w:jc w:val="center"/>
        <w:rPr>
          <w:rFonts w:ascii="宋体" w:hAnsi="宋体" w:cs="宋体"/>
          <w:b/>
          <w:kern w:val="0"/>
          <w:sz w:val="32"/>
          <w:szCs w:val="32"/>
          <w:highlight w:val="none"/>
          <w:lang w:val="zh-CN"/>
        </w:rPr>
      </w:pPr>
    </w:p>
    <w:p w14:paraId="5B6A3052">
      <w:pPr>
        <w:snapToGrid w:val="0"/>
        <w:spacing w:line="360" w:lineRule="auto"/>
        <w:jc w:val="center"/>
        <w:rPr>
          <w:rFonts w:ascii="宋体" w:hAnsi="宋体" w:cs="宋体"/>
          <w:b/>
          <w:kern w:val="0"/>
          <w:sz w:val="32"/>
          <w:szCs w:val="32"/>
          <w:highlight w:val="none"/>
          <w:lang w:val="zh-CN"/>
        </w:rPr>
      </w:pPr>
    </w:p>
    <w:p w14:paraId="6C72F8C3">
      <w:pPr>
        <w:snapToGrid w:val="0"/>
        <w:spacing w:line="360" w:lineRule="auto"/>
        <w:jc w:val="center"/>
        <w:rPr>
          <w:rFonts w:ascii="宋体" w:hAnsi="宋体" w:cs="宋体"/>
          <w:b/>
          <w:kern w:val="0"/>
          <w:sz w:val="32"/>
          <w:szCs w:val="32"/>
          <w:highlight w:val="none"/>
          <w:lang w:val="zh-CN"/>
        </w:rPr>
      </w:pPr>
    </w:p>
    <w:p w14:paraId="1BAE6EC3">
      <w:pPr>
        <w:snapToGrid w:val="0"/>
        <w:spacing w:line="360" w:lineRule="auto"/>
        <w:jc w:val="center"/>
        <w:rPr>
          <w:rFonts w:ascii="宋体" w:hAnsi="宋体" w:cs="宋体"/>
          <w:b/>
          <w:kern w:val="0"/>
          <w:sz w:val="32"/>
          <w:szCs w:val="32"/>
          <w:highlight w:val="none"/>
        </w:rPr>
      </w:pPr>
    </w:p>
    <w:p w14:paraId="4A25CE9A">
      <w:pPr>
        <w:snapToGrid w:val="0"/>
        <w:spacing w:line="360" w:lineRule="auto"/>
        <w:jc w:val="center"/>
        <w:rPr>
          <w:rFonts w:ascii="宋体" w:hAnsi="宋体" w:cs="宋体"/>
          <w:b/>
          <w:kern w:val="0"/>
          <w:sz w:val="32"/>
          <w:szCs w:val="32"/>
          <w:highlight w:val="none"/>
        </w:rPr>
      </w:pPr>
    </w:p>
    <w:p w14:paraId="62902013">
      <w:pPr>
        <w:pStyle w:val="82"/>
        <w:rPr>
          <w:highlight w:val="none"/>
        </w:rPr>
      </w:pPr>
    </w:p>
    <w:p w14:paraId="1C3431C7">
      <w:pPr>
        <w:rPr>
          <w:highlight w:val="none"/>
        </w:rPr>
      </w:pPr>
    </w:p>
    <w:p w14:paraId="30346E0C">
      <w:pPr>
        <w:snapToGrid w:val="0"/>
        <w:spacing w:line="360" w:lineRule="auto"/>
        <w:ind w:firstLine="3855" w:firstLineChars="1200"/>
        <w:rPr>
          <w:rFonts w:ascii="宋体" w:hAnsi="宋体" w:cs="宋体"/>
          <w:b/>
          <w:kern w:val="0"/>
          <w:sz w:val="32"/>
          <w:szCs w:val="32"/>
          <w:highlight w:val="none"/>
        </w:rPr>
      </w:pPr>
    </w:p>
    <w:p w14:paraId="14568FB2">
      <w:pPr>
        <w:snapToGrid w:val="0"/>
        <w:spacing w:line="360" w:lineRule="auto"/>
        <w:ind w:firstLine="3855" w:firstLineChars="1200"/>
        <w:rPr>
          <w:rFonts w:ascii="宋体" w:hAnsi="宋体" w:cs="宋体"/>
          <w:b/>
          <w:kern w:val="0"/>
          <w:sz w:val="32"/>
          <w:szCs w:val="32"/>
          <w:highlight w:val="none"/>
        </w:rPr>
      </w:pPr>
    </w:p>
    <w:p w14:paraId="249B6F13">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74EC6BBE">
      <w:pPr>
        <w:snapToGrid w:val="0"/>
        <w:spacing w:line="360" w:lineRule="auto"/>
        <w:ind w:firstLine="3855" w:firstLineChars="120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14:paraId="7D3BCA5B">
      <w:pPr>
        <w:snapToGrid w:val="0"/>
        <w:spacing w:line="360" w:lineRule="auto"/>
        <w:rPr>
          <w:rFonts w:ascii="宋体" w:hAnsi="宋体" w:cs="宋体"/>
          <w:sz w:val="24"/>
          <w:highlight w:val="none"/>
        </w:rPr>
      </w:pPr>
      <w:r>
        <w:rPr>
          <w:rFonts w:hint="eastAsia" w:ascii="宋体" w:hAnsi="宋体" w:cs="宋体"/>
          <w:sz w:val="24"/>
          <w:highlight w:val="none"/>
        </w:rPr>
        <w:t>（采购人）、（采购代理机构）：</w:t>
      </w:r>
    </w:p>
    <w:p w14:paraId="6595CEF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我方参加你方组织的（项目名称）【招标编号：（采购编号）】招标的有关活动，并对此项目进行投标。为此：</w:t>
      </w:r>
    </w:p>
    <w:p w14:paraId="0F77C4D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天（不少于60天）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7B26DC6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14:paraId="6F63DC46">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4209D90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2.1.1承诺函；</w:t>
      </w:r>
    </w:p>
    <w:p w14:paraId="452D9747">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联合协议（如果有)；</w:t>
      </w:r>
    </w:p>
    <w:p w14:paraId="033914A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.1.3</w:t>
      </w:r>
      <w:r>
        <w:rPr>
          <w:rFonts w:hint="eastAsia" w:ascii="宋体" w:hAnsi="宋体" w:cs="宋体"/>
          <w:sz w:val="24"/>
          <w:highlight w:val="none"/>
        </w:rPr>
        <w:t>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3256F444">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3F1129CB">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1B5AC0A3">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14:paraId="39E73D4C">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14:paraId="571A91C5">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6A5E633D">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1F23A43F">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评标标准相应的商务技术资料</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7AE26B4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6</w:t>
      </w:r>
      <w:r>
        <w:rPr>
          <w:rFonts w:hint="eastAsia" w:ascii="宋体" w:hAnsi="宋体" w:cs="宋体"/>
          <w:sz w:val="24"/>
          <w:highlight w:val="none"/>
        </w:rPr>
        <w:t>投标标的清单</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0421014A">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7</w:t>
      </w:r>
      <w:r>
        <w:rPr>
          <w:rFonts w:hint="eastAsia" w:ascii="宋体" w:hAnsi="宋体" w:cs="宋体"/>
          <w:sz w:val="24"/>
          <w:highlight w:val="none"/>
        </w:rPr>
        <w:t>商务技术偏离表；</w:t>
      </w:r>
    </w:p>
    <w:p w14:paraId="3ECA77E6">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70ECDBA7">
      <w:pPr>
        <w:pStyle w:val="82"/>
        <w:ind w:left="420" w:leftChars="200" w:firstLine="480" w:firstLineChars="200"/>
        <w:rPr>
          <w:rFonts w:cs="宋体"/>
          <w:highlight w:val="none"/>
          <w:lang w:val="zh-CN"/>
        </w:rPr>
      </w:pPr>
      <w:r>
        <w:rPr>
          <w:rFonts w:hint="eastAsia" w:cs="宋体"/>
          <w:highlight w:val="none"/>
        </w:rPr>
        <w:t>2</w:t>
      </w:r>
      <w:r>
        <w:rPr>
          <w:rFonts w:hint="eastAsia" w:cs="宋体"/>
          <w:highlight w:val="none"/>
          <w:lang w:val="zh-CN"/>
        </w:rPr>
        <w:t>.</w:t>
      </w:r>
      <w:r>
        <w:rPr>
          <w:rFonts w:hint="eastAsia" w:cs="宋体"/>
          <w:highlight w:val="none"/>
        </w:rPr>
        <w:t>2</w:t>
      </w:r>
      <w:r>
        <w:rPr>
          <w:rFonts w:hint="eastAsia" w:cs="宋体"/>
          <w:highlight w:val="none"/>
          <w:lang w:val="zh-CN"/>
        </w:rPr>
        <w:t>.</w:t>
      </w:r>
      <w:r>
        <w:rPr>
          <w:rFonts w:hint="eastAsia" w:cs="宋体"/>
          <w:highlight w:val="none"/>
        </w:rPr>
        <w:t>9</w:t>
      </w:r>
      <w:r>
        <w:rPr>
          <w:rFonts w:hint="eastAsia" w:cs="宋体"/>
          <w:highlight w:val="none"/>
          <w:lang w:val="zh-CN"/>
        </w:rPr>
        <w:t>承诺函；</w:t>
      </w:r>
    </w:p>
    <w:p w14:paraId="68776620">
      <w:pPr>
        <w:pStyle w:val="82"/>
        <w:ind w:left="420" w:leftChars="200" w:firstLine="480" w:firstLineChars="200"/>
        <w:rPr>
          <w:rFonts w:cs="宋体"/>
          <w:color w:val="FF0000"/>
          <w:highlight w:val="none"/>
          <w:lang w:val="zh-CN"/>
        </w:rPr>
      </w:pPr>
      <w:r>
        <w:rPr>
          <w:rFonts w:hint="eastAsia" w:cs="宋体"/>
          <w:color w:val="FF0000"/>
          <w:highlight w:val="none"/>
        </w:rPr>
        <w:t>2</w:t>
      </w:r>
      <w:r>
        <w:rPr>
          <w:rFonts w:hint="eastAsia" w:cs="宋体"/>
          <w:color w:val="FF0000"/>
          <w:highlight w:val="none"/>
          <w:lang w:val="zh-CN"/>
        </w:rPr>
        <w:t>.</w:t>
      </w:r>
      <w:r>
        <w:rPr>
          <w:rFonts w:hint="eastAsia" w:cs="宋体"/>
          <w:color w:val="FF0000"/>
          <w:highlight w:val="none"/>
        </w:rPr>
        <w:t>2</w:t>
      </w:r>
      <w:r>
        <w:rPr>
          <w:rFonts w:hint="eastAsia" w:cs="宋体"/>
          <w:color w:val="FF0000"/>
          <w:highlight w:val="none"/>
          <w:lang w:val="zh-CN"/>
        </w:rPr>
        <w:t>.</w:t>
      </w:r>
      <w:r>
        <w:rPr>
          <w:rFonts w:hint="eastAsia" w:cs="宋体"/>
          <w:color w:val="FF0000"/>
          <w:highlight w:val="none"/>
        </w:rPr>
        <w:t>10</w:t>
      </w:r>
      <w:r>
        <w:rPr>
          <w:rFonts w:hint="eastAsia" w:cs="宋体"/>
          <w:color w:val="FF0000"/>
          <w:highlight w:val="none"/>
          <w:lang w:val="zh-CN"/>
        </w:rPr>
        <w:t>技术解决方案</w:t>
      </w:r>
      <w:r>
        <w:rPr>
          <w:rFonts w:hint="eastAsia" w:cs="宋体"/>
          <w:snapToGrid w:val="0"/>
          <w:color w:val="FF0000"/>
          <w:kern w:val="28"/>
          <w:highlight w:val="none"/>
        </w:rPr>
        <w:t>（如果有）</w:t>
      </w:r>
      <w:r>
        <w:rPr>
          <w:rFonts w:hint="eastAsia" w:cs="宋体"/>
          <w:color w:val="FF0000"/>
          <w:highlight w:val="none"/>
          <w:lang w:val="zh-CN"/>
        </w:rPr>
        <w:t>；</w:t>
      </w:r>
    </w:p>
    <w:p w14:paraId="1C11672B">
      <w:pPr>
        <w:pStyle w:val="82"/>
        <w:ind w:left="420" w:leftChars="200" w:firstLine="480" w:firstLineChars="200"/>
        <w:rPr>
          <w:rFonts w:cs="宋体"/>
          <w:color w:val="FF0000"/>
          <w:highlight w:val="none"/>
          <w:lang w:val="zh-CN"/>
        </w:rPr>
      </w:pPr>
      <w:r>
        <w:rPr>
          <w:rFonts w:hint="eastAsia" w:cs="宋体"/>
          <w:color w:val="FF0000"/>
          <w:highlight w:val="none"/>
        </w:rPr>
        <w:t>2</w:t>
      </w:r>
      <w:r>
        <w:rPr>
          <w:rFonts w:hint="eastAsia" w:cs="宋体"/>
          <w:color w:val="FF0000"/>
          <w:highlight w:val="none"/>
          <w:lang w:val="zh-CN"/>
        </w:rPr>
        <w:t>.</w:t>
      </w:r>
      <w:r>
        <w:rPr>
          <w:rFonts w:hint="eastAsia" w:cs="宋体"/>
          <w:color w:val="FF0000"/>
          <w:highlight w:val="none"/>
        </w:rPr>
        <w:t>2</w:t>
      </w:r>
      <w:r>
        <w:rPr>
          <w:rFonts w:hint="eastAsia" w:cs="宋体"/>
          <w:color w:val="FF0000"/>
          <w:highlight w:val="none"/>
          <w:lang w:val="zh-CN"/>
        </w:rPr>
        <w:t>.</w:t>
      </w:r>
      <w:r>
        <w:rPr>
          <w:rFonts w:hint="eastAsia" w:cs="宋体"/>
          <w:color w:val="FF0000"/>
          <w:highlight w:val="none"/>
        </w:rPr>
        <w:t>11</w:t>
      </w:r>
      <w:r>
        <w:rPr>
          <w:rFonts w:hint="eastAsia" w:cs="宋体"/>
          <w:color w:val="FF0000"/>
          <w:highlight w:val="none"/>
          <w:lang w:val="zh-CN"/>
        </w:rPr>
        <w:t>组织实施方案</w:t>
      </w:r>
      <w:r>
        <w:rPr>
          <w:rFonts w:hint="eastAsia" w:cs="宋体"/>
          <w:snapToGrid w:val="0"/>
          <w:color w:val="FF0000"/>
          <w:kern w:val="28"/>
          <w:highlight w:val="none"/>
        </w:rPr>
        <w:t>（如果有）</w:t>
      </w:r>
      <w:r>
        <w:rPr>
          <w:rFonts w:hint="eastAsia" w:cs="宋体"/>
          <w:color w:val="FF0000"/>
          <w:highlight w:val="none"/>
          <w:lang w:val="zh-CN"/>
        </w:rPr>
        <w:t>；</w:t>
      </w:r>
    </w:p>
    <w:p w14:paraId="2046019A">
      <w:pPr>
        <w:pStyle w:val="82"/>
        <w:ind w:left="420" w:leftChars="200" w:firstLine="480" w:firstLineChars="200"/>
        <w:rPr>
          <w:color w:val="FF0000"/>
          <w:highlight w:val="none"/>
        </w:rPr>
      </w:pPr>
      <w:r>
        <w:rPr>
          <w:rFonts w:hint="eastAsia" w:cs="宋体"/>
          <w:color w:val="FF0000"/>
          <w:highlight w:val="none"/>
        </w:rPr>
        <w:t>2</w:t>
      </w:r>
      <w:r>
        <w:rPr>
          <w:rFonts w:hint="eastAsia" w:cs="宋体"/>
          <w:color w:val="FF0000"/>
          <w:highlight w:val="none"/>
          <w:lang w:val="zh-CN"/>
        </w:rPr>
        <w:t>.</w:t>
      </w:r>
      <w:r>
        <w:rPr>
          <w:rFonts w:hint="eastAsia" w:cs="宋体"/>
          <w:color w:val="FF0000"/>
          <w:highlight w:val="none"/>
        </w:rPr>
        <w:t>2</w:t>
      </w:r>
      <w:r>
        <w:rPr>
          <w:rFonts w:hint="eastAsia" w:cs="宋体"/>
          <w:color w:val="FF0000"/>
          <w:highlight w:val="none"/>
          <w:lang w:val="zh-CN"/>
        </w:rPr>
        <w:t>.</w:t>
      </w:r>
      <w:r>
        <w:rPr>
          <w:rFonts w:hint="eastAsia" w:cs="宋体"/>
          <w:color w:val="FF0000"/>
          <w:highlight w:val="none"/>
        </w:rPr>
        <w:t>12</w:t>
      </w:r>
      <w:r>
        <w:rPr>
          <w:rFonts w:hint="eastAsia" w:cs="宋体"/>
          <w:color w:val="FF0000"/>
          <w:highlight w:val="none"/>
          <w:lang w:val="zh-CN"/>
        </w:rPr>
        <w:t>售后服务方案。</w:t>
      </w:r>
    </w:p>
    <w:p w14:paraId="189C89E3">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60028284">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14:paraId="4895A228">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2.3.2中小企业声明函（如果有）。</w:t>
      </w:r>
    </w:p>
    <w:p w14:paraId="1E2670B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w:t>
      </w:r>
    </w:p>
    <w:p w14:paraId="7870571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72F9835A">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362FE75F">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0B53DB92">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0C6F2E2B">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365B4ED3">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5FCC86FF">
      <w:pPr>
        <w:spacing w:line="360" w:lineRule="auto"/>
        <w:ind w:firstLine="3600" w:firstLineChars="1500"/>
        <w:rPr>
          <w:rFonts w:ascii="宋体" w:hAnsi="宋体" w:cs="宋体"/>
          <w:sz w:val="24"/>
          <w:highlight w:val="none"/>
        </w:rPr>
      </w:pPr>
      <w:r>
        <w:rPr>
          <w:rFonts w:hint="eastAsia" w:ascii="宋体" w:hAnsi="宋体" w:cs="宋体"/>
          <w:sz w:val="24"/>
          <w:highlight w:val="none"/>
        </w:rPr>
        <w:t>投标人名称（公章）：</w:t>
      </w:r>
    </w:p>
    <w:p w14:paraId="0A6F0DD6">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法定代表人（负责人）或委托代理人(签名)：                          </w:t>
      </w:r>
    </w:p>
    <w:p w14:paraId="46FCCDD0">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097583AA">
      <w:pPr>
        <w:snapToGrid w:val="0"/>
        <w:spacing w:line="360" w:lineRule="auto"/>
        <w:ind w:left="420" w:leftChars="200" w:firstLine="4200" w:firstLineChars="1750"/>
        <w:rPr>
          <w:rFonts w:ascii="宋体" w:hAnsi="宋体" w:cs="宋体"/>
          <w:kern w:val="0"/>
          <w:sz w:val="24"/>
          <w:highlight w:val="none"/>
          <w:u w:val="single"/>
        </w:rPr>
      </w:pPr>
    </w:p>
    <w:p w14:paraId="4C98CF2F">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6EACA74A">
      <w:pPr>
        <w:snapToGrid w:val="0"/>
        <w:spacing w:line="360" w:lineRule="auto"/>
        <w:jc w:val="center"/>
        <w:rPr>
          <w:rFonts w:ascii="宋体" w:hAnsi="宋体" w:cs="宋体"/>
          <w:b/>
          <w:kern w:val="0"/>
          <w:sz w:val="32"/>
          <w:szCs w:val="32"/>
          <w:highlight w:val="none"/>
        </w:rPr>
      </w:pPr>
    </w:p>
    <w:p w14:paraId="52BFCDA6">
      <w:pPr>
        <w:snapToGrid w:val="0"/>
        <w:spacing w:line="360" w:lineRule="auto"/>
        <w:rPr>
          <w:rFonts w:ascii="宋体" w:hAnsi="宋体" w:cs="宋体"/>
          <w:sz w:val="24"/>
          <w:highlight w:val="none"/>
        </w:rPr>
      </w:pPr>
    </w:p>
    <w:p w14:paraId="6F45DB7D">
      <w:pPr>
        <w:jc w:val="center"/>
        <w:rPr>
          <w:rFonts w:ascii="宋体" w:hAnsi="宋体" w:cs="宋体"/>
          <w:b/>
          <w:kern w:val="0"/>
          <w:sz w:val="32"/>
          <w:szCs w:val="32"/>
          <w:highlight w:val="none"/>
        </w:rPr>
      </w:pPr>
    </w:p>
    <w:p w14:paraId="6961172F">
      <w:pPr>
        <w:jc w:val="center"/>
        <w:rPr>
          <w:rFonts w:ascii="宋体" w:hAnsi="宋体" w:cs="宋体"/>
          <w:b/>
          <w:kern w:val="0"/>
          <w:sz w:val="32"/>
          <w:szCs w:val="32"/>
          <w:highlight w:val="none"/>
        </w:rPr>
      </w:pPr>
    </w:p>
    <w:p w14:paraId="6F6D0E92">
      <w:pPr>
        <w:jc w:val="center"/>
        <w:rPr>
          <w:rFonts w:ascii="宋体" w:hAnsi="宋体" w:cs="宋体"/>
          <w:b/>
          <w:kern w:val="0"/>
          <w:sz w:val="32"/>
          <w:szCs w:val="32"/>
          <w:highlight w:val="none"/>
        </w:rPr>
      </w:pPr>
    </w:p>
    <w:p w14:paraId="2C642FDA">
      <w:pPr>
        <w:jc w:val="center"/>
        <w:rPr>
          <w:rFonts w:ascii="宋体" w:hAnsi="宋体" w:cs="宋体"/>
          <w:b/>
          <w:kern w:val="0"/>
          <w:sz w:val="32"/>
          <w:szCs w:val="32"/>
          <w:highlight w:val="none"/>
        </w:rPr>
      </w:pPr>
    </w:p>
    <w:p w14:paraId="270ED148">
      <w:pPr>
        <w:jc w:val="center"/>
        <w:rPr>
          <w:rFonts w:ascii="宋体" w:hAnsi="宋体" w:cs="宋体"/>
          <w:b/>
          <w:kern w:val="0"/>
          <w:sz w:val="32"/>
          <w:szCs w:val="32"/>
          <w:highlight w:val="none"/>
        </w:rPr>
      </w:pPr>
    </w:p>
    <w:p w14:paraId="52E72E5C">
      <w:pPr>
        <w:jc w:val="center"/>
        <w:rPr>
          <w:rFonts w:ascii="宋体" w:hAnsi="宋体" w:cs="宋体"/>
          <w:b/>
          <w:kern w:val="0"/>
          <w:sz w:val="32"/>
          <w:szCs w:val="32"/>
          <w:highlight w:val="none"/>
        </w:rPr>
      </w:pPr>
    </w:p>
    <w:p w14:paraId="15641571">
      <w:pPr>
        <w:jc w:val="center"/>
        <w:rPr>
          <w:rFonts w:ascii="宋体" w:hAnsi="宋体" w:cs="宋体"/>
          <w:b/>
          <w:kern w:val="0"/>
          <w:sz w:val="32"/>
          <w:szCs w:val="32"/>
          <w:highlight w:val="none"/>
        </w:rPr>
      </w:pPr>
    </w:p>
    <w:p w14:paraId="29E149B3">
      <w:pPr>
        <w:jc w:val="center"/>
        <w:rPr>
          <w:rFonts w:ascii="宋体" w:hAnsi="宋体" w:cs="宋体"/>
          <w:b/>
          <w:kern w:val="0"/>
          <w:sz w:val="32"/>
          <w:szCs w:val="32"/>
          <w:highlight w:val="none"/>
        </w:rPr>
      </w:pPr>
    </w:p>
    <w:p w14:paraId="1D50AC88">
      <w:pPr>
        <w:jc w:val="center"/>
        <w:rPr>
          <w:rFonts w:ascii="宋体" w:hAnsi="宋体" w:cs="宋体"/>
          <w:b/>
          <w:kern w:val="0"/>
          <w:sz w:val="32"/>
          <w:szCs w:val="32"/>
          <w:highlight w:val="none"/>
        </w:rPr>
      </w:pPr>
    </w:p>
    <w:p w14:paraId="4E38643A">
      <w:pPr>
        <w:jc w:val="center"/>
        <w:rPr>
          <w:rFonts w:ascii="宋体" w:hAnsi="宋体" w:cs="宋体"/>
          <w:b/>
          <w:kern w:val="0"/>
          <w:sz w:val="32"/>
          <w:szCs w:val="32"/>
          <w:highlight w:val="none"/>
        </w:rPr>
      </w:pPr>
    </w:p>
    <w:p w14:paraId="1BC63853">
      <w:pPr>
        <w:jc w:val="center"/>
        <w:rPr>
          <w:rFonts w:ascii="宋体" w:hAnsi="宋体" w:cs="宋体"/>
          <w:b/>
          <w:kern w:val="0"/>
          <w:sz w:val="32"/>
          <w:szCs w:val="32"/>
          <w:highlight w:val="none"/>
        </w:rPr>
      </w:pPr>
    </w:p>
    <w:p w14:paraId="29E4FD58">
      <w:pPr>
        <w:jc w:val="center"/>
        <w:rPr>
          <w:rFonts w:ascii="宋体" w:hAnsi="宋体" w:cs="宋体"/>
          <w:b/>
          <w:kern w:val="0"/>
          <w:sz w:val="32"/>
          <w:szCs w:val="32"/>
          <w:highlight w:val="none"/>
        </w:rPr>
      </w:pPr>
    </w:p>
    <w:p w14:paraId="6CD28127">
      <w:pPr>
        <w:jc w:val="center"/>
        <w:rPr>
          <w:rFonts w:ascii="宋体" w:hAnsi="宋体" w:cs="宋体"/>
          <w:b/>
          <w:kern w:val="0"/>
          <w:sz w:val="32"/>
          <w:szCs w:val="32"/>
          <w:highlight w:val="none"/>
        </w:rPr>
      </w:pPr>
    </w:p>
    <w:p w14:paraId="13A934A8">
      <w:pPr>
        <w:jc w:val="center"/>
        <w:rPr>
          <w:rFonts w:ascii="宋体" w:hAnsi="宋体" w:cs="宋体"/>
          <w:b/>
          <w:kern w:val="0"/>
          <w:sz w:val="32"/>
          <w:szCs w:val="32"/>
          <w:highlight w:val="none"/>
        </w:rPr>
      </w:pPr>
    </w:p>
    <w:p w14:paraId="1F279A5E">
      <w:pPr>
        <w:jc w:val="center"/>
        <w:rPr>
          <w:rFonts w:ascii="宋体" w:hAnsi="宋体" w:cs="宋体"/>
          <w:b/>
          <w:kern w:val="0"/>
          <w:sz w:val="32"/>
          <w:szCs w:val="32"/>
          <w:highlight w:val="none"/>
        </w:rPr>
      </w:pPr>
    </w:p>
    <w:p w14:paraId="6B7E1BA3">
      <w:pPr>
        <w:jc w:val="center"/>
        <w:rPr>
          <w:rFonts w:ascii="宋体" w:hAnsi="宋体" w:cs="宋体"/>
          <w:b/>
          <w:kern w:val="0"/>
          <w:sz w:val="32"/>
          <w:szCs w:val="32"/>
          <w:highlight w:val="none"/>
        </w:rPr>
      </w:pPr>
    </w:p>
    <w:p w14:paraId="171E89FD">
      <w:pPr>
        <w:jc w:val="center"/>
        <w:rPr>
          <w:rFonts w:ascii="宋体" w:hAnsi="宋体" w:cs="宋体"/>
          <w:b/>
          <w:kern w:val="0"/>
          <w:sz w:val="32"/>
          <w:szCs w:val="32"/>
          <w:highlight w:val="none"/>
        </w:rPr>
      </w:pPr>
    </w:p>
    <w:p w14:paraId="200FF441">
      <w:pPr>
        <w:jc w:val="center"/>
        <w:rPr>
          <w:rFonts w:ascii="宋体" w:hAnsi="宋体" w:cs="宋体"/>
          <w:b/>
          <w:kern w:val="0"/>
          <w:sz w:val="32"/>
          <w:szCs w:val="32"/>
          <w:highlight w:val="none"/>
        </w:rPr>
      </w:pPr>
    </w:p>
    <w:p w14:paraId="0B6EF8B8">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2798D03A">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7EC15D3A">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1A6E2739">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14:paraId="2E5E81E2">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7D091980">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政府采购投标的一切事项，其法律后果由我方承担。</w:t>
      </w:r>
    </w:p>
    <w:p w14:paraId="41F41B45">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6E17F6DB">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0B70E099">
      <w:pPr>
        <w:spacing w:line="360" w:lineRule="auto"/>
        <w:ind w:left="4649" w:leftChars="2214" w:firstLine="3600" w:firstLineChars="1500"/>
        <w:rPr>
          <w:rFonts w:ascii="宋体" w:hAnsi="宋体" w:cs="宋体"/>
          <w:sz w:val="24"/>
          <w:highlight w:val="none"/>
        </w:rPr>
      </w:pPr>
      <w:r>
        <w:rPr>
          <w:rFonts w:hint="eastAsia" w:ascii="宋体" w:hAnsi="宋体" w:cs="宋体"/>
          <w:kern w:val="0"/>
          <w:sz w:val="24"/>
          <w:highlight w:val="none"/>
          <w:lang w:val="zh-CN"/>
        </w:rPr>
        <w:t xml:space="preserve">                                                 </w:t>
      </w:r>
      <w:r>
        <w:rPr>
          <w:rFonts w:hint="eastAsia" w:ascii="宋体" w:hAnsi="宋体" w:cs="宋体"/>
          <w:sz w:val="24"/>
          <w:highlight w:val="none"/>
        </w:rPr>
        <w:t>投标人名称（公章）：</w:t>
      </w:r>
    </w:p>
    <w:p w14:paraId="7614E0C5">
      <w:pPr>
        <w:snapToGrid w:val="0"/>
        <w:spacing w:line="360" w:lineRule="auto"/>
        <w:ind w:left="4649" w:leftChars="2214"/>
        <w:rPr>
          <w:rFonts w:ascii="宋体" w:hAnsi="宋体" w:cs="宋体"/>
          <w:kern w:val="0"/>
          <w:sz w:val="24"/>
          <w:highlight w:val="none"/>
        </w:rPr>
      </w:pPr>
      <w:r>
        <w:rPr>
          <w:rFonts w:hint="eastAsia" w:ascii="宋体" w:hAnsi="宋体" w:cs="宋体"/>
          <w:sz w:val="24"/>
          <w:highlight w:val="none"/>
        </w:rPr>
        <w:t>法定代表人（负责人） (签名)：</w:t>
      </w:r>
    </w:p>
    <w:p w14:paraId="1AEB4D0B">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180BA8B7">
      <w:pPr>
        <w:pStyle w:val="146"/>
        <w:spacing w:line="360" w:lineRule="auto"/>
        <w:rPr>
          <w:rFonts w:hAnsi="宋体"/>
          <w:color w:val="FF0000"/>
          <w:sz w:val="24"/>
          <w:highlight w:val="none"/>
        </w:rPr>
      </w:pPr>
    </w:p>
    <w:p w14:paraId="0D02A193">
      <w:pPr>
        <w:pStyle w:val="146"/>
        <w:spacing w:line="360" w:lineRule="auto"/>
        <w:rPr>
          <w:rFonts w:hAnsi="宋体" w:cs="宋体"/>
          <w:bCs/>
          <w:color w:val="FF0000"/>
          <w:sz w:val="24"/>
          <w:highlight w:val="none"/>
        </w:rPr>
      </w:pPr>
      <w:r>
        <w:rPr>
          <w:rFonts w:hint="eastAsia" w:hAnsi="宋体"/>
          <w:color w:val="FF0000"/>
          <w:sz w:val="24"/>
          <w:highlight w:val="none"/>
        </w:rPr>
        <w:t>委托代理人和法定代表人</w:t>
      </w:r>
      <w:r>
        <w:rPr>
          <w:rFonts w:hint="eastAsia" w:hAnsi="宋体" w:cs="宋体"/>
          <w:color w:val="FF0000"/>
          <w:kern w:val="0"/>
          <w:sz w:val="24"/>
          <w:highlight w:val="none"/>
        </w:rPr>
        <w:t>（负责人）</w:t>
      </w:r>
      <w:r>
        <w:rPr>
          <w:rFonts w:hint="eastAsia" w:hAnsi="宋体" w:cs="宋体"/>
          <w:bCs/>
          <w:color w:val="FF0000"/>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F093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14:paraId="114B1F4F">
            <w:pPr>
              <w:pStyle w:val="146"/>
              <w:adjustRightInd w:val="0"/>
              <w:spacing w:line="360" w:lineRule="auto"/>
              <w:rPr>
                <w:rFonts w:hAnsi="宋体" w:cs="宋体"/>
                <w:bCs/>
                <w:color w:val="FF0000"/>
                <w:sz w:val="24"/>
                <w:highlight w:val="none"/>
              </w:rPr>
            </w:pPr>
            <w:r>
              <w:rPr>
                <w:rFonts w:hint="eastAsia" w:hAnsi="宋体" w:cs="宋体"/>
                <w:bCs/>
                <w:color w:val="FF0000"/>
                <w:sz w:val="24"/>
                <w:highlight w:val="none"/>
              </w:rPr>
              <w:t>正面：                                 反面：</w:t>
            </w:r>
          </w:p>
          <w:p w14:paraId="032DE6B7">
            <w:pPr>
              <w:pStyle w:val="146"/>
              <w:adjustRightInd w:val="0"/>
              <w:spacing w:line="360" w:lineRule="auto"/>
              <w:rPr>
                <w:rFonts w:hAnsi="宋体" w:cs="宋体"/>
                <w:bCs/>
                <w:color w:val="FF0000"/>
                <w:sz w:val="24"/>
                <w:highlight w:val="none"/>
              </w:rPr>
            </w:pPr>
          </w:p>
          <w:p w14:paraId="74B9A596">
            <w:pPr>
              <w:pStyle w:val="146"/>
              <w:adjustRightInd w:val="0"/>
              <w:spacing w:line="360" w:lineRule="auto"/>
              <w:rPr>
                <w:rFonts w:hAnsi="宋体" w:cs="宋体"/>
                <w:bCs/>
                <w:color w:val="FF0000"/>
                <w:sz w:val="24"/>
                <w:highlight w:val="none"/>
              </w:rPr>
            </w:pPr>
          </w:p>
          <w:p w14:paraId="08F2C5D4">
            <w:pPr>
              <w:pStyle w:val="146"/>
              <w:adjustRightInd w:val="0"/>
              <w:spacing w:line="360" w:lineRule="auto"/>
              <w:rPr>
                <w:rFonts w:hAnsi="宋体" w:cs="宋体"/>
                <w:bCs/>
                <w:color w:val="FF0000"/>
                <w:sz w:val="24"/>
                <w:highlight w:val="none"/>
              </w:rPr>
            </w:pPr>
          </w:p>
          <w:p w14:paraId="5A0C9813">
            <w:pPr>
              <w:pStyle w:val="146"/>
              <w:adjustRightInd w:val="0"/>
              <w:spacing w:line="360" w:lineRule="auto"/>
              <w:rPr>
                <w:rFonts w:hAnsi="宋体" w:cs="宋体"/>
                <w:bCs/>
                <w:color w:val="FF0000"/>
                <w:sz w:val="24"/>
                <w:highlight w:val="none"/>
              </w:rPr>
            </w:pPr>
            <w:r>
              <w:rPr>
                <w:rFonts w:hint="eastAsia" w:hAnsi="宋体" w:cs="宋体"/>
                <w:bCs/>
                <w:color w:val="FF0000"/>
                <w:sz w:val="24"/>
                <w:highlight w:val="none"/>
              </w:rPr>
              <w:t>正面：                                 反面：</w:t>
            </w:r>
          </w:p>
          <w:p w14:paraId="5441E64A">
            <w:pPr>
              <w:pStyle w:val="146"/>
              <w:adjustRightInd w:val="0"/>
              <w:spacing w:line="360" w:lineRule="auto"/>
              <w:rPr>
                <w:rFonts w:hAnsi="宋体" w:cs="宋体"/>
                <w:bCs/>
                <w:color w:val="FF0000"/>
                <w:sz w:val="24"/>
                <w:highlight w:val="none"/>
              </w:rPr>
            </w:pPr>
          </w:p>
        </w:tc>
      </w:tr>
    </w:tbl>
    <w:p w14:paraId="1A9615D3">
      <w:pPr>
        <w:snapToGrid w:val="0"/>
        <w:spacing w:line="360" w:lineRule="auto"/>
        <w:ind w:firstLine="576"/>
        <w:jc w:val="center"/>
        <w:rPr>
          <w:rFonts w:ascii="宋体" w:hAnsi="宋体" w:cs="宋体"/>
          <w:kern w:val="0"/>
          <w:sz w:val="24"/>
          <w:highlight w:val="none"/>
        </w:rPr>
      </w:pPr>
      <w:r>
        <w:rPr>
          <w:rFonts w:hint="eastAsia" w:ascii="宋体" w:hAnsi="宋体" w:cs="宋体"/>
          <w:kern w:val="0"/>
          <w:sz w:val="24"/>
          <w:highlight w:val="none"/>
        </w:rPr>
        <w:t xml:space="preserve">                 </w:t>
      </w:r>
    </w:p>
    <w:p w14:paraId="33F5BF2E">
      <w:pPr>
        <w:snapToGrid w:val="0"/>
        <w:spacing w:line="360" w:lineRule="auto"/>
        <w:ind w:right="480"/>
        <w:rPr>
          <w:rFonts w:ascii="宋体" w:hAnsi="宋体" w:cs="宋体"/>
          <w:b/>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676FD87">
      <w:pPr>
        <w:snapToGrid w:val="0"/>
        <w:spacing w:line="360" w:lineRule="auto"/>
        <w:rPr>
          <w:rFonts w:ascii="宋体" w:hAnsi="宋体" w:cs="宋体"/>
          <w:sz w:val="24"/>
          <w:highlight w:val="none"/>
        </w:rPr>
      </w:pPr>
    </w:p>
    <w:p w14:paraId="11125FC1">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14:paraId="0EAC6ED0">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797C9DD0">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政府采购投标的一切事项，其法律后果由我方承担。</w:t>
      </w:r>
    </w:p>
    <w:p w14:paraId="6E012045">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79A58CEC">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161BF9E4">
      <w:pPr>
        <w:jc w:val="center"/>
        <w:rPr>
          <w:rFonts w:ascii="宋体" w:hAnsi="宋体" w:cs="宋体"/>
          <w:b/>
          <w:kern w:val="0"/>
          <w:sz w:val="32"/>
          <w:szCs w:val="32"/>
          <w:highlight w:val="none"/>
        </w:rPr>
      </w:pPr>
    </w:p>
    <w:p w14:paraId="775DF0C5">
      <w:pPr>
        <w:jc w:val="center"/>
        <w:rPr>
          <w:rFonts w:ascii="宋体" w:hAnsi="宋体" w:cs="宋体"/>
          <w:b/>
          <w:kern w:val="0"/>
          <w:sz w:val="32"/>
          <w:szCs w:val="32"/>
          <w:highlight w:val="none"/>
        </w:rPr>
      </w:pPr>
    </w:p>
    <w:p w14:paraId="3952D29C">
      <w:pPr>
        <w:jc w:val="center"/>
        <w:rPr>
          <w:rFonts w:ascii="宋体" w:hAnsi="宋体" w:cs="宋体"/>
          <w:b/>
          <w:kern w:val="0"/>
          <w:sz w:val="32"/>
          <w:szCs w:val="32"/>
          <w:highlight w:val="none"/>
        </w:rPr>
      </w:pPr>
    </w:p>
    <w:p w14:paraId="013F8331">
      <w:pPr>
        <w:rPr>
          <w:rFonts w:ascii="宋体" w:hAnsi="宋体" w:cs="宋体"/>
          <w:highlight w:val="none"/>
        </w:rPr>
      </w:pPr>
    </w:p>
    <w:p w14:paraId="22DEA8A7">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联合体成员名称(公章)：</w:t>
      </w:r>
    </w:p>
    <w:p w14:paraId="633FC618">
      <w:pPr>
        <w:snapToGrid w:val="0"/>
        <w:spacing w:line="360" w:lineRule="auto"/>
        <w:ind w:firstLine="5040" w:firstLineChars="2100"/>
        <w:rPr>
          <w:rStyle w:val="81"/>
          <w:highlight w:val="none"/>
        </w:rPr>
      </w:pPr>
      <w:r>
        <w:rPr>
          <w:rStyle w:val="81"/>
          <w:rFonts w:hint="eastAsia"/>
          <w:highlight w:val="none"/>
        </w:rPr>
        <w:t>法定代表人（负责人） (签名)：</w:t>
      </w:r>
    </w:p>
    <w:p w14:paraId="5D67E4FC">
      <w:pPr>
        <w:snapToGrid w:val="0"/>
        <w:spacing w:line="360" w:lineRule="auto"/>
        <w:ind w:firstLine="5040" w:firstLineChars="2100"/>
        <w:rPr>
          <w:rFonts w:ascii="宋体" w:hAnsi="宋体" w:cs="宋体"/>
          <w:kern w:val="0"/>
          <w:sz w:val="24"/>
          <w:highlight w:val="none"/>
          <w:lang w:val="zh-CN"/>
        </w:rPr>
      </w:pPr>
      <w:r>
        <w:rPr>
          <w:rStyle w:val="81"/>
          <w:rFonts w:hint="eastAsia"/>
          <w:highlight w:val="none"/>
        </w:rPr>
        <w:t>联合体成</w:t>
      </w:r>
      <w:r>
        <w:rPr>
          <w:rFonts w:hint="eastAsia" w:ascii="宋体" w:hAnsi="宋体" w:cs="宋体"/>
          <w:kern w:val="0"/>
          <w:sz w:val="24"/>
          <w:highlight w:val="none"/>
          <w:lang w:val="zh-CN"/>
        </w:rPr>
        <w:t>员名称(公章)：</w:t>
      </w:r>
    </w:p>
    <w:p w14:paraId="404E4163">
      <w:pPr>
        <w:pStyle w:val="82"/>
        <w:ind w:firstLine="5040" w:firstLineChars="2100"/>
        <w:rPr>
          <w:highlight w:val="none"/>
        </w:rPr>
      </w:pPr>
      <w:r>
        <w:rPr>
          <w:rFonts w:hint="eastAsia"/>
          <w:highlight w:val="none"/>
        </w:rPr>
        <w:t>法定代表人（负责人） (签名)：</w:t>
      </w:r>
    </w:p>
    <w:p w14:paraId="27DE35A1">
      <w:pPr>
        <w:snapToGrid w:val="0"/>
        <w:spacing w:line="360" w:lineRule="auto"/>
        <w:ind w:firstLine="5040" w:firstLineChars="2100"/>
        <w:rPr>
          <w:rFonts w:ascii="宋体" w:hAnsi="宋体" w:cs="宋体"/>
          <w:kern w:val="0"/>
          <w:sz w:val="24"/>
          <w:highlight w:val="none"/>
          <w:lang w:val="zh-CN"/>
        </w:rPr>
      </w:pPr>
    </w:p>
    <w:p w14:paraId="558B70CD">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4255A431">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7B779887">
      <w:pPr>
        <w:pStyle w:val="146"/>
        <w:spacing w:line="360" w:lineRule="auto"/>
        <w:rPr>
          <w:rFonts w:hAnsi="宋体"/>
          <w:color w:val="FF0000"/>
          <w:sz w:val="24"/>
          <w:highlight w:val="none"/>
        </w:rPr>
      </w:pPr>
    </w:p>
    <w:p w14:paraId="73C8A2FC">
      <w:pPr>
        <w:pStyle w:val="146"/>
        <w:spacing w:line="360" w:lineRule="auto"/>
        <w:rPr>
          <w:rFonts w:hAnsi="宋体" w:cs="宋体"/>
          <w:bCs/>
          <w:color w:val="FF0000"/>
          <w:sz w:val="24"/>
          <w:highlight w:val="none"/>
        </w:rPr>
      </w:pPr>
      <w:r>
        <w:rPr>
          <w:rFonts w:hint="eastAsia" w:hAnsi="宋体"/>
          <w:color w:val="FF0000"/>
          <w:sz w:val="24"/>
          <w:highlight w:val="none"/>
        </w:rPr>
        <w:t>委托代理人和联合体牵头单位法定代表人</w:t>
      </w:r>
      <w:r>
        <w:rPr>
          <w:rFonts w:hint="eastAsia" w:hAnsi="宋体" w:cs="宋体"/>
          <w:color w:val="FF0000"/>
          <w:kern w:val="0"/>
          <w:sz w:val="24"/>
          <w:highlight w:val="none"/>
        </w:rPr>
        <w:t>（负责人）</w:t>
      </w:r>
      <w:r>
        <w:rPr>
          <w:rFonts w:hint="eastAsia" w:hAnsi="宋体" w:cs="宋体"/>
          <w:bCs/>
          <w:color w:val="FF0000"/>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FF80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14:paraId="7504EA71">
            <w:pPr>
              <w:pStyle w:val="146"/>
              <w:adjustRightInd w:val="0"/>
              <w:spacing w:line="360" w:lineRule="auto"/>
              <w:rPr>
                <w:rFonts w:hAnsi="宋体" w:cs="宋体"/>
                <w:bCs/>
                <w:color w:val="FF0000"/>
                <w:sz w:val="24"/>
                <w:highlight w:val="none"/>
              </w:rPr>
            </w:pPr>
            <w:r>
              <w:rPr>
                <w:rFonts w:hint="eastAsia" w:hAnsi="宋体" w:cs="宋体"/>
                <w:bCs/>
                <w:color w:val="FF0000"/>
                <w:sz w:val="24"/>
                <w:highlight w:val="none"/>
              </w:rPr>
              <w:t>正面：                                 反面：</w:t>
            </w:r>
          </w:p>
          <w:p w14:paraId="7308A353">
            <w:pPr>
              <w:pStyle w:val="146"/>
              <w:adjustRightInd w:val="0"/>
              <w:spacing w:line="360" w:lineRule="auto"/>
              <w:rPr>
                <w:rFonts w:hAnsi="宋体" w:cs="宋体"/>
                <w:bCs/>
                <w:color w:val="FF0000"/>
                <w:sz w:val="24"/>
                <w:highlight w:val="none"/>
              </w:rPr>
            </w:pPr>
          </w:p>
          <w:p w14:paraId="5B0321C4">
            <w:pPr>
              <w:pStyle w:val="146"/>
              <w:adjustRightInd w:val="0"/>
              <w:spacing w:line="360" w:lineRule="auto"/>
              <w:rPr>
                <w:rFonts w:hAnsi="宋体" w:cs="宋体"/>
                <w:bCs/>
                <w:color w:val="FF0000"/>
                <w:sz w:val="24"/>
                <w:highlight w:val="none"/>
              </w:rPr>
            </w:pPr>
          </w:p>
          <w:p w14:paraId="6158CDDD">
            <w:pPr>
              <w:pStyle w:val="146"/>
              <w:adjustRightInd w:val="0"/>
              <w:spacing w:line="360" w:lineRule="auto"/>
              <w:rPr>
                <w:rFonts w:hAnsi="宋体" w:cs="宋体"/>
                <w:bCs/>
                <w:color w:val="FF0000"/>
                <w:sz w:val="24"/>
                <w:highlight w:val="none"/>
              </w:rPr>
            </w:pPr>
          </w:p>
          <w:p w14:paraId="2AEA11DE">
            <w:pPr>
              <w:pStyle w:val="146"/>
              <w:adjustRightInd w:val="0"/>
              <w:spacing w:line="360" w:lineRule="auto"/>
              <w:rPr>
                <w:rFonts w:hAnsi="宋体" w:cs="宋体"/>
                <w:bCs/>
                <w:color w:val="FF0000"/>
                <w:sz w:val="24"/>
                <w:highlight w:val="none"/>
              </w:rPr>
            </w:pPr>
            <w:r>
              <w:rPr>
                <w:rFonts w:hint="eastAsia" w:hAnsi="宋体" w:cs="宋体"/>
                <w:bCs/>
                <w:color w:val="FF0000"/>
                <w:sz w:val="24"/>
                <w:highlight w:val="none"/>
              </w:rPr>
              <w:t>正面：                                 反面：</w:t>
            </w:r>
          </w:p>
          <w:p w14:paraId="77B710BB">
            <w:pPr>
              <w:pStyle w:val="146"/>
              <w:adjustRightInd w:val="0"/>
              <w:spacing w:line="360" w:lineRule="auto"/>
              <w:rPr>
                <w:rFonts w:hAnsi="宋体" w:cs="宋体"/>
                <w:bCs/>
                <w:color w:val="FF0000"/>
                <w:sz w:val="24"/>
                <w:highlight w:val="none"/>
              </w:rPr>
            </w:pPr>
          </w:p>
        </w:tc>
      </w:tr>
    </w:tbl>
    <w:p w14:paraId="6D6294D8">
      <w:pPr>
        <w:snapToGrid w:val="0"/>
        <w:spacing w:line="360" w:lineRule="auto"/>
        <w:ind w:firstLine="576"/>
        <w:jc w:val="center"/>
        <w:rPr>
          <w:rFonts w:ascii="宋体" w:hAnsi="宋体" w:cs="宋体"/>
          <w:kern w:val="0"/>
          <w:sz w:val="24"/>
          <w:highlight w:val="none"/>
        </w:rPr>
      </w:pPr>
      <w:r>
        <w:rPr>
          <w:rFonts w:hint="eastAsia" w:ascii="宋体" w:hAnsi="宋体" w:cs="宋体"/>
          <w:kern w:val="0"/>
          <w:sz w:val="24"/>
          <w:highlight w:val="none"/>
        </w:rPr>
        <w:t xml:space="preserve">                 </w:t>
      </w:r>
    </w:p>
    <w:p w14:paraId="20C5F374">
      <w:pPr>
        <w:snapToGrid w:val="0"/>
        <w:spacing w:line="360" w:lineRule="auto"/>
        <w:ind w:right="480"/>
        <w:rPr>
          <w:rFonts w:ascii="宋体" w:hAnsi="宋体" w:cs="宋体"/>
          <w:b/>
          <w:kern w:val="0"/>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B5BB853">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7F38FC56">
      <w:pPr>
        <w:pStyle w:val="146"/>
        <w:spacing w:line="360" w:lineRule="auto"/>
        <w:rPr>
          <w:rFonts w:hAnsi="宋体" w:cs="宋体"/>
          <w:bCs/>
          <w:sz w:val="24"/>
          <w:highlight w:val="none"/>
        </w:rPr>
      </w:pPr>
    </w:p>
    <w:p w14:paraId="45533D69">
      <w:pPr>
        <w:adjustRightInd/>
        <w:snapToGrid w:val="0"/>
        <w:spacing w:before="120" w:beforeLines="50" w:after="50" w:line="600" w:lineRule="exact"/>
        <w:jc w:val="center"/>
        <w:rPr>
          <w:rFonts w:ascii="宋体" w:hAnsi="宋体"/>
          <w:b/>
          <w:color w:val="FF0000"/>
          <w:sz w:val="30"/>
          <w:szCs w:val="30"/>
          <w:highlight w:val="none"/>
        </w:rPr>
      </w:pPr>
      <w:r>
        <w:rPr>
          <w:rFonts w:hint="eastAsia" w:ascii="宋体" w:hAnsi="宋体"/>
          <w:b/>
          <w:color w:val="FF0000"/>
          <w:sz w:val="30"/>
          <w:szCs w:val="30"/>
          <w:highlight w:val="none"/>
        </w:rPr>
        <w:t>法定代表人、单位负责人或自然人身份证明书</w:t>
      </w:r>
    </w:p>
    <w:p w14:paraId="35C20703">
      <w:pPr>
        <w:snapToGrid w:val="0"/>
        <w:spacing w:line="276" w:lineRule="auto"/>
        <w:ind w:firstLine="960" w:firstLineChars="400"/>
        <w:rPr>
          <w:rFonts w:ascii="宋体" w:hAnsi="宋体"/>
          <w:color w:val="FF0000"/>
          <w:sz w:val="24"/>
          <w:highlight w:val="none"/>
          <w:u w:val="single"/>
        </w:rPr>
      </w:pPr>
    </w:p>
    <w:p w14:paraId="4A43C072">
      <w:pPr>
        <w:snapToGrid w:val="0"/>
        <w:spacing w:line="720" w:lineRule="exact"/>
        <w:ind w:firstLine="960" w:firstLineChars="400"/>
        <w:rPr>
          <w:rFonts w:ascii="宋体" w:hAnsi="宋体"/>
          <w:color w:val="FF0000"/>
          <w:sz w:val="24"/>
          <w:highlight w:val="none"/>
        </w:rPr>
      </w:pPr>
      <w:r>
        <w:rPr>
          <w:rFonts w:hint="eastAsia" w:ascii="宋体" w:hAnsi="宋体" w:cs="宋体"/>
          <w:color w:val="FF0000"/>
          <w:kern w:val="0"/>
          <w:sz w:val="24"/>
          <w:highlight w:val="none"/>
          <w:u w:val="single"/>
          <w:lang w:val="zh-CN"/>
        </w:rPr>
        <w:t xml:space="preserve">          </w:t>
      </w:r>
      <w:r>
        <w:rPr>
          <w:rFonts w:hint="eastAsia" w:ascii="宋体" w:hAnsi="宋体" w:cs="宋体"/>
          <w:color w:val="FF0000"/>
          <w:kern w:val="0"/>
          <w:sz w:val="24"/>
          <w:highlight w:val="none"/>
          <w:lang w:val="zh-CN"/>
        </w:rPr>
        <w:t>（姓名）（身份证号码：</w:t>
      </w:r>
      <w:r>
        <w:rPr>
          <w:rFonts w:hint="eastAsia" w:ascii="宋体" w:hAnsi="宋体" w:cs="宋体"/>
          <w:color w:val="FF0000"/>
          <w:kern w:val="0"/>
          <w:sz w:val="24"/>
          <w:highlight w:val="none"/>
          <w:u w:val="single"/>
          <w:lang w:val="zh-CN"/>
        </w:rPr>
        <w:t xml:space="preserve">          </w:t>
      </w:r>
      <w:r>
        <w:rPr>
          <w:rFonts w:hint="eastAsia" w:ascii="宋体" w:hAnsi="宋体" w:cs="宋体"/>
          <w:color w:val="FF0000"/>
          <w:kern w:val="0"/>
          <w:sz w:val="24"/>
          <w:highlight w:val="none"/>
          <w:lang w:val="zh-CN"/>
        </w:rPr>
        <w:t>，手机：</w:t>
      </w:r>
      <w:r>
        <w:rPr>
          <w:rFonts w:hint="eastAsia" w:ascii="宋体" w:hAnsi="宋体" w:cs="宋体"/>
          <w:color w:val="FF0000"/>
          <w:kern w:val="0"/>
          <w:sz w:val="24"/>
          <w:highlight w:val="none"/>
          <w:u w:val="single"/>
          <w:lang w:val="zh-CN"/>
        </w:rPr>
        <w:t xml:space="preserve">          </w:t>
      </w:r>
      <w:r>
        <w:rPr>
          <w:rFonts w:hint="eastAsia" w:ascii="宋体" w:hAnsi="宋体" w:cs="宋体"/>
          <w:color w:val="FF0000"/>
          <w:kern w:val="0"/>
          <w:sz w:val="24"/>
          <w:highlight w:val="none"/>
          <w:lang w:val="zh-CN"/>
        </w:rPr>
        <w:t>）</w:t>
      </w:r>
      <w:r>
        <w:rPr>
          <w:rFonts w:hint="eastAsia" w:ascii="宋体" w:hAnsi="宋体"/>
          <w:color w:val="FF0000"/>
          <w:sz w:val="24"/>
          <w:highlight w:val="none"/>
        </w:rPr>
        <w:t>在我公司（单位）任</w:t>
      </w:r>
      <w:r>
        <w:rPr>
          <w:rFonts w:hint="eastAsia" w:ascii="宋体" w:hAnsi="宋体"/>
          <w:color w:val="FF0000"/>
          <w:sz w:val="24"/>
          <w:highlight w:val="none"/>
          <w:u w:val="single"/>
        </w:rPr>
        <w:t xml:space="preserve">          </w:t>
      </w:r>
      <w:r>
        <w:rPr>
          <w:rFonts w:hint="eastAsia" w:ascii="宋体" w:hAnsi="宋体"/>
          <w:color w:val="FF0000"/>
          <w:sz w:val="24"/>
          <w:highlight w:val="none"/>
        </w:rPr>
        <w:t>职务，是我公司（单位）</w:t>
      </w:r>
      <w:r>
        <w:rPr>
          <w:rFonts w:hint="eastAsia" w:ascii="宋体" w:hAnsi="宋体"/>
          <w:color w:val="FF0000"/>
          <w:sz w:val="24"/>
          <w:highlight w:val="none"/>
          <w:u w:val="single"/>
        </w:rPr>
        <w:t xml:space="preserve">          </w:t>
      </w:r>
      <w:r>
        <w:rPr>
          <w:rFonts w:hint="eastAsia" w:ascii="宋体" w:hAnsi="宋体"/>
          <w:color w:val="FF0000"/>
          <w:sz w:val="24"/>
          <w:highlight w:val="none"/>
        </w:rPr>
        <w:t>的法定代表人</w:t>
      </w:r>
      <w:r>
        <w:rPr>
          <w:rFonts w:hint="eastAsia" w:ascii="宋体" w:hAnsi="宋体" w:cs="宋体"/>
          <w:color w:val="FF0000"/>
          <w:kern w:val="0"/>
          <w:sz w:val="24"/>
          <w:highlight w:val="none"/>
        </w:rPr>
        <w:t>（负责人）</w:t>
      </w:r>
      <w:r>
        <w:rPr>
          <w:rFonts w:hint="eastAsia" w:ascii="宋体" w:hAnsi="宋体"/>
          <w:color w:val="FF0000"/>
          <w:sz w:val="24"/>
          <w:highlight w:val="none"/>
        </w:rPr>
        <w:t>。</w:t>
      </w:r>
    </w:p>
    <w:p w14:paraId="6699FFFB">
      <w:pPr>
        <w:snapToGrid w:val="0"/>
        <w:spacing w:line="720" w:lineRule="exact"/>
        <w:ind w:firstLine="840" w:firstLineChars="350"/>
        <w:rPr>
          <w:rFonts w:ascii="宋体" w:hAnsi="宋体"/>
          <w:color w:val="FF0000"/>
          <w:sz w:val="24"/>
          <w:highlight w:val="none"/>
        </w:rPr>
      </w:pPr>
      <w:r>
        <w:rPr>
          <w:rFonts w:hint="eastAsia" w:ascii="宋体" w:hAnsi="宋体"/>
          <w:color w:val="FF0000"/>
          <w:sz w:val="24"/>
          <w:highlight w:val="none"/>
        </w:rPr>
        <w:t>特此证明。</w:t>
      </w:r>
    </w:p>
    <w:p w14:paraId="29C17CC8">
      <w:pPr>
        <w:snapToGrid w:val="0"/>
        <w:spacing w:line="276" w:lineRule="auto"/>
        <w:rPr>
          <w:rFonts w:ascii="宋体" w:hAnsi="宋体"/>
          <w:color w:val="FF0000"/>
          <w:sz w:val="24"/>
          <w:highlight w:val="none"/>
        </w:rPr>
      </w:pPr>
    </w:p>
    <w:p w14:paraId="511B9598">
      <w:pPr>
        <w:snapToGrid w:val="0"/>
        <w:spacing w:line="276" w:lineRule="auto"/>
        <w:rPr>
          <w:rFonts w:ascii="宋体" w:hAnsi="宋体"/>
          <w:color w:val="FF0000"/>
          <w:sz w:val="24"/>
          <w:highlight w:val="none"/>
        </w:rPr>
      </w:pPr>
      <w:r>
        <w:rPr>
          <w:rFonts w:hint="eastAsia" w:ascii="宋体" w:hAnsi="宋体"/>
          <w:color w:val="FF0000"/>
          <w:sz w:val="24"/>
          <w:highlight w:val="none"/>
        </w:rPr>
        <w:t xml:space="preserve">                        </w:t>
      </w:r>
    </w:p>
    <w:p w14:paraId="24A41E3C">
      <w:pPr>
        <w:snapToGrid w:val="0"/>
        <w:spacing w:line="276" w:lineRule="auto"/>
        <w:rPr>
          <w:rFonts w:ascii="宋体" w:hAnsi="宋体"/>
          <w:color w:val="FF0000"/>
          <w:sz w:val="24"/>
          <w:highlight w:val="none"/>
        </w:rPr>
      </w:pPr>
    </w:p>
    <w:p w14:paraId="45B0F762">
      <w:pPr>
        <w:snapToGrid w:val="0"/>
        <w:spacing w:line="360" w:lineRule="auto"/>
        <w:ind w:firstLine="576"/>
        <w:jc w:val="center"/>
        <w:rPr>
          <w:rFonts w:ascii="宋体" w:hAnsi="宋体" w:cs="宋体"/>
          <w:color w:val="FF0000"/>
          <w:kern w:val="0"/>
          <w:sz w:val="24"/>
          <w:highlight w:val="none"/>
          <w:lang w:val="zh-CN"/>
        </w:rPr>
      </w:pPr>
      <w:r>
        <w:rPr>
          <w:rFonts w:hint="eastAsia" w:ascii="宋体" w:hAnsi="宋体" w:cs="宋体"/>
          <w:color w:val="FF0000"/>
          <w:kern w:val="0"/>
          <w:sz w:val="24"/>
          <w:highlight w:val="none"/>
          <w:lang w:val="zh-CN"/>
        </w:rPr>
        <w:t xml:space="preserve">投标人名称(公章)：                              </w:t>
      </w:r>
    </w:p>
    <w:p w14:paraId="48EA9368">
      <w:pPr>
        <w:pStyle w:val="146"/>
        <w:spacing w:line="360" w:lineRule="auto"/>
        <w:rPr>
          <w:rFonts w:hAnsi="宋体" w:cs="宋体"/>
          <w:bCs/>
          <w:color w:val="FF0000"/>
          <w:sz w:val="24"/>
          <w:highlight w:val="none"/>
        </w:rPr>
      </w:pPr>
      <w:r>
        <w:rPr>
          <w:rFonts w:hint="eastAsia" w:hAnsi="宋体" w:cs="宋体"/>
          <w:color w:val="FF0000"/>
          <w:kern w:val="0"/>
          <w:sz w:val="24"/>
          <w:highlight w:val="none"/>
          <w:lang w:val="zh-CN"/>
        </w:rPr>
        <w:t xml:space="preserve">                               日期：  年  月  日</w:t>
      </w:r>
    </w:p>
    <w:p w14:paraId="34BC8A6D">
      <w:pPr>
        <w:pStyle w:val="146"/>
        <w:spacing w:line="360" w:lineRule="auto"/>
        <w:rPr>
          <w:rFonts w:hAnsi="宋体" w:cs="宋体"/>
          <w:bCs/>
          <w:color w:val="FF0000"/>
          <w:sz w:val="24"/>
          <w:highlight w:val="none"/>
        </w:rPr>
      </w:pPr>
    </w:p>
    <w:p w14:paraId="155EA008">
      <w:pPr>
        <w:pStyle w:val="146"/>
        <w:spacing w:line="360" w:lineRule="auto"/>
        <w:rPr>
          <w:rFonts w:hAnsi="宋体" w:cs="宋体"/>
          <w:bCs/>
          <w:color w:val="FF0000"/>
          <w:sz w:val="24"/>
          <w:highlight w:val="none"/>
        </w:rPr>
      </w:pPr>
      <w:r>
        <w:rPr>
          <w:rFonts w:hint="eastAsia" w:hAnsi="宋体"/>
          <w:color w:val="FF0000"/>
          <w:sz w:val="24"/>
          <w:highlight w:val="none"/>
        </w:rPr>
        <w:t>法定代表人</w:t>
      </w:r>
      <w:r>
        <w:rPr>
          <w:rFonts w:hint="eastAsia" w:hAnsi="宋体" w:cs="宋体"/>
          <w:color w:val="FF0000"/>
          <w:kern w:val="0"/>
          <w:sz w:val="24"/>
          <w:highlight w:val="none"/>
        </w:rPr>
        <w:t>（负责人）</w:t>
      </w:r>
      <w:r>
        <w:rPr>
          <w:rFonts w:hint="eastAsia" w:hAnsi="宋体" w:cs="宋体"/>
          <w:bCs/>
          <w:color w:val="FF0000"/>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FA14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14:paraId="5B9CF593">
            <w:pPr>
              <w:pStyle w:val="146"/>
              <w:adjustRightInd w:val="0"/>
              <w:spacing w:line="360" w:lineRule="auto"/>
              <w:rPr>
                <w:rFonts w:hAnsi="宋体" w:cs="宋体"/>
                <w:bCs/>
                <w:color w:val="FF0000"/>
                <w:sz w:val="24"/>
                <w:highlight w:val="none"/>
              </w:rPr>
            </w:pPr>
            <w:r>
              <w:rPr>
                <w:rFonts w:hint="eastAsia" w:hAnsi="宋体" w:cs="宋体"/>
                <w:bCs/>
                <w:color w:val="FF0000"/>
                <w:sz w:val="24"/>
                <w:highlight w:val="none"/>
              </w:rPr>
              <w:t>正面：                                 反面：</w:t>
            </w:r>
          </w:p>
          <w:p w14:paraId="78AFBFF1">
            <w:pPr>
              <w:pStyle w:val="146"/>
              <w:adjustRightInd w:val="0"/>
              <w:spacing w:line="360" w:lineRule="auto"/>
              <w:rPr>
                <w:rFonts w:hAnsi="宋体" w:cs="宋体"/>
                <w:bCs/>
                <w:color w:val="FF0000"/>
                <w:sz w:val="24"/>
                <w:highlight w:val="none"/>
              </w:rPr>
            </w:pPr>
          </w:p>
        </w:tc>
      </w:tr>
    </w:tbl>
    <w:p w14:paraId="3FFE9B58">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6D87963B">
      <w:pPr>
        <w:snapToGrid w:val="0"/>
        <w:spacing w:line="360" w:lineRule="auto"/>
        <w:ind w:right="480"/>
        <w:rPr>
          <w:rFonts w:ascii="宋体" w:hAnsi="宋体" w:cs="宋体"/>
          <w:b/>
          <w:kern w:val="0"/>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E06AD08">
      <w:pPr>
        <w:snapToGrid w:val="0"/>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三、分包意向协议（如果有）</w:t>
      </w:r>
    </w:p>
    <w:p w14:paraId="0D530433">
      <w:pPr>
        <w:widowControl/>
        <w:spacing w:line="360" w:lineRule="auto"/>
        <w:ind w:firstLine="120" w:firstLineChars="50"/>
        <w:jc w:val="left"/>
        <w:rPr>
          <w:rFonts w:ascii="宋体" w:hAnsi="宋体" w:cs="宋体"/>
          <w:sz w:val="24"/>
          <w:highlight w:val="none"/>
        </w:rPr>
      </w:pPr>
      <w:bookmarkStart w:id="426" w:name="_Hlk101169080"/>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bookmarkEnd w:id="426"/>
    <w:p w14:paraId="67655564">
      <w:pPr>
        <w:snapToGrid w:val="0"/>
        <w:spacing w:line="360" w:lineRule="auto"/>
        <w:rPr>
          <w:rFonts w:ascii="宋体" w:hAnsi="宋体" w:cs="宋体"/>
          <w:kern w:val="0"/>
          <w:sz w:val="24"/>
          <w:highlight w:val="none"/>
        </w:rPr>
      </w:pPr>
    </w:p>
    <w:p w14:paraId="2D1A7BE3">
      <w:pPr>
        <w:jc w:val="center"/>
        <w:rPr>
          <w:rFonts w:ascii="宋体" w:hAnsi="宋体" w:cs="宋体"/>
          <w:b/>
          <w:kern w:val="0"/>
          <w:sz w:val="32"/>
          <w:szCs w:val="32"/>
          <w:highlight w:val="none"/>
        </w:rPr>
      </w:pPr>
    </w:p>
    <w:p w14:paraId="21B84A84">
      <w:pPr>
        <w:pStyle w:val="82"/>
        <w:rPr>
          <w:highlight w:val="none"/>
        </w:rPr>
      </w:pPr>
    </w:p>
    <w:p w14:paraId="418E2D48">
      <w:pPr>
        <w:rPr>
          <w:highlight w:val="none"/>
        </w:rPr>
      </w:pPr>
    </w:p>
    <w:p w14:paraId="0BC783F9">
      <w:pPr>
        <w:pStyle w:val="82"/>
        <w:rPr>
          <w:highlight w:val="none"/>
        </w:rPr>
      </w:pPr>
    </w:p>
    <w:p w14:paraId="1C56AB46">
      <w:pPr>
        <w:jc w:val="center"/>
        <w:rPr>
          <w:rFonts w:ascii="宋体" w:hAnsi="宋体" w:cs="宋体"/>
          <w:b/>
          <w:kern w:val="0"/>
          <w:sz w:val="32"/>
          <w:szCs w:val="32"/>
          <w:highlight w:val="none"/>
        </w:rPr>
      </w:pPr>
    </w:p>
    <w:p w14:paraId="7E133268">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14:paraId="669AFF1C">
      <w:pPr>
        <w:jc w:val="center"/>
        <w:rPr>
          <w:rFonts w:ascii="宋体" w:hAnsi="宋体" w:cs="宋体"/>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FE8E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8D2FFC5">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14:paraId="520AF9B9">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2A4B13FC">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2FE77730">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70AC31FF">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374D5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C507CB">
            <w:pPr>
              <w:jc w:val="center"/>
              <w:rPr>
                <w:rFonts w:ascii="宋体" w:hAnsi="宋体" w:cs="宋体"/>
                <w:sz w:val="24"/>
                <w:highlight w:val="none"/>
              </w:rPr>
            </w:pPr>
            <w:r>
              <w:rPr>
                <w:rFonts w:hint="eastAsia" w:ascii="宋体" w:hAnsi="宋体" w:cs="宋体"/>
                <w:sz w:val="24"/>
                <w:highlight w:val="none"/>
              </w:rPr>
              <w:t>1</w:t>
            </w:r>
          </w:p>
        </w:tc>
        <w:tc>
          <w:tcPr>
            <w:tcW w:w="4991" w:type="dxa"/>
            <w:vAlign w:val="center"/>
          </w:tcPr>
          <w:p w14:paraId="633637B0">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14:paraId="68E334B5">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vAlign w:val="center"/>
          </w:tcPr>
          <w:p w14:paraId="19F31278">
            <w:pPr>
              <w:rPr>
                <w:rFonts w:ascii="宋体" w:hAnsi="宋体" w:cs="宋体"/>
                <w:sz w:val="24"/>
                <w:highlight w:val="none"/>
              </w:rPr>
            </w:pPr>
          </w:p>
          <w:p w14:paraId="6E2ED60F">
            <w:pPr>
              <w:rPr>
                <w:rFonts w:ascii="宋体" w:hAnsi="宋体" w:cs="宋体"/>
                <w:sz w:val="24"/>
                <w:highlight w:val="none"/>
              </w:rPr>
            </w:pPr>
            <w:r>
              <w:rPr>
                <w:rFonts w:hint="eastAsia" w:ascii="宋体" w:hAnsi="宋体" w:cs="宋体"/>
                <w:sz w:val="24"/>
                <w:highlight w:val="none"/>
              </w:rPr>
              <w:t>见投标文件</w:t>
            </w:r>
          </w:p>
          <w:p w14:paraId="3AAF0E7D">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69414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6F5E25D">
            <w:pPr>
              <w:jc w:val="center"/>
              <w:rPr>
                <w:rFonts w:ascii="宋体" w:hAnsi="宋体" w:cs="宋体"/>
                <w:sz w:val="24"/>
                <w:highlight w:val="none"/>
              </w:rPr>
            </w:pPr>
            <w:r>
              <w:rPr>
                <w:rFonts w:hint="eastAsia" w:ascii="宋体" w:hAnsi="宋体" w:cs="宋体"/>
                <w:sz w:val="24"/>
                <w:highlight w:val="none"/>
              </w:rPr>
              <w:t>2</w:t>
            </w:r>
          </w:p>
        </w:tc>
        <w:tc>
          <w:tcPr>
            <w:tcW w:w="4991" w:type="dxa"/>
            <w:vAlign w:val="center"/>
          </w:tcPr>
          <w:p w14:paraId="26A0FBEF">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14:paraId="7B55F315">
            <w:pPr>
              <w:rPr>
                <w:rFonts w:ascii="宋体" w:hAnsi="宋体" w:cs="宋体"/>
                <w:sz w:val="24"/>
                <w:highlight w:val="none"/>
              </w:rPr>
            </w:pPr>
            <w:r>
              <w:rPr>
                <w:rFonts w:hint="eastAsia" w:ascii="宋体" w:hAnsi="宋体" w:cs="宋体"/>
                <w:sz w:val="24"/>
                <w:highlight w:val="none"/>
              </w:rPr>
              <w:t>投标函</w:t>
            </w:r>
          </w:p>
        </w:tc>
        <w:tc>
          <w:tcPr>
            <w:tcW w:w="1418" w:type="dxa"/>
            <w:vAlign w:val="center"/>
          </w:tcPr>
          <w:p w14:paraId="0D7DE930">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0BC27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0EE9DEF">
            <w:pPr>
              <w:jc w:val="center"/>
              <w:rPr>
                <w:rFonts w:ascii="宋体" w:hAnsi="宋体" w:cs="宋体"/>
                <w:sz w:val="24"/>
                <w:highlight w:val="none"/>
              </w:rPr>
            </w:pPr>
            <w:r>
              <w:rPr>
                <w:rFonts w:hint="eastAsia" w:ascii="宋体" w:hAnsi="宋体" w:cs="宋体"/>
                <w:sz w:val="24"/>
                <w:highlight w:val="none"/>
              </w:rPr>
              <w:t>3</w:t>
            </w:r>
          </w:p>
        </w:tc>
        <w:tc>
          <w:tcPr>
            <w:tcW w:w="4991" w:type="dxa"/>
            <w:vAlign w:val="center"/>
          </w:tcPr>
          <w:p w14:paraId="22DF48EB">
            <w:pPr>
              <w:spacing w:line="360" w:lineRule="auto"/>
              <w:rPr>
                <w:rFonts w:ascii="宋体" w:hAnsi="宋体" w:cs="宋体"/>
                <w:sz w:val="24"/>
                <w:highlight w:val="none"/>
              </w:rPr>
            </w:pPr>
            <w:r>
              <w:rPr>
                <w:rFonts w:hint="eastAsia" w:ascii="宋体" w:hAnsi="宋体" w:cs="宋体"/>
                <w:sz w:val="24"/>
                <w:highlight w:val="none"/>
              </w:rPr>
              <w:t>投标文件满足招标文件的其它实质性要求。</w:t>
            </w:r>
          </w:p>
        </w:tc>
        <w:tc>
          <w:tcPr>
            <w:tcW w:w="2551" w:type="dxa"/>
            <w:vAlign w:val="center"/>
          </w:tcPr>
          <w:p w14:paraId="5A70C51E">
            <w:pP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vAlign w:val="center"/>
          </w:tcPr>
          <w:p w14:paraId="2ED2BE0E">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69535A63">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E21B696">
      <w:pPr>
        <w:jc w:val="center"/>
        <w:rPr>
          <w:rFonts w:ascii="宋体" w:hAnsi="宋体" w:cs="宋体"/>
          <w:b/>
          <w:kern w:val="0"/>
          <w:sz w:val="32"/>
          <w:szCs w:val="32"/>
          <w:highlight w:val="none"/>
        </w:rPr>
      </w:pPr>
    </w:p>
    <w:p w14:paraId="6378BCA8">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2A2FDCC2">
      <w:pPr>
        <w:jc w:val="center"/>
        <w:rPr>
          <w:rFonts w:ascii="宋体" w:hAnsi="宋体" w:cs="宋体"/>
          <w:b/>
          <w:kern w:val="0"/>
          <w:sz w:val="32"/>
          <w:szCs w:val="32"/>
          <w:highlight w:val="none"/>
        </w:rPr>
      </w:pPr>
    </w:p>
    <w:p w14:paraId="13C168B6">
      <w:pPr>
        <w:jc w:val="center"/>
        <w:rPr>
          <w:rFonts w:ascii="宋体" w:hAnsi="宋体" w:cs="宋体"/>
          <w:b/>
          <w:kern w:val="0"/>
          <w:sz w:val="32"/>
          <w:szCs w:val="32"/>
          <w:highlight w:val="none"/>
        </w:rPr>
      </w:pPr>
    </w:p>
    <w:p w14:paraId="0BEEF50E">
      <w:pPr>
        <w:jc w:val="center"/>
        <w:rPr>
          <w:rFonts w:ascii="宋体" w:hAnsi="宋体" w:cs="宋体"/>
          <w:b/>
          <w:kern w:val="0"/>
          <w:sz w:val="32"/>
          <w:szCs w:val="32"/>
          <w:highlight w:val="none"/>
        </w:rPr>
      </w:pPr>
    </w:p>
    <w:p w14:paraId="346D5262">
      <w:pPr>
        <w:jc w:val="center"/>
        <w:rPr>
          <w:rFonts w:ascii="宋体" w:hAnsi="宋体" w:cs="宋体"/>
          <w:b/>
          <w:kern w:val="0"/>
          <w:sz w:val="32"/>
          <w:szCs w:val="32"/>
          <w:highlight w:val="none"/>
        </w:rPr>
      </w:pPr>
    </w:p>
    <w:p w14:paraId="4D1B32B2">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14CADB30">
      <w:pPr>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14:paraId="60BECE71">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14:paraId="7199A2C1">
      <w:pPr>
        <w:jc w:val="center"/>
        <w:rPr>
          <w:rFonts w:ascii="宋体" w:hAnsi="宋体" w:cs="宋体"/>
          <w:b/>
          <w:kern w:val="0"/>
          <w:sz w:val="32"/>
          <w:szCs w:val="32"/>
          <w:highlight w:val="none"/>
        </w:rPr>
      </w:pPr>
    </w:p>
    <w:p w14:paraId="0D0EF67A">
      <w:pPr>
        <w:jc w:val="center"/>
        <w:rPr>
          <w:rFonts w:ascii="宋体" w:hAnsi="宋体" w:cs="宋体"/>
          <w:b/>
          <w:kern w:val="0"/>
          <w:sz w:val="32"/>
          <w:szCs w:val="32"/>
          <w:highlight w:val="none"/>
        </w:rPr>
      </w:pPr>
    </w:p>
    <w:p w14:paraId="191F7263">
      <w:pPr>
        <w:jc w:val="center"/>
        <w:rPr>
          <w:rFonts w:ascii="宋体" w:hAnsi="宋体" w:cs="宋体"/>
          <w:b/>
          <w:kern w:val="0"/>
          <w:sz w:val="32"/>
          <w:szCs w:val="32"/>
          <w:highlight w:val="none"/>
        </w:rPr>
      </w:pPr>
    </w:p>
    <w:p w14:paraId="594AF23D">
      <w:pPr>
        <w:ind w:firstLine="2891" w:firstLineChars="900"/>
        <w:rPr>
          <w:rFonts w:ascii="宋体" w:hAnsi="宋体" w:cs="宋体"/>
          <w:b/>
          <w:kern w:val="0"/>
          <w:sz w:val="32"/>
          <w:szCs w:val="32"/>
          <w:highlight w:val="none"/>
        </w:rPr>
      </w:pPr>
      <w:r>
        <w:rPr>
          <w:rFonts w:hint="eastAsia" w:ascii="宋体" w:hAnsi="宋体" w:cs="宋体"/>
          <w:b/>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0C7B3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245997A">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DCF5FE4">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5BCDA10C">
            <w:pPr>
              <w:spacing w:line="360" w:lineRule="auto"/>
              <w:jc w:val="center"/>
              <w:rPr>
                <w:rFonts w:ascii="宋体" w:hAnsi="宋体" w:cs="宋体"/>
                <w:b/>
                <w:sz w:val="24"/>
                <w:highlight w:val="none"/>
              </w:rPr>
            </w:pPr>
          </w:p>
          <w:p w14:paraId="7DE32D19">
            <w:pPr>
              <w:spacing w:line="360" w:lineRule="auto"/>
              <w:jc w:val="center"/>
              <w:rPr>
                <w:rFonts w:ascii="宋体" w:hAnsi="宋体" w:cs="宋体"/>
                <w:b/>
                <w:sz w:val="24"/>
                <w:highlight w:val="none"/>
              </w:rPr>
            </w:pPr>
            <w:r>
              <w:rPr>
                <w:rFonts w:hint="eastAsia" w:ascii="宋体" w:hAnsi="宋体" w:cs="宋体"/>
                <w:b/>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C6546D5">
            <w:pPr>
              <w:spacing w:line="360" w:lineRule="auto"/>
              <w:jc w:val="center"/>
              <w:rPr>
                <w:rFonts w:ascii="宋体" w:hAnsi="宋体" w:cs="宋体"/>
                <w:b/>
                <w:sz w:val="24"/>
                <w:highlight w:val="none"/>
              </w:rPr>
            </w:pPr>
            <w:r>
              <w:rPr>
                <w:rFonts w:hint="eastAsia" w:ascii="宋体" w:hAnsi="宋体" w:cs="宋体"/>
                <w:b/>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3647326">
            <w:pPr>
              <w:spacing w:line="360" w:lineRule="auto"/>
              <w:jc w:val="center"/>
              <w:rPr>
                <w:rFonts w:ascii="宋体" w:hAnsi="宋体" w:cs="宋体"/>
                <w:b/>
                <w:sz w:val="24"/>
                <w:highlight w:val="none"/>
              </w:rPr>
            </w:pPr>
            <w:r>
              <w:rPr>
                <w:rFonts w:hint="eastAsia" w:ascii="宋体" w:hAnsi="宋体" w:cs="宋体"/>
                <w:b/>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9286D3E">
            <w:pPr>
              <w:spacing w:line="360" w:lineRule="auto"/>
              <w:jc w:val="center"/>
              <w:rPr>
                <w:rFonts w:ascii="宋体" w:hAnsi="宋体" w:cs="宋体"/>
                <w:b/>
                <w:sz w:val="24"/>
                <w:highlight w:val="none"/>
              </w:rPr>
            </w:pPr>
            <w:r>
              <w:rPr>
                <w:rFonts w:hint="eastAsia" w:ascii="宋体" w:hAnsi="宋体" w:cs="宋体"/>
                <w:b/>
                <w:sz w:val="24"/>
                <w:highlight w:val="none"/>
              </w:rPr>
              <w:t>备注</w:t>
            </w:r>
          </w:p>
        </w:tc>
      </w:tr>
      <w:tr w14:paraId="6DBF4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DB957C0">
            <w:pPr>
              <w:spacing w:line="360" w:lineRule="auto"/>
              <w:jc w:val="center"/>
              <w:rPr>
                <w:rFonts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2A4AF24">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A3535F6">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3FB291B">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4631457">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08FA727">
            <w:pPr>
              <w:spacing w:line="360" w:lineRule="auto"/>
              <w:jc w:val="center"/>
              <w:rPr>
                <w:rFonts w:ascii="宋体" w:hAnsi="宋体" w:cs="宋体"/>
                <w:sz w:val="24"/>
                <w:highlight w:val="none"/>
              </w:rPr>
            </w:pPr>
          </w:p>
        </w:tc>
      </w:tr>
      <w:tr w14:paraId="54E12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E9477D3">
            <w:pPr>
              <w:spacing w:line="360" w:lineRule="auto"/>
              <w:jc w:val="center"/>
              <w:rPr>
                <w:rFonts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557CD3D">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8E9A44D">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FB9D2C2">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511DCE0">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B88724C">
            <w:pPr>
              <w:spacing w:line="360" w:lineRule="auto"/>
              <w:jc w:val="center"/>
              <w:rPr>
                <w:rFonts w:ascii="宋体" w:hAnsi="宋体" w:cs="宋体"/>
                <w:sz w:val="24"/>
                <w:highlight w:val="none"/>
              </w:rPr>
            </w:pPr>
          </w:p>
        </w:tc>
      </w:tr>
      <w:tr w14:paraId="60BFB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9D2F3D3">
            <w:pPr>
              <w:spacing w:line="360" w:lineRule="auto"/>
              <w:jc w:val="center"/>
              <w:rPr>
                <w:rFonts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5E8DD36">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321B8AE">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CFD679F">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F81F3EB">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E7F7D9F">
            <w:pPr>
              <w:spacing w:line="360" w:lineRule="auto"/>
              <w:jc w:val="center"/>
              <w:rPr>
                <w:rFonts w:ascii="宋体" w:hAnsi="宋体" w:cs="宋体"/>
                <w:sz w:val="24"/>
                <w:highlight w:val="none"/>
              </w:rPr>
            </w:pPr>
          </w:p>
        </w:tc>
      </w:tr>
    </w:tbl>
    <w:p w14:paraId="7D2460E3">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5C0CB9E">
      <w:pPr>
        <w:jc w:val="center"/>
        <w:rPr>
          <w:rFonts w:ascii="宋体" w:hAnsi="宋体" w:cs="宋体"/>
          <w:b/>
          <w:kern w:val="0"/>
          <w:sz w:val="32"/>
          <w:szCs w:val="32"/>
          <w:highlight w:val="none"/>
        </w:rPr>
      </w:pPr>
    </w:p>
    <w:p w14:paraId="50954C0E">
      <w:pPr>
        <w:jc w:val="center"/>
        <w:rPr>
          <w:rFonts w:ascii="宋体" w:hAnsi="宋体" w:cs="宋体"/>
          <w:b/>
          <w:kern w:val="0"/>
          <w:sz w:val="32"/>
          <w:szCs w:val="32"/>
          <w:highlight w:val="none"/>
        </w:rPr>
      </w:pPr>
    </w:p>
    <w:p w14:paraId="657F7CE0">
      <w:pPr>
        <w:jc w:val="center"/>
        <w:rPr>
          <w:rFonts w:ascii="宋体" w:hAnsi="宋体" w:cs="宋体"/>
          <w:b/>
          <w:kern w:val="0"/>
          <w:sz w:val="32"/>
          <w:szCs w:val="32"/>
          <w:highlight w:val="none"/>
        </w:rPr>
      </w:pPr>
      <w:r>
        <w:rPr>
          <w:rFonts w:hint="eastAsia" w:ascii="宋体" w:hAnsi="宋体" w:cs="宋体"/>
          <w:b/>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AD27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7A499F56">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tcPr>
          <w:p w14:paraId="6CD15849">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tcPr>
          <w:p w14:paraId="57D32EDC">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tcPr>
          <w:p w14:paraId="037476D1">
            <w:pPr>
              <w:jc w:val="center"/>
              <w:rPr>
                <w:rFonts w:ascii="宋体" w:hAnsi="宋体" w:cs="宋体"/>
                <w:b/>
                <w:bCs/>
                <w:sz w:val="24"/>
                <w:highlight w:val="none"/>
              </w:rPr>
            </w:pPr>
            <w:r>
              <w:rPr>
                <w:rFonts w:hint="eastAsia" w:ascii="宋体" w:hAnsi="宋体" w:cs="宋体"/>
                <w:b/>
                <w:bCs/>
                <w:sz w:val="24"/>
                <w:highlight w:val="none"/>
              </w:rPr>
              <w:t>偏离说明</w:t>
            </w:r>
          </w:p>
        </w:tc>
      </w:tr>
      <w:tr w14:paraId="146D4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23AEA1E">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tcPr>
          <w:p w14:paraId="398D389F">
            <w:pPr>
              <w:jc w:val="center"/>
              <w:rPr>
                <w:rFonts w:ascii="宋体" w:hAnsi="宋体" w:cs="宋体"/>
                <w:b/>
                <w:kern w:val="0"/>
                <w:sz w:val="32"/>
                <w:szCs w:val="32"/>
                <w:highlight w:val="none"/>
              </w:rPr>
            </w:pPr>
          </w:p>
        </w:tc>
        <w:tc>
          <w:tcPr>
            <w:tcW w:w="3546" w:type="dxa"/>
          </w:tcPr>
          <w:p w14:paraId="37CDAE69">
            <w:pPr>
              <w:jc w:val="center"/>
              <w:rPr>
                <w:rFonts w:ascii="宋体" w:hAnsi="宋体" w:cs="宋体"/>
                <w:b/>
                <w:kern w:val="0"/>
                <w:sz w:val="32"/>
                <w:szCs w:val="32"/>
                <w:highlight w:val="none"/>
              </w:rPr>
            </w:pPr>
          </w:p>
        </w:tc>
        <w:tc>
          <w:tcPr>
            <w:tcW w:w="1276" w:type="dxa"/>
          </w:tcPr>
          <w:p w14:paraId="089886B7">
            <w:pPr>
              <w:jc w:val="center"/>
              <w:rPr>
                <w:rFonts w:ascii="宋体" w:hAnsi="宋体" w:cs="宋体"/>
                <w:b/>
                <w:kern w:val="0"/>
                <w:sz w:val="32"/>
                <w:szCs w:val="32"/>
                <w:highlight w:val="none"/>
              </w:rPr>
            </w:pPr>
          </w:p>
        </w:tc>
      </w:tr>
      <w:tr w14:paraId="23D78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42BD75">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tcPr>
          <w:p w14:paraId="3D733915">
            <w:pPr>
              <w:jc w:val="center"/>
              <w:rPr>
                <w:rFonts w:ascii="宋体" w:hAnsi="宋体" w:cs="宋体"/>
                <w:b/>
                <w:kern w:val="0"/>
                <w:sz w:val="32"/>
                <w:szCs w:val="32"/>
                <w:highlight w:val="none"/>
              </w:rPr>
            </w:pPr>
          </w:p>
        </w:tc>
        <w:tc>
          <w:tcPr>
            <w:tcW w:w="3546" w:type="dxa"/>
          </w:tcPr>
          <w:p w14:paraId="48DACA67">
            <w:pPr>
              <w:jc w:val="center"/>
              <w:rPr>
                <w:rFonts w:ascii="宋体" w:hAnsi="宋体" w:cs="宋体"/>
                <w:b/>
                <w:kern w:val="0"/>
                <w:sz w:val="32"/>
                <w:szCs w:val="32"/>
                <w:highlight w:val="none"/>
              </w:rPr>
            </w:pPr>
          </w:p>
        </w:tc>
        <w:tc>
          <w:tcPr>
            <w:tcW w:w="1276" w:type="dxa"/>
          </w:tcPr>
          <w:p w14:paraId="7B3B7230">
            <w:pPr>
              <w:jc w:val="center"/>
              <w:rPr>
                <w:rFonts w:ascii="宋体" w:hAnsi="宋体" w:cs="宋体"/>
                <w:b/>
                <w:kern w:val="0"/>
                <w:sz w:val="32"/>
                <w:szCs w:val="32"/>
                <w:highlight w:val="none"/>
              </w:rPr>
            </w:pPr>
          </w:p>
        </w:tc>
      </w:tr>
      <w:tr w14:paraId="2BFCE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67099BD">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tcPr>
          <w:p w14:paraId="508691BE">
            <w:pPr>
              <w:jc w:val="center"/>
              <w:rPr>
                <w:rFonts w:ascii="宋体" w:hAnsi="宋体" w:cs="宋体"/>
                <w:b/>
                <w:kern w:val="0"/>
                <w:sz w:val="32"/>
                <w:szCs w:val="32"/>
                <w:highlight w:val="none"/>
              </w:rPr>
            </w:pPr>
          </w:p>
        </w:tc>
        <w:tc>
          <w:tcPr>
            <w:tcW w:w="3546" w:type="dxa"/>
          </w:tcPr>
          <w:p w14:paraId="24D444CF">
            <w:pPr>
              <w:jc w:val="center"/>
              <w:rPr>
                <w:rFonts w:ascii="宋体" w:hAnsi="宋体" w:cs="宋体"/>
                <w:b/>
                <w:kern w:val="0"/>
                <w:sz w:val="32"/>
                <w:szCs w:val="32"/>
                <w:highlight w:val="none"/>
              </w:rPr>
            </w:pPr>
          </w:p>
        </w:tc>
        <w:tc>
          <w:tcPr>
            <w:tcW w:w="1276" w:type="dxa"/>
          </w:tcPr>
          <w:p w14:paraId="51D583AA">
            <w:pPr>
              <w:jc w:val="center"/>
              <w:rPr>
                <w:rFonts w:ascii="宋体" w:hAnsi="宋体" w:cs="宋体"/>
                <w:b/>
                <w:kern w:val="0"/>
                <w:sz w:val="32"/>
                <w:szCs w:val="32"/>
                <w:highlight w:val="none"/>
              </w:rPr>
            </w:pPr>
          </w:p>
        </w:tc>
      </w:tr>
    </w:tbl>
    <w:p w14:paraId="5D62721D">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07D3A42B">
      <w:pPr>
        <w:spacing w:line="360" w:lineRule="auto"/>
        <w:ind w:firstLine="3600" w:firstLineChars="1500"/>
        <w:rPr>
          <w:rFonts w:ascii="宋体" w:hAnsi="宋体" w:cs="宋体"/>
          <w:sz w:val="24"/>
          <w:highlight w:val="none"/>
        </w:rPr>
      </w:pPr>
    </w:p>
    <w:p w14:paraId="1814DA41">
      <w:pPr>
        <w:spacing w:line="360" w:lineRule="auto"/>
        <w:ind w:firstLine="3600" w:firstLineChars="1500"/>
        <w:rPr>
          <w:rFonts w:ascii="宋体" w:hAnsi="宋体" w:cs="宋体"/>
          <w:sz w:val="24"/>
          <w:highlight w:val="none"/>
        </w:rPr>
      </w:pPr>
      <w:r>
        <w:rPr>
          <w:rFonts w:hint="eastAsia" w:ascii="宋体" w:hAnsi="宋体" w:cs="宋体"/>
          <w:sz w:val="24"/>
          <w:highlight w:val="none"/>
        </w:rPr>
        <w:t>投标人名称（公章）：</w:t>
      </w:r>
    </w:p>
    <w:p w14:paraId="67FD40B6">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法定代表人（负责人）或委托代理人(签名)：                          </w:t>
      </w:r>
    </w:p>
    <w:p w14:paraId="79BBFCAA">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152DCBCC">
      <w:pPr>
        <w:jc w:val="center"/>
        <w:rPr>
          <w:rFonts w:ascii="宋体" w:hAnsi="宋体" w:cs="宋体"/>
          <w:b/>
          <w:kern w:val="0"/>
          <w:sz w:val="32"/>
          <w:szCs w:val="32"/>
          <w:highlight w:val="none"/>
        </w:rPr>
      </w:pPr>
    </w:p>
    <w:p w14:paraId="73868A02">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A6C88D6">
      <w:pPr>
        <w:ind w:firstLine="1911" w:firstLineChars="595"/>
        <w:rPr>
          <w:rFonts w:ascii="宋体" w:hAnsi="宋体" w:cs="宋体"/>
          <w:b/>
          <w:bCs/>
          <w:sz w:val="32"/>
          <w:szCs w:val="32"/>
          <w:highlight w:val="none"/>
        </w:rPr>
      </w:pPr>
    </w:p>
    <w:p w14:paraId="17FE89D2">
      <w:pPr>
        <w:ind w:firstLine="1911" w:firstLineChars="595"/>
        <w:rPr>
          <w:rFonts w:ascii="宋体" w:hAnsi="宋体" w:cs="宋体"/>
          <w:b/>
          <w:bCs/>
          <w:sz w:val="32"/>
          <w:szCs w:val="32"/>
          <w:highlight w:val="none"/>
        </w:rPr>
      </w:pPr>
    </w:p>
    <w:p w14:paraId="433795D0">
      <w:pPr>
        <w:ind w:firstLine="1911" w:firstLineChars="595"/>
        <w:rPr>
          <w:rFonts w:ascii="宋体" w:hAnsi="宋体" w:cs="宋体"/>
          <w:b/>
          <w:bCs/>
          <w:sz w:val="32"/>
          <w:szCs w:val="32"/>
          <w:highlight w:val="none"/>
        </w:rPr>
      </w:pPr>
    </w:p>
    <w:p w14:paraId="31EBF02E">
      <w:pPr>
        <w:ind w:firstLine="1911" w:firstLineChars="595"/>
        <w:rPr>
          <w:rFonts w:ascii="宋体" w:hAnsi="宋体" w:cs="宋体"/>
          <w:b/>
          <w:bCs/>
          <w:sz w:val="32"/>
          <w:szCs w:val="32"/>
          <w:highlight w:val="none"/>
        </w:rPr>
      </w:pPr>
    </w:p>
    <w:p w14:paraId="35759124">
      <w:pPr>
        <w:widowControl/>
        <w:adjustRightInd/>
        <w:jc w:val="left"/>
        <w:rPr>
          <w:rFonts w:ascii="宋体" w:hAnsi="宋体" w:cs="宋体"/>
          <w:b/>
          <w:bCs/>
          <w:sz w:val="32"/>
          <w:szCs w:val="32"/>
          <w:highlight w:val="none"/>
        </w:rPr>
      </w:pPr>
    </w:p>
    <w:p w14:paraId="375E25C8">
      <w:pPr>
        <w:ind w:firstLine="1911" w:firstLineChars="595"/>
        <w:rPr>
          <w:rFonts w:ascii="宋体" w:hAnsi="宋体" w:cs="宋体"/>
          <w:b/>
          <w:kern w:val="0"/>
          <w:sz w:val="32"/>
          <w:szCs w:val="32"/>
          <w:highlight w:val="none"/>
        </w:rPr>
      </w:pPr>
      <w:r>
        <w:rPr>
          <w:rFonts w:hint="eastAsia" w:ascii="宋体" w:hAnsi="宋体" w:cs="宋体"/>
          <w:b/>
          <w:bCs/>
          <w:sz w:val="32"/>
          <w:szCs w:val="32"/>
          <w:highlight w:val="none"/>
        </w:rPr>
        <w:t>八</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57A5E1DB">
      <w:pPr>
        <w:snapToGrid w:val="0"/>
        <w:spacing w:line="360" w:lineRule="auto"/>
        <w:rPr>
          <w:rFonts w:ascii="宋体" w:hAnsi="宋体" w:cs="宋体"/>
          <w:sz w:val="24"/>
          <w:highlight w:val="none"/>
        </w:rPr>
      </w:pPr>
    </w:p>
    <w:p w14:paraId="2AFD5417">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4C81CFD3">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33310DEF">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3405C2B6">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378F7586">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015E9994">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75816A92">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27B2AC2D">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4149F9C6">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14:paraId="7D87D199">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109F4083">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26CA8F9D">
      <w:pPr>
        <w:autoSpaceDE w:val="0"/>
        <w:autoSpaceDN w:val="0"/>
        <w:spacing w:line="360" w:lineRule="auto"/>
        <w:ind w:left="2"/>
        <w:jc w:val="left"/>
        <w:rPr>
          <w:rFonts w:ascii="宋体" w:hAnsi="宋体" w:cs="宋体"/>
          <w:kern w:val="0"/>
          <w:sz w:val="24"/>
          <w:highlight w:val="none"/>
          <w:lang w:val="zh-CN"/>
        </w:rPr>
      </w:pPr>
    </w:p>
    <w:p w14:paraId="7DFF554C">
      <w:pPr>
        <w:autoSpaceDE w:val="0"/>
        <w:autoSpaceDN w:val="0"/>
        <w:spacing w:line="360" w:lineRule="auto"/>
        <w:ind w:left="2"/>
        <w:jc w:val="left"/>
        <w:rPr>
          <w:rFonts w:ascii="宋体" w:hAnsi="宋体" w:cs="宋体"/>
          <w:kern w:val="0"/>
          <w:sz w:val="24"/>
          <w:highlight w:val="none"/>
          <w:lang w:val="zh-CN"/>
        </w:rPr>
      </w:pPr>
    </w:p>
    <w:p w14:paraId="2AF4D3E7">
      <w:pPr>
        <w:autoSpaceDE w:val="0"/>
        <w:autoSpaceDN w:val="0"/>
        <w:spacing w:line="360" w:lineRule="auto"/>
        <w:ind w:left="2"/>
        <w:jc w:val="left"/>
        <w:rPr>
          <w:rFonts w:ascii="宋体" w:hAnsi="宋体" w:cs="宋体"/>
          <w:kern w:val="0"/>
          <w:sz w:val="24"/>
          <w:highlight w:val="none"/>
          <w:lang w:val="zh-CN"/>
        </w:rPr>
      </w:pPr>
    </w:p>
    <w:p w14:paraId="1511E43F">
      <w:pPr>
        <w:spacing w:line="360" w:lineRule="auto"/>
        <w:ind w:firstLine="3600" w:firstLineChars="1500"/>
        <w:rPr>
          <w:rFonts w:ascii="宋体" w:hAnsi="宋体" w:cs="宋体"/>
          <w:sz w:val="24"/>
          <w:highlight w:val="none"/>
        </w:rPr>
      </w:pPr>
      <w:r>
        <w:rPr>
          <w:rFonts w:hint="eastAsia" w:ascii="宋体" w:hAnsi="宋体" w:cs="宋体"/>
          <w:sz w:val="24"/>
          <w:highlight w:val="none"/>
        </w:rPr>
        <w:t>投标人名称（公章）：</w:t>
      </w:r>
    </w:p>
    <w:p w14:paraId="5403FCE6">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法定代表人（负责人）或委托代理人(签名)：                          </w:t>
      </w:r>
    </w:p>
    <w:p w14:paraId="3AF7EFD8">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7C9923EA">
      <w:pPr>
        <w:spacing w:line="360" w:lineRule="auto"/>
        <w:ind w:left="4620" w:leftChars="2200"/>
        <w:rPr>
          <w:rFonts w:ascii="宋体" w:hAnsi="宋体" w:cs="宋体"/>
          <w:sz w:val="24"/>
          <w:highlight w:val="none"/>
        </w:rPr>
      </w:pPr>
    </w:p>
    <w:p w14:paraId="3E513881">
      <w:pPr>
        <w:spacing w:line="360" w:lineRule="auto"/>
        <w:jc w:val="center"/>
        <w:rPr>
          <w:rFonts w:ascii="宋体" w:hAnsi="宋体" w:cs="宋体"/>
          <w:b/>
          <w:bCs/>
          <w:sz w:val="24"/>
          <w:highlight w:val="none"/>
        </w:rPr>
      </w:pPr>
    </w:p>
    <w:p w14:paraId="77857291">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6C982ED5">
      <w:pPr>
        <w:ind w:firstLine="1911" w:firstLineChars="595"/>
        <w:jc w:val="center"/>
        <w:rPr>
          <w:rFonts w:ascii="宋体" w:hAnsi="宋体" w:cs="宋体"/>
          <w:b/>
          <w:bCs/>
          <w:sz w:val="32"/>
          <w:szCs w:val="32"/>
          <w:highlight w:val="none"/>
        </w:rPr>
      </w:pPr>
    </w:p>
    <w:p w14:paraId="6CD280A8">
      <w:pPr>
        <w:ind w:firstLine="1911" w:firstLineChars="595"/>
        <w:jc w:val="center"/>
        <w:rPr>
          <w:rFonts w:ascii="宋体" w:hAnsi="宋体" w:cs="宋体"/>
          <w:b/>
          <w:bCs/>
          <w:sz w:val="32"/>
          <w:szCs w:val="32"/>
          <w:highlight w:val="none"/>
        </w:rPr>
      </w:pPr>
    </w:p>
    <w:p w14:paraId="1854744A">
      <w:pPr>
        <w:jc w:val="center"/>
        <w:rPr>
          <w:rFonts w:ascii="宋体" w:hAnsi="宋体" w:cs="宋体"/>
          <w:b/>
          <w:kern w:val="0"/>
          <w:sz w:val="32"/>
          <w:szCs w:val="21"/>
          <w:highlight w:val="none"/>
        </w:rPr>
      </w:pPr>
      <w:r>
        <w:rPr>
          <w:rFonts w:hint="eastAsia" w:ascii="宋体" w:hAnsi="宋体" w:cs="宋体"/>
          <w:b/>
          <w:bCs/>
          <w:sz w:val="32"/>
          <w:szCs w:val="32"/>
          <w:highlight w:val="none"/>
        </w:rPr>
        <w:t>九</w:t>
      </w:r>
      <w:r>
        <w:rPr>
          <w:rFonts w:hint="eastAsia" w:ascii="宋体" w:hAnsi="宋体" w:cs="宋体"/>
          <w:b/>
          <w:kern w:val="0"/>
          <w:sz w:val="32"/>
          <w:szCs w:val="32"/>
          <w:highlight w:val="none"/>
        </w:rPr>
        <w:t>、</w:t>
      </w:r>
      <w:r>
        <w:rPr>
          <w:rFonts w:hint="eastAsia" w:ascii="宋体" w:hAnsi="宋体" w:cs="宋体"/>
          <w:b/>
          <w:kern w:val="0"/>
          <w:sz w:val="32"/>
          <w:szCs w:val="21"/>
          <w:highlight w:val="none"/>
        </w:rPr>
        <w:t>承诺函</w:t>
      </w:r>
    </w:p>
    <w:p w14:paraId="3AD93CD0">
      <w:pPr>
        <w:widowControl/>
        <w:adjustRightInd/>
        <w:ind w:firstLine="640" w:firstLineChars="200"/>
        <w:jc w:val="left"/>
        <w:rPr>
          <w:rFonts w:ascii="宋体" w:hAnsi="宋体" w:cs="宋体"/>
          <w:kern w:val="0"/>
          <w:sz w:val="32"/>
          <w:szCs w:val="21"/>
          <w:highlight w:val="none"/>
        </w:rPr>
      </w:pPr>
    </w:p>
    <w:p w14:paraId="40EE90DC">
      <w:pPr>
        <w:keepNext w:val="0"/>
        <w:keepLines w:val="0"/>
        <w:pageBreakBefore w:val="0"/>
        <w:kinsoku/>
        <w:wordWrap/>
        <w:overflowPunct/>
        <w:topLinePunct w:val="0"/>
        <w:autoSpaceDE/>
        <w:autoSpaceDN/>
        <w:bidi w:val="0"/>
        <w:snapToGrid w:val="0"/>
        <w:spacing w:line="360" w:lineRule="exact"/>
        <w:textAlignment w:val="auto"/>
        <w:rPr>
          <w:rFonts w:ascii="宋体" w:hAnsi="宋体" w:cs="宋体"/>
          <w:kern w:val="0"/>
          <w:sz w:val="21"/>
          <w:szCs w:val="21"/>
          <w:highlight w:val="none"/>
        </w:rPr>
      </w:pPr>
      <w:r>
        <w:rPr>
          <w:rFonts w:hint="eastAsia" w:ascii="宋体" w:hAnsi="宋体" w:cs="宋体"/>
          <w:sz w:val="21"/>
          <w:szCs w:val="21"/>
          <w:highlight w:val="none"/>
        </w:rPr>
        <w:t>（采购人）、（采购代理机构）</w:t>
      </w:r>
      <w:r>
        <w:rPr>
          <w:rFonts w:hint="eastAsia" w:ascii="宋体" w:hAnsi="宋体" w:cs="宋体"/>
          <w:kern w:val="0"/>
          <w:sz w:val="21"/>
          <w:szCs w:val="21"/>
          <w:highlight w:val="none"/>
          <w:lang w:val="zh-CN"/>
        </w:rPr>
        <w:t>：</w:t>
      </w:r>
    </w:p>
    <w:p w14:paraId="77FA5592">
      <w:pPr>
        <w:keepNext w:val="0"/>
        <w:keepLines w:val="0"/>
        <w:pageBreakBefore w:val="0"/>
        <w:widowControl/>
        <w:kinsoku/>
        <w:wordWrap/>
        <w:overflowPunct/>
        <w:topLinePunct w:val="0"/>
        <w:autoSpaceDE/>
        <w:autoSpaceDN/>
        <w:bidi w:val="0"/>
        <w:adjustRightInd/>
        <w:spacing w:line="360" w:lineRule="exact"/>
        <w:ind w:firstLine="420" w:firstLineChars="200"/>
        <w:jc w:val="left"/>
        <w:textAlignment w:val="auto"/>
        <w:rPr>
          <w:rFonts w:ascii="宋体" w:hAnsi="宋体" w:cs="宋体"/>
          <w:kern w:val="0"/>
          <w:sz w:val="21"/>
          <w:szCs w:val="21"/>
          <w:highlight w:val="none"/>
        </w:rPr>
      </w:pPr>
      <w:r>
        <w:rPr>
          <w:rFonts w:hint="eastAsia" w:ascii="宋体" w:hAnsi="宋体" w:cs="宋体"/>
          <w:kern w:val="0"/>
          <w:sz w:val="21"/>
          <w:szCs w:val="21"/>
          <w:highlight w:val="none"/>
        </w:rPr>
        <w:t>我方作为本次采购项目的投标人，根据招标文件要求，现郑重承诺如下：</w:t>
      </w:r>
    </w:p>
    <w:p w14:paraId="6F45DCD4">
      <w:pPr>
        <w:keepNext w:val="0"/>
        <w:keepLines w:val="0"/>
        <w:pageBreakBefore w:val="0"/>
        <w:widowControl/>
        <w:kinsoku/>
        <w:wordWrap/>
        <w:overflowPunct/>
        <w:topLinePunct w:val="0"/>
        <w:autoSpaceDE/>
        <w:autoSpaceDN/>
        <w:bidi w:val="0"/>
        <w:adjustRightInd/>
        <w:spacing w:line="360" w:lineRule="exact"/>
        <w:ind w:firstLine="420" w:firstLineChars="200"/>
        <w:jc w:val="left"/>
        <w:textAlignment w:val="auto"/>
        <w:rPr>
          <w:rFonts w:ascii="宋体" w:hAnsi="宋体" w:cs="宋体"/>
          <w:kern w:val="0"/>
          <w:sz w:val="21"/>
          <w:szCs w:val="21"/>
          <w:highlight w:val="none"/>
        </w:rPr>
      </w:pPr>
      <w:r>
        <w:rPr>
          <w:rFonts w:hint="eastAsia" w:ascii="宋体" w:hAnsi="宋体" w:cs="宋体"/>
          <w:kern w:val="0"/>
          <w:sz w:val="21"/>
          <w:szCs w:val="21"/>
          <w:highlight w:val="none"/>
        </w:rPr>
        <w:t>一、我方已认真阅读并接受本项目招标文件第二部分的全部实质性要求，如对招标文件有异议，已依法进行维权救济，不存在对招标文件有异议的同时又参加投标以求侥幸中标或者为实现其他非法目的的行为。</w:t>
      </w:r>
    </w:p>
    <w:p w14:paraId="3BC2576D">
      <w:pPr>
        <w:keepNext w:val="0"/>
        <w:keepLines w:val="0"/>
        <w:pageBreakBefore w:val="0"/>
        <w:widowControl/>
        <w:kinsoku/>
        <w:wordWrap/>
        <w:overflowPunct/>
        <w:topLinePunct w:val="0"/>
        <w:autoSpaceDE/>
        <w:autoSpaceDN/>
        <w:bidi w:val="0"/>
        <w:adjustRightInd/>
        <w:spacing w:line="360" w:lineRule="exact"/>
        <w:ind w:firstLine="420" w:firstLineChars="200"/>
        <w:jc w:val="left"/>
        <w:textAlignment w:val="auto"/>
        <w:rPr>
          <w:rFonts w:ascii="宋体" w:hAnsi="宋体" w:cs="宋体"/>
          <w:kern w:val="0"/>
          <w:sz w:val="21"/>
          <w:szCs w:val="21"/>
          <w:highlight w:val="none"/>
        </w:rPr>
      </w:pPr>
      <w:r>
        <w:rPr>
          <w:rFonts w:hint="eastAsia" w:ascii="宋体" w:hAnsi="宋体" w:cs="宋体"/>
          <w:kern w:val="0"/>
          <w:sz w:val="21"/>
          <w:szCs w:val="21"/>
          <w:highlight w:val="none"/>
        </w:rPr>
        <w:t>二、参加本次招标采购活动，不存在与单位负责人为同一人或者存在直接控股、管理关系的其他供应商参与同一合同项下的政府采购活动的行为。</w:t>
      </w:r>
    </w:p>
    <w:p w14:paraId="6075AB96">
      <w:pPr>
        <w:keepNext w:val="0"/>
        <w:keepLines w:val="0"/>
        <w:pageBreakBefore w:val="0"/>
        <w:widowControl/>
        <w:kinsoku/>
        <w:wordWrap/>
        <w:overflowPunct/>
        <w:topLinePunct w:val="0"/>
        <w:autoSpaceDE/>
        <w:autoSpaceDN/>
        <w:bidi w:val="0"/>
        <w:adjustRightInd/>
        <w:spacing w:line="360" w:lineRule="exact"/>
        <w:ind w:firstLine="420" w:firstLineChars="200"/>
        <w:jc w:val="left"/>
        <w:textAlignment w:val="auto"/>
        <w:rPr>
          <w:rFonts w:ascii="宋体" w:hAnsi="宋体" w:cs="宋体"/>
          <w:kern w:val="0"/>
          <w:sz w:val="21"/>
          <w:szCs w:val="21"/>
          <w:highlight w:val="none"/>
        </w:rPr>
      </w:pPr>
      <w:r>
        <w:rPr>
          <w:rFonts w:hint="eastAsia" w:ascii="宋体" w:hAnsi="宋体" w:cs="宋体"/>
          <w:kern w:val="0"/>
          <w:sz w:val="21"/>
          <w:szCs w:val="21"/>
          <w:highlight w:val="none"/>
        </w:rPr>
        <w:t>三、为采购项目提供整体设计、规范编制或者项目管理、监理、检测等服务的供应商，不得再参加该采购项目的其他采购活动，我方承诺不属于此类禁止参加本项目的供应商。</w:t>
      </w:r>
    </w:p>
    <w:p w14:paraId="53FB5FDA">
      <w:pPr>
        <w:keepNext w:val="0"/>
        <w:keepLines w:val="0"/>
        <w:pageBreakBefore w:val="0"/>
        <w:widowControl/>
        <w:kinsoku/>
        <w:wordWrap/>
        <w:overflowPunct/>
        <w:topLinePunct w:val="0"/>
        <w:autoSpaceDE/>
        <w:autoSpaceDN/>
        <w:bidi w:val="0"/>
        <w:adjustRightInd/>
        <w:spacing w:line="360" w:lineRule="exact"/>
        <w:ind w:firstLine="420" w:firstLineChars="200"/>
        <w:jc w:val="left"/>
        <w:textAlignment w:val="auto"/>
        <w:rPr>
          <w:rFonts w:ascii="宋体" w:hAnsi="宋体" w:cs="宋体"/>
          <w:kern w:val="0"/>
          <w:sz w:val="21"/>
          <w:szCs w:val="21"/>
          <w:highlight w:val="none"/>
        </w:rPr>
      </w:pPr>
      <w:r>
        <w:rPr>
          <w:rFonts w:hint="eastAsia" w:ascii="宋体" w:hAnsi="宋体" w:cs="宋体"/>
          <w:kern w:val="0"/>
          <w:sz w:val="21"/>
          <w:szCs w:val="21"/>
          <w:highlight w:val="none"/>
        </w:rPr>
        <w:t>四、参加本次招标采购活动，不存在和其他供应商在同一合同项下的采购项目中，同时委托同一个自然人、同一家庭的人员、同一单位的人员作为代理人的行为。</w:t>
      </w:r>
    </w:p>
    <w:p w14:paraId="06239F78">
      <w:pPr>
        <w:keepNext w:val="0"/>
        <w:keepLines w:val="0"/>
        <w:pageBreakBefore w:val="0"/>
        <w:widowControl/>
        <w:kinsoku/>
        <w:wordWrap/>
        <w:overflowPunct/>
        <w:topLinePunct w:val="0"/>
        <w:autoSpaceDE/>
        <w:autoSpaceDN/>
        <w:bidi w:val="0"/>
        <w:adjustRightInd/>
        <w:spacing w:line="360" w:lineRule="exact"/>
        <w:ind w:firstLine="420" w:firstLineChars="200"/>
        <w:jc w:val="left"/>
        <w:textAlignment w:val="auto"/>
        <w:rPr>
          <w:rFonts w:ascii="宋体" w:hAnsi="宋体" w:cs="宋体"/>
          <w:kern w:val="0"/>
          <w:sz w:val="21"/>
          <w:szCs w:val="21"/>
          <w:highlight w:val="none"/>
        </w:rPr>
      </w:pPr>
      <w:r>
        <w:rPr>
          <w:rFonts w:hint="eastAsia" w:ascii="宋体" w:hAnsi="宋体" w:cs="宋体"/>
          <w:kern w:val="0"/>
          <w:sz w:val="21"/>
          <w:szCs w:val="21"/>
          <w:highlight w:val="none"/>
        </w:rPr>
        <w:t>五、投标文件中提供的能够给予我方带来优惠、好处的任何材料资料和技术、服务、商务、响应产品等响应承诺情况都是真实的、有效的、合法的。</w:t>
      </w:r>
    </w:p>
    <w:p w14:paraId="1E4EA2E2">
      <w:pPr>
        <w:keepNext w:val="0"/>
        <w:keepLines w:val="0"/>
        <w:pageBreakBefore w:val="0"/>
        <w:widowControl/>
        <w:kinsoku/>
        <w:wordWrap/>
        <w:overflowPunct/>
        <w:topLinePunct w:val="0"/>
        <w:autoSpaceDE/>
        <w:autoSpaceDN/>
        <w:bidi w:val="0"/>
        <w:adjustRightInd/>
        <w:spacing w:line="360" w:lineRule="exact"/>
        <w:ind w:firstLine="420" w:firstLineChars="200"/>
        <w:jc w:val="left"/>
        <w:textAlignment w:val="auto"/>
        <w:rPr>
          <w:rFonts w:ascii="宋体" w:hAnsi="宋体" w:cs="宋体"/>
          <w:kern w:val="0"/>
          <w:sz w:val="21"/>
          <w:szCs w:val="21"/>
          <w:highlight w:val="none"/>
        </w:rPr>
      </w:pPr>
      <w:r>
        <w:rPr>
          <w:rFonts w:hint="eastAsia" w:ascii="宋体" w:hAnsi="宋体" w:cs="宋体"/>
          <w:kern w:val="0"/>
          <w:sz w:val="21"/>
          <w:szCs w:val="21"/>
          <w:highlight w:val="none"/>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14:paraId="616C51F7">
      <w:pPr>
        <w:keepNext w:val="0"/>
        <w:keepLines w:val="0"/>
        <w:pageBreakBefore w:val="0"/>
        <w:widowControl/>
        <w:kinsoku/>
        <w:wordWrap/>
        <w:overflowPunct/>
        <w:topLinePunct w:val="0"/>
        <w:autoSpaceDE/>
        <w:autoSpaceDN/>
        <w:bidi w:val="0"/>
        <w:adjustRightInd/>
        <w:spacing w:line="360" w:lineRule="exact"/>
        <w:ind w:firstLine="420" w:firstLineChars="200"/>
        <w:jc w:val="left"/>
        <w:textAlignment w:val="auto"/>
        <w:rPr>
          <w:rFonts w:ascii="宋体" w:hAnsi="宋体" w:cs="宋体"/>
          <w:kern w:val="0"/>
          <w:sz w:val="21"/>
          <w:szCs w:val="21"/>
          <w:highlight w:val="none"/>
        </w:rPr>
      </w:pPr>
      <w:r>
        <w:rPr>
          <w:rFonts w:hint="eastAsia" w:ascii="宋体" w:hAnsi="宋体" w:cs="宋体"/>
          <w:kern w:val="0"/>
          <w:sz w:val="21"/>
          <w:szCs w:val="21"/>
          <w:highlight w:val="none"/>
        </w:rPr>
        <w:t>七、国家或行业主管部门对采购产品的技术标准、质量标准和资格资质条件等有强制性规定的，我方承诺符合其要求。</w:t>
      </w:r>
    </w:p>
    <w:p w14:paraId="09C79C24">
      <w:pPr>
        <w:keepNext w:val="0"/>
        <w:keepLines w:val="0"/>
        <w:pageBreakBefore w:val="0"/>
        <w:widowControl/>
        <w:kinsoku/>
        <w:wordWrap/>
        <w:overflowPunct/>
        <w:topLinePunct w:val="0"/>
        <w:autoSpaceDE/>
        <w:autoSpaceDN/>
        <w:bidi w:val="0"/>
        <w:adjustRightInd/>
        <w:spacing w:line="360" w:lineRule="exact"/>
        <w:ind w:firstLine="420" w:firstLineChars="200"/>
        <w:jc w:val="left"/>
        <w:textAlignment w:val="auto"/>
        <w:rPr>
          <w:rFonts w:ascii="宋体" w:hAnsi="宋体" w:cs="宋体"/>
          <w:kern w:val="0"/>
          <w:sz w:val="21"/>
          <w:szCs w:val="21"/>
          <w:highlight w:val="none"/>
        </w:rPr>
      </w:pPr>
      <w:r>
        <w:rPr>
          <w:rFonts w:hint="eastAsia" w:ascii="宋体" w:hAnsi="宋体" w:cs="宋体"/>
          <w:kern w:val="0"/>
          <w:sz w:val="21"/>
          <w:szCs w:val="21"/>
          <w:highlight w:val="none"/>
        </w:rPr>
        <w:t>八、参加本次招标采购活动，我方完全同意招标文件第二部分关于“投标费用”、“合同分包”、“合同转包”、“履约保证金”的实质性要求，并承诺严格按照招标文件要求履行。</w:t>
      </w:r>
    </w:p>
    <w:p w14:paraId="15D84011">
      <w:pPr>
        <w:keepNext w:val="0"/>
        <w:keepLines w:val="0"/>
        <w:pageBreakBefore w:val="0"/>
        <w:widowControl/>
        <w:kinsoku/>
        <w:wordWrap/>
        <w:overflowPunct/>
        <w:topLinePunct w:val="0"/>
        <w:autoSpaceDE/>
        <w:autoSpaceDN/>
        <w:bidi w:val="0"/>
        <w:adjustRightInd/>
        <w:spacing w:line="360" w:lineRule="exact"/>
        <w:ind w:firstLine="420" w:firstLineChars="200"/>
        <w:jc w:val="left"/>
        <w:textAlignment w:val="auto"/>
        <w:rPr>
          <w:rFonts w:ascii="宋体" w:hAnsi="宋体" w:cs="宋体"/>
          <w:kern w:val="0"/>
          <w:sz w:val="21"/>
          <w:szCs w:val="21"/>
          <w:highlight w:val="none"/>
        </w:rPr>
      </w:pPr>
      <w:r>
        <w:rPr>
          <w:rFonts w:hint="eastAsia" w:ascii="宋体" w:hAnsi="宋体" w:cs="宋体"/>
          <w:kern w:val="0"/>
          <w:sz w:val="21"/>
          <w:szCs w:val="21"/>
          <w:highlight w:val="none"/>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14:paraId="3E76C655">
      <w:pPr>
        <w:keepNext w:val="0"/>
        <w:keepLines w:val="0"/>
        <w:pageBreakBefore w:val="0"/>
        <w:widowControl/>
        <w:kinsoku/>
        <w:wordWrap/>
        <w:overflowPunct/>
        <w:topLinePunct w:val="0"/>
        <w:autoSpaceDE/>
        <w:autoSpaceDN/>
        <w:bidi w:val="0"/>
        <w:adjustRightInd/>
        <w:spacing w:line="360" w:lineRule="exact"/>
        <w:ind w:firstLine="420" w:firstLineChars="200"/>
        <w:jc w:val="left"/>
        <w:textAlignment w:val="auto"/>
        <w:rPr>
          <w:rFonts w:ascii="宋体" w:hAnsi="宋体" w:cs="宋体"/>
          <w:kern w:val="0"/>
          <w:sz w:val="21"/>
          <w:szCs w:val="21"/>
          <w:highlight w:val="none"/>
        </w:rPr>
      </w:pPr>
      <w:r>
        <w:rPr>
          <w:rFonts w:hint="eastAsia" w:ascii="宋体" w:hAnsi="宋体" w:cs="宋体"/>
          <w:kern w:val="0"/>
          <w:sz w:val="21"/>
          <w:szCs w:val="21"/>
          <w:highlight w:val="none"/>
        </w:rPr>
        <w:t>我方对上述承诺的内容事项真实性负责。如经查实上述承诺的内容事项存在虚假，我方愿意接受以提供虚假材料谋取中标追究法律责任。</w:t>
      </w:r>
    </w:p>
    <w:p w14:paraId="3932EC1C">
      <w:pPr>
        <w:keepNext w:val="0"/>
        <w:keepLines w:val="0"/>
        <w:pageBreakBefore w:val="0"/>
        <w:widowControl/>
        <w:kinsoku/>
        <w:wordWrap/>
        <w:overflowPunct/>
        <w:topLinePunct w:val="0"/>
        <w:autoSpaceDE/>
        <w:autoSpaceDN/>
        <w:bidi w:val="0"/>
        <w:adjustRightInd/>
        <w:spacing w:line="360" w:lineRule="exact"/>
        <w:ind w:firstLine="420" w:firstLineChars="200"/>
        <w:jc w:val="left"/>
        <w:textAlignment w:val="auto"/>
        <w:rPr>
          <w:rFonts w:ascii="宋体" w:hAnsi="宋体" w:cs="宋体"/>
          <w:kern w:val="0"/>
          <w:sz w:val="21"/>
          <w:szCs w:val="21"/>
          <w:highlight w:val="none"/>
        </w:rPr>
      </w:pPr>
    </w:p>
    <w:p w14:paraId="6D41EBD4">
      <w:pPr>
        <w:keepNext w:val="0"/>
        <w:keepLines w:val="0"/>
        <w:pageBreakBefore w:val="0"/>
        <w:kinsoku/>
        <w:wordWrap/>
        <w:overflowPunct/>
        <w:topLinePunct w:val="0"/>
        <w:autoSpaceDE/>
        <w:autoSpaceDN/>
        <w:bidi w:val="0"/>
        <w:spacing w:line="360" w:lineRule="exact"/>
        <w:ind w:firstLine="3150" w:firstLineChars="1500"/>
        <w:textAlignment w:val="auto"/>
        <w:rPr>
          <w:rFonts w:ascii="宋体" w:hAnsi="宋体" w:cs="宋体"/>
          <w:sz w:val="21"/>
          <w:szCs w:val="21"/>
          <w:highlight w:val="none"/>
        </w:rPr>
      </w:pPr>
      <w:r>
        <w:rPr>
          <w:rFonts w:hint="eastAsia" w:ascii="宋体" w:hAnsi="宋体" w:cs="宋体"/>
          <w:sz w:val="21"/>
          <w:szCs w:val="21"/>
          <w:highlight w:val="none"/>
        </w:rPr>
        <w:t>投标人名称（公章）：</w:t>
      </w:r>
    </w:p>
    <w:p w14:paraId="39BDB0C9">
      <w:pPr>
        <w:keepNext w:val="0"/>
        <w:keepLines w:val="0"/>
        <w:pageBreakBefore w:val="0"/>
        <w:kinsoku/>
        <w:wordWrap/>
        <w:overflowPunct/>
        <w:topLinePunct w:val="0"/>
        <w:autoSpaceDE/>
        <w:autoSpaceDN/>
        <w:bidi w:val="0"/>
        <w:spacing w:line="360" w:lineRule="exact"/>
        <w:ind w:firstLine="3150" w:firstLineChars="1500"/>
        <w:textAlignment w:val="auto"/>
        <w:rPr>
          <w:rFonts w:ascii="宋体" w:hAnsi="宋体" w:cs="宋体"/>
          <w:sz w:val="21"/>
          <w:szCs w:val="21"/>
          <w:highlight w:val="none"/>
        </w:rPr>
      </w:pPr>
      <w:r>
        <w:rPr>
          <w:rFonts w:hint="eastAsia" w:ascii="宋体" w:hAnsi="宋体" w:cs="宋体"/>
          <w:sz w:val="21"/>
          <w:szCs w:val="21"/>
          <w:highlight w:val="none"/>
        </w:rPr>
        <w:t xml:space="preserve">法定代表人（负责人）或委托代理人(签名)：                          </w:t>
      </w:r>
    </w:p>
    <w:p w14:paraId="11A131D3">
      <w:pPr>
        <w:keepNext w:val="0"/>
        <w:keepLines w:val="0"/>
        <w:pageBreakBefore w:val="0"/>
        <w:kinsoku/>
        <w:wordWrap/>
        <w:overflowPunct/>
        <w:topLinePunct w:val="0"/>
        <w:autoSpaceDE/>
        <w:autoSpaceDN/>
        <w:bidi w:val="0"/>
        <w:spacing w:line="360" w:lineRule="exact"/>
        <w:jc w:val="center"/>
        <w:textAlignment w:val="auto"/>
        <w:rPr>
          <w:rFonts w:ascii="宋体" w:hAnsi="宋体" w:cs="宋体"/>
          <w:sz w:val="21"/>
          <w:szCs w:val="21"/>
          <w:highlight w:val="none"/>
        </w:rPr>
      </w:pPr>
      <w:r>
        <w:rPr>
          <w:rFonts w:hint="eastAsia" w:ascii="宋体" w:hAnsi="宋体" w:cs="宋体"/>
          <w:sz w:val="21"/>
          <w:szCs w:val="21"/>
          <w:highlight w:val="none"/>
        </w:rPr>
        <w:t xml:space="preserve">     日期：  年   月   日</w:t>
      </w:r>
    </w:p>
    <w:p w14:paraId="4964B7AE">
      <w:pPr>
        <w:keepNext w:val="0"/>
        <w:keepLines w:val="0"/>
        <w:pageBreakBefore w:val="0"/>
        <w:kinsoku/>
        <w:wordWrap/>
        <w:overflowPunct/>
        <w:topLinePunct w:val="0"/>
        <w:autoSpaceDE/>
        <w:autoSpaceDN/>
        <w:bidi w:val="0"/>
        <w:spacing w:line="360" w:lineRule="exact"/>
        <w:jc w:val="center"/>
        <w:textAlignment w:val="auto"/>
        <w:rPr>
          <w:rFonts w:ascii="宋体" w:hAnsi="宋体" w:cs="宋体"/>
          <w:b/>
          <w:bCs/>
          <w:sz w:val="21"/>
          <w:szCs w:val="21"/>
          <w:highlight w:val="none"/>
        </w:rPr>
      </w:pPr>
    </w:p>
    <w:p w14:paraId="4FC8137B">
      <w:pPr>
        <w:keepNext w:val="0"/>
        <w:keepLines w:val="0"/>
        <w:pageBreakBefore w:val="0"/>
        <w:kinsoku/>
        <w:wordWrap/>
        <w:overflowPunct/>
        <w:topLinePunct w:val="0"/>
        <w:autoSpaceDE/>
        <w:autoSpaceDN/>
        <w:bidi w:val="0"/>
        <w:spacing w:line="360" w:lineRule="exact"/>
        <w:ind w:right="420"/>
        <w:textAlignment w:val="auto"/>
        <w:rPr>
          <w:rFonts w:ascii="宋体" w:hAnsi="宋体" w:cs="宋体"/>
          <w:sz w:val="21"/>
          <w:szCs w:val="21"/>
          <w:highlight w:val="none"/>
        </w:rPr>
      </w:pPr>
      <w:r>
        <w:rPr>
          <w:rFonts w:hint="eastAsia" w:ascii="宋体" w:hAnsi="宋体" w:cs="宋体"/>
          <w:sz w:val="21"/>
          <w:szCs w:val="21"/>
          <w:highlight w:val="none"/>
        </w:rPr>
        <w:t>注：按本格式和要求提供。</w:t>
      </w:r>
    </w:p>
    <w:p w14:paraId="5B527072">
      <w:pPr>
        <w:spacing w:line="360" w:lineRule="auto"/>
        <w:jc w:val="center"/>
        <w:rPr>
          <w:rFonts w:cs="仿宋_GB2312" w:asciiTheme="minorEastAsia" w:hAnsiTheme="minorEastAsia" w:eastAsiaTheme="minorEastAsia"/>
          <w:b/>
          <w:bCs/>
          <w:sz w:val="32"/>
          <w:szCs w:val="32"/>
          <w:highlight w:val="none"/>
        </w:rPr>
      </w:pPr>
    </w:p>
    <w:p w14:paraId="7F13E470">
      <w:pPr>
        <w:spacing w:line="360" w:lineRule="auto"/>
        <w:jc w:val="center"/>
        <w:rPr>
          <w:rFonts w:cs="仿宋_GB2312" w:asciiTheme="minorEastAsia" w:hAnsiTheme="minorEastAsia" w:eastAsiaTheme="minorEastAsia"/>
          <w:b/>
          <w:bCs/>
          <w:color w:val="FF0000"/>
          <w:sz w:val="32"/>
          <w:szCs w:val="32"/>
          <w:highlight w:val="none"/>
        </w:rPr>
      </w:pPr>
      <w:r>
        <w:rPr>
          <w:rFonts w:hint="eastAsia" w:cs="仿宋_GB2312" w:asciiTheme="minorEastAsia" w:hAnsiTheme="minorEastAsia" w:eastAsiaTheme="minorEastAsia"/>
          <w:b/>
          <w:bCs/>
          <w:color w:val="FF0000"/>
          <w:sz w:val="32"/>
          <w:szCs w:val="32"/>
          <w:highlight w:val="none"/>
        </w:rPr>
        <w:t>十、技术解决方案</w:t>
      </w:r>
    </w:p>
    <w:p w14:paraId="713DA028">
      <w:pPr>
        <w:spacing w:line="360" w:lineRule="auto"/>
        <w:jc w:val="center"/>
        <w:rPr>
          <w:rFonts w:cs="仿宋_GB2312" w:asciiTheme="minorEastAsia" w:hAnsiTheme="minorEastAsia" w:eastAsiaTheme="minorEastAsia"/>
          <w:color w:val="FF0000"/>
          <w:sz w:val="24"/>
          <w:highlight w:val="none"/>
        </w:rPr>
      </w:pPr>
      <w:r>
        <w:rPr>
          <w:rFonts w:hint="eastAsia" w:cs="仿宋_GB2312" w:asciiTheme="minorEastAsia" w:hAnsiTheme="minorEastAsia" w:eastAsiaTheme="minorEastAsia"/>
          <w:color w:val="FF0000"/>
          <w:sz w:val="24"/>
          <w:highlight w:val="none"/>
        </w:rPr>
        <w:t>（由供应商根据采购需求及招标文件要求编制）</w:t>
      </w:r>
    </w:p>
    <w:p w14:paraId="00C85453">
      <w:pPr>
        <w:spacing w:line="360" w:lineRule="auto"/>
        <w:jc w:val="center"/>
        <w:rPr>
          <w:rFonts w:cs="仿宋_GB2312" w:asciiTheme="minorEastAsia" w:hAnsiTheme="minorEastAsia" w:eastAsiaTheme="minorEastAsia"/>
          <w:color w:val="FF0000"/>
          <w:sz w:val="24"/>
          <w:highlight w:val="none"/>
        </w:rPr>
      </w:pPr>
    </w:p>
    <w:p w14:paraId="72016C21">
      <w:pPr>
        <w:autoSpaceDE w:val="0"/>
        <w:autoSpaceDN w:val="0"/>
        <w:spacing w:line="360" w:lineRule="auto"/>
        <w:rPr>
          <w:rFonts w:cs="仿宋_GB2312" w:asciiTheme="minorEastAsia" w:hAnsiTheme="minorEastAsia" w:eastAsiaTheme="minorEastAsia"/>
          <w:color w:val="FF0000"/>
          <w:kern w:val="0"/>
          <w:sz w:val="24"/>
          <w:highlight w:val="none"/>
        </w:rPr>
      </w:pPr>
    </w:p>
    <w:p w14:paraId="08D59A49">
      <w:pPr>
        <w:autoSpaceDE w:val="0"/>
        <w:autoSpaceDN w:val="0"/>
        <w:spacing w:line="360" w:lineRule="auto"/>
        <w:ind w:firstLine="4560" w:firstLineChars="1900"/>
        <w:rPr>
          <w:rFonts w:cs="仿宋_GB2312" w:asciiTheme="minorEastAsia" w:hAnsiTheme="minorEastAsia" w:eastAsiaTheme="minorEastAsia"/>
          <w:color w:val="FF0000"/>
          <w:kern w:val="0"/>
          <w:sz w:val="24"/>
          <w:highlight w:val="none"/>
        </w:rPr>
      </w:pPr>
      <w:r>
        <w:rPr>
          <w:rFonts w:hint="eastAsia" w:cs="宋体" w:asciiTheme="minorEastAsia" w:hAnsiTheme="minorEastAsia" w:eastAsiaTheme="minorEastAsia"/>
          <w:color w:val="FF0000"/>
          <w:kern w:val="0"/>
          <w:sz w:val="24"/>
          <w:highlight w:val="none"/>
          <w:lang w:val="zh-CN"/>
        </w:rPr>
        <w:t>投标人名称（公章）：</w:t>
      </w:r>
      <w:r>
        <w:rPr>
          <w:rFonts w:hint="eastAsia" w:cs="仿宋_GB2312" w:asciiTheme="minorEastAsia" w:hAnsiTheme="minorEastAsia" w:eastAsiaTheme="minorEastAsia"/>
          <w:color w:val="FF0000"/>
          <w:kern w:val="0"/>
          <w:sz w:val="24"/>
          <w:highlight w:val="none"/>
        </w:rPr>
        <w:t xml:space="preserve">                       </w:t>
      </w:r>
    </w:p>
    <w:p w14:paraId="760C927B">
      <w:pPr>
        <w:spacing w:line="360" w:lineRule="auto"/>
        <w:rPr>
          <w:rFonts w:cs="仿宋_GB2312" w:asciiTheme="minorEastAsia" w:hAnsiTheme="minorEastAsia" w:eastAsiaTheme="minorEastAsia"/>
          <w:b/>
          <w:bCs/>
          <w:color w:val="FF0000"/>
          <w:sz w:val="24"/>
          <w:highlight w:val="none"/>
        </w:rPr>
      </w:pPr>
      <w:r>
        <w:rPr>
          <w:rFonts w:hint="eastAsia" w:cs="仿宋_GB2312" w:asciiTheme="minorEastAsia" w:hAnsiTheme="minorEastAsia" w:eastAsiaTheme="minorEastAsia"/>
          <w:color w:val="FF0000"/>
          <w:kern w:val="0"/>
          <w:sz w:val="24"/>
          <w:highlight w:val="none"/>
        </w:rPr>
        <w:t xml:space="preserve">                                      日期：  年  月   日</w:t>
      </w:r>
    </w:p>
    <w:p w14:paraId="75C07CA5">
      <w:pPr>
        <w:spacing w:line="360" w:lineRule="auto"/>
        <w:jc w:val="center"/>
        <w:rPr>
          <w:rFonts w:cs="仿宋_GB2312" w:asciiTheme="minorEastAsia" w:hAnsiTheme="minorEastAsia" w:eastAsiaTheme="minorEastAsia"/>
          <w:b/>
          <w:bCs/>
          <w:color w:val="FF0000"/>
          <w:sz w:val="32"/>
          <w:szCs w:val="32"/>
          <w:highlight w:val="none"/>
        </w:rPr>
      </w:pPr>
    </w:p>
    <w:p w14:paraId="188DDF0D">
      <w:pPr>
        <w:spacing w:line="360" w:lineRule="auto"/>
        <w:jc w:val="center"/>
        <w:rPr>
          <w:rFonts w:cs="仿宋_GB2312" w:asciiTheme="minorEastAsia" w:hAnsiTheme="minorEastAsia" w:eastAsiaTheme="minorEastAsia"/>
          <w:b/>
          <w:bCs/>
          <w:color w:val="FF0000"/>
          <w:sz w:val="32"/>
          <w:szCs w:val="32"/>
          <w:highlight w:val="none"/>
        </w:rPr>
      </w:pPr>
      <w:r>
        <w:rPr>
          <w:rFonts w:hint="eastAsia" w:cs="仿宋_GB2312" w:asciiTheme="minorEastAsia" w:hAnsiTheme="minorEastAsia" w:eastAsiaTheme="minorEastAsia"/>
          <w:b/>
          <w:bCs/>
          <w:color w:val="FF0000"/>
          <w:sz w:val="32"/>
          <w:szCs w:val="32"/>
          <w:highlight w:val="none"/>
        </w:rPr>
        <w:t>十一、组织实施方案</w:t>
      </w:r>
    </w:p>
    <w:p w14:paraId="1C17470D">
      <w:pPr>
        <w:spacing w:line="360" w:lineRule="auto"/>
        <w:jc w:val="center"/>
        <w:rPr>
          <w:rFonts w:cs="仿宋_GB2312" w:asciiTheme="minorEastAsia" w:hAnsiTheme="minorEastAsia" w:eastAsiaTheme="minorEastAsia"/>
          <w:color w:val="FF0000"/>
          <w:sz w:val="24"/>
          <w:highlight w:val="none"/>
        </w:rPr>
      </w:pPr>
      <w:r>
        <w:rPr>
          <w:rFonts w:hint="eastAsia" w:cs="仿宋_GB2312" w:asciiTheme="minorEastAsia" w:hAnsiTheme="minorEastAsia" w:eastAsiaTheme="minorEastAsia"/>
          <w:color w:val="FF0000"/>
          <w:sz w:val="24"/>
          <w:highlight w:val="none"/>
        </w:rPr>
        <w:t>（由供应商根据采购需求及招标文件要求编制）</w:t>
      </w:r>
    </w:p>
    <w:p w14:paraId="4ADE04E0">
      <w:pPr>
        <w:spacing w:line="360" w:lineRule="auto"/>
        <w:jc w:val="center"/>
        <w:rPr>
          <w:rFonts w:cs="仿宋_GB2312" w:asciiTheme="minorEastAsia" w:hAnsiTheme="minorEastAsia" w:eastAsiaTheme="minorEastAsia"/>
          <w:color w:val="FF0000"/>
          <w:sz w:val="24"/>
          <w:highlight w:val="none"/>
        </w:rPr>
      </w:pPr>
    </w:p>
    <w:p w14:paraId="7A374316">
      <w:pPr>
        <w:autoSpaceDE w:val="0"/>
        <w:autoSpaceDN w:val="0"/>
        <w:spacing w:line="360" w:lineRule="auto"/>
        <w:rPr>
          <w:rFonts w:cs="仿宋_GB2312" w:asciiTheme="minorEastAsia" w:hAnsiTheme="minorEastAsia" w:eastAsiaTheme="minorEastAsia"/>
          <w:color w:val="FF0000"/>
          <w:kern w:val="0"/>
          <w:sz w:val="24"/>
          <w:highlight w:val="none"/>
        </w:rPr>
      </w:pPr>
    </w:p>
    <w:p w14:paraId="585107CC">
      <w:pPr>
        <w:autoSpaceDE w:val="0"/>
        <w:autoSpaceDN w:val="0"/>
        <w:spacing w:line="360" w:lineRule="auto"/>
        <w:ind w:firstLine="4560" w:firstLineChars="1900"/>
        <w:rPr>
          <w:rFonts w:cs="仿宋_GB2312" w:asciiTheme="minorEastAsia" w:hAnsiTheme="minorEastAsia" w:eastAsiaTheme="minorEastAsia"/>
          <w:color w:val="FF0000"/>
          <w:kern w:val="0"/>
          <w:sz w:val="24"/>
          <w:highlight w:val="none"/>
        </w:rPr>
      </w:pPr>
      <w:r>
        <w:rPr>
          <w:rFonts w:hint="eastAsia" w:cs="宋体" w:asciiTheme="minorEastAsia" w:hAnsiTheme="minorEastAsia" w:eastAsiaTheme="minorEastAsia"/>
          <w:color w:val="FF0000"/>
          <w:kern w:val="0"/>
          <w:sz w:val="24"/>
          <w:highlight w:val="none"/>
          <w:lang w:val="zh-CN"/>
        </w:rPr>
        <w:t>投标人名称（公章）：</w:t>
      </w:r>
      <w:r>
        <w:rPr>
          <w:rFonts w:hint="eastAsia" w:cs="仿宋_GB2312" w:asciiTheme="minorEastAsia" w:hAnsiTheme="minorEastAsia" w:eastAsiaTheme="minorEastAsia"/>
          <w:color w:val="FF0000"/>
          <w:kern w:val="0"/>
          <w:sz w:val="24"/>
          <w:highlight w:val="none"/>
        </w:rPr>
        <w:t xml:space="preserve">                       </w:t>
      </w:r>
    </w:p>
    <w:p w14:paraId="052B8FC7">
      <w:pPr>
        <w:spacing w:line="360" w:lineRule="auto"/>
        <w:rPr>
          <w:rFonts w:cs="仿宋_GB2312" w:asciiTheme="minorEastAsia" w:hAnsiTheme="minorEastAsia" w:eastAsiaTheme="minorEastAsia"/>
          <w:b/>
          <w:bCs/>
          <w:color w:val="FF0000"/>
          <w:sz w:val="24"/>
          <w:highlight w:val="none"/>
        </w:rPr>
      </w:pPr>
      <w:r>
        <w:rPr>
          <w:rFonts w:hint="eastAsia" w:cs="仿宋_GB2312" w:asciiTheme="minorEastAsia" w:hAnsiTheme="minorEastAsia" w:eastAsiaTheme="minorEastAsia"/>
          <w:color w:val="FF0000"/>
          <w:kern w:val="0"/>
          <w:sz w:val="24"/>
          <w:highlight w:val="none"/>
        </w:rPr>
        <w:t xml:space="preserve">                                      日期：  年  月   日</w:t>
      </w:r>
    </w:p>
    <w:p w14:paraId="3ECEAE23">
      <w:pPr>
        <w:spacing w:line="360" w:lineRule="auto"/>
        <w:jc w:val="center"/>
        <w:rPr>
          <w:rFonts w:cs="仿宋_GB2312" w:asciiTheme="minorEastAsia" w:hAnsiTheme="minorEastAsia" w:eastAsiaTheme="minorEastAsia"/>
          <w:b/>
          <w:bCs/>
          <w:color w:val="FF0000"/>
          <w:sz w:val="32"/>
          <w:szCs w:val="32"/>
          <w:highlight w:val="none"/>
        </w:rPr>
      </w:pPr>
    </w:p>
    <w:p w14:paraId="072927DA">
      <w:pPr>
        <w:spacing w:line="360" w:lineRule="auto"/>
        <w:jc w:val="center"/>
        <w:rPr>
          <w:rFonts w:cs="仿宋_GB2312" w:asciiTheme="minorEastAsia" w:hAnsiTheme="minorEastAsia" w:eastAsiaTheme="minorEastAsia"/>
          <w:b/>
          <w:bCs/>
          <w:color w:val="FF0000"/>
          <w:sz w:val="32"/>
          <w:szCs w:val="32"/>
          <w:highlight w:val="none"/>
        </w:rPr>
      </w:pPr>
      <w:r>
        <w:rPr>
          <w:rFonts w:hint="eastAsia" w:cs="仿宋_GB2312" w:asciiTheme="minorEastAsia" w:hAnsiTheme="minorEastAsia" w:eastAsiaTheme="minorEastAsia"/>
          <w:b/>
          <w:bCs/>
          <w:color w:val="FF0000"/>
          <w:sz w:val="32"/>
          <w:szCs w:val="32"/>
          <w:highlight w:val="none"/>
        </w:rPr>
        <w:t>十二、售后服务方案</w:t>
      </w:r>
    </w:p>
    <w:p w14:paraId="0B642523">
      <w:pPr>
        <w:spacing w:line="360" w:lineRule="auto"/>
        <w:jc w:val="center"/>
        <w:rPr>
          <w:rFonts w:cs="仿宋_GB2312" w:asciiTheme="minorEastAsia" w:hAnsiTheme="minorEastAsia" w:eastAsiaTheme="minorEastAsia"/>
          <w:color w:val="FF0000"/>
          <w:sz w:val="24"/>
          <w:highlight w:val="none"/>
        </w:rPr>
      </w:pPr>
      <w:r>
        <w:rPr>
          <w:rFonts w:hint="eastAsia" w:cs="仿宋_GB2312" w:asciiTheme="minorEastAsia" w:hAnsiTheme="minorEastAsia" w:eastAsiaTheme="minorEastAsia"/>
          <w:color w:val="FF0000"/>
          <w:sz w:val="24"/>
          <w:highlight w:val="none"/>
        </w:rPr>
        <w:t>（由供应商根据采购需求及招标文件要求编制）</w:t>
      </w:r>
    </w:p>
    <w:p w14:paraId="013CB08C">
      <w:pPr>
        <w:spacing w:line="360" w:lineRule="auto"/>
        <w:jc w:val="center"/>
        <w:rPr>
          <w:rFonts w:cs="仿宋_GB2312" w:asciiTheme="minorEastAsia" w:hAnsiTheme="minorEastAsia" w:eastAsiaTheme="minorEastAsia"/>
          <w:color w:val="FF0000"/>
          <w:sz w:val="24"/>
          <w:highlight w:val="none"/>
        </w:rPr>
      </w:pPr>
    </w:p>
    <w:p w14:paraId="4375C1C6">
      <w:pPr>
        <w:autoSpaceDE w:val="0"/>
        <w:autoSpaceDN w:val="0"/>
        <w:spacing w:line="360" w:lineRule="auto"/>
        <w:rPr>
          <w:rFonts w:cs="仿宋_GB2312" w:asciiTheme="minorEastAsia" w:hAnsiTheme="minorEastAsia" w:eastAsiaTheme="minorEastAsia"/>
          <w:color w:val="FF0000"/>
          <w:kern w:val="0"/>
          <w:sz w:val="24"/>
          <w:highlight w:val="none"/>
        </w:rPr>
      </w:pPr>
    </w:p>
    <w:p w14:paraId="079AE8C9">
      <w:pPr>
        <w:autoSpaceDE w:val="0"/>
        <w:autoSpaceDN w:val="0"/>
        <w:spacing w:line="360" w:lineRule="auto"/>
        <w:ind w:firstLine="4560" w:firstLineChars="1900"/>
        <w:rPr>
          <w:rFonts w:cs="仿宋_GB2312" w:asciiTheme="minorEastAsia" w:hAnsiTheme="minorEastAsia" w:eastAsiaTheme="minorEastAsia"/>
          <w:color w:val="FF0000"/>
          <w:kern w:val="0"/>
          <w:sz w:val="24"/>
          <w:highlight w:val="none"/>
        </w:rPr>
      </w:pPr>
      <w:r>
        <w:rPr>
          <w:rFonts w:hint="eastAsia" w:cs="宋体" w:asciiTheme="minorEastAsia" w:hAnsiTheme="minorEastAsia" w:eastAsiaTheme="minorEastAsia"/>
          <w:color w:val="FF0000"/>
          <w:kern w:val="0"/>
          <w:sz w:val="24"/>
          <w:highlight w:val="none"/>
          <w:lang w:val="zh-CN"/>
        </w:rPr>
        <w:t>投标人名称（公章）：</w:t>
      </w:r>
      <w:r>
        <w:rPr>
          <w:rFonts w:hint="eastAsia" w:cs="仿宋_GB2312" w:asciiTheme="minorEastAsia" w:hAnsiTheme="minorEastAsia" w:eastAsiaTheme="minorEastAsia"/>
          <w:color w:val="FF0000"/>
          <w:kern w:val="0"/>
          <w:sz w:val="24"/>
          <w:highlight w:val="none"/>
        </w:rPr>
        <w:t xml:space="preserve">                       </w:t>
      </w:r>
    </w:p>
    <w:p w14:paraId="3CDDAB87">
      <w:pPr>
        <w:spacing w:line="360" w:lineRule="auto"/>
        <w:rPr>
          <w:rFonts w:cs="仿宋_GB2312" w:asciiTheme="minorEastAsia" w:hAnsiTheme="minorEastAsia" w:eastAsiaTheme="minorEastAsia"/>
          <w:b/>
          <w:bCs/>
          <w:color w:val="FF0000"/>
          <w:sz w:val="24"/>
          <w:highlight w:val="none"/>
        </w:rPr>
      </w:pPr>
      <w:r>
        <w:rPr>
          <w:rFonts w:hint="eastAsia" w:cs="仿宋_GB2312" w:asciiTheme="minorEastAsia" w:hAnsiTheme="minorEastAsia" w:eastAsiaTheme="minorEastAsia"/>
          <w:color w:val="FF0000"/>
          <w:kern w:val="0"/>
          <w:sz w:val="24"/>
          <w:highlight w:val="none"/>
        </w:rPr>
        <w:t xml:space="preserve">                                      日期：  年  月   日</w:t>
      </w:r>
    </w:p>
    <w:p w14:paraId="769BE96B">
      <w:pPr>
        <w:spacing w:line="360" w:lineRule="auto"/>
        <w:jc w:val="center"/>
        <w:rPr>
          <w:rFonts w:ascii="宋体" w:hAnsi="宋体" w:cs="宋体"/>
          <w:b/>
          <w:bCs/>
          <w:sz w:val="24"/>
          <w:highlight w:val="none"/>
        </w:rPr>
      </w:pPr>
    </w:p>
    <w:p w14:paraId="01FF108B">
      <w:pPr>
        <w:pStyle w:val="4"/>
        <w:rPr>
          <w:highlight w:val="none"/>
          <w:lang w:val="en-US"/>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14:paraId="5CE3AF42">
      <w:pPr>
        <w:spacing w:line="360" w:lineRule="auto"/>
        <w:jc w:val="center"/>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1495012B">
      <w:pPr>
        <w:spacing w:line="360" w:lineRule="auto"/>
        <w:jc w:val="center"/>
        <w:rPr>
          <w:rFonts w:ascii="宋体" w:hAnsi="宋体" w:cs="宋体"/>
          <w:b/>
          <w:kern w:val="0"/>
          <w:sz w:val="36"/>
          <w:szCs w:val="36"/>
          <w:highlight w:val="none"/>
        </w:rPr>
      </w:pPr>
      <w:r>
        <w:rPr>
          <w:rFonts w:hint="eastAsia" w:ascii="宋体" w:hAnsi="宋体" w:cs="宋体"/>
          <w:b/>
          <w:kern w:val="0"/>
          <w:sz w:val="36"/>
          <w:szCs w:val="36"/>
          <w:highlight w:val="none"/>
        </w:rPr>
        <w:t>目录</w:t>
      </w:r>
    </w:p>
    <w:p w14:paraId="41CAEB37">
      <w:pPr>
        <w:spacing w:line="360" w:lineRule="auto"/>
        <w:jc w:val="center"/>
        <w:rPr>
          <w:rFonts w:ascii="宋体" w:hAnsi="宋体" w:cs="宋体"/>
          <w:b/>
          <w:kern w:val="0"/>
          <w:sz w:val="36"/>
          <w:szCs w:val="36"/>
          <w:highlight w:val="none"/>
        </w:rPr>
      </w:pPr>
    </w:p>
    <w:p w14:paraId="0662EBBF">
      <w:pPr>
        <w:snapToGrid w:val="0"/>
        <w:spacing w:line="360" w:lineRule="auto"/>
        <w:rPr>
          <w:rFonts w:ascii="宋体" w:hAnsi="宋体" w:cs="宋体"/>
          <w:sz w:val="24"/>
          <w:highlight w:val="none"/>
        </w:rPr>
      </w:pPr>
      <w:r>
        <w:rPr>
          <w:rFonts w:hint="eastAsia" w:ascii="宋体" w:hAnsi="宋体" w:cs="宋体"/>
          <w:sz w:val="24"/>
          <w:highlight w:val="none"/>
        </w:rPr>
        <w:t>（1）开标一览表（报价表）………………………………………………………（页码）</w:t>
      </w:r>
    </w:p>
    <w:p w14:paraId="7E705AD2">
      <w:pPr>
        <w:snapToGrid w:val="0"/>
        <w:spacing w:line="360" w:lineRule="auto"/>
        <w:rPr>
          <w:rFonts w:ascii="宋体" w:hAnsi="宋体" w:cs="宋体"/>
          <w:sz w:val="24"/>
          <w:highlight w:val="none"/>
        </w:rPr>
      </w:pPr>
      <w:r>
        <w:rPr>
          <w:rFonts w:hint="eastAsia" w:ascii="宋体" w:hAnsi="宋体" w:cs="宋体"/>
          <w:sz w:val="24"/>
          <w:highlight w:val="none"/>
        </w:rPr>
        <w:t>（2）中小企业声明函………………………………………………………………（页码）</w:t>
      </w:r>
    </w:p>
    <w:p w14:paraId="400B156B">
      <w:pPr>
        <w:snapToGrid w:val="0"/>
        <w:spacing w:line="360" w:lineRule="auto"/>
        <w:ind w:right="480"/>
        <w:jc w:val="center"/>
        <w:rPr>
          <w:rFonts w:ascii="宋体" w:hAnsi="宋体" w:cs="宋体"/>
          <w:b/>
          <w:kern w:val="0"/>
          <w:sz w:val="32"/>
          <w:szCs w:val="32"/>
          <w:highlight w:val="none"/>
        </w:rPr>
      </w:pPr>
    </w:p>
    <w:p w14:paraId="4DFA7FBE">
      <w:pPr>
        <w:snapToGrid w:val="0"/>
        <w:spacing w:line="360" w:lineRule="auto"/>
        <w:ind w:right="480"/>
        <w:jc w:val="center"/>
        <w:rPr>
          <w:rFonts w:ascii="宋体" w:hAnsi="宋体" w:cs="宋体"/>
          <w:b/>
          <w:kern w:val="0"/>
          <w:sz w:val="32"/>
          <w:szCs w:val="32"/>
          <w:highlight w:val="none"/>
        </w:rPr>
      </w:pPr>
    </w:p>
    <w:p w14:paraId="1D0B6CC6">
      <w:pPr>
        <w:snapToGrid w:val="0"/>
        <w:spacing w:line="360" w:lineRule="auto"/>
        <w:ind w:right="480"/>
        <w:jc w:val="center"/>
        <w:rPr>
          <w:rFonts w:ascii="宋体" w:hAnsi="宋体" w:cs="宋体"/>
          <w:b/>
          <w:kern w:val="0"/>
          <w:sz w:val="32"/>
          <w:szCs w:val="32"/>
          <w:highlight w:val="none"/>
        </w:rPr>
      </w:pPr>
    </w:p>
    <w:p w14:paraId="504E1C80">
      <w:pPr>
        <w:snapToGrid w:val="0"/>
        <w:spacing w:line="360" w:lineRule="auto"/>
        <w:ind w:right="480"/>
        <w:jc w:val="center"/>
        <w:rPr>
          <w:rFonts w:ascii="宋体" w:hAnsi="宋体" w:cs="宋体"/>
          <w:b/>
          <w:kern w:val="0"/>
          <w:sz w:val="32"/>
          <w:szCs w:val="32"/>
          <w:highlight w:val="none"/>
        </w:rPr>
      </w:pPr>
    </w:p>
    <w:p w14:paraId="0DEB4CF9">
      <w:pPr>
        <w:snapToGrid w:val="0"/>
        <w:spacing w:line="360" w:lineRule="auto"/>
        <w:ind w:right="480"/>
        <w:jc w:val="center"/>
        <w:rPr>
          <w:rFonts w:ascii="宋体" w:hAnsi="宋体" w:cs="宋体"/>
          <w:b/>
          <w:kern w:val="0"/>
          <w:sz w:val="32"/>
          <w:szCs w:val="32"/>
          <w:highlight w:val="none"/>
        </w:rPr>
      </w:pPr>
    </w:p>
    <w:p w14:paraId="3C753137">
      <w:pPr>
        <w:snapToGrid w:val="0"/>
        <w:spacing w:line="360" w:lineRule="auto"/>
        <w:ind w:right="480"/>
        <w:jc w:val="center"/>
        <w:rPr>
          <w:rFonts w:ascii="宋体" w:hAnsi="宋体" w:cs="宋体"/>
          <w:b/>
          <w:kern w:val="0"/>
          <w:sz w:val="32"/>
          <w:szCs w:val="32"/>
          <w:highlight w:val="none"/>
        </w:rPr>
      </w:pPr>
    </w:p>
    <w:p w14:paraId="15973838">
      <w:pPr>
        <w:snapToGrid w:val="0"/>
        <w:spacing w:line="360" w:lineRule="auto"/>
        <w:ind w:right="480"/>
        <w:jc w:val="center"/>
        <w:rPr>
          <w:rFonts w:ascii="宋体" w:hAnsi="宋体" w:cs="宋体"/>
          <w:b/>
          <w:kern w:val="0"/>
          <w:sz w:val="32"/>
          <w:szCs w:val="32"/>
          <w:highlight w:val="none"/>
        </w:rPr>
      </w:pPr>
    </w:p>
    <w:p w14:paraId="6B96ECB0">
      <w:pPr>
        <w:snapToGrid w:val="0"/>
        <w:spacing w:line="360" w:lineRule="auto"/>
        <w:ind w:right="480"/>
        <w:jc w:val="center"/>
        <w:rPr>
          <w:rFonts w:ascii="宋体" w:hAnsi="宋体" w:cs="宋体"/>
          <w:b/>
          <w:kern w:val="0"/>
          <w:sz w:val="32"/>
          <w:szCs w:val="32"/>
          <w:highlight w:val="none"/>
        </w:rPr>
      </w:pPr>
    </w:p>
    <w:p w14:paraId="7200A9EC">
      <w:pPr>
        <w:snapToGrid w:val="0"/>
        <w:spacing w:line="360" w:lineRule="auto"/>
        <w:ind w:right="480"/>
        <w:jc w:val="center"/>
        <w:rPr>
          <w:rFonts w:ascii="宋体" w:hAnsi="宋体" w:cs="宋体"/>
          <w:b/>
          <w:kern w:val="0"/>
          <w:sz w:val="32"/>
          <w:szCs w:val="32"/>
          <w:highlight w:val="none"/>
        </w:rPr>
      </w:pPr>
    </w:p>
    <w:p w14:paraId="7705C599">
      <w:pPr>
        <w:snapToGrid w:val="0"/>
        <w:spacing w:line="360" w:lineRule="auto"/>
        <w:ind w:right="480"/>
        <w:jc w:val="center"/>
        <w:rPr>
          <w:rFonts w:ascii="宋体" w:hAnsi="宋体" w:cs="宋体"/>
          <w:b/>
          <w:kern w:val="0"/>
          <w:sz w:val="32"/>
          <w:szCs w:val="32"/>
          <w:highlight w:val="none"/>
        </w:rPr>
      </w:pPr>
    </w:p>
    <w:p w14:paraId="07306390">
      <w:pPr>
        <w:snapToGrid w:val="0"/>
        <w:spacing w:line="360" w:lineRule="auto"/>
        <w:ind w:right="480"/>
        <w:jc w:val="center"/>
        <w:rPr>
          <w:rFonts w:ascii="宋体" w:hAnsi="宋体" w:cs="宋体"/>
          <w:b/>
          <w:kern w:val="0"/>
          <w:sz w:val="32"/>
          <w:szCs w:val="32"/>
          <w:highlight w:val="none"/>
        </w:rPr>
      </w:pPr>
    </w:p>
    <w:p w14:paraId="7A961A90">
      <w:pPr>
        <w:snapToGrid w:val="0"/>
        <w:spacing w:line="360" w:lineRule="auto"/>
        <w:ind w:right="480"/>
        <w:jc w:val="center"/>
        <w:rPr>
          <w:rFonts w:ascii="宋体" w:hAnsi="宋体" w:cs="宋体"/>
          <w:b/>
          <w:kern w:val="0"/>
          <w:sz w:val="32"/>
          <w:szCs w:val="32"/>
          <w:highlight w:val="none"/>
        </w:rPr>
      </w:pPr>
    </w:p>
    <w:p w14:paraId="4E8194E9">
      <w:pPr>
        <w:snapToGrid w:val="0"/>
        <w:spacing w:line="360" w:lineRule="auto"/>
        <w:ind w:right="480"/>
        <w:jc w:val="center"/>
        <w:rPr>
          <w:rFonts w:ascii="宋体" w:hAnsi="宋体" w:cs="宋体"/>
          <w:b/>
          <w:kern w:val="0"/>
          <w:sz w:val="32"/>
          <w:szCs w:val="32"/>
          <w:highlight w:val="none"/>
        </w:rPr>
      </w:pPr>
    </w:p>
    <w:p w14:paraId="51BDAEB7">
      <w:pPr>
        <w:snapToGrid w:val="0"/>
        <w:spacing w:line="360" w:lineRule="auto"/>
        <w:ind w:right="480"/>
        <w:jc w:val="center"/>
        <w:rPr>
          <w:rFonts w:ascii="宋体" w:hAnsi="宋体" w:cs="宋体"/>
          <w:b/>
          <w:kern w:val="0"/>
          <w:sz w:val="32"/>
          <w:szCs w:val="32"/>
          <w:highlight w:val="none"/>
        </w:rPr>
      </w:pPr>
    </w:p>
    <w:p w14:paraId="5297A0AD">
      <w:pPr>
        <w:snapToGrid w:val="0"/>
        <w:spacing w:line="360" w:lineRule="auto"/>
        <w:ind w:right="480"/>
        <w:jc w:val="center"/>
        <w:rPr>
          <w:rFonts w:ascii="宋体" w:hAnsi="宋体" w:cs="宋体"/>
          <w:b/>
          <w:kern w:val="0"/>
          <w:sz w:val="32"/>
          <w:szCs w:val="32"/>
          <w:highlight w:val="none"/>
        </w:rPr>
      </w:pPr>
    </w:p>
    <w:p w14:paraId="20EEC203">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25" w:type="first"/>
          <w:footerReference r:id="rId27" w:type="first"/>
          <w:headerReference r:id="rId24" w:type="default"/>
          <w:footerReference r:id="rId26" w:type="default"/>
          <w:pgSz w:w="11906" w:h="16838"/>
          <w:pgMar w:top="1276" w:right="1418" w:bottom="1247" w:left="1418" w:header="851" w:footer="992" w:gutter="0"/>
          <w:cols w:space="720" w:num="1"/>
          <w:titlePg/>
          <w:docGrid w:linePitch="312" w:charSpace="0"/>
        </w:sectPr>
      </w:pPr>
    </w:p>
    <w:p w14:paraId="0DA41712">
      <w:pPr>
        <w:pStyle w:val="82"/>
        <w:jc w:val="center"/>
        <w:rPr>
          <w:b/>
          <w:sz w:val="32"/>
          <w:szCs w:val="32"/>
          <w:highlight w:val="none"/>
        </w:rPr>
      </w:pPr>
      <w:bookmarkStart w:id="427" w:name="_Toc176185127"/>
      <w:r>
        <w:rPr>
          <w:rFonts w:hint="eastAsia"/>
          <w:b/>
          <w:sz w:val="32"/>
          <w:szCs w:val="32"/>
          <w:highlight w:val="none"/>
        </w:rPr>
        <w:t>一、开标一览表（报价表）</w:t>
      </w:r>
      <w:bookmarkEnd w:id="427"/>
    </w:p>
    <w:p w14:paraId="283B5F44">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6CFB1B30">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rPr>
        <w:t>（项目名称）</w:t>
      </w:r>
      <w:r>
        <w:rPr>
          <w:rFonts w:hint="eastAsia" w:ascii="宋体" w:hAnsi="宋体" w:cs="宋体"/>
          <w:kern w:val="0"/>
          <w:sz w:val="24"/>
          <w:highlight w:val="none"/>
          <w:lang w:val="zh-CN"/>
        </w:rPr>
        <w:t>【招标编号：</w:t>
      </w:r>
      <w:r>
        <w:rPr>
          <w:rFonts w:hint="eastAsia" w:ascii="宋体" w:hAnsi="宋体" w:cs="宋体"/>
          <w:sz w:val="24"/>
          <w:highlight w:val="none"/>
        </w:rPr>
        <w:t>（采购编号）】的实施</w:t>
      </w:r>
      <w:r>
        <w:rPr>
          <w:rFonts w:hint="eastAsia" w:ascii="宋体" w:hAnsi="宋体" w:cs="宋体"/>
          <w:kern w:val="0"/>
          <w:sz w:val="24"/>
          <w:highlight w:val="none"/>
          <w:lang w:val="zh-CN"/>
        </w:rPr>
        <w:t>。</w:t>
      </w:r>
    </w:p>
    <w:p w14:paraId="4C53C035">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2"/>
        <w:tblW w:w="14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4EB09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534" w:type="dxa"/>
            <w:vAlign w:val="center"/>
          </w:tcPr>
          <w:p w14:paraId="041D1834">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417" w:type="dxa"/>
            <w:vAlign w:val="center"/>
          </w:tcPr>
          <w:p w14:paraId="166D45FF">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843" w:type="dxa"/>
            <w:vAlign w:val="center"/>
          </w:tcPr>
          <w:p w14:paraId="01264F52">
            <w:pPr>
              <w:spacing w:line="360" w:lineRule="auto"/>
              <w:jc w:val="center"/>
              <w:rPr>
                <w:rFonts w:ascii="宋体" w:hAnsi="宋体" w:cs="宋体"/>
                <w:b/>
                <w:sz w:val="24"/>
                <w:highlight w:val="none"/>
              </w:rPr>
            </w:pPr>
            <w:r>
              <w:rPr>
                <w:rFonts w:hint="eastAsia" w:ascii="宋体" w:hAnsi="宋体" w:cs="宋体"/>
                <w:b/>
                <w:sz w:val="24"/>
                <w:highlight w:val="none"/>
              </w:rPr>
              <w:t>生产厂家、</w:t>
            </w:r>
          </w:p>
          <w:p w14:paraId="064C3CEF">
            <w:pPr>
              <w:spacing w:line="360" w:lineRule="auto"/>
              <w:jc w:val="center"/>
              <w:rPr>
                <w:rFonts w:ascii="宋体" w:hAnsi="宋体" w:cs="宋体"/>
                <w:b/>
                <w:sz w:val="24"/>
                <w:highlight w:val="none"/>
              </w:rPr>
            </w:pPr>
            <w:r>
              <w:rPr>
                <w:rFonts w:hint="eastAsia" w:ascii="宋体" w:hAnsi="宋体" w:cs="宋体"/>
                <w:b/>
                <w:sz w:val="24"/>
                <w:highlight w:val="none"/>
              </w:rPr>
              <w:t>品牌（如果有）</w:t>
            </w:r>
          </w:p>
        </w:tc>
        <w:tc>
          <w:tcPr>
            <w:tcW w:w="3118" w:type="dxa"/>
            <w:vAlign w:val="center"/>
          </w:tcPr>
          <w:p w14:paraId="65B07832">
            <w:pPr>
              <w:spacing w:line="360" w:lineRule="auto"/>
              <w:jc w:val="center"/>
              <w:rPr>
                <w:rFonts w:ascii="宋体" w:hAnsi="宋体" w:cs="宋体"/>
                <w:b/>
                <w:sz w:val="24"/>
                <w:highlight w:val="none"/>
              </w:rPr>
            </w:pPr>
            <w:r>
              <w:rPr>
                <w:rFonts w:hint="eastAsia" w:ascii="宋体" w:hAnsi="宋体" w:cs="宋体"/>
                <w:b/>
                <w:sz w:val="24"/>
                <w:highlight w:val="none"/>
              </w:rPr>
              <w:t>规格型号</w:t>
            </w:r>
          </w:p>
        </w:tc>
        <w:tc>
          <w:tcPr>
            <w:tcW w:w="993" w:type="dxa"/>
            <w:vAlign w:val="center"/>
          </w:tcPr>
          <w:p w14:paraId="22E0E8A4">
            <w:pPr>
              <w:spacing w:line="360" w:lineRule="auto"/>
              <w:jc w:val="center"/>
              <w:rPr>
                <w:rFonts w:ascii="宋体" w:hAnsi="宋体" w:cs="宋体"/>
                <w:b/>
                <w:sz w:val="24"/>
                <w:highlight w:val="none"/>
              </w:rPr>
            </w:pPr>
            <w:r>
              <w:rPr>
                <w:rFonts w:hint="eastAsia" w:ascii="宋体" w:hAnsi="宋体" w:cs="宋体"/>
                <w:b/>
                <w:sz w:val="24"/>
                <w:highlight w:val="none"/>
              </w:rPr>
              <w:t>数量</w:t>
            </w:r>
          </w:p>
        </w:tc>
        <w:tc>
          <w:tcPr>
            <w:tcW w:w="1559" w:type="dxa"/>
            <w:vAlign w:val="center"/>
          </w:tcPr>
          <w:p w14:paraId="129068D9">
            <w:pPr>
              <w:spacing w:line="360" w:lineRule="auto"/>
              <w:jc w:val="center"/>
              <w:rPr>
                <w:rFonts w:ascii="宋体" w:hAnsi="宋体" w:cs="宋体"/>
                <w:b/>
                <w:sz w:val="24"/>
                <w:highlight w:val="none"/>
              </w:rPr>
            </w:pPr>
            <w:r>
              <w:rPr>
                <w:rFonts w:hint="eastAsia" w:ascii="宋体" w:hAnsi="宋体" w:cs="宋体"/>
                <w:b/>
                <w:sz w:val="24"/>
                <w:highlight w:val="none"/>
              </w:rPr>
              <w:t>单价</w:t>
            </w:r>
          </w:p>
        </w:tc>
        <w:tc>
          <w:tcPr>
            <w:tcW w:w="1984" w:type="dxa"/>
            <w:vAlign w:val="center"/>
          </w:tcPr>
          <w:p w14:paraId="42DD7C9B">
            <w:pPr>
              <w:spacing w:line="360" w:lineRule="auto"/>
              <w:jc w:val="center"/>
              <w:rPr>
                <w:rFonts w:ascii="宋体" w:hAnsi="宋体" w:cs="宋体"/>
                <w:b/>
                <w:sz w:val="24"/>
                <w:highlight w:val="none"/>
              </w:rPr>
            </w:pPr>
            <w:r>
              <w:rPr>
                <w:rFonts w:hint="eastAsia" w:ascii="宋体" w:hAnsi="宋体" w:cs="宋体"/>
                <w:b/>
                <w:sz w:val="24"/>
                <w:highlight w:val="none"/>
              </w:rPr>
              <w:t>合计</w:t>
            </w:r>
          </w:p>
        </w:tc>
        <w:tc>
          <w:tcPr>
            <w:tcW w:w="3119" w:type="dxa"/>
            <w:vAlign w:val="center"/>
          </w:tcPr>
          <w:p w14:paraId="38E090F5">
            <w:pPr>
              <w:spacing w:line="360" w:lineRule="auto"/>
              <w:jc w:val="center"/>
              <w:rPr>
                <w:rFonts w:ascii="宋体" w:hAnsi="宋体" w:cs="宋体"/>
                <w:b/>
                <w:sz w:val="24"/>
                <w:highlight w:val="none"/>
              </w:rPr>
            </w:pPr>
          </w:p>
          <w:p w14:paraId="3EDAAA16">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14:paraId="6F536041">
            <w:pPr>
              <w:spacing w:line="360" w:lineRule="auto"/>
              <w:jc w:val="center"/>
              <w:rPr>
                <w:rFonts w:ascii="宋体" w:hAnsi="宋体" w:cs="宋体"/>
                <w:b/>
                <w:sz w:val="24"/>
                <w:highlight w:val="none"/>
              </w:rPr>
            </w:pPr>
          </w:p>
        </w:tc>
      </w:tr>
      <w:tr w14:paraId="6130F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dxa"/>
            <w:vAlign w:val="center"/>
          </w:tcPr>
          <w:p w14:paraId="31BC6792">
            <w:pPr>
              <w:spacing w:line="360" w:lineRule="auto"/>
              <w:jc w:val="center"/>
              <w:rPr>
                <w:rFonts w:ascii="宋体" w:hAnsi="宋体" w:cs="宋体"/>
                <w:sz w:val="24"/>
                <w:highlight w:val="none"/>
              </w:rPr>
            </w:pPr>
            <w:r>
              <w:rPr>
                <w:rFonts w:hint="eastAsia" w:ascii="宋体" w:hAnsi="宋体" w:cs="宋体"/>
                <w:sz w:val="24"/>
                <w:highlight w:val="none"/>
              </w:rPr>
              <w:t>1</w:t>
            </w:r>
          </w:p>
        </w:tc>
        <w:tc>
          <w:tcPr>
            <w:tcW w:w="1417" w:type="dxa"/>
            <w:vAlign w:val="center"/>
          </w:tcPr>
          <w:p w14:paraId="085C1F4D">
            <w:pPr>
              <w:snapToGrid w:val="0"/>
              <w:spacing w:line="360" w:lineRule="auto"/>
              <w:jc w:val="center"/>
              <w:rPr>
                <w:rFonts w:ascii="宋体" w:hAnsi="宋体" w:cs="宋体"/>
                <w:sz w:val="24"/>
                <w:highlight w:val="none"/>
              </w:rPr>
            </w:pPr>
            <w:r>
              <w:rPr>
                <w:rFonts w:hint="eastAsia" w:ascii="宋体" w:hAnsi="宋体" w:cs="宋体"/>
                <w:sz w:val="24"/>
                <w:highlight w:val="none"/>
              </w:rPr>
              <w:t>X</w:t>
            </w:r>
            <w:r>
              <w:rPr>
                <w:rFonts w:ascii="宋体" w:hAnsi="宋体" w:cs="宋体"/>
                <w:sz w:val="24"/>
                <w:highlight w:val="none"/>
              </w:rPr>
              <w:t>X</w:t>
            </w:r>
          </w:p>
        </w:tc>
        <w:tc>
          <w:tcPr>
            <w:tcW w:w="1843" w:type="dxa"/>
            <w:vAlign w:val="center"/>
          </w:tcPr>
          <w:p w14:paraId="0BC9C80C">
            <w:pPr>
              <w:snapToGrid w:val="0"/>
              <w:spacing w:line="360" w:lineRule="auto"/>
              <w:jc w:val="center"/>
              <w:rPr>
                <w:rFonts w:ascii="宋体" w:hAnsi="宋体" w:cs="宋体"/>
                <w:sz w:val="24"/>
                <w:highlight w:val="none"/>
              </w:rPr>
            </w:pPr>
          </w:p>
        </w:tc>
        <w:tc>
          <w:tcPr>
            <w:tcW w:w="3118" w:type="dxa"/>
            <w:vAlign w:val="center"/>
          </w:tcPr>
          <w:p w14:paraId="41505F1C">
            <w:pPr>
              <w:snapToGrid w:val="0"/>
              <w:spacing w:line="360" w:lineRule="auto"/>
              <w:jc w:val="center"/>
              <w:rPr>
                <w:rFonts w:ascii="宋体" w:hAnsi="宋体" w:cs="宋体"/>
                <w:sz w:val="24"/>
                <w:highlight w:val="none"/>
              </w:rPr>
            </w:pPr>
          </w:p>
        </w:tc>
        <w:tc>
          <w:tcPr>
            <w:tcW w:w="993" w:type="dxa"/>
            <w:vAlign w:val="center"/>
          </w:tcPr>
          <w:p w14:paraId="59E2EEAE">
            <w:pPr>
              <w:snapToGrid w:val="0"/>
              <w:spacing w:line="360" w:lineRule="auto"/>
              <w:jc w:val="center"/>
              <w:rPr>
                <w:rFonts w:ascii="宋体" w:hAnsi="宋体" w:cs="宋体"/>
                <w:sz w:val="24"/>
                <w:highlight w:val="none"/>
              </w:rPr>
            </w:pPr>
          </w:p>
        </w:tc>
        <w:tc>
          <w:tcPr>
            <w:tcW w:w="1559" w:type="dxa"/>
            <w:vAlign w:val="center"/>
          </w:tcPr>
          <w:p w14:paraId="0AE1A93E">
            <w:pPr>
              <w:spacing w:line="360" w:lineRule="auto"/>
              <w:jc w:val="center"/>
              <w:rPr>
                <w:rFonts w:ascii="宋体" w:hAnsi="宋体" w:cs="宋体"/>
                <w:sz w:val="24"/>
                <w:highlight w:val="none"/>
              </w:rPr>
            </w:pPr>
          </w:p>
        </w:tc>
        <w:tc>
          <w:tcPr>
            <w:tcW w:w="1984" w:type="dxa"/>
            <w:vAlign w:val="center"/>
          </w:tcPr>
          <w:p w14:paraId="177CCFF1">
            <w:pPr>
              <w:spacing w:line="360" w:lineRule="auto"/>
              <w:jc w:val="center"/>
              <w:rPr>
                <w:rFonts w:ascii="宋体" w:hAnsi="宋体" w:cs="宋体"/>
                <w:sz w:val="24"/>
                <w:highlight w:val="none"/>
              </w:rPr>
            </w:pPr>
          </w:p>
        </w:tc>
        <w:tc>
          <w:tcPr>
            <w:tcW w:w="3119" w:type="dxa"/>
            <w:vAlign w:val="center"/>
          </w:tcPr>
          <w:p w14:paraId="6689FE0A">
            <w:pPr>
              <w:spacing w:line="360" w:lineRule="auto"/>
              <w:jc w:val="center"/>
              <w:rPr>
                <w:rFonts w:ascii="宋体" w:hAnsi="宋体" w:cs="宋体"/>
                <w:sz w:val="24"/>
                <w:highlight w:val="none"/>
              </w:rPr>
            </w:pPr>
          </w:p>
        </w:tc>
      </w:tr>
      <w:tr w14:paraId="5CE40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78B06676">
            <w:pPr>
              <w:spacing w:line="360" w:lineRule="auto"/>
              <w:jc w:val="center"/>
              <w:rPr>
                <w:rFonts w:ascii="宋体" w:hAnsi="宋体" w:cs="宋体"/>
                <w:sz w:val="24"/>
                <w:highlight w:val="none"/>
              </w:rPr>
            </w:pPr>
            <w:r>
              <w:rPr>
                <w:rFonts w:hint="eastAsia" w:ascii="宋体" w:hAnsi="宋体" w:cs="宋体"/>
                <w:sz w:val="24"/>
                <w:highlight w:val="none"/>
              </w:rPr>
              <w:t>2</w:t>
            </w:r>
          </w:p>
        </w:tc>
        <w:tc>
          <w:tcPr>
            <w:tcW w:w="1417" w:type="dxa"/>
            <w:vAlign w:val="center"/>
          </w:tcPr>
          <w:p w14:paraId="6A901197">
            <w:pPr>
              <w:snapToGrid w:val="0"/>
              <w:spacing w:line="360" w:lineRule="auto"/>
              <w:jc w:val="center"/>
              <w:rPr>
                <w:rFonts w:ascii="宋体" w:hAnsi="宋体" w:cs="宋体"/>
                <w:sz w:val="24"/>
                <w:highlight w:val="none"/>
              </w:rPr>
            </w:pPr>
            <w:r>
              <w:rPr>
                <w:rFonts w:hint="eastAsia" w:ascii="宋体" w:hAnsi="宋体" w:cs="宋体"/>
                <w:sz w:val="24"/>
                <w:highlight w:val="none"/>
              </w:rPr>
              <w:t>X</w:t>
            </w:r>
            <w:r>
              <w:rPr>
                <w:rFonts w:ascii="宋体" w:hAnsi="宋体" w:cs="宋体"/>
                <w:sz w:val="24"/>
                <w:highlight w:val="none"/>
              </w:rPr>
              <w:t>X</w:t>
            </w:r>
          </w:p>
        </w:tc>
        <w:tc>
          <w:tcPr>
            <w:tcW w:w="1843" w:type="dxa"/>
            <w:vAlign w:val="center"/>
          </w:tcPr>
          <w:p w14:paraId="254E7D0A">
            <w:pPr>
              <w:snapToGrid w:val="0"/>
              <w:spacing w:line="360" w:lineRule="auto"/>
              <w:jc w:val="center"/>
              <w:rPr>
                <w:rFonts w:ascii="宋体" w:hAnsi="宋体" w:cs="宋体"/>
                <w:sz w:val="24"/>
                <w:highlight w:val="none"/>
              </w:rPr>
            </w:pPr>
          </w:p>
        </w:tc>
        <w:tc>
          <w:tcPr>
            <w:tcW w:w="3118" w:type="dxa"/>
            <w:vAlign w:val="center"/>
          </w:tcPr>
          <w:p w14:paraId="01EB27CB">
            <w:pPr>
              <w:snapToGrid w:val="0"/>
              <w:spacing w:line="360" w:lineRule="auto"/>
              <w:jc w:val="center"/>
              <w:rPr>
                <w:rFonts w:ascii="宋体" w:hAnsi="宋体" w:cs="宋体"/>
                <w:sz w:val="24"/>
                <w:highlight w:val="none"/>
              </w:rPr>
            </w:pPr>
          </w:p>
        </w:tc>
        <w:tc>
          <w:tcPr>
            <w:tcW w:w="993" w:type="dxa"/>
            <w:vAlign w:val="center"/>
          </w:tcPr>
          <w:p w14:paraId="1FF149CE">
            <w:pPr>
              <w:snapToGrid w:val="0"/>
              <w:spacing w:line="360" w:lineRule="auto"/>
              <w:jc w:val="center"/>
              <w:rPr>
                <w:rFonts w:ascii="宋体" w:hAnsi="宋体" w:cs="宋体"/>
                <w:sz w:val="24"/>
                <w:highlight w:val="none"/>
              </w:rPr>
            </w:pPr>
          </w:p>
        </w:tc>
        <w:tc>
          <w:tcPr>
            <w:tcW w:w="1559" w:type="dxa"/>
            <w:vAlign w:val="center"/>
          </w:tcPr>
          <w:p w14:paraId="7FB72142">
            <w:pPr>
              <w:spacing w:line="360" w:lineRule="auto"/>
              <w:jc w:val="center"/>
              <w:rPr>
                <w:rFonts w:ascii="宋体" w:hAnsi="宋体" w:cs="宋体"/>
                <w:sz w:val="24"/>
                <w:highlight w:val="none"/>
              </w:rPr>
            </w:pPr>
          </w:p>
        </w:tc>
        <w:tc>
          <w:tcPr>
            <w:tcW w:w="1984" w:type="dxa"/>
            <w:vAlign w:val="center"/>
          </w:tcPr>
          <w:p w14:paraId="7B805BFB">
            <w:pPr>
              <w:spacing w:line="360" w:lineRule="auto"/>
              <w:jc w:val="center"/>
              <w:rPr>
                <w:rFonts w:ascii="宋体" w:hAnsi="宋体" w:cs="宋体"/>
                <w:sz w:val="24"/>
                <w:highlight w:val="none"/>
              </w:rPr>
            </w:pPr>
          </w:p>
        </w:tc>
        <w:tc>
          <w:tcPr>
            <w:tcW w:w="3119" w:type="dxa"/>
            <w:vAlign w:val="center"/>
          </w:tcPr>
          <w:p w14:paraId="33145AF5">
            <w:pPr>
              <w:spacing w:line="360" w:lineRule="auto"/>
              <w:jc w:val="center"/>
              <w:rPr>
                <w:rFonts w:ascii="宋体" w:hAnsi="宋体" w:cs="宋体"/>
                <w:sz w:val="24"/>
                <w:highlight w:val="none"/>
              </w:rPr>
            </w:pPr>
          </w:p>
        </w:tc>
      </w:tr>
      <w:tr w14:paraId="20A7E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0A539E1B">
            <w:pPr>
              <w:spacing w:line="360" w:lineRule="auto"/>
              <w:jc w:val="center"/>
              <w:rPr>
                <w:rFonts w:ascii="宋体" w:hAnsi="宋体" w:cs="宋体"/>
                <w:sz w:val="24"/>
                <w:highlight w:val="none"/>
              </w:rPr>
            </w:pPr>
            <w:r>
              <w:rPr>
                <w:rFonts w:hint="eastAsia" w:ascii="宋体" w:hAnsi="宋体" w:cs="宋体"/>
                <w:sz w:val="24"/>
                <w:highlight w:val="none"/>
              </w:rPr>
              <w:t>…</w:t>
            </w:r>
          </w:p>
        </w:tc>
        <w:tc>
          <w:tcPr>
            <w:tcW w:w="1417" w:type="dxa"/>
            <w:vAlign w:val="center"/>
          </w:tcPr>
          <w:p w14:paraId="3ECBAF29">
            <w:pPr>
              <w:snapToGrid w:val="0"/>
              <w:spacing w:line="360" w:lineRule="auto"/>
              <w:jc w:val="center"/>
              <w:rPr>
                <w:rFonts w:ascii="宋体" w:hAnsi="宋体" w:cs="宋体"/>
                <w:sz w:val="24"/>
                <w:highlight w:val="none"/>
              </w:rPr>
            </w:pPr>
          </w:p>
        </w:tc>
        <w:tc>
          <w:tcPr>
            <w:tcW w:w="1843" w:type="dxa"/>
            <w:vAlign w:val="center"/>
          </w:tcPr>
          <w:p w14:paraId="1D2F402F">
            <w:pPr>
              <w:snapToGrid w:val="0"/>
              <w:spacing w:line="360" w:lineRule="auto"/>
              <w:jc w:val="center"/>
              <w:rPr>
                <w:rFonts w:ascii="宋体" w:hAnsi="宋体" w:cs="宋体"/>
                <w:sz w:val="24"/>
                <w:highlight w:val="none"/>
              </w:rPr>
            </w:pPr>
          </w:p>
        </w:tc>
        <w:tc>
          <w:tcPr>
            <w:tcW w:w="3118" w:type="dxa"/>
            <w:vAlign w:val="center"/>
          </w:tcPr>
          <w:p w14:paraId="072AFE3E">
            <w:pPr>
              <w:snapToGrid w:val="0"/>
              <w:spacing w:line="360" w:lineRule="auto"/>
              <w:jc w:val="center"/>
              <w:rPr>
                <w:rFonts w:ascii="宋体" w:hAnsi="宋体" w:cs="宋体"/>
                <w:sz w:val="24"/>
                <w:highlight w:val="none"/>
              </w:rPr>
            </w:pPr>
          </w:p>
        </w:tc>
        <w:tc>
          <w:tcPr>
            <w:tcW w:w="993" w:type="dxa"/>
            <w:vAlign w:val="center"/>
          </w:tcPr>
          <w:p w14:paraId="2845A098">
            <w:pPr>
              <w:snapToGrid w:val="0"/>
              <w:spacing w:line="360" w:lineRule="auto"/>
              <w:jc w:val="center"/>
              <w:rPr>
                <w:rFonts w:ascii="宋体" w:hAnsi="宋体" w:cs="宋体"/>
                <w:sz w:val="24"/>
                <w:highlight w:val="none"/>
              </w:rPr>
            </w:pPr>
          </w:p>
        </w:tc>
        <w:tc>
          <w:tcPr>
            <w:tcW w:w="1559" w:type="dxa"/>
            <w:vAlign w:val="center"/>
          </w:tcPr>
          <w:p w14:paraId="382CB95C">
            <w:pPr>
              <w:spacing w:line="360" w:lineRule="auto"/>
              <w:jc w:val="center"/>
              <w:rPr>
                <w:rFonts w:ascii="宋体" w:hAnsi="宋体" w:cs="宋体"/>
                <w:sz w:val="24"/>
                <w:highlight w:val="none"/>
              </w:rPr>
            </w:pPr>
          </w:p>
        </w:tc>
        <w:tc>
          <w:tcPr>
            <w:tcW w:w="1984" w:type="dxa"/>
            <w:vAlign w:val="center"/>
          </w:tcPr>
          <w:p w14:paraId="2BD937C4">
            <w:pPr>
              <w:spacing w:line="360" w:lineRule="auto"/>
              <w:jc w:val="center"/>
              <w:rPr>
                <w:rFonts w:ascii="宋体" w:hAnsi="宋体" w:cs="宋体"/>
                <w:sz w:val="24"/>
                <w:highlight w:val="none"/>
              </w:rPr>
            </w:pPr>
          </w:p>
        </w:tc>
        <w:tc>
          <w:tcPr>
            <w:tcW w:w="3119" w:type="dxa"/>
            <w:vAlign w:val="center"/>
          </w:tcPr>
          <w:p w14:paraId="05FBC444">
            <w:pPr>
              <w:spacing w:line="360" w:lineRule="auto"/>
              <w:jc w:val="center"/>
              <w:rPr>
                <w:rFonts w:ascii="宋体" w:hAnsi="宋体" w:cs="宋体"/>
                <w:sz w:val="24"/>
                <w:highlight w:val="none"/>
              </w:rPr>
            </w:pPr>
          </w:p>
        </w:tc>
      </w:tr>
      <w:tr w14:paraId="7508A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243C592A">
            <w:pPr>
              <w:spacing w:line="360" w:lineRule="auto"/>
              <w:jc w:val="center"/>
              <w:rPr>
                <w:rFonts w:ascii="宋体" w:hAnsi="宋体" w:cs="宋体"/>
                <w:sz w:val="24"/>
                <w:highlight w:val="none"/>
              </w:rPr>
            </w:pPr>
          </w:p>
        </w:tc>
        <w:tc>
          <w:tcPr>
            <w:tcW w:w="1417" w:type="dxa"/>
            <w:vAlign w:val="center"/>
          </w:tcPr>
          <w:p w14:paraId="4CEDD2A4">
            <w:pPr>
              <w:snapToGrid w:val="0"/>
              <w:spacing w:line="360" w:lineRule="auto"/>
              <w:jc w:val="center"/>
              <w:rPr>
                <w:rFonts w:ascii="宋体" w:hAnsi="宋体" w:cs="宋体"/>
                <w:sz w:val="24"/>
                <w:highlight w:val="none"/>
              </w:rPr>
            </w:pPr>
          </w:p>
        </w:tc>
        <w:tc>
          <w:tcPr>
            <w:tcW w:w="1843" w:type="dxa"/>
            <w:vAlign w:val="center"/>
          </w:tcPr>
          <w:p w14:paraId="5ABF6101">
            <w:pPr>
              <w:snapToGrid w:val="0"/>
              <w:spacing w:line="360" w:lineRule="auto"/>
              <w:jc w:val="center"/>
              <w:rPr>
                <w:rFonts w:ascii="宋体" w:hAnsi="宋体" w:cs="宋体"/>
                <w:sz w:val="24"/>
                <w:highlight w:val="none"/>
              </w:rPr>
            </w:pPr>
          </w:p>
        </w:tc>
        <w:tc>
          <w:tcPr>
            <w:tcW w:w="3118" w:type="dxa"/>
            <w:vAlign w:val="center"/>
          </w:tcPr>
          <w:p w14:paraId="147895DE">
            <w:pPr>
              <w:snapToGrid w:val="0"/>
              <w:spacing w:line="360" w:lineRule="auto"/>
              <w:jc w:val="center"/>
              <w:rPr>
                <w:rFonts w:ascii="宋体" w:hAnsi="宋体" w:cs="宋体"/>
                <w:sz w:val="24"/>
                <w:highlight w:val="none"/>
              </w:rPr>
            </w:pPr>
          </w:p>
        </w:tc>
        <w:tc>
          <w:tcPr>
            <w:tcW w:w="993" w:type="dxa"/>
            <w:vAlign w:val="center"/>
          </w:tcPr>
          <w:p w14:paraId="0F5A3796">
            <w:pPr>
              <w:snapToGrid w:val="0"/>
              <w:spacing w:line="360" w:lineRule="auto"/>
              <w:jc w:val="center"/>
              <w:rPr>
                <w:rFonts w:ascii="宋体" w:hAnsi="宋体" w:cs="宋体"/>
                <w:sz w:val="24"/>
                <w:highlight w:val="none"/>
              </w:rPr>
            </w:pPr>
          </w:p>
        </w:tc>
        <w:tc>
          <w:tcPr>
            <w:tcW w:w="1559" w:type="dxa"/>
            <w:vAlign w:val="center"/>
          </w:tcPr>
          <w:p w14:paraId="10CC358E">
            <w:pPr>
              <w:spacing w:line="360" w:lineRule="auto"/>
              <w:jc w:val="center"/>
              <w:rPr>
                <w:rFonts w:ascii="宋体" w:hAnsi="宋体" w:cs="宋体"/>
                <w:sz w:val="24"/>
                <w:highlight w:val="none"/>
              </w:rPr>
            </w:pPr>
          </w:p>
        </w:tc>
        <w:tc>
          <w:tcPr>
            <w:tcW w:w="1984" w:type="dxa"/>
            <w:vAlign w:val="center"/>
          </w:tcPr>
          <w:p w14:paraId="13A956BD">
            <w:pPr>
              <w:spacing w:line="360" w:lineRule="auto"/>
              <w:jc w:val="center"/>
              <w:rPr>
                <w:rFonts w:ascii="宋体" w:hAnsi="宋体" w:cs="宋体"/>
                <w:sz w:val="24"/>
                <w:highlight w:val="none"/>
              </w:rPr>
            </w:pPr>
          </w:p>
        </w:tc>
        <w:tc>
          <w:tcPr>
            <w:tcW w:w="3119" w:type="dxa"/>
            <w:vAlign w:val="center"/>
          </w:tcPr>
          <w:p w14:paraId="6FA8211E">
            <w:pPr>
              <w:spacing w:line="360" w:lineRule="auto"/>
              <w:jc w:val="center"/>
              <w:rPr>
                <w:rFonts w:ascii="宋体" w:hAnsi="宋体" w:cs="宋体"/>
                <w:sz w:val="24"/>
                <w:highlight w:val="none"/>
              </w:rPr>
            </w:pPr>
          </w:p>
        </w:tc>
      </w:tr>
      <w:tr w14:paraId="4E937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7300FEF4">
            <w:pPr>
              <w:spacing w:line="360" w:lineRule="auto"/>
              <w:jc w:val="center"/>
              <w:rPr>
                <w:rFonts w:ascii="宋体" w:hAnsi="宋体" w:cs="宋体"/>
                <w:sz w:val="24"/>
                <w:highlight w:val="none"/>
              </w:rPr>
            </w:pPr>
          </w:p>
        </w:tc>
        <w:tc>
          <w:tcPr>
            <w:tcW w:w="1417" w:type="dxa"/>
            <w:vAlign w:val="center"/>
          </w:tcPr>
          <w:p w14:paraId="3BF78D0A">
            <w:pPr>
              <w:snapToGrid w:val="0"/>
              <w:spacing w:line="360" w:lineRule="auto"/>
              <w:jc w:val="center"/>
              <w:rPr>
                <w:rFonts w:ascii="宋体" w:hAnsi="宋体" w:cs="宋体"/>
                <w:sz w:val="24"/>
                <w:highlight w:val="none"/>
              </w:rPr>
            </w:pPr>
          </w:p>
        </w:tc>
        <w:tc>
          <w:tcPr>
            <w:tcW w:w="1843" w:type="dxa"/>
            <w:vAlign w:val="center"/>
          </w:tcPr>
          <w:p w14:paraId="66DC9018">
            <w:pPr>
              <w:snapToGrid w:val="0"/>
              <w:spacing w:line="360" w:lineRule="auto"/>
              <w:jc w:val="center"/>
              <w:rPr>
                <w:rFonts w:ascii="宋体" w:hAnsi="宋体" w:cs="宋体"/>
                <w:sz w:val="24"/>
                <w:highlight w:val="none"/>
              </w:rPr>
            </w:pPr>
          </w:p>
        </w:tc>
        <w:tc>
          <w:tcPr>
            <w:tcW w:w="3118" w:type="dxa"/>
            <w:vAlign w:val="center"/>
          </w:tcPr>
          <w:p w14:paraId="2FD434E2">
            <w:pPr>
              <w:snapToGrid w:val="0"/>
              <w:spacing w:line="360" w:lineRule="auto"/>
              <w:jc w:val="center"/>
              <w:rPr>
                <w:rFonts w:ascii="宋体" w:hAnsi="宋体" w:cs="宋体"/>
                <w:sz w:val="24"/>
                <w:highlight w:val="none"/>
              </w:rPr>
            </w:pPr>
          </w:p>
        </w:tc>
        <w:tc>
          <w:tcPr>
            <w:tcW w:w="993" w:type="dxa"/>
            <w:vAlign w:val="center"/>
          </w:tcPr>
          <w:p w14:paraId="16094333">
            <w:pPr>
              <w:snapToGrid w:val="0"/>
              <w:spacing w:line="360" w:lineRule="auto"/>
              <w:jc w:val="center"/>
              <w:rPr>
                <w:rFonts w:ascii="宋体" w:hAnsi="宋体" w:cs="宋体"/>
                <w:sz w:val="24"/>
                <w:highlight w:val="none"/>
              </w:rPr>
            </w:pPr>
          </w:p>
        </w:tc>
        <w:tc>
          <w:tcPr>
            <w:tcW w:w="1559" w:type="dxa"/>
            <w:vAlign w:val="center"/>
          </w:tcPr>
          <w:p w14:paraId="1A0071CC">
            <w:pPr>
              <w:spacing w:line="360" w:lineRule="auto"/>
              <w:jc w:val="center"/>
              <w:rPr>
                <w:rFonts w:ascii="宋体" w:hAnsi="宋体" w:cs="宋体"/>
                <w:sz w:val="24"/>
                <w:highlight w:val="none"/>
              </w:rPr>
            </w:pPr>
          </w:p>
        </w:tc>
        <w:tc>
          <w:tcPr>
            <w:tcW w:w="1984" w:type="dxa"/>
            <w:vAlign w:val="center"/>
          </w:tcPr>
          <w:p w14:paraId="4CE75C41">
            <w:pPr>
              <w:spacing w:line="360" w:lineRule="auto"/>
              <w:jc w:val="center"/>
              <w:rPr>
                <w:rFonts w:ascii="宋体" w:hAnsi="宋体" w:cs="宋体"/>
                <w:sz w:val="24"/>
                <w:highlight w:val="none"/>
              </w:rPr>
            </w:pPr>
          </w:p>
        </w:tc>
        <w:tc>
          <w:tcPr>
            <w:tcW w:w="3119" w:type="dxa"/>
            <w:vAlign w:val="center"/>
          </w:tcPr>
          <w:p w14:paraId="14B9BE0B">
            <w:pPr>
              <w:spacing w:line="360" w:lineRule="auto"/>
              <w:jc w:val="center"/>
              <w:rPr>
                <w:rFonts w:ascii="宋体" w:hAnsi="宋体" w:cs="宋体"/>
                <w:sz w:val="24"/>
                <w:highlight w:val="none"/>
              </w:rPr>
            </w:pPr>
          </w:p>
        </w:tc>
      </w:tr>
      <w:tr w14:paraId="637A4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12" w:type="dxa"/>
            <w:gridSpan w:val="4"/>
            <w:vAlign w:val="center"/>
          </w:tcPr>
          <w:p w14:paraId="2CA38F54">
            <w:pPr>
              <w:spacing w:line="360" w:lineRule="auto"/>
              <w:jc w:val="center"/>
              <w:rPr>
                <w:rFonts w:ascii="宋体" w:hAnsi="宋体" w:cs="宋体"/>
                <w:b/>
                <w:sz w:val="24"/>
                <w:highlight w:val="none"/>
              </w:rPr>
            </w:pPr>
            <w:r>
              <w:rPr>
                <w:rFonts w:hint="eastAsia" w:ascii="宋体" w:hAnsi="宋体" w:cs="宋体"/>
                <w:b/>
                <w:sz w:val="24"/>
                <w:highlight w:val="none"/>
              </w:rPr>
              <w:t>投标报价（小写）</w:t>
            </w:r>
          </w:p>
        </w:tc>
        <w:tc>
          <w:tcPr>
            <w:tcW w:w="7655" w:type="dxa"/>
            <w:gridSpan w:val="4"/>
            <w:vAlign w:val="center"/>
          </w:tcPr>
          <w:p w14:paraId="522E9D70">
            <w:pPr>
              <w:spacing w:line="360" w:lineRule="auto"/>
              <w:jc w:val="center"/>
              <w:rPr>
                <w:rFonts w:ascii="宋体" w:hAnsi="宋体" w:cs="宋体"/>
                <w:sz w:val="24"/>
                <w:highlight w:val="none"/>
              </w:rPr>
            </w:pPr>
          </w:p>
        </w:tc>
      </w:tr>
      <w:tr w14:paraId="42B05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12" w:type="dxa"/>
            <w:gridSpan w:val="4"/>
            <w:vAlign w:val="center"/>
          </w:tcPr>
          <w:p w14:paraId="01539DFD">
            <w:pPr>
              <w:spacing w:line="360" w:lineRule="auto"/>
              <w:jc w:val="center"/>
              <w:rPr>
                <w:rFonts w:ascii="宋体" w:hAnsi="宋体" w:cs="宋体"/>
                <w:b/>
                <w:sz w:val="24"/>
                <w:highlight w:val="none"/>
              </w:rPr>
            </w:pPr>
            <w:r>
              <w:rPr>
                <w:rFonts w:hint="eastAsia" w:ascii="宋体" w:hAnsi="宋体" w:cs="宋体"/>
                <w:b/>
                <w:sz w:val="24"/>
                <w:highlight w:val="none"/>
              </w:rPr>
              <w:t>投标报价（大写）</w:t>
            </w:r>
          </w:p>
        </w:tc>
        <w:tc>
          <w:tcPr>
            <w:tcW w:w="7655" w:type="dxa"/>
            <w:gridSpan w:val="4"/>
            <w:vAlign w:val="center"/>
          </w:tcPr>
          <w:p w14:paraId="29AE0175">
            <w:pPr>
              <w:spacing w:line="360" w:lineRule="auto"/>
              <w:jc w:val="center"/>
              <w:rPr>
                <w:rFonts w:ascii="宋体" w:hAnsi="宋体" w:cs="宋体"/>
                <w:sz w:val="24"/>
                <w:highlight w:val="none"/>
              </w:rPr>
            </w:pPr>
          </w:p>
        </w:tc>
      </w:tr>
    </w:tbl>
    <w:p w14:paraId="4577DE0F">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5B69FE0E">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kern w:val="0"/>
          <w:sz w:val="24"/>
          <w:highlight w:val="none"/>
          <w:lang w:val="zh-CN"/>
        </w:rPr>
        <w:t>。</w:t>
      </w:r>
    </w:p>
    <w:p w14:paraId="580EDD5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b/>
          <w:kern w:val="0"/>
          <w:sz w:val="24"/>
          <w:highlight w:val="none"/>
          <w:lang w:val="zh-CN"/>
        </w:rPr>
        <w:t>采购人将以合同形式有偿取得货物或服务，不接受投标人给予的赠品、回扣或者与采购无关的其他商品、服务</w:t>
      </w:r>
      <w:r>
        <w:rPr>
          <w:rFonts w:hint="eastAsia" w:ascii="宋体" w:hAnsi="宋体" w:cs="宋体"/>
          <w:kern w:val="0"/>
          <w:sz w:val="24"/>
          <w:highlight w:val="none"/>
          <w:lang w:val="zh-CN"/>
        </w:rPr>
        <w:t>，</w:t>
      </w:r>
      <w:r>
        <w:rPr>
          <w:rFonts w:hint="eastAsia" w:ascii="宋体" w:hAnsi="宋体" w:cs="宋体"/>
          <w:b/>
          <w:kern w:val="0"/>
          <w:sz w:val="24"/>
          <w:highlight w:val="none"/>
          <w:lang w:val="zh-CN"/>
        </w:rPr>
        <w:t>不得出现“0元”“免费赠送”等形式的无偿报价，</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026F5F43">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3、特别提示：采购代理机构将对项目名称和项目编号，中标供应商名称、地址和中标金额，主要中标标的名称、品牌（如果有）、规格型号、数量、单价等予以公示。</w:t>
      </w:r>
    </w:p>
    <w:p w14:paraId="1D8602A8">
      <w:pPr>
        <w:snapToGrid w:val="0"/>
        <w:spacing w:line="360" w:lineRule="auto"/>
        <w:ind w:firstLine="480" w:firstLineChars="200"/>
        <w:jc w:val="left"/>
        <w:rPr>
          <w:rFonts w:ascii="宋体" w:hAnsi="宋体" w:cs="宋体"/>
          <w:kern w:val="0"/>
          <w:sz w:val="24"/>
          <w:highlight w:val="none"/>
          <w:lang w:val="zh-CN"/>
        </w:rPr>
      </w:pPr>
      <w:r>
        <w:rPr>
          <w:rFonts w:ascii="宋体" w:hAnsi="宋体" w:cs="宋体"/>
          <w:kern w:val="0"/>
          <w:sz w:val="24"/>
          <w:szCs w:val="22"/>
          <w:highlight w:val="none"/>
          <w:lang w:val="zh-CN"/>
        </w:rPr>
        <w:t>4</w:t>
      </w:r>
      <w:r>
        <w:rPr>
          <w:rFonts w:hint="eastAsia" w:ascii="宋体" w:hAnsi="宋体" w:cs="宋体"/>
          <w:kern w:val="0"/>
          <w:sz w:val="24"/>
          <w:szCs w:val="22"/>
          <w:highlight w:val="none"/>
          <w:lang w:val="zh-CN"/>
        </w:rPr>
        <w:t>、</w:t>
      </w:r>
      <w:r>
        <w:rPr>
          <w:rFonts w:hint="eastAsia" w:ascii="宋体" w:hAnsi="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2C05AE6">
      <w:pPr>
        <w:autoSpaceDE w:val="0"/>
        <w:autoSpaceDN w:val="0"/>
        <w:spacing w:line="360" w:lineRule="auto"/>
        <w:ind w:left="2"/>
        <w:jc w:val="left"/>
        <w:rPr>
          <w:rFonts w:ascii="宋体" w:hAnsi="宋体" w:cs="宋体"/>
          <w:kern w:val="0"/>
          <w:sz w:val="24"/>
          <w:highlight w:val="none"/>
          <w:lang w:val="zh-CN"/>
        </w:rPr>
      </w:pPr>
    </w:p>
    <w:p w14:paraId="5E8E9896">
      <w:pPr>
        <w:spacing w:line="360" w:lineRule="auto"/>
        <w:ind w:firstLine="6240" w:firstLineChars="2600"/>
        <w:rPr>
          <w:rFonts w:ascii="宋体" w:hAnsi="宋体" w:cs="宋体"/>
          <w:sz w:val="24"/>
          <w:highlight w:val="none"/>
        </w:rPr>
      </w:pPr>
      <w:r>
        <w:rPr>
          <w:rFonts w:hint="eastAsia" w:ascii="宋体" w:hAnsi="宋体" w:cs="宋体"/>
          <w:sz w:val="24"/>
          <w:highlight w:val="none"/>
        </w:rPr>
        <w:t>投标人名称（公章）：</w:t>
      </w:r>
    </w:p>
    <w:p w14:paraId="55D0E261">
      <w:pPr>
        <w:spacing w:line="360" w:lineRule="auto"/>
        <w:ind w:firstLine="6240" w:firstLineChars="2600"/>
        <w:rPr>
          <w:rFonts w:ascii="宋体" w:hAnsi="宋体" w:cs="宋体"/>
          <w:sz w:val="24"/>
          <w:highlight w:val="none"/>
        </w:rPr>
      </w:pPr>
      <w:r>
        <w:rPr>
          <w:rFonts w:hint="eastAsia" w:ascii="宋体" w:hAnsi="宋体" w:cs="宋体"/>
          <w:sz w:val="24"/>
          <w:highlight w:val="none"/>
        </w:rPr>
        <w:t xml:space="preserve">法定代表人（负责人）或委托代理人(签名)：                          </w:t>
      </w:r>
    </w:p>
    <w:p w14:paraId="7CE6A4D2">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7020CE1E">
      <w:pPr>
        <w:spacing w:line="360" w:lineRule="auto"/>
        <w:ind w:firstLine="482" w:firstLineChars="200"/>
        <w:rPr>
          <w:rFonts w:ascii="宋体" w:hAnsi="宋体" w:cs="宋体"/>
          <w:b/>
          <w:kern w:val="0"/>
          <w:sz w:val="24"/>
          <w:highlight w:val="none"/>
        </w:rPr>
      </w:pPr>
    </w:p>
    <w:p w14:paraId="6E57EE30">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14:paraId="3980C04E">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1E1F78E8">
      <w:pPr>
        <w:pStyle w:val="82"/>
        <w:jc w:val="center"/>
        <w:rPr>
          <w:b/>
          <w:sz w:val="32"/>
          <w:szCs w:val="32"/>
          <w:highlight w:val="none"/>
        </w:rPr>
      </w:pPr>
      <w:bookmarkStart w:id="428" w:name="_Toc176185128"/>
      <w:r>
        <w:rPr>
          <w:rFonts w:hint="eastAsia"/>
          <w:b/>
          <w:kern w:val="2"/>
          <w:sz w:val="32"/>
          <w:szCs w:val="32"/>
          <w:highlight w:val="none"/>
        </w:rPr>
        <w:t>二、</w:t>
      </w:r>
      <w:r>
        <w:rPr>
          <w:rFonts w:hint="eastAsia"/>
          <w:b/>
          <w:sz w:val="32"/>
          <w:szCs w:val="32"/>
          <w:highlight w:val="none"/>
        </w:rPr>
        <w:t>中小企业声明函</w:t>
      </w:r>
      <w:bookmarkStart w:id="429" w:name="_Hlk101259491"/>
      <w:r>
        <w:rPr>
          <w:rFonts w:hint="eastAsia"/>
          <w:b/>
          <w:sz w:val="32"/>
          <w:szCs w:val="32"/>
          <w:highlight w:val="none"/>
        </w:rPr>
        <w:t>（如果有）</w:t>
      </w:r>
      <w:bookmarkEnd w:id="428"/>
      <w:bookmarkEnd w:id="429"/>
    </w:p>
    <w:p w14:paraId="1F764FDE">
      <w:pPr>
        <w:widowControl/>
        <w:spacing w:line="360" w:lineRule="auto"/>
        <w:ind w:firstLine="120" w:firstLineChars="50"/>
        <w:jc w:val="left"/>
        <w:rPr>
          <w:rFonts w:ascii="宋体" w:hAnsi="宋体" w:cs="宋体"/>
          <w:b/>
          <w:sz w:val="24"/>
          <w:highlight w:val="none"/>
        </w:rPr>
      </w:pPr>
      <w:r>
        <w:rPr>
          <w:rFonts w:hint="eastAsia" w:ascii="宋体" w:hAnsi="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highlight w:val="none"/>
        </w:rPr>
        <w:t>7</w:t>
      </w:r>
      <w:r>
        <w:rPr>
          <w:rFonts w:hint="eastAsia" w:ascii="宋体" w:hAnsi="宋体" w:cs="宋体"/>
          <w:b/>
          <w:sz w:val="24"/>
          <w:highlight w:val="none"/>
        </w:rPr>
        <w:t>）。]</w:t>
      </w:r>
    </w:p>
    <w:p w14:paraId="1FB98D58">
      <w:pPr>
        <w:pStyle w:val="690"/>
        <w:keepNext w:val="0"/>
        <w:pageBreakBefore w:val="0"/>
        <w:tabs>
          <w:tab w:val="clear" w:pos="720"/>
        </w:tabs>
        <w:snapToGrid w:val="0"/>
        <w:spacing w:before="120" w:after="120"/>
        <w:ind w:firstLine="643"/>
        <w:outlineLvl w:val="9"/>
        <w:rPr>
          <w:rFonts w:ascii="宋体" w:hAnsi="宋体" w:eastAsia="宋体" w:cs="宋体"/>
          <w:b w:val="0"/>
          <w:sz w:val="32"/>
          <w:szCs w:val="32"/>
          <w:highlight w:val="none"/>
        </w:rPr>
      </w:pPr>
    </w:p>
    <w:p w14:paraId="734355B2">
      <w:pPr>
        <w:spacing w:line="360" w:lineRule="auto"/>
        <w:ind w:right="420" w:firstLine="3614" w:firstLineChars="1000"/>
        <w:rPr>
          <w:rFonts w:ascii="宋体" w:hAnsi="宋体" w:cs="宋体"/>
          <w:b/>
          <w:kern w:val="0"/>
          <w:sz w:val="36"/>
          <w:szCs w:val="36"/>
          <w:highlight w:val="none"/>
        </w:rPr>
      </w:pPr>
    </w:p>
    <w:p w14:paraId="4BD2C237">
      <w:pPr>
        <w:spacing w:line="360" w:lineRule="auto"/>
        <w:ind w:right="420" w:firstLine="3614" w:firstLineChars="1000"/>
        <w:rPr>
          <w:rFonts w:ascii="宋体" w:hAnsi="宋体" w:cs="宋体"/>
          <w:b/>
          <w:kern w:val="0"/>
          <w:sz w:val="36"/>
          <w:szCs w:val="36"/>
          <w:highlight w:val="none"/>
        </w:rPr>
      </w:pPr>
    </w:p>
    <w:p w14:paraId="49BB29AE">
      <w:pPr>
        <w:spacing w:line="360" w:lineRule="auto"/>
        <w:ind w:right="420" w:firstLine="3614" w:firstLineChars="1000"/>
        <w:rPr>
          <w:rFonts w:ascii="宋体" w:hAnsi="宋体" w:cs="宋体"/>
          <w:b/>
          <w:kern w:val="0"/>
          <w:sz w:val="36"/>
          <w:szCs w:val="36"/>
          <w:highlight w:val="none"/>
        </w:rPr>
      </w:pPr>
    </w:p>
    <w:p w14:paraId="779A450B">
      <w:pPr>
        <w:spacing w:line="360" w:lineRule="auto"/>
        <w:ind w:right="420" w:firstLine="3614" w:firstLineChars="1000"/>
        <w:rPr>
          <w:rFonts w:ascii="宋体" w:hAnsi="宋体" w:cs="宋体"/>
          <w:b/>
          <w:kern w:val="0"/>
          <w:sz w:val="36"/>
          <w:szCs w:val="36"/>
          <w:highlight w:val="none"/>
        </w:rPr>
      </w:pPr>
    </w:p>
    <w:p w14:paraId="087612C8">
      <w:pPr>
        <w:spacing w:line="360" w:lineRule="auto"/>
        <w:ind w:right="420" w:firstLine="3614" w:firstLineChars="1000"/>
        <w:rPr>
          <w:rFonts w:ascii="宋体" w:hAnsi="宋体" w:cs="宋体"/>
          <w:b/>
          <w:kern w:val="0"/>
          <w:sz w:val="36"/>
          <w:szCs w:val="36"/>
          <w:highlight w:val="none"/>
        </w:rPr>
      </w:pPr>
    </w:p>
    <w:p w14:paraId="06304CDD">
      <w:pPr>
        <w:spacing w:line="360" w:lineRule="auto"/>
        <w:ind w:right="420" w:firstLine="3614" w:firstLineChars="1000"/>
        <w:rPr>
          <w:rFonts w:ascii="宋体" w:hAnsi="宋体" w:cs="宋体"/>
          <w:b/>
          <w:kern w:val="0"/>
          <w:sz w:val="36"/>
          <w:szCs w:val="36"/>
          <w:highlight w:val="none"/>
        </w:rPr>
      </w:pPr>
    </w:p>
    <w:p w14:paraId="6D6809F2">
      <w:pPr>
        <w:spacing w:line="360" w:lineRule="auto"/>
        <w:ind w:right="420" w:firstLine="3614" w:firstLineChars="1000"/>
        <w:rPr>
          <w:rFonts w:ascii="宋体" w:hAnsi="宋体" w:cs="宋体"/>
          <w:b/>
          <w:kern w:val="0"/>
          <w:sz w:val="36"/>
          <w:szCs w:val="36"/>
          <w:highlight w:val="none"/>
        </w:rPr>
      </w:pPr>
    </w:p>
    <w:p w14:paraId="55BB12EA">
      <w:pPr>
        <w:spacing w:line="360" w:lineRule="auto"/>
        <w:ind w:right="420" w:firstLine="3614" w:firstLineChars="1000"/>
        <w:rPr>
          <w:rFonts w:ascii="宋体" w:hAnsi="宋体" w:cs="宋体"/>
          <w:b/>
          <w:kern w:val="0"/>
          <w:sz w:val="36"/>
          <w:szCs w:val="36"/>
          <w:highlight w:val="none"/>
        </w:rPr>
      </w:pPr>
    </w:p>
    <w:p w14:paraId="61E45478">
      <w:pPr>
        <w:spacing w:line="360" w:lineRule="auto"/>
        <w:ind w:right="420" w:firstLine="3614" w:firstLineChars="1000"/>
        <w:rPr>
          <w:rFonts w:ascii="宋体" w:hAnsi="宋体" w:cs="宋体"/>
          <w:b/>
          <w:kern w:val="0"/>
          <w:sz w:val="36"/>
          <w:szCs w:val="36"/>
          <w:highlight w:val="none"/>
        </w:rPr>
      </w:pPr>
    </w:p>
    <w:p w14:paraId="79E2F15A">
      <w:pPr>
        <w:spacing w:line="360" w:lineRule="auto"/>
        <w:ind w:right="420" w:firstLine="3614" w:firstLineChars="1000"/>
        <w:rPr>
          <w:rFonts w:ascii="宋体" w:hAnsi="宋体" w:cs="宋体"/>
          <w:b/>
          <w:kern w:val="0"/>
          <w:sz w:val="36"/>
          <w:szCs w:val="36"/>
          <w:highlight w:val="none"/>
        </w:rPr>
      </w:pPr>
    </w:p>
    <w:p w14:paraId="06526CDC">
      <w:pPr>
        <w:spacing w:line="360" w:lineRule="auto"/>
        <w:ind w:right="420" w:firstLine="3614" w:firstLineChars="1000"/>
        <w:rPr>
          <w:rFonts w:ascii="宋体" w:hAnsi="宋体" w:cs="宋体"/>
          <w:b/>
          <w:kern w:val="0"/>
          <w:sz w:val="36"/>
          <w:szCs w:val="36"/>
          <w:highlight w:val="none"/>
        </w:rPr>
      </w:pPr>
    </w:p>
    <w:p w14:paraId="6216C1B8">
      <w:pPr>
        <w:spacing w:line="360" w:lineRule="auto"/>
        <w:ind w:right="420" w:firstLine="3614" w:firstLineChars="1000"/>
        <w:rPr>
          <w:rFonts w:ascii="宋体" w:hAnsi="宋体" w:cs="宋体"/>
          <w:b/>
          <w:kern w:val="0"/>
          <w:sz w:val="36"/>
          <w:szCs w:val="36"/>
          <w:highlight w:val="none"/>
        </w:rPr>
      </w:pPr>
    </w:p>
    <w:p w14:paraId="6BC7FD30">
      <w:pPr>
        <w:spacing w:line="360" w:lineRule="auto"/>
        <w:ind w:right="420" w:firstLine="3614" w:firstLineChars="1000"/>
        <w:rPr>
          <w:rFonts w:ascii="宋体" w:hAnsi="宋体" w:cs="宋体"/>
          <w:b/>
          <w:kern w:val="0"/>
          <w:sz w:val="36"/>
          <w:szCs w:val="36"/>
          <w:highlight w:val="none"/>
        </w:rPr>
      </w:pPr>
    </w:p>
    <w:p w14:paraId="0180E558">
      <w:pPr>
        <w:spacing w:line="360" w:lineRule="auto"/>
        <w:ind w:right="420" w:firstLine="3614" w:firstLineChars="1000"/>
        <w:rPr>
          <w:rFonts w:ascii="宋体" w:hAnsi="宋体" w:cs="宋体"/>
          <w:b/>
          <w:kern w:val="0"/>
          <w:sz w:val="36"/>
          <w:szCs w:val="36"/>
          <w:highlight w:val="none"/>
        </w:rPr>
      </w:pPr>
    </w:p>
    <w:p w14:paraId="662ECA27">
      <w:pPr>
        <w:spacing w:line="360" w:lineRule="auto"/>
        <w:ind w:right="420" w:firstLine="3614" w:firstLineChars="1000"/>
        <w:rPr>
          <w:rFonts w:ascii="宋体" w:hAnsi="宋体" w:cs="宋体"/>
          <w:b/>
          <w:kern w:val="0"/>
          <w:sz w:val="36"/>
          <w:szCs w:val="36"/>
          <w:highlight w:val="none"/>
        </w:rPr>
      </w:pPr>
    </w:p>
    <w:p w14:paraId="40D4AE00">
      <w:pPr>
        <w:spacing w:line="360" w:lineRule="auto"/>
        <w:ind w:right="420" w:firstLine="3614" w:firstLineChars="1000"/>
        <w:rPr>
          <w:rFonts w:ascii="宋体" w:hAnsi="宋体" w:cs="宋体"/>
          <w:b/>
          <w:kern w:val="0"/>
          <w:sz w:val="36"/>
          <w:szCs w:val="36"/>
          <w:highlight w:val="none"/>
        </w:rPr>
      </w:pPr>
    </w:p>
    <w:p w14:paraId="1E2260B6">
      <w:pPr>
        <w:pStyle w:val="82"/>
        <w:jc w:val="center"/>
        <w:rPr>
          <w:b/>
          <w:sz w:val="36"/>
          <w:szCs w:val="36"/>
          <w:highlight w:val="none"/>
        </w:rPr>
      </w:pPr>
      <w:bookmarkStart w:id="430" w:name="_Toc465665161"/>
      <w:r>
        <w:rPr>
          <w:rFonts w:hint="eastAsia"/>
          <w:b/>
          <w:sz w:val="36"/>
          <w:szCs w:val="36"/>
          <w:highlight w:val="none"/>
        </w:rPr>
        <w:t>附件</w:t>
      </w:r>
      <w:bookmarkEnd w:id="430"/>
    </w:p>
    <w:p w14:paraId="2F058D68">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0F1EB525">
      <w:pPr>
        <w:spacing w:line="360" w:lineRule="auto"/>
        <w:jc w:val="center"/>
        <w:rPr>
          <w:rFonts w:ascii="宋体" w:hAnsi="宋体" w:cs="宋体"/>
          <w:b/>
          <w:spacing w:val="6"/>
          <w:sz w:val="32"/>
          <w:szCs w:val="32"/>
          <w:highlight w:val="none"/>
        </w:rPr>
      </w:pPr>
      <w:bookmarkStart w:id="431" w:name="OLE_LINK14"/>
      <w:bookmarkStart w:id="432" w:name="OLE_LINK13"/>
      <w:r>
        <w:rPr>
          <w:rFonts w:hint="eastAsia" w:ascii="宋体" w:hAnsi="宋体" w:cs="宋体"/>
          <w:b/>
          <w:spacing w:val="6"/>
          <w:sz w:val="32"/>
          <w:szCs w:val="32"/>
          <w:highlight w:val="none"/>
        </w:rPr>
        <w:t>残疾人福利性单位声明函</w:t>
      </w:r>
    </w:p>
    <w:bookmarkEnd w:id="431"/>
    <w:bookmarkEnd w:id="432"/>
    <w:p w14:paraId="75BAA31D">
      <w:pPr>
        <w:spacing w:line="360" w:lineRule="auto"/>
        <w:rPr>
          <w:rFonts w:ascii="宋体" w:hAnsi="宋体" w:cs="宋体"/>
          <w:b/>
          <w:spacing w:val="6"/>
          <w:sz w:val="30"/>
          <w:szCs w:val="30"/>
          <w:highlight w:val="none"/>
        </w:rPr>
      </w:pPr>
    </w:p>
    <w:p w14:paraId="0CB94725">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highlight w:val="none"/>
          <w:u w:val="single"/>
        </w:rPr>
        <w:t>（采购人）</w:t>
      </w:r>
      <w:r>
        <w:rPr>
          <w:rFonts w:hint="eastAsia" w:ascii="宋体" w:hAnsi="宋体" w:cs="宋体"/>
          <w:sz w:val="24"/>
          <w:highlight w:val="none"/>
        </w:rPr>
        <w:t>_单位的_</w:t>
      </w:r>
      <w:r>
        <w:rPr>
          <w:rFonts w:hint="eastAsia" w:ascii="宋体" w:hAnsi="宋体" w:cs="宋体"/>
          <w:sz w:val="24"/>
          <w:highlight w:val="none"/>
          <w:u w:val="single"/>
        </w:rPr>
        <w:t>（项目名称）</w:t>
      </w:r>
      <w:r>
        <w:rPr>
          <w:rFonts w:hint="eastAsia" w:ascii="宋体" w:hAnsi="宋体" w:cs="宋体"/>
          <w:sz w:val="24"/>
          <w:highlight w:val="none"/>
        </w:rPr>
        <w:t>__项目采购活动提供本单位制造的货物（由本单位承担工程/提供服务），或者提供其他残疾人福利性单位制造的货物（不包括使用非残疾人福利性单位注册商标的货物）。</w:t>
      </w:r>
    </w:p>
    <w:p w14:paraId="21A47E5E">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5A1B819A">
      <w:pPr>
        <w:spacing w:line="360" w:lineRule="auto"/>
        <w:ind w:firstLine="480" w:firstLineChars="200"/>
        <w:rPr>
          <w:rFonts w:ascii="宋体" w:hAnsi="宋体" w:cs="宋体"/>
          <w:sz w:val="24"/>
          <w:highlight w:val="none"/>
        </w:rPr>
      </w:pPr>
    </w:p>
    <w:p w14:paraId="5979821A">
      <w:pPr>
        <w:spacing w:line="360" w:lineRule="auto"/>
        <w:ind w:firstLine="480" w:firstLineChars="200"/>
        <w:rPr>
          <w:rFonts w:ascii="宋体" w:hAnsi="宋体" w:cs="宋体"/>
          <w:sz w:val="24"/>
          <w:highlight w:val="none"/>
        </w:rPr>
      </w:pPr>
    </w:p>
    <w:p w14:paraId="20BD73C9">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w:t>
      </w:r>
      <w:r>
        <w:rPr>
          <w:rFonts w:hint="eastAsia" w:ascii="宋体" w:hAnsi="宋体" w:cs="宋体"/>
          <w:sz w:val="24"/>
          <w:highlight w:val="none"/>
        </w:rPr>
        <w:t>公章</w:t>
      </w:r>
      <w:r>
        <w:rPr>
          <w:rFonts w:hint="eastAsia" w:ascii="宋体" w:hAnsi="宋体" w:cs="宋体"/>
          <w:kern w:val="0"/>
          <w:sz w:val="24"/>
          <w:highlight w:val="none"/>
          <w:lang w:val="zh-CN"/>
        </w:rPr>
        <w:t>）</w:t>
      </w:r>
      <w:r>
        <w:rPr>
          <w:rFonts w:hint="eastAsia" w:ascii="宋体" w:hAnsi="宋体" w:cs="宋体"/>
          <w:sz w:val="24"/>
          <w:highlight w:val="none"/>
        </w:rPr>
        <w:t>：</w:t>
      </w:r>
    </w:p>
    <w:p w14:paraId="759508CE">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09503178">
      <w:pPr>
        <w:spacing w:line="360" w:lineRule="auto"/>
        <w:ind w:firstLine="480" w:firstLineChars="200"/>
        <w:rPr>
          <w:rFonts w:ascii="宋体" w:hAnsi="宋体" w:cs="宋体"/>
          <w:sz w:val="24"/>
          <w:highlight w:val="none"/>
        </w:rPr>
      </w:pPr>
    </w:p>
    <w:p w14:paraId="1D06BC15">
      <w:pPr>
        <w:spacing w:line="360" w:lineRule="auto"/>
        <w:ind w:firstLine="420" w:firstLineChars="200"/>
        <w:rPr>
          <w:rFonts w:ascii="宋体" w:hAnsi="宋体" w:cs="宋体"/>
          <w:highlight w:val="none"/>
        </w:rPr>
      </w:pPr>
    </w:p>
    <w:p w14:paraId="1AC45388">
      <w:pPr>
        <w:spacing w:line="360" w:lineRule="auto"/>
        <w:ind w:firstLine="420" w:firstLineChars="200"/>
        <w:rPr>
          <w:rFonts w:ascii="宋体" w:hAnsi="宋体" w:cs="宋体"/>
          <w:highlight w:val="none"/>
        </w:rPr>
      </w:pPr>
    </w:p>
    <w:p w14:paraId="0CE80653">
      <w:pPr>
        <w:spacing w:line="360" w:lineRule="auto"/>
        <w:ind w:firstLine="420" w:firstLineChars="200"/>
        <w:rPr>
          <w:rFonts w:ascii="宋体" w:hAnsi="宋体" w:cs="宋体"/>
          <w:highlight w:val="none"/>
        </w:rPr>
      </w:pPr>
    </w:p>
    <w:p w14:paraId="510CEFE5">
      <w:pPr>
        <w:spacing w:line="360" w:lineRule="auto"/>
        <w:ind w:firstLine="420" w:firstLineChars="200"/>
        <w:rPr>
          <w:rFonts w:ascii="宋体" w:hAnsi="宋体" w:cs="宋体"/>
          <w:highlight w:val="none"/>
        </w:rPr>
      </w:pPr>
    </w:p>
    <w:p w14:paraId="6C94EC4D">
      <w:pPr>
        <w:spacing w:line="360" w:lineRule="auto"/>
        <w:rPr>
          <w:rFonts w:ascii="宋体" w:hAnsi="宋体" w:cs="宋体"/>
          <w:b/>
          <w:sz w:val="24"/>
          <w:highlight w:val="none"/>
        </w:rPr>
      </w:pPr>
    </w:p>
    <w:p w14:paraId="2D89C72E">
      <w:pPr>
        <w:spacing w:line="360" w:lineRule="auto"/>
        <w:rPr>
          <w:rFonts w:ascii="宋体" w:hAnsi="宋体" w:cs="宋体"/>
          <w:b/>
          <w:sz w:val="24"/>
          <w:highlight w:val="none"/>
        </w:rPr>
      </w:pPr>
    </w:p>
    <w:p w14:paraId="2F6545C5">
      <w:pPr>
        <w:spacing w:line="360" w:lineRule="auto"/>
        <w:rPr>
          <w:rFonts w:ascii="宋体" w:hAnsi="宋体" w:cs="宋体"/>
          <w:b/>
          <w:sz w:val="24"/>
          <w:highlight w:val="none"/>
        </w:rPr>
      </w:pPr>
    </w:p>
    <w:p w14:paraId="66F0166B">
      <w:pPr>
        <w:spacing w:line="360" w:lineRule="auto"/>
        <w:rPr>
          <w:rFonts w:ascii="宋体" w:hAnsi="宋体" w:cs="宋体"/>
          <w:b/>
          <w:sz w:val="24"/>
          <w:highlight w:val="none"/>
        </w:rPr>
      </w:pPr>
    </w:p>
    <w:p w14:paraId="4281D2A0">
      <w:pPr>
        <w:spacing w:line="360" w:lineRule="auto"/>
        <w:rPr>
          <w:rFonts w:ascii="宋体" w:hAnsi="宋体" w:cs="宋体"/>
          <w:b/>
          <w:sz w:val="24"/>
          <w:highlight w:val="none"/>
        </w:rPr>
      </w:pPr>
    </w:p>
    <w:p w14:paraId="22864457">
      <w:pPr>
        <w:spacing w:line="360" w:lineRule="auto"/>
        <w:rPr>
          <w:rFonts w:ascii="宋体" w:hAnsi="宋体" w:cs="宋体"/>
          <w:b/>
          <w:sz w:val="24"/>
          <w:highlight w:val="none"/>
        </w:rPr>
      </w:pPr>
    </w:p>
    <w:p w14:paraId="4BCF4E69">
      <w:pPr>
        <w:spacing w:line="360" w:lineRule="auto"/>
        <w:rPr>
          <w:rFonts w:ascii="宋体" w:hAnsi="宋体" w:cs="宋体"/>
          <w:b/>
          <w:sz w:val="24"/>
          <w:highlight w:val="none"/>
        </w:rPr>
      </w:pPr>
    </w:p>
    <w:p w14:paraId="769F0736">
      <w:pPr>
        <w:spacing w:line="360" w:lineRule="auto"/>
        <w:rPr>
          <w:rFonts w:ascii="宋体" w:hAnsi="宋体" w:cs="宋体"/>
          <w:b/>
          <w:sz w:val="24"/>
          <w:highlight w:val="none"/>
        </w:rPr>
      </w:pPr>
    </w:p>
    <w:p w14:paraId="4FF74524">
      <w:pPr>
        <w:spacing w:line="360" w:lineRule="auto"/>
        <w:rPr>
          <w:rFonts w:ascii="宋体" w:hAnsi="宋体" w:cs="宋体"/>
          <w:b/>
          <w:sz w:val="24"/>
          <w:highlight w:val="none"/>
        </w:rPr>
      </w:pPr>
    </w:p>
    <w:p w14:paraId="5499E0C8">
      <w:pPr>
        <w:spacing w:line="360" w:lineRule="auto"/>
        <w:jc w:val="left"/>
        <w:rPr>
          <w:rFonts w:ascii="宋体" w:hAnsi="宋体" w:cs="宋体"/>
          <w:b/>
          <w:spacing w:val="6"/>
          <w:sz w:val="32"/>
          <w:szCs w:val="32"/>
          <w:highlight w:val="none"/>
        </w:rPr>
      </w:pPr>
    </w:p>
    <w:p w14:paraId="1B6D5AB9">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55BDF272">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46362413">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5CE81A59">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54910A5A">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7E4508D2">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1178AFBA">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19E01127">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6FA77D51">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3D042E1B">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5D682F24">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37F22CD0">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3231B597">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6A9EBA9C">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73CD3319">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6CAB915D">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6BD1944A">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64363322">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77B1F427">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2FC75EDB">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36923D69">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487BD031">
      <w:pPr>
        <w:snapToGrid w:val="0"/>
        <w:spacing w:line="360" w:lineRule="auto"/>
        <w:rPr>
          <w:rFonts w:ascii="宋体" w:hAnsi="宋体" w:cs="宋体"/>
          <w:sz w:val="24"/>
          <w:highlight w:val="none"/>
        </w:rPr>
      </w:pPr>
      <w:r>
        <w:rPr>
          <w:rFonts w:hint="eastAsia" w:ascii="宋体" w:hAnsi="宋体" w:cs="宋体"/>
          <w:sz w:val="24"/>
          <w:highlight w:val="none"/>
        </w:rPr>
        <w:t>……</w:t>
      </w:r>
    </w:p>
    <w:p w14:paraId="59BAB768">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6BA3A470">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6AD77DD5">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378734E3">
      <w:pPr>
        <w:spacing w:line="360" w:lineRule="auto"/>
        <w:rPr>
          <w:rFonts w:ascii="宋体" w:hAnsi="宋体" w:cs="宋体"/>
          <w:sz w:val="24"/>
          <w:highlight w:val="none"/>
        </w:rPr>
      </w:pPr>
      <w:r>
        <w:rPr>
          <w:rFonts w:hint="eastAsia" w:ascii="宋体" w:hAnsi="宋体" w:cs="宋体"/>
          <w:sz w:val="24"/>
          <w:highlight w:val="none"/>
        </w:rPr>
        <w:t xml:space="preserve">日期：    </w:t>
      </w:r>
    </w:p>
    <w:p w14:paraId="7EEA2E6E">
      <w:pPr>
        <w:spacing w:line="360" w:lineRule="auto"/>
        <w:jc w:val="center"/>
        <w:rPr>
          <w:rFonts w:ascii="宋体" w:hAnsi="宋体" w:cs="宋体"/>
          <w:b/>
          <w:bCs/>
          <w:sz w:val="24"/>
          <w:highlight w:val="none"/>
        </w:rPr>
      </w:pPr>
    </w:p>
    <w:p w14:paraId="0297B916">
      <w:pPr>
        <w:spacing w:line="360" w:lineRule="auto"/>
        <w:rPr>
          <w:rFonts w:ascii="宋体" w:hAnsi="宋体" w:cs="宋体"/>
          <w:b/>
          <w:sz w:val="24"/>
          <w:highlight w:val="none"/>
        </w:rPr>
      </w:pPr>
    </w:p>
    <w:p w14:paraId="5153020D">
      <w:pPr>
        <w:spacing w:line="360" w:lineRule="auto"/>
        <w:rPr>
          <w:rFonts w:ascii="宋体" w:hAnsi="宋体" w:cs="宋体"/>
          <w:b/>
          <w:sz w:val="24"/>
          <w:highlight w:val="none"/>
        </w:rPr>
      </w:pPr>
    </w:p>
    <w:p w14:paraId="408F0420">
      <w:pPr>
        <w:spacing w:line="360" w:lineRule="auto"/>
        <w:rPr>
          <w:rFonts w:ascii="宋体" w:hAnsi="宋体" w:cs="宋体"/>
          <w:b/>
          <w:sz w:val="24"/>
          <w:highlight w:val="none"/>
        </w:rPr>
      </w:pPr>
    </w:p>
    <w:p w14:paraId="74FD6AB5">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0024855F">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4E08907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7E41E4B1">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6DC4EB7C">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002D8CC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644601D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1F074F95">
      <w:pPr>
        <w:widowControl/>
        <w:spacing w:line="360" w:lineRule="auto"/>
        <w:ind w:firstLine="600" w:firstLineChars="200"/>
        <w:jc w:val="left"/>
        <w:rPr>
          <w:rFonts w:ascii="宋体" w:hAnsi="宋体" w:cs="宋体"/>
          <w:sz w:val="30"/>
          <w:szCs w:val="30"/>
          <w:highlight w:val="none"/>
        </w:rPr>
      </w:pPr>
    </w:p>
    <w:p w14:paraId="026452C6">
      <w:pPr>
        <w:spacing w:line="360" w:lineRule="auto"/>
        <w:jc w:val="center"/>
        <w:rPr>
          <w:rFonts w:ascii="宋体" w:hAnsi="宋体" w:cs="宋体"/>
          <w:b/>
          <w:spacing w:val="6"/>
          <w:sz w:val="32"/>
          <w:szCs w:val="32"/>
          <w:highlight w:val="none"/>
        </w:rPr>
      </w:pPr>
    </w:p>
    <w:p w14:paraId="5EA166F9">
      <w:pPr>
        <w:spacing w:line="360" w:lineRule="auto"/>
        <w:jc w:val="center"/>
        <w:rPr>
          <w:rFonts w:ascii="宋体" w:hAnsi="宋体" w:cs="宋体"/>
          <w:b/>
          <w:spacing w:val="6"/>
          <w:sz w:val="32"/>
          <w:szCs w:val="32"/>
          <w:highlight w:val="none"/>
        </w:rPr>
      </w:pPr>
    </w:p>
    <w:p w14:paraId="4F1649B2">
      <w:pPr>
        <w:spacing w:line="360" w:lineRule="auto"/>
        <w:jc w:val="center"/>
        <w:rPr>
          <w:rFonts w:ascii="宋体" w:hAnsi="宋体" w:cs="宋体"/>
          <w:b/>
          <w:spacing w:val="6"/>
          <w:sz w:val="32"/>
          <w:szCs w:val="32"/>
          <w:highlight w:val="none"/>
        </w:rPr>
      </w:pPr>
    </w:p>
    <w:p w14:paraId="289E82C7">
      <w:pPr>
        <w:spacing w:line="360" w:lineRule="auto"/>
        <w:jc w:val="center"/>
        <w:rPr>
          <w:rFonts w:ascii="宋体" w:hAnsi="宋体" w:cs="宋体"/>
          <w:b/>
          <w:spacing w:val="6"/>
          <w:sz w:val="32"/>
          <w:szCs w:val="32"/>
          <w:highlight w:val="none"/>
        </w:rPr>
      </w:pPr>
    </w:p>
    <w:p w14:paraId="0C3E3198">
      <w:pPr>
        <w:spacing w:line="360" w:lineRule="auto"/>
        <w:jc w:val="center"/>
        <w:rPr>
          <w:rFonts w:ascii="宋体" w:hAnsi="宋体" w:cs="宋体"/>
          <w:b/>
          <w:spacing w:val="6"/>
          <w:sz w:val="32"/>
          <w:szCs w:val="32"/>
          <w:highlight w:val="none"/>
        </w:rPr>
      </w:pPr>
    </w:p>
    <w:p w14:paraId="3769B2D5">
      <w:pPr>
        <w:spacing w:line="360" w:lineRule="auto"/>
        <w:jc w:val="center"/>
        <w:rPr>
          <w:rFonts w:ascii="宋体" w:hAnsi="宋体" w:cs="宋体"/>
          <w:b/>
          <w:spacing w:val="6"/>
          <w:sz w:val="32"/>
          <w:szCs w:val="32"/>
          <w:highlight w:val="none"/>
        </w:rPr>
      </w:pPr>
    </w:p>
    <w:p w14:paraId="3AB0E7C8">
      <w:pPr>
        <w:spacing w:line="360" w:lineRule="auto"/>
        <w:jc w:val="center"/>
        <w:rPr>
          <w:rFonts w:ascii="宋体" w:hAnsi="宋体" w:cs="宋体"/>
          <w:b/>
          <w:spacing w:val="6"/>
          <w:sz w:val="32"/>
          <w:szCs w:val="32"/>
          <w:highlight w:val="none"/>
        </w:rPr>
      </w:pPr>
    </w:p>
    <w:p w14:paraId="4845087E">
      <w:pPr>
        <w:spacing w:line="360" w:lineRule="auto"/>
        <w:jc w:val="center"/>
        <w:rPr>
          <w:rFonts w:ascii="宋体" w:hAnsi="宋体" w:cs="宋体"/>
          <w:b/>
          <w:spacing w:val="6"/>
          <w:sz w:val="32"/>
          <w:szCs w:val="32"/>
          <w:highlight w:val="none"/>
        </w:rPr>
      </w:pPr>
    </w:p>
    <w:p w14:paraId="42ECBC47">
      <w:pPr>
        <w:spacing w:line="360" w:lineRule="auto"/>
        <w:jc w:val="center"/>
        <w:rPr>
          <w:rFonts w:ascii="宋体" w:hAnsi="宋体" w:cs="宋体"/>
          <w:b/>
          <w:spacing w:val="6"/>
          <w:sz w:val="32"/>
          <w:szCs w:val="32"/>
          <w:highlight w:val="none"/>
        </w:rPr>
      </w:pPr>
    </w:p>
    <w:p w14:paraId="4F1ABD1E">
      <w:pPr>
        <w:spacing w:line="360" w:lineRule="auto"/>
        <w:jc w:val="center"/>
        <w:rPr>
          <w:rFonts w:ascii="宋体" w:hAnsi="宋体" w:cs="宋体"/>
          <w:b/>
          <w:spacing w:val="6"/>
          <w:sz w:val="32"/>
          <w:szCs w:val="32"/>
          <w:highlight w:val="none"/>
        </w:rPr>
      </w:pPr>
    </w:p>
    <w:p w14:paraId="1E86EBFD">
      <w:pPr>
        <w:spacing w:line="360" w:lineRule="auto"/>
        <w:jc w:val="center"/>
        <w:rPr>
          <w:rFonts w:ascii="宋体" w:hAnsi="宋体" w:cs="宋体"/>
          <w:b/>
          <w:spacing w:val="6"/>
          <w:sz w:val="32"/>
          <w:szCs w:val="32"/>
          <w:highlight w:val="none"/>
        </w:rPr>
      </w:pPr>
    </w:p>
    <w:p w14:paraId="155169BE">
      <w:pPr>
        <w:spacing w:line="360" w:lineRule="auto"/>
        <w:jc w:val="center"/>
        <w:rPr>
          <w:rFonts w:ascii="宋体" w:hAnsi="宋体" w:cs="宋体"/>
          <w:b/>
          <w:spacing w:val="6"/>
          <w:sz w:val="32"/>
          <w:szCs w:val="32"/>
          <w:highlight w:val="none"/>
        </w:rPr>
      </w:pPr>
    </w:p>
    <w:p w14:paraId="7618BF4F">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75C2A1C0">
      <w:pPr>
        <w:spacing w:line="360" w:lineRule="auto"/>
        <w:jc w:val="center"/>
        <w:rPr>
          <w:rFonts w:ascii="宋体" w:hAnsi="宋体" w:cs="宋体"/>
          <w:b/>
          <w:sz w:val="24"/>
          <w:highlight w:val="none"/>
        </w:rPr>
      </w:pPr>
    </w:p>
    <w:p w14:paraId="526F9C2D">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25ECA60D">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207593E0">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135B4743">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2FDDD38">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5F9232A6">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4CD9BAF5">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3C1A4BB7">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62A6D253">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CAF4778">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3C70273">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CC55FB3">
      <w:pPr>
        <w:spacing w:line="360" w:lineRule="auto"/>
        <w:rPr>
          <w:rFonts w:ascii="宋体" w:hAnsi="宋体" w:cs="宋体"/>
          <w:sz w:val="24"/>
          <w:highlight w:val="none"/>
        </w:rPr>
      </w:pPr>
      <w:r>
        <w:rPr>
          <w:rFonts w:hint="eastAsia" w:ascii="宋体" w:hAnsi="宋体" w:cs="宋体"/>
          <w:sz w:val="24"/>
          <w:highlight w:val="none"/>
        </w:rPr>
        <w:t>被投诉人2</w:t>
      </w:r>
    </w:p>
    <w:p w14:paraId="75D46C92">
      <w:pPr>
        <w:spacing w:line="360" w:lineRule="auto"/>
        <w:rPr>
          <w:rFonts w:ascii="宋体" w:hAnsi="宋体" w:cs="宋体"/>
          <w:sz w:val="24"/>
          <w:highlight w:val="none"/>
          <w:u w:val="dotted"/>
        </w:rPr>
      </w:pPr>
      <w:r>
        <w:rPr>
          <w:rFonts w:hint="eastAsia" w:ascii="宋体" w:hAnsi="宋体" w:cs="宋体"/>
          <w:sz w:val="24"/>
          <w:highlight w:val="none"/>
        </w:rPr>
        <w:t>……</w:t>
      </w:r>
    </w:p>
    <w:p w14:paraId="3BE23B29">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AF67A71">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451C68F">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9376283">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3AB4D7BE">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78880703">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0626CC7B">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D0DF8DE">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514C9354">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3FD6C58C">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70DC073B">
      <w:pPr>
        <w:spacing w:line="360" w:lineRule="auto"/>
        <w:rPr>
          <w:rFonts w:ascii="宋体" w:hAnsi="宋体" w:cs="宋体"/>
          <w:sz w:val="24"/>
          <w:highlight w:val="none"/>
        </w:rPr>
      </w:pPr>
      <w:r>
        <w:rPr>
          <w:rFonts w:hint="eastAsia" w:ascii="宋体" w:hAnsi="宋体" w:cs="宋体"/>
          <w:sz w:val="24"/>
          <w:highlight w:val="none"/>
        </w:rPr>
        <w:t>三、质疑基本情况</w:t>
      </w:r>
    </w:p>
    <w:p w14:paraId="793779B4">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779BE101">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52352926">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25363A9C">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6C94F01C">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09531999">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3E04F37E">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678DAD7D">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5555B1E3">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4B4A21B5">
      <w:pPr>
        <w:spacing w:line="360" w:lineRule="auto"/>
        <w:rPr>
          <w:rFonts w:ascii="宋体" w:hAnsi="宋体" w:cs="宋体"/>
          <w:sz w:val="24"/>
          <w:highlight w:val="none"/>
        </w:rPr>
      </w:pPr>
      <w:r>
        <w:rPr>
          <w:rFonts w:hint="eastAsia" w:ascii="宋体" w:hAnsi="宋体" w:cs="宋体"/>
          <w:sz w:val="24"/>
          <w:highlight w:val="none"/>
        </w:rPr>
        <w:t>投诉事项2</w:t>
      </w:r>
    </w:p>
    <w:p w14:paraId="1D408DA6">
      <w:pPr>
        <w:spacing w:line="360" w:lineRule="auto"/>
        <w:rPr>
          <w:rFonts w:ascii="宋体" w:hAnsi="宋体" w:cs="宋体"/>
          <w:sz w:val="24"/>
          <w:highlight w:val="none"/>
          <w:u w:val="dotted"/>
        </w:rPr>
      </w:pPr>
      <w:r>
        <w:rPr>
          <w:rFonts w:hint="eastAsia" w:ascii="宋体" w:hAnsi="宋体" w:cs="宋体"/>
          <w:sz w:val="24"/>
          <w:highlight w:val="none"/>
        </w:rPr>
        <w:t>……</w:t>
      </w:r>
    </w:p>
    <w:p w14:paraId="01276084">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48B4E3D5">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5BF74B03">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4E536DC6">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3B0474B2">
      <w:pPr>
        <w:spacing w:line="360" w:lineRule="auto"/>
        <w:rPr>
          <w:rFonts w:ascii="宋体" w:hAnsi="宋体" w:cs="宋体"/>
          <w:sz w:val="24"/>
          <w:highlight w:val="none"/>
        </w:rPr>
      </w:pPr>
      <w:r>
        <w:rPr>
          <w:rFonts w:hint="eastAsia" w:ascii="宋体" w:hAnsi="宋体" w:cs="宋体"/>
          <w:sz w:val="24"/>
          <w:highlight w:val="none"/>
        </w:rPr>
        <w:t xml:space="preserve">日期：    </w:t>
      </w:r>
    </w:p>
    <w:p w14:paraId="42989C77">
      <w:pPr>
        <w:spacing w:line="360" w:lineRule="auto"/>
        <w:rPr>
          <w:rFonts w:ascii="宋体" w:hAnsi="宋体" w:cs="宋体"/>
          <w:b/>
          <w:sz w:val="24"/>
          <w:highlight w:val="none"/>
        </w:rPr>
      </w:pPr>
    </w:p>
    <w:p w14:paraId="0E3EA018">
      <w:pPr>
        <w:spacing w:line="360" w:lineRule="auto"/>
        <w:rPr>
          <w:rFonts w:ascii="宋体" w:hAnsi="宋体" w:cs="宋体"/>
          <w:b/>
          <w:sz w:val="24"/>
          <w:highlight w:val="none"/>
        </w:rPr>
      </w:pPr>
    </w:p>
    <w:p w14:paraId="3A55F464">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3959A86B">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4FF897AE">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15EAD332">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3E469E2C">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5A62DC5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71019B03">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2235F5A4">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432749C2">
      <w:pPr>
        <w:spacing w:line="360" w:lineRule="auto"/>
        <w:rPr>
          <w:rFonts w:ascii="宋体" w:hAnsi="宋体" w:cs="宋体"/>
          <w:b/>
          <w:sz w:val="24"/>
          <w:highlight w:val="none"/>
        </w:rPr>
      </w:pPr>
    </w:p>
    <w:p w14:paraId="3F21D1FC">
      <w:pPr>
        <w:autoSpaceDE w:val="0"/>
        <w:autoSpaceDN w:val="0"/>
        <w:jc w:val="center"/>
        <w:rPr>
          <w:rFonts w:ascii="宋体" w:hAnsi="宋体" w:cs="宋体"/>
          <w:b/>
          <w:spacing w:val="6"/>
          <w:sz w:val="32"/>
          <w:szCs w:val="32"/>
          <w:highlight w:val="none"/>
        </w:rPr>
      </w:pPr>
    </w:p>
    <w:p w14:paraId="49CC6CD8">
      <w:pPr>
        <w:autoSpaceDE w:val="0"/>
        <w:autoSpaceDN w:val="0"/>
        <w:jc w:val="center"/>
        <w:rPr>
          <w:rFonts w:ascii="宋体" w:hAnsi="宋体" w:cs="宋体"/>
          <w:b/>
          <w:spacing w:val="6"/>
          <w:sz w:val="32"/>
          <w:szCs w:val="32"/>
          <w:highlight w:val="none"/>
        </w:rPr>
      </w:pPr>
    </w:p>
    <w:p w14:paraId="27FE2387">
      <w:pPr>
        <w:autoSpaceDE w:val="0"/>
        <w:autoSpaceDN w:val="0"/>
        <w:jc w:val="left"/>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14:paraId="4246F34C">
      <w:pPr>
        <w:spacing w:line="360" w:lineRule="auto"/>
        <w:rPr>
          <w:rFonts w:ascii="宋体" w:hAnsi="宋体" w:cs="宋体"/>
          <w:sz w:val="24"/>
          <w:highlight w:val="none"/>
          <w:u w:val="single"/>
        </w:rPr>
      </w:pPr>
    </w:p>
    <w:p w14:paraId="763A2E82">
      <w:pPr>
        <w:spacing w:line="360" w:lineRule="auto"/>
        <w:rPr>
          <w:rFonts w:ascii="宋体" w:hAnsi="宋体" w:cs="宋体"/>
          <w:sz w:val="24"/>
          <w:highlight w:val="none"/>
        </w:rPr>
      </w:pPr>
      <w:r>
        <w:rPr>
          <w:rFonts w:hint="eastAsia" w:ascii="宋体" w:hAnsi="宋体" w:cs="宋体"/>
          <w:sz w:val="24"/>
          <w:highlight w:val="none"/>
          <w:u w:val="single"/>
        </w:rPr>
        <w:t>（采购人）、（采购代理机构）：</w:t>
      </w:r>
    </w:p>
    <w:p w14:paraId="11362E7A">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你方组织的（项目名称）【招标编号：（采购编号）】</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6CCED77B">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7E82C0B2">
      <w:pPr>
        <w:spacing w:line="360" w:lineRule="auto"/>
        <w:ind w:firstLine="494"/>
        <w:rPr>
          <w:rFonts w:ascii="宋体" w:hAnsi="宋体" w:cs="宋体"/>
          <w:sz w:val="24"/>
          <w:highlight w:val="none"/>
        </w:rPr>
      </w:pPr>
    </w:p>
    <w:p w14:paraId="548F18B7">
      <w:pPr>
        <w:spacing w:line="360" w:lineRule="auto"/>
        <w:ind w:firstLine="494"/>
        <w:rPr>
          <w:rFonts w:ascii="宋体" w:hAnsi="宋体" w:cs="宋体"/>
          <w:sz w:val="24"/>
          <w:highlight w:val="none"/>
        </w:rPr>
      </w:pPr>
    </w:p>
    <w:p w14:paraId="521825FB">
      <w:pPr>
        <w:spacing w:line="360" w:lineRule="auto"/>
        <w:ind w:firstLine="494"/>
        <w:rPr>
          <w:rFonts w:ascii="宋体" w:hAnsi="宋体" w:cs="宋体"/>
          <w:sz w:val="24"/>
          <w:highlight w:val="none"/>
        </w:rPr>
      </w:pPr>
    </w:p>
    <w:p w14:paraId="29B356FF">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5DC2F915">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51F7C23B">
      <w:pPr>
        <w:rPr>
          <w:rFonts w:ascii="宋体" w:hAnsi="宋体" w:cs="宋体"/>
          <w:sz w:val="24"/>
          <w:highlight w:val="none"/>
        </w:rPr>
      </w:pPr>
      <w:r>
        <w:rPr>
          <w:rFonts w:hint="eastAsia" w:ascii="宋体" w:hAnsi="宋体" w:cs="宋体"/>
          <w:b/>
          <w:bCs/>
          <w:sz w:val="24"/>
          <w:highlight w:val="none"/>
        </w:rPr>
        <w:t>附：</w:t>
      </w:r>
    </w:p>
    <w:p w14:paraId="0C1932FE">
      <w:pPr>
        <w:spacing w:line="360" w:lineRule="auto"/>
        <w:rPr>
          <w:rFonts w:ascii="宋体" w:hAnsi="宋体" w:cs="宋体"/>
          <w:bCs/>
          <w:sz w:val="24"/>
          <w:highlight w:val="none"/>
        </w:rPr>
      </w:pPr>
      <w:r>
        <w:rPr>
          <w:rFonts w:hint="eastAsia" w:ascii="宋体" w:hAnsi="宋体"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highlight w:val="none"/>
        </w:rPr>
        <w:t>投标单位法定名称章（印模）                投标单位“XX专用章”（印模）</w:t>
      </w:r>
    </w:p>
    <w:p w14:paraId="05593762">
      <w:pPr>
        <w:autoSpaceDE w:val="0"/>
        <w:autoSpaceDN w:val="0"/>
        <w:jc w:val="center"/>
        <w:rPr>
          <w:rFonts w:ascii="宋体" w:hAnsi="宋体" w:cs="宋体"/>
          <w:b/>
          <w:spacing w:val="6"/>
          <w:sz w:val="32"/>
          <w:szCs w:val="32"/>
          <w:highlight w:val="none"/>
        </w:rPr>
      </w:pPr>
    </w:p>
    <w:p w14:paraId="4B252E57">
      <w:pPr>
        <w:autoSpaceDE w:val="0"/>
        <w:autoSpaceDN w:val="0"/>
        <w:jc w:val="center"/>
        <w:rPr>
          <w:rFonts w:ascii="宋体" w:hAnsi="宋体" w:cs="宋体"/>
          <w:b/>
          <w:spacing w:val="6"/>
          <w:sz w:val="32"/>
          <w:szCs w:val="32"/>
          <w:highlight w:val="none"/>
        </w:rPr>
      </w:pPr>
    </w:p>
    <w:p w14:paraId="06886351">
      <w:pPr>
        <w:autoSpaceDE w:val="0"/>
        <w:autoSpaceDN w:val="0"/>
        <w:jc w:val="center"/>
        <w:rPr>
          <w:rFonts w:ascii="宋体" w:hAnsi="宋体" w:cs="宋体"/>
          <w:b/>
          <w:spacing w:val="6"/>
          <w:sz w:val="32"/>
          <w:szCs w:val="32"/>
          <w:highlight w:val="none"/>
        </w:rPr>
      </w:pPr>
    </w:p>
    <w:p w14:paraId="259C8B9A">
      <w:pPr>
        <w:autoSpaceDE w:val="0"/>
        <w:autoSpaceDN w:val="0"/>
        <w:jc w:val="center"/>
        <w:rPr>
          <w:rFonts w:ascii="宋体" w:hAnsi="宋体" w:cs="宋体"/>
          <w:b/>
          <w:spacing w:val="6"/>
          <w:sz w:val="32"/>
          <w:szCs w:val="32"/>
          <w:highlight w:val="none"/>
        </w:rPr>
      </w:pPr>
    </w:p>
    <w:p w14:paraId="56E0A466">
      <w:pPr>
        <w:autoSpaceDE w:val="0"/>
        <w:autoSpaceDN w:val="0"/>
        <w:jc w:val="center"/>
        <w:rPr>
          <w:rFonts w:ascii="宋体" w:hAnsi="宋体" w:cs="宋体"/>
          <w:b/>
          <w:spacing w:val="6"/>
          <w:sz w:val="32"/>
          <w:szCs w:val="32"/>
          <w:highlight w:val="none"/>
        </w:rPr>
      </w:pPr>
    </w:p>
    <w:p w14:paraId="2B8A27BB">
      <w:pPr>
        <w:autoSpaceDE w:val="0"/>
        <w:autoSpaceDN w:val="0"/>
        <w:jc w:val="center"/>
        <w:rPr>
          <w:rFonts w:ascii="宋体" w:hAnsi="宋体" w:cs="宋体"/>
          <w:b/>
          <w:spacing w:val="6"/>
          <w:sz w:val="32"/>
          <w:szCs w:val="32"/>
          <w:highlight w:val="none"/>
        </w:rPr>
      </w:pPr>
    </w:p>
    <w:p w14:paraId="5C61A948">
      <w:pPr>
        <w:autoSpaceDE w:val="0"/>
        <w:autoSpaceDN w:val="0"/>
        <w:jc w:val="center"/>
        <w:rPr>
          <w:rFonts w:ascii="宋体" w:hAnsi="宋体" w:cs="宋体"/>
          <w:b/>
          <w:spacing w:val="6"/>
          <w:sz w:val="32"/>
          <w:szCs w:val="32"/>
          <w:highlight w:val="none"/>
        </w:rPr>
      </w:pPr>
    </w:p>
    <w:p w14:paraId="31C934FA">
      <w:pPr>
        <w:autoSpaceDE w:val="0"/>
        <w:autoSpaceDN w:val="0"/>
        <w:jc w:val="center"/>
        <w:rPr>
          <w:rFonts w:ascii="宋体" w:hAnsi="宋体" w:cs="宋体"/>
          <w:b/>
          <w:spacing w:val="6"/>
          <w:sz w:val="32"/>
          <w:szCs w:val="32"/>
          <w:highlight w:val="none"/>
        </w:rPr>
      </w:pPr>
    </w:p>
    <w:p w14:paraId="37C87DEE">
      <w:pPr>
        <w:autoSpaceDE w:val="0"/>
        <w:autoSpaceDN w:val="0"/>
        <w:jc w:val="center"/>
        <w:rPr>
          <w:rFonts w:ascii="宋体" w:hAnsi="宋体" w:cs="宋体"/>
          <w:b/>
          <w:spacing w:val="6"/>
          <w:sz w:val="32"/>
          <w:szCs w:val="32"/>
          <w:highlight w:val="none"/>
        </w:rPr>
      </w:pPr>
    </w:p>
    <w:p w14:paraId="6D8649AC">
      <w:pPr>
        <w:autoSpaceDE w:val="0"/>
        <w:autoSpaceDN w:val="0"/>
        <w:jc w:val="center"/>
        <w:rPr>
          <w:rFonts w:ascii="宋体" w:hAnsi="宋体" w:cs="宋体"/>
          <w:b/>
          <w:spacing w:val="6"/>
          <w:sz w:val="32"/>
          <w:szCs w:val="32"/>
          <w:highlight w:val="none"/>
        </w:rPr>
      </w:pPr>
    </w:p>
    <w:p w14:paraId="7BD82BA9">
      <w:pPr>
        <w:autoSpaceDE w:val="0"/>
        <w:autoSpaceDN w:val="0"/>
        <w:jc w:val="center"/>
        <w:rPr>
          <w:rFonts w:ascii="宋体" w:hAnsi="宋体" w:cs="宋体"/>
          <w:b/>
          <w:spacing w:val="6"/>
          <w:sz w:val="32"/>
          <w:szCs w:val="32"/>
          <w:highlight w:val="none"/>
        </w:rPr>
      </w:pPr>
    </w:p>
    <w:p w14:paraId="26B17580">
      <w:pPr>
        <w:autoSpaceDE w:val="0"/>
        <w:autoSpaceDN w:val="0"/>
        <w:jc w:val="center"/>
        <w:rPr>
          <w:rFonts w:ascii="宋体" w:hAnsi="宋体" w:cs="宋体"/>
          <w:b/>
          <w:spacing w:val="6"/>
          <w:sz w:val="32"/>
          <w:szCs w:val="32"/>
          <w:highlight w:val="none"/>
        </w:rPr>
      </w:pPr>
    </w:p>
    <w:p w14:paraId="5967C637">
      <w:pPr>
        <w:autoSpaceDE w:val="0"/>
        <w:autoSpaceDN w:val="0"/>
        <w:jc w:val="center"/>
        <w:rPr>
          <w:rFonts w:ascii="宋体" w:hAnsi="宋体" w:cs="宋体"/>
          <w:b/>
          <w:spacing w:val="6"/>
          <w:sz w:val="32"/>
          <w:szCs w:val="32"/>
          <w:highlight w:val="none"/>
        </w:rPr>
      </w:pPr>
    </w:p>
    <w:p w14:paraId="5BA6B8B2">
      <w:pPr>
        <w:autoSpaceDE w:val="0"/>
        <w:autoSpaceDN w:val="0"/>
        <w:jc w:val="center"/>
        <w:rPr>
          <w:rFonts w:ascii="宋体" w:hAnsi="宋体" w:cs="宋体"/>
          <w:b/>
          <w:spacing w:val="6"/>
          <w:sz w:val="32"/>
          <w:szCs w:val="32"/>
          <w:highlight w:val="none"/>
        </w:rPr>
      </w:pPr>
    </w:p>
    <w:p w14:paraId="37DEAC92">
      <w:pPr>
        <w:autoSpaceDE w:val="0"/>
        <w:autoSpaceDN w:val="0"/>
        <w:jc w:val="center"/>
        <w:rPr>
          <w:rFonts w:ascii="宋体" w:hAnsi="宋体" w:cs="宋体"/>
          <w:b/>
          <w:spacing w:val="6"/>
          <w:sz w:val="32"/>
          <w:szCs w:val="32"/>
          <w:highlight w:val="none"/>
        </w:rPr>
      </w:pPr>
    </w:p>
    <w:p w14:paraId="691E3B0E">
      <w:pPr>
        <w:autoSpaceDE w:val="0"/>
        <w:autoSpaceDN w:val="0"/>
        <w:jc w:val="center"/>
        <w:rPr>
          <w:rFonts w:ascii="宋体" w:hAnsi="宋体" w:cs="宋体"/>
          <w:b/>
          <w:spacing w:val="6"/>
          <w:sz w:val="32"/>
          <w:szCs w:val="32"/>
          <w:highlight w:val="none"/>
        </w:rPr>
      </w:pPr>
    </w:p>
    <w:p w14:paraId="0A0E97A9">
      <w:pPr>
        <w:snapToGrid w:val="0"/>
        <w:spacing w:line="360" w:lineRule="auto"/>
        <w:jc w:val="left"/>
        <w:rPr>
          <w:rFonts w:ascii="宋体" w:hAnsi="宋体" w:cs="宋体"/>
          <w:b/>
          <w:kern w:val="0"/>
          <w:sz w:val="32"/>
          <w:szCs w:val="32"/>
          <w:highlight w:val="none"/>
        </w:rPr>
      </w:pPr>
      <w:r>
        <w:rPr>
          <w:rFonts w:hint="eastAsia" w:ascii="宋体" w:hAnsi="宋体" w:cs="宋体"/>
          <w:b/>
          <w:kern w:val="0"/>
          <w:sz w:val="32"/>
          <w:szCs w:val="32"/>
          <w:highlight w:val="none"/>
        </w:rPr>
        <w:t>附件</w:t>
      </w:r>
      <w:r>
        <w:rPr>
          <w:rFonts w:ascii="宋体" w:hAnsi="宋体" w:cs="宋体"/>
          <w:b/>
          <w:kern w:val="0"/>
          <w:sz w:val="32"/>
          <w:szCs w:val="32"/>
          <w:highlight w:val="none"/>
        </w:rPr>
        <w:t>5</w:t>
      </w:r>
      <w:r>
        <w:rPr>
          <w:rFonts w:hint="eastAsia" w:ascii="宋体" w:hAnsi="宋体" w:cs="宋体"/>
          <w:b/>
          <w:kern w:val="0"/>
          <w:sz w:val="32"/>
          <w:szCs w:val="32"/>
          <w:highlight w:val="none"/>
        </w:rPr>
        <w:t>：联合协议</w:t>
      </w:r>
    </w:p>
    <w:p w14:paraId="3FE674AC">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14:paraId="73243F5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 xml:space="preserve">投标。 </w:t>
      </w:r>
    </w:p>
    <w:p w14:paraId="26383DD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5D76046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授权代表根据招标文件规定及投标内容而对采购人、采购代理机构所作的任何合法承诺，包括书面澄清及相应等均对联合投标各方产生约束力。</w:t>
      </w:r>
    </w:p>
    <w:p w14:paraId="760C638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4901BCB1">
      <w:pPr>
        <w:snapToGrid w:val="0"/>
        <w:spacing w:line="360" w:lineRule="auto"/>
        <w:ind w:firstLine="576"/>
        <w:rPr>
          <w:rFonts w:ascii="宋体" w:hAnsi="宋体" w:cs="宋体"/>
          <w:kern w:val="0"/>
          <w:sz w:val="24"/>
          <w:highlight w:val="none"/>
          <w:lang w:val="zh-CN"/>
        </w:rPr>
      </w:pPr>
      <w:bookmarkStart w:id="433" w:name="_Hlk101134295"/>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0158E1A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54AD3C1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bookmarkEnd w:id="433"/>
    <w:p w14:paraId="0980B17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3368A98D">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（联合体成员</w:t>
      </w:r>
      <w:r>
        <w:rPr>
          <w:rFonts w:ascii="宋体" w:hAnsi="宋体" w:cs="宋体"/>
          <w:kern w:val="0"/>
          <w:sz w:val="24"/>
          <w:highlight w:val="none"/>
          <w:u w:val="single"/>
        </w:rPr>
        <w:t>X,</w:t>
      </w:r>
      <w:r>
        <w:rPr>
          <w:rFonts w:hint="eastAsia" w:ascii="宋体" w:hAnsi="宋体" w:cs="宋体"/>
          <w:kern w:val="0"/>
          <w:sz w:val="24"/>
          <w:highlight w:val="none"/>
          <w:u w:val="single"/>
        </w:rPr>
        <w:t>……）</w:t>
      </w:r>
      <w:r>
        <w:rPr>
          <w:rFonts w:hint="eastAsia" w:ascii="宋体" w:hAnsi="宋体" w:cs="宋体"/>
          <w:kern w:val="0"/>
          <w:sz w:val="24"/>
          <w:highlight w:val="none"/>
        </w:rPr>
        <w:t>提供的全部货物由小微企业制造，其合同份额占到合同总金额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36FDECB2">
      <w:pPr>
        <w:snapToGrid w:val="0"/>
        <w:spacing w:line="360" w:lineRule="auto"/>
        <w:ind w:firstLine="576"/>
        <w:rPr>
          <w:rFonts w:ascii="宋体" w:hAnsi="宋体" w:cs="宋体"/>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p>
    <w:p w14:paraId="3CE7195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1E6B3EC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08BFF5B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7060E9D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6700215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14:paraId="617F6265">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联合体成员名称(公章)：</w:t>
      </w:r>
    </w:p>
    <w:p w14:paraId="201D17BC">
      <w:pPr>
        <w:snapToGrid w:val="0"/>
        <w:spacing w:line="360" w:lineRule="auto"/>
        <w:ind w:firstLine="5040" w:firstLineChars="2100"/>
        <w:rPr>
          <w:rStyle w:val="81"/>
          <w:highlight w:val="none"/>
        </w:rPr>
      </w:pPr>
      <w:r>
        <w:rPr>
          <w:rStyle w:val="81"/>
          <w:rFonts w:hint="eastAsia"/>
          <w:highlight w:val="none"/>
        </w:rPr>
        <w:t>法定代表人（负责人） (签名)：</w:t>
      </w:r>
    </w:p>
    <w:p w14:paraId="4E1A6FC0">
      <w:pPr>
        <w:snapToGrid w:val="0"/>
        <w:spacing w:line="360" w:lineRule="auto"/>
        <w:ind w:firstLine="5040" w:firstLineChars="2100"/>
        <w:rPr>
          <w:rFonts w:ascii="宋体" w:hAnsi="宋体" w:cs="宋体"/>
          <w:kern w:val="0"/>
          <w:sz w:val="24"/>
          <w:highlight w:val="none"/>
          <w:lang w:val="zh-CN"/>
        </w:rPr>
      </w:pPr>
      <w:r>
        <w:rPr>
          <w:rStyle w:val="81"/>
          <w:rFonts w:hint="eastAsia"/>
          <w:highlight w:val="none"/>
        </w:rPr>
        <w:t>联合体成</w:t>
      </w:r>
      <w:r>
        <w:rPr>
          <w:rFonts w:hint="eastAsia" w:ascii="宋体" w:hAnsi="宋体" w:cs="宋体"/>
          <w:kern w:val="0"/>
          <w:sz w:val="24"/>
          <w:highlight w:val="none"/>
          <w:lang w:val="zh-CN"/>
        </w:rPr>
        <w:t>员名称(公章)：</w:t>
      </w:r>
    </w:p>
    <w:p w14:paraId="21F3ED4F">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法定代表人（负责人） (签名)：</w:t>
      </w:r>
    </w:p>
    <w:p w14:paraId="2C3815D6">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70D60A7C">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7BF2429B">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4F32F118">
      <w:pPr>
        <w:autoSpaceDE w:val="0"/>
        <w:autoSpaceDN w:val="0"/>
        <w:jc w:val="center"/>
        <w:rPr>
          <w:rFonts w:ascii="宋体" w:hAnsi="宋体" w:cs="宋体"/>
          <w:b/>
          <w:spacing w:val="6"/>
          <w:sz w:val="32"/>
          <w:szCs w:val="32"/>
          <w:highlight w:val="none"/>
        </w:rPr>
      </w:pPr>
    </w:p>
    <w:p w14:paraId="056F01A0">
      <w:pPr>
        <w:autoSpaceDE w:val="0"/>
        <w:autoSpaceDN w:val="0"/>
        <w:jc w:val="center"/>
        <w:rPr>
          <w:rFonts w:ascii="宋体" w:hAnsi="宋体" w:cs="宋体"/>
          <w:b/>
          <w:spacing w:val="6"/>
          <w:sz w:val="32"/>
          <w:szCs w:val="32"/>
          <w:highlight w:val="none"/>
        </w:rPr>
      </w:pPr>
    </w:p>
    <w:p w14:paraId="7F8FA7C9">
      <w:pPr>
        <w:autoSpaceDE w:val="0"/>
        <w:autoSpaceDN w:val="0"/>
        <w:jc w:val="center"/>
        <w:rPr>
          <w:rFonts w:ascii="宋体" w:hAnsi="宋体" w:cs="宋体"/>
          <w:b/>
          <w:spacing w:val="6"/>
          <w:sz w:val="32"/>
          <w:szCs w:val="32"/>
          <w:highlight w:val="none"/>
        </w:rPr>
      </w:pPr>
    </w:p>
    <w:p w14:paraId="599739E4">
      <w:pPr>
        <w:autoSpaceDE w:val="0"/>
        <w:autoSpaceDN w:val="0"/>
        <w:jc w:val="center"/>
        <w:rPr>
          <w:rFonts w:ascii="宋体" w:hAnsi="宋体" w:cs="宋体"/>
          <w:b/>
          <w:spacing w:val="6"/>
          <w:sz w:val="32"/>
          <w:szCs w:val="32"/>
          <w:highlight w:val="none"/>
        </w:rPr>
      </w:pPr>
    </w:p>
    <w:p w14:paraId="4ABA6150">
      <w:pPr>
        <w:autoSpaceDE w:val="0"/>
        <w:autoSpaceDN w:val="0"/>
        <w:jc w:val="center"/>
        <w:rPr>
          <w:rFonts w:ascii="宋体" w:hAnsi="宋体" w:cs="宋体"/>
          <w:b/>
          <w:spacing w:val="6"/>
          <w:sz w:val="32"/>
          <w:szCs w:val="32"/>
          <w:highlight w:val="none"/>
        </w:rPr>
      </w:pPr>
    </w:p>
    <w:p w14:paraId="769BE9E3">
      <w:pPr>
        <w:autoSpaceDE w:val="0"/>
        <w:autoSpaceDN w:val="0"/>
        <w:jc w:val="center"/>
        <w:rPr>
          <w:rFonts w:ascii="宋体" w:hAnsi="宋体" w:cs="宋体"/>
          <w:b/>
          <w:spacing w:val="6"/>
          <w:sz w:val="32"/>
          <w:szCs w:val="32"/>
          <w:highlight w:val="none"/>
        </w:rPr>
      </w:pPr>
    </w:p>
    <w:p w14:paraId="72F5F5C6">
      <w:pPr>
        <w:autoSpaceDE w:val="0"/>
        <w:autoSpaceDN w:val="0"/>
        <w:jc w:val="center"/>
        <w:rPr>
          <w:rFonts w:ascii="宋体" w:hAnsi="宋体" w:cs="宋体"/>
          <w:b/>
          <w:spacing w:val="6"/>
          <w:sz w:val="32"/>
          <w:szCs w:val="32"/>
          <w:highlight w:val="none"/>
        </w:rPr>
      </w:pPr>
    </w:p>
    <w:p w14:paraId="7AA88847">
      <w:pPr>
        <w:autoSpaceDE w:val="0"/>
        <w:autoSpaceDN w:val="0"/>
        <w:jc w:val="center"/>
        <w:rPr>
          <w:rFonts w:ascii="宋体" w:hAnsi="宋体" w:cs="宋体"/>
          <w:b/>
          <w:spacing w:val="6"/>
          <w:sz w:val="32"/>
          <w:szCs w:val="32"/>
          <w:highlight w:val="none"/>
        </w:rPr>
      </w:pPr>
    </w:p>
    <w:p w14:paraId="79F76964">
      <w:pPr>
        <w:autoSpaceDE w:val="0"/>
        <w:autoSpaceDN w:val="0"/>
        <w:jc w:val="center"/>
        <w:rPr>
          <w:rFonts w:ascii="宋体" w:hAnsi="宋体" w:cs="宋体"/>
          <w:b/>
          <w:spacing w:val="6"/>
          <w:sz w:val="32"/>
          <w:szCs w:val="32"/>
          <w:highlight w:val="none"/>
        </w:rPr>
      </w:pPr>
    </w:p>
    <w:p w14:paraId="5902AF23">
      <w:pPr>
        <w:autoSpaceDE w:val="0"/>
        <w:autoSpaceDN w:val="0"/>
        <w:jc w:val="center"/>
        <w:rPr>
          <w:rFonts w:ascii="宋体" w:hAnsi="宋体" w:cs="宋体"/>
          <w:b/>
          <w:spacing w:val="6"/>
          <w:sz w:val="32"/>
          <w:szCs w:val="32"/>
          <w:highlight w:val="none"/>
        </w:rPr>
      </w:pPr>
    </w:p>
    <w:p w14:paraId="789319B6">
      <w:pPr>
        <w:autoSpaceDE w:val="0"/>
        <w:autoSpaceDN w:val="0"/>
        <w:jc w:val="center"/>
        <w:rPr>
          <w:rFonts w:ascii="宋体" w:hAnsi="宋体" w:cs="宋体"/>
          <w:b/>
          <w:spacing w:val="6"/>
          <w:sz w:val="32"/>
          <w:szCs w:val="32"/>
          <w:highlight w:val="none"/>
        </w:rPr>
      </w:pPr>
    </w:p>
    <w:p w14:paraId="183D37E9">
      <w:pPr>
        <w:autoSpaceDE w:val="0"/>
        <w:autoSpaceDN w:val="0"/>
        <w:jc w:val="center"/>
        <w:rPr>
          <w:rFonts w:ascii="宋体" w:hAnsi="宋体" w:cs="宋体"/>
          <w:b/>
          <w:spacing w:val="6"/>
          <w:sz w:val="32"/>
          <w:szCs w:val="32"/>
          <w:highlight w:val="none"/>
        </w:rPr>
      </w:pPr>
    </w:p>
    <w:p w14:paraId="2DAEBABD">
      <w:pPr>
        <w:autoSpaceDE w:val="0"/>
        <w:autoSpaceDN w:val="0"/>
        <w:jc w:val="center"/>
        <w:rPr>
          <w:rFonts w:ascii="宋体" w:hAnsi="宋体" w:cs="宋体"/>
          <w:b/>
          <w:spacing w:val="6"/>
          <w:sz w:val="32"/>
          <w:szCs w:val="32"/>
          <w:highlight w:val="none"/>
        </w:rPr>
      </w:pPr>
    </w:p>
    <w:p w14:paraId="65B71311">
      <w:pPr>
        <w:autoSpaceDE w:val="0"/>
        <w:autoSpaceDN w:val="0"/>
        <w:jc w:val="center"/>
        <w:rPr>
          <w:rFonts w:ascii="宋体" w:hAnsi="宋体" w:cs="宋体"/>
          <w:b/>
          <w:spacing w:val="6"/>
          <w:sz w:val="32"/>
          <w:szCs w:val="32"/>
          <w:highlight w:val="none"/>
        </w:rPr>
      </w:pPr>
    </w:p>
    <w:p w14:paraId="1A04661D">
      <w:pPr>
        <w:autoSpaceDE w:val="0"/>
        <w:autoSpaceDN w:val="0"/>
        <w:jc w:val="center"/>
        <w:rPr>
          <w:rFonts w:ascii="宋体" w:hAnsi="宋体" w:cs="宋体"/>
          <w:b/>
          <w:spacing w:val="6"/>
          <w:sz w:val="32"/>
          <w:szCs w:val="32"/>
          <w:highlight w:val="none"/>
        </w:rPr>
      </w:pPr>
    </w:p>
    <w:p w14:paraId="288CCE57">
      <w:pPr>
        <w:autoSpaceDE w:val="0"/>
        <w:autoSpaceDN w:val="0"/>
        <w:jc w:val="center"/>
        <w:rPr>
          <w:rFonts w:ascii="宋体" w:hAnsi="宋体" w:cs="宋体"/>
          <w:b/>
          <w:spacing w:val="6"/>
          <w:sz w:val="32"/>
          <w:szCs w:val="32"/>
          <w:highlight w:val="none"/>
        </w:rPr>
      </w:pPr>
    </w:p>
    <w:p w14:paraId="209FB804">
      <w:pPr>
        <w:autoSpaceDE w:val="0"/>
        <w:autoSpaceDN w:val="0"/>
        <w:jc w:val="center"/>
        <w:rPr>
          <w:rFonts w:ascii="宋体" w:hAnsi="宋体" w:cs="宋体"/>
          <w:b/>
          <w:spacing w:val="6"/>
          <w:sz w:val="32"/>
          <w:szCs w:val="32"/>
          <w:highlight w:val="none"/>
        </w:rPr>
      </w:pPr>
    </w:p>
    <w:p w14:paraId="5BE23AD9">
      <w:pPr>
        <w:autoSpaceDE w:val="0"/>
        <w:autoSpaceDN w:val="0"/>
        <w:jc w:val="center"/>
        <w:rPr>
          <w:rFonts w:ascii="宋体" w:hAnsi="宋体" w:cs="宋体"/>
          <w:b/>
          <w:spacing w:val="6"/>
          <w:sz w:val="32"/>
          <w:szCs w:val="32"/>
          <w:highlight w:val="none"/>
        </w:rPr>
      </w:pPr>
    </w:p>
    <w:p w14:paraId="49C46932">
      <w:pPr>
        <w:autoSpaceDE w:val="0"/>
        <w:autoSpaceDN w:val="0"/>
        <w:jc w:val="center"/>
        <w:rPr>
          <w:rFonts w:ascii="宋体" w:hAnsi="宋体" w:cs="宋体"/>
          <w:b/>
          <w:spacing w:val="6"/>
          <w:sz w:val="32"/>
          <w:szCs w:val="32"/>
          <w:highlight w:val="none"/>
        </w:rPr>
      </w:pPr>
    </w:p>
    <w:p w14:paraId="20FDC18B">
      <w:pPr>
        <w:autoSpaceDE w:val="0"/>
        <w:autoSpaceDN w:val="0"/>
        <w:jc w:val="center"/>
        <w:rPr>
          <w:rFonts w:ascii="宋体" w:hAnsi="宋体" w:cs="宋体"/>
          <w:b/>
          <w:spacing w:val="6"/>
          <w:sz w:val="32"/>
          <w:szCs w:val="32"/>
          <w:highlight w:val="none"/>
        </w:rPr>
      </w:pPr>
    </w:p>
    <w:p w14:paraId="53F49730">
      <w:pPr>
        <w:autoSpaceDE w:val="0"/>
        <w:autoSpaceDN w:val="0"/>
        <w:jc w:val="center"/>
        <w:rPr>
          <w:rFonts w:ascii="宋体" w:hAnsi="宋体" w:cs="宋体"/>
          <w:b/>
          <w:spacing w:val="6"/>
          <w:sz w:val="32"/>
          <w:szCs w:val="32"/>
          <w:highlight w:val="none"/>
        </w:rPr>
      </w:pPr>
    </w:p>
    <w:p w14:paraId="71707B1D">
      <w:pPr>
        <w:autoSpaceDE w:val="0"/>
        <w:autoSpaceDN w:val="0"/>
        <w:jc w:val="center"/>
        <w:rPr>
          <w:rFonts w:ascii="宋体" w:hAnsi="宋体" w:cs="宋体"/>
          <w:b/>
          <w:spacing w:val="6"/>
          <w:sz w:val="32"/>
          <w:szCs w:val="32"/>
          <w:highlight w:val="none"/>
        </w:rPr>
      </w:pPr>
    </w:p>
    <w:p w14:paraId="3494F368">
      <w:pPr>
        <w:snapToGrid w:val="0"/>
        <w:spacing w:line="360" w:lineRule="auto"/>
        <w:jc w:val="left"/>
        <w:rPr>
          <w:rFonts w:ascii="宋体" w:hAnsi="宋体" w:cs="宋体"/>
          <w:b/>
          <w:kern w:val="0"/>
          <w:sz w:val="32"/>
          <w:szCs w:val="32"/>
          <w:highlight w:val="none"/>
        </w:rPr>
      </w:pPr>
      <w:r>
        <w:rPr>
          <w:rFonts w:hint="eastAsia" w:ascii="宋体" w:hAnsi="宋体" w:cs="宋体"/>
          <w:b/>
          <w:kern w:val="0"/>
          <w:sz w:val="32"/>
          <w:szCs w:val="32"/>
          <w:highlight w:val="none"/>
        </w:rPr>
        <w:t>附件</w:t>
      </w:r>
      <w:r>
        <w:rPr>
          <w:rFonts w:ascii="宋体" w:hAnsi="宋体" w:cs="宋体"/>
          <w:b/>
          <w:kern w:val="0"/>
          <w:sz w:val="32"/>
          <w:szCs w:val="32"/>
          <w:highlight w:val="none"/>
        </w:rPr>
        <w:t>6</w:t>
      </w:r>
      <w:r>
        <w:rPr>
          <w:rFonts w:hint="eastAsia" w:ascii="宋体" w:hAnsi="宋体" w:cs="宋体"/>
          <w:b/>
          <w:kern w:val="0"/>
          <w:sz w:val="32"/>
          <w:szCs w:val="32"/>
          <w:highlight w:val="none"/>
        </w:rPr>
        <w:t>：分包意向协议</w:t>
      </w:r>
    </w:p>
    <w:p w14:paraId="73A7B700">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14:paraId="7369AB2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的中标供应商，将依法采取分包方式履行合同。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5274EEF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2D7ECC4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75FF2C34">
      <w:pPr>
        <w:pStyle w:val="82"/>
        <w:rPr>
          <w:highlight w:val="none"/>
        </w:rPr>
      </w:pPr>
      <w:r>
        <w:rPr>
          <w:rFonts w:hint="eastAsia"/>
          <w:highlight w:val="none"/>
        </w:rPr>
        <w:t>……</w:t>
      </w:r>
    </w:p>
    <w:p w14:paraId="6BB1155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67FCE5ED">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……）提供的货物全部由小微企业制造，</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5061F8F7">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434"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bookmarkEnd w:id="434"/>
    </w:p>
    <w:p w14:paraId="2F19078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1598E45C">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14:paraId="0575DAA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1D77B107">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05E48F4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0DE12E63">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14:paraId="109768BE">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129EEEA7">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64979EA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0927BA15">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7100197A">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投标人名称(公章)：</w:t>
      </w:r>
    </w:p>
    <w:p w14:paraId="3812314F">
      <w:pPr>
        <w:snapToGrid w:val="0"/>
        <w:spacing w:line="360" w:lineRule="auto"/>
        <w:rPr>
          <w:rStyle w:val="81"/>
          <w:highlight w:val="none"/>
        </w:rPr>
      </w:pPr>
      <w:r>
        <w:rPr>
          <w:rStyle w:val="81"/>
          <w:rFonts w:hint="eastAsia"/>
          <w:highlight w:val="none"/>
        </w:rPr>
        <w:t xml:space="preserve">                                              法定代表人（负责人） (签名)：</w:t>
      </w:r>
    </w:p>
    <w:p w14:paraId="6FD62C5B">
      <w:pPr>
        <w:snapToGrid w:val="0"/>
        <w:spacing w:line="360" w:lineRule="auto"/>
        <w:ind w:right="480"/>
        <w:rPr>
          <w:rFonts w:ascii="宋体" w:hAnsi="宋体"/>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分包供应商名称(公章)：</w:t>
      </w:r>
    </w:p>
    <w:p w14:paraId="3BE3E82A">
      <w:pPr>
        <w:pStyle w:val="82"/>
        <w:ind w:firstLine="5520" w:firstLineChars="2300"/>
        <w:jc w:val="both"/>
        <w:rPr>
          <w:highlight w:val="none"/>
        </w:rPr>
      </w:pPr>
      <w:r>
        <w:rPr>
          <w:rStyle w:val="81"/>
          <w:rFonts w:hint="eastAsia"/>
          <w:highlight w:val="none"/>
        </w:rPr>
        <w:t>法定代表人（负责人） (签名)：</w:t>
      </w:r>
    </w:p>
    <w:p w14:paraId="1B2BF1FA">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rPr>
        <w:t>……</w:t>
      </w:r>
    </w:p>
    <w:p w14:paraId="6CFEDDBA">
      <w:pPr>
        <w:spacing w:line="360" w:lineRule="auto"/>
        <w:jc w:val="center"/>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038A2048">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71610BC">
      <w:pPr>
        <w:autoSpaceDE w:val="0"/>
        <w:autoSpaceDN w:val="0"/>
        <w:jc w:val="center"/>
        <w:rPr>
          <w:rFonts w:ascii="宋体" w:hAnsi="宋体" w:cs="宋体"/>
          <w:b/>
          <w:spacing w:val="6"/>
          <w:sz w:val="32"/>
          <w:szCs w:val="32"/>
          <w:highlight w:val="none"/>
        </w:rPr>
      </w:pPr>
    </w:p>
    <w:p w14:paraId="652722EB">
      <w:pPr>
        <w:autoSpaceDE w:val="0"/>
        <w:autoSpaceDN w:val="0"/>
        <w:jc w:val="center"/>
        <w:rPr>
          <w:rFonts w:ascii="宋体" w:hAnsi="宋体" w:cs="宋体"/>
          <w:b/>
          <w:spacing w:val="6"/>
          <w:sz w:val="32"/>
          <w:szCs w:val="32"/>
          <w:highlight w:val="none"/>
        </w:rPr>
      </w:pPr>
    </w:p>
    <w:p w14:paraId="3B9E5A4E">
      <w:pPr>
        <w:autoSpaceDE w:val="0"/>
        <w:autoSpaceDN w:val="0"/>
        <w:jc w:val="center"/>
        <w:rPr>
          <w:rFonts w:ascii="宋体" w:hAnsi="宋体" w:cs="宋体"/>
          <w:b/>
          <w:spacing w:val="6"/>
          <w:sz w:val="32"/>
          <w:szCs w:val="32"/>
          <w:highlight w:val="none"/>
        </w:rPr>
      </w:pPr>
    </w:p>
    <w:p w14:paraId="0309DB77">
      <w:pPr>
        <w:autoSpaceDE w:val="0"/>
        <w:autoSpaceDN w:val="0"/>
        <w:jc w:val="center"/>
        <w:rPr>
          <w:rFonts w:ascii="宋体" w:hAnsi="宋体" w:cs="宋体"/>
          <w:b/>
          <w:spacing w:val="6"/>
          <w:sz w:val="32"/>
          <w:szCs w:val="32"/>
          <w:highlight w:val="none"/>
        </w:rPr>
      </w:pPr>
    </w:p>
    <w:p w14:paraId="3FD71442">
      <w:pPr>
        <w:autoSpaceDE w:val="0"/>
        <w:autoSpaceDN w:val="0"/>
        <w:jc w:val="center"/>
        <w:rPr>
          <w:rFonts w:ascii="宋体" w:hAnsi="宋体" w:cs="宋体"/>
          <w:b/>
          <w:spacing w:val="6"/>
          <w:sz w:val="32"/>
          <w:szCs w:val="32"/>
          <w:highlight w:val="none"/>
        </w:rPr>
      </w:pPr>
    </w:p>
    <w:p w14:paraId="1DA31B84">
      <w:pPr>
        <w:autoSpaceDE w:val="0"/>
        <w:autoSpaceDN w:val="0"/>
        <w:jc w:val="center"/>
        <w:rPr>
          <w:rFonts w:ascii="宋体" w:hAnsi="宋体" w:cs="宋体"/>
          <w:b/>
          <w:spacing w:val="6"/>
          <w:sz w:val="32"/>
          <w:szCs w:val="32"/>
          <w:highlight w:val="none"/>
        </w:rPr>
      </w:pPr>
    </w:p>
    <w:p w14:paraId="7F9E1C0A">
      <w:pPr>
        <w:autoSpaceDE w:val="0"/>
        <w:autoSpaceDN w:val="0"/>
        <w:jc w:val="center"/>
        <w:rPr>
          <w:rFonts w:ascii="宋体" w:hAnsi="宋体" w:cs="宋体"/>
          <w:b/>
          <w:spacing w:val="6"/>
          <w:sz w:val="32"/>
          <w:szCs w:val="32"/>
          <w:highlight w:val="none"/>
        </w:rPr>
      </w:pPr>
    </w:p>
    <w:p w14:paraId="6898AE52">
      <w:pPr>
        <w:autoSpaceDE w:val="0"/>
        <w:autoSpaceDN w:val="0"/>
        <w:jc w:val="center"/>
        <w:rPr>
          <w:rFonts w:ascii="宋体" w:hAnsi="宋体" w:cs="宋体"/>
          <w:b/>
          <w:spacing w:val="6"/>
          <w:sz w:val="32"/>
          <w:szCs w:val="32"/>
          <w:highlight w:val="none"/>
        </w:rPr>
      </w:pPr>
    </w:p>
    <w:p w14:paraId="7CE9E9F4">
      <w:pPr>
        <w:autoSpaceDE w:val="0"/>
        <w:autoSpaceDN w:val="0"/>
        <w:jc w:val="center"/>
        <w:rPr>
          <w:rFonts w:ascii="宋体" w:hAnsi="宋体" w:cs="宋体"/>
          <w:b/>
          <w:spacing w:val="6"/>
          <w:sz w:val="32"/>
          <w:szCs w:val="32"/>
          <w:highlight w:val="none"/>
        </w:rPr>
      </w:pPr>
    </w:p>
    <w:p w14:paraId="2D374122">
      <w:pPr>
        <w:autoSpaceDE w:val="0"/>
        <w:autoSpaceDN w:val="0"/>
        <w:jc w:val="center"/>
        <w:rPr>
          <w:rFonts w:ascii="宋体" w:hAnsi="宋体" w:cs="宋体"/>
          <w:b/>
          <w:spacing w:val="6"/>
          <w:sz w:val="32"/>
          <w:szCs w:val="32"/>
          <w:highlight w:val="none"/>
        </w:rPr>
      </w:pPr>
    </w:p>
    <w:p w14:paraId="208A51E5">
      <w:pPr>
        <w:autoSpaceDE w:val="0"/>
        <w:autoSpaceDN w:val="0"/>
        <w:jc w:val="center"/>
        <w:rPr>
          <w:rFonts w:ascii="宋体" w:hAnsi="宋体" w:cs="宋体"/>
          <w:b/>
          <w:spacing w:val="6"/>
          <w:sz w:val="32"/>
          <w:szCs w:val="32"/>
          <w:highlight w:val="none"/>
        </w:rPr>
      </w:pPr>
    </w:p>
    <w:p w14:paraId="1A6D7AF5">
      <w:pPr>
        <w:autoSpaceDE w:val="0"/>
        <w:autoSpaceDN w:val="0"/>
        <w:jc w:val="center"/>
        <w:rPr>
          <w:rFonts w:ascii="宋体" w:hAnsi="宋体" w:cs="宋体"/>
          <w:b/>
          <w:spacing w:val="6"/>
          <w:sz w:val="32"/>
          <w:szCs w:val="32"/>
          <w:highlight w:val="none"/>
        </w:rPr>
      </w:pPr>
    </w:p>
    <w:p w14:paraId="3DEBC810">
      <w:pPr>
        <w:autoSpaceDE w:val="0"/>
        <w:autoSpaceDN w:val="0"/>
        <w:jc w:val="center"/>
        <w:rPr>
          <w:rFonts w:ascii="宋体" w:hAnsi="宋体" w:cs="宋体"/>
          <w:b/>
          <w:spacing w:val="6"/>
          <w:sz w:val="32"/>
          <w:szCs w:val="32"/>
          <w:highlight w:val="none"/>
        </w:rPr>
      </w:pPr>
    </w:p>
    <w:p w14:paraId="5706A992">
      <w:pPr>
        <w:autoSpaceDE w:val="0"/>
        <w:autoSpaceDN w:val="0"/>
        <w:jc w:val="center"/>
        <w:rPr>
          <w:rFonts w:ascii="宋体" w:hAnsi="宋体" w:cs="宋体"/>
          <w:b/>
          <w:spacing w:val="6"/>
          <w:sz w:val="32"/>
          <w:szCs w:val="32"/>
          <w:highlight w:val="none"/>
        </w:rPr>
      </w:pPr>
    </w:p>
    <w:p w14:paraId="7CF4036D">
      <w:pPr>
        <w:autoSpaceDE w:val="0"/>
        <w:autoSpaceDN w:val="0"/>
        <w:jc w:val="center"/>
        <w:rPr>
          <w:rFonts w:ascii="宋体" w:hAnsi="宋体" w:cs="宋体"/>
          <w:b/>
          <w:spacing w:val="6"/>
          <w:sz w:val="32"/>
          <w:szCs w:val="32"/>
          <w:highlight w:val="none"/>
        </w:rPr>
      </w:pPr>
    </w:p>
    <w:p w14:paraId="6633E015">
      <w:pPr>
        <w:autoSpaceDE w:val="0"/>
        <w:autoSpaceDN w:val="0"/>
        <w:jc w:val="center"/>
        <w:rPr>
          <w:rFonts w:ascii="宋体" w:hAnsi="宋体" w:cs="宋体"/>
          <w:b/>
          <w:spacing w:val="6"/>
          <w:sz w:val="32"/>
          <w:szCs w:val="32"/>
          <w:highlight w:val="none"/>
        </w:rPr>
      </w:pPr>
    </w:p>
    <w:p w14:paraId="43178EE1">
      <w:pPr>
        <w:autoSpaceDE w:val="0"/>
        <w:autoSpaceDN w:val="0"/>
        <w:jc w:val="center"/>
        <w:rPr>
          <w:rFonts w:ascii="宋体" w:hAnsi="宋体" w:cs="宋体"/>
          <w:b/>
          <w:spacing w:val="6"/>
          <w:sz w:val="32"/>
          <w:szCs w:val="32"/>
          <w:highlight w:val="none"/>
        </w:rPr>
      </w:pPr>
    </w:p>
    <w:p w14:paraId="28DAAB46">
      <w:pPr>
        <w:autoSpaceDE w:val="0"/>
        <w:autoSpaceDN w:val="0"/>
        <w:jc w:val="center"/>
        <w:rPr>
          <w:rFonts w:ascii="宋体" w:hAnsi="宋体" w:cs="宋体"/>
          <w:b/>
          <w:spacing w:val="6"/>
          <w:sz w:val="32"/>
          <w:szCs w:val="32"/>
          <w:highlight w:val="none"/>
        </w:rPr>
      </w:pPr>
    </w:p>
    <w:p w14:paraId="6DBFCEAB">
      <w:pPr>
        <w:autoSpaceDE w:val="0"/>
        <w:autoSpaceDN w:val="0"/>
        <w:jc w:val="center"/>
        <w:rPr>
          <w:rFonts w:ascii="宋体" w:hAnsi="宋体" w:cs="宋体"/>
          <w:b/>
          <w:spacing w:val="6"/>
          <w:sz w:val="32"/>
          <w:szCs w:val="32"/>
          <w:highlight w:val="none"/>
        </w:rPr>
      </w:pPr>
    </w:p>
    <w:p w14:paraId="25DB076B">
      <w:pPr>
        <w:autoSpaceDE w:val="0"/>
        <w:autoSpaceDN w:val="0"/>
        <w:jc w:val="center"/>
        <w:rPr>
          <w:rFonts w:ascii="宋体" w:hAnsi="宋体" w:cs="宋体"/>
          <w:b/>
          <w:spacing w:val="6"/>
          <w:sz w:val="32"/>
          <w:szCs w:val="32"/>
          <w:highlight w:val="none"/>
        </w:rPr>
      </w:pPr>
    </w:p>
    <w:p w14:paraId="46D72766">
      <w:pPr>
        <w:autoSpaceDE w:val="0"/>
        <w:autoSpaceDN w:val="0"/>
        <w:jc w:val="center"/>
        <w:rPr>
          <w:rFonts w:ascii="宋体" w:hAnsi="宋体" w:cs="宋体"/>
          <w:b/>
          <w:spacing w:val="6"/>
          <w:sz w:val="32"/>
          <w:szCs w:val="32"/>
          <w:highlight w:val="none"/>
        </w:rPr>
      </w:pPr>
    </w:p>
    <w:p w14:paraId="678AA640">
      <w:pPr>
        <w:autoSpaceDE w:val="0"/>
        <w:autoSpaceDN w:val="0"/>
        <w:jc w:val="center"/>
        <w:rPr>
          <w:rFonts w:ascii="宋体" w:hAnsi="宋体" w:cs="宋体"/>
          <w:b/>
          <w:spacing w:val="6"/>
          <w:sz w:val="32"/>
          <w:szCs w:val="32"/>
          <w:highlight w:val="none"/>
        </w:rPr>
      </w:pPr>
    </w:p>
    <w:p w14:paraId="5A1AC225">
      <w:pPr>
        <w:autoSpaceDE w:val="0"/>
        <w:autoSpaceDN w:val="0"/>
        <w:jc w:val="center"/>
        <w:rPr>
          <w:rFonts w:ascii="宋体" w:hAnsi="宋体" w:cs="宋体"/>
          <w:b/>
          <w:spacing w:val="6"/>
          <w:sz w:val="32"/>
          <w:szCs w:val="32"/>
          <w:highlight w:val="none"/>
        </w:rPr>
      </w:pPr>
    </w:p>
    <w:p w14:paraId="308771A6">
      <w:pPr>
        <w:autoSpaceDE w:val="0"/>
        <w:autoSpaceDN w:val="0"/>
        <w:jc w:val="center"/>
        <w:rPr>
          <w:rFonts w:ascii="宋体" w:hAnsi="宋体" w:cs="宋体"/>
          <w:b/>
          <w:spacing w:val="6"/>
          <w:sz w:val="32"/>
          <w:szCs w:val="32"/>
          <w:highlight w:val="none"/>
        </w:rPr>
      </w:pPr>
    </w:p>
    <w:p w14:paraId="223C9D2A">
      <w:pPr>
        <w:autoSpaceDE w:val="0"/>
        <w:autoSpaceDN w:val="0"/>
        <w:jc w:val="center"/>
        <w:rPr>
          <w:rFonts w:ascii="宋体" w:hAnsi="宋体" w:cs="宋体"/>
          <w:b/>
          <w:spacing w:val="6"/>
          <w:sz w:val="32"/>
          <w:szCs w:val="32"/>
          <w:highlight w:val="none"/>
        </w:rPr>
      </w:pPr>
    </w:p>
    <w:p w14:paraId="6AA7F555">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312AB9A8">
      <w:pPr>
        <w:snapToGrid w:val="0"/>
        <w:spacing w:line="360" w:lineRule="auto"/>
        <w:jc w:val="left"/>
        <w:rPr>
          <w:rFonts w:ascii="宋体" w:hAnsi="宋体" w:cs="宋体"/>
          <w:b/>
          <w:kern w:val="0"/>
          <w:sz w:val="32"/>
          <w:szCs w:val="32"/>
          <w:highlight w:val="none"/>
        </w:rPr>
      </w:pPr>
      <w:r>
        <w:rPr>
          <w:rFonts w:hint="eastAsia" w:ascii="宋体" w:hAnsi="宋体" w:cs="宋体"/>
          <w:b/>
          <w:kern w:val="0"/>
          <w:sz w:val="32"/>
          <w:szCs w:val="32"/>
          <w:highlight w:val="none"/>
        </w:rPr>
        <w:t>附件</w:t>
      </w:r>
      <w:r>
        <w:rPr>
          <w:rFonts w:ascii="宋体" w:hAnsi="宋体" w:cs="宋体"/>
          <w:b/>
          <w:kern w:val="0"/>
          <w:sz w:val="32"/>
          <w:szCs w:val="32"/>
          <w:highlight w:val="none"/>
        </w:rPr>
        <w:t>7</w:t>
      </w:r>
      <w:r>
        <w:rPr>
          <w:rFonts w:hint="eastAsia" w:ascii="宋体" w:hAnsi="宋体" w:cs="宋体"/>
          <w:b/>
          <w:kern w:val="0"/>
          <w:sz w:val="32"/>
          <w:szCs w:val="32"/>
          <w:highlight w:val="none"/>
        </w:rPr>
        <w:t>：中小企业声明函</w:t>
      </w:r>
    </w:p>
    <w:p w14:paraId="35BA9CAB">
      <w:pPr>
        <w:spacing w:line="360" w:lineRule="auto"/>
        <w:jc w:val="center"/>
        <w:rPr>
          <w:rFonts w:ascii="宋体" w:hAnsi="宋体" w:cs="宋体"/>
          <w:sz w:val="24"/>
          <w:highlight w:val="none"/>
          <w:u w:val="single"/>
        </w:rPr>
      </w:pPr>
    </w:p>
    <w:p w14:paraId="02CE3F1E">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中小企业声明函（货物）</w:t>
      </w:r>
    </w:p>
    <w:p w14:paraId="4DFBA5AC">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rPr>
        <w:t xml:space="preserve">（采购人） </w:t>
      </w:r>
      <w:r>
        <w:rPr>
          <w:rFonts w:hint="eastAsia" w:ascii="宋体" w:hAnsi="宋体" w:cs="宋体"/>
          <w:sz w:val="24"/>
          <w:highlight w:val="none"/>
        </w:rPr>
        <w:t xml:space="preserve">的 </w:t>
      </w:r>
      <w:r>
        <w:rPr>
          <w:rFonts w:hint="eastAsia" w:ascii="宋体" w:hAnsi="宋体" w:cs="宋体"/>
          <w:sz w:val="24"/>
          <w:highlight w:val="none"/>
          <w:u w:val="single"/>
        </w:rPr>
        <w:t>（项目名称）</w:t>
      </w:r>
      <w:r>
        <w:rPr>
          <w:rFonts w:hint="eastAsia" w:ascii="宋体" w:hAnsi="宋体" w:cs="宋体"/>
          <w:sz w:val="24"/>
          <w:highlight w:val="none"/>
        </w:rPr>
        <w:t xml:space="preserve"> 采购活动，提供的货物全部由符合政策要求的中小企业制造。相关企业（含联合体中的中小企业、签订分包意向协议的中小企业）的具体情况如下：</w:t>
      </w:r>
    </w:p>
    <w:p w14:paraId="2219D72C">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rPr>
        <w:t xml:space="preserve"> ，属于 </w:t>
      </w:r>
      <w:r>
        <w:rPr>
          <w:rFonts w:hint="eastAsia" w:ascii="宋体" w:hAnsi="宋体" w:cs="宋体"/>
          <w:sz w:val="24"/>
          <w:highlight w:val="none"/>
          <w:u w:val="single"/>
        </w:rPr>
        <w:t>（采购文件中明确的所属行业）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3A5FFABF">
      <w:pPr>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rPr>
        <w:t xml:space="preserve"> ，属于 </w:t>
      </w:r>
      <w:r>
        <w:rPr>
          <w:rFonts w:hint="eastAsia" w:ascii="宋体" w:hAnsi="宋体" w:cs="宋体"/>
          <w:sz w:val="24"/>
          <w:highlight w:val="none"/>
          <w:u w:val="single"/>
        </w:rPr>
        <w:t>（采购文件中明确的所属行业）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397C10AD">
      <w:pPr>
        <w:spacing w:line="360" w:lineRule="auto"/>
        <w:ind w:firstLine="480" w:firstLineChars="200"/>
        <w:rPr>
          <w:rFonts w:ascii="宋体" w:hAnsi="宋体" w:cs="宋体"/>
          <w:sz w:val="24"/>
          <w:highlight w:val="none"/>
        </w:rPr>
      </w:pPr>
      <w:r>
        <w:rPr>
          <w:rFonts w:hint="eastAsia" w:ascii="宋体" w:hAnsi="宋体" w:cs="宋体"/>
          <w:sz w:val="24"/>
          <w:highlight w:val="none"/>
        </w:rPr>
        <w:t>……</w:t>
      </w:r>
    </w:p>
    <w:p w14:paraId="5372D1B4">
      <w:pPr>
        <w:spacing w:line="360" w:lineRule="auto"/>
        <w:ind w:firstLine="480" w:firstLineChars="200"/>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003D1AA8">
      <w:pPr>
        <w:spacing w:line="360" w:lineRule="auto"/>
        <w:ind w:firstLine="480" w:firstLineChars="200"/>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3E16E439">
      <w:pPr>
        <w:snapToGrid w:val="0"/>
        <w:spacing w:line="360" w:lineRule="auto"/>
        <w:ind w:firstLine="5160" w:firstLineChars="2150"/>
        <w:rPr>
          <w:rFonts w:ascii="宋体" w:hAnsi="宋体" w:cs="宋体"/>
          <w:kern w:val="0"/>
          <w:sz w:val="24"/>
          <w:highlight w:val="none"/>
        </w:rPr>
      </w:pPr>
      <w:r>
        <w:rPr>
          <w:rFonts w:hint="eastAsia" w:ascii="宋体" w:hAnsi="宋体" w:cs="宋体"/>
          <w:kern w:val="0"/>
          <w:sz w:val="24"/>
          <w:highlight w:val="none"/>
          <w:lang w:val="zh-CN"/>
        </w:rPr>
        <w:t>投标人名称(公章)：</w:t>
      </w:r>
    </w:p>
    <w:p w14:paraId="34DCEBBA">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7AFD65BB">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注：</w:t>
      </w:r>
    </w:p>
    <w:p w14:paraId="19946FEE">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FD46EA0">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F9943F8">
      <w:pPr>
        <w:spacing w:line="360" w:lineRule="auto"/>
        <w:jc w:val="center"/>
        <w:rPr>
          <w:rFonts w:ascii="宋体" w:hAnsi="宋体" w:cs="宋体"/>
          <w:b/>
          <w:sz w:val="32"/>
          <w:szCs w:val="32"/>
          <w:highlight w:val="none"/>
        </w:rPr>
      </w:pPr>
    </w:p>
    <w:p w14:paraId="72A7FD11">
      <w:pPr>
        <w:spacing w:line="360" w:lineRule="auto"/>
        <w:jc w:val="center"/>
        <w:rPr>
          <w:rFonts w:ascii="宋体" w:hAnsi="宋体" w:cs="宋体"/>
          <w:b/>
          <w:sz w:val="32"/>
          <w:szCs w:val="32"/>
          <w:highlight w:val="none"/>
        </w:rPr>
      </w:pPr>
    </w:p>
    <w:p w14:paraId="0FBAE569">
      <w:pPr>
        <w:spacing w:line="360" w:lineRule="auto"/>
        <w:jc w:val="center"/>
        <w:rPr>
          <w:rFonts w:ascii="宋体" w:hAnsi="宋体" w:cs="宋体"/>
          <w:b/>
          <w:sz w:val="32"/>
          <w:szCs w:val="32"/>
          <w:highlight w:val="none"/>
        </w:rPr>
      </w:pPr>
    </w:p>
    <w:p w14:paraId="489C62C6">
      <w:pPr>
        <w:spacing w:line="360" w:lineRule="auto"/>
        <w:jc w:val="center"/>
        <w:rPr>
          <w:rFonts w:ascii="宋体" w:hAnsi="宋体" w:cs="宋体"/>
          <w:b/>
          <w:sz w:val="32"/>
          <w:szCs w:val="32"/>
          <w:highlight w:val="none"/>
        </w:rPr>
      </w:pPr>
    </w:p>
    <w:p w14:paraId="7C0A553B">
      <w:pPr>
        <w:spacing w:line="360" w:lineRule="auto"/>
        <w:jc w:val="center"/>
        <w:rPr>
          <w:rFonts w:ascii="宋体" w:hAnsi="宋体" w:cs="宋体"/>
          <w:b/>
          <w:sz w:val="32"/>
          <w:szCs w:val="32"/>
          <w:highlight w:val="none"/>
        </w:rPr>
      </w:pPr>
    </w:p>
    <w:p w14:paraId="76FD86A7">
      <w:pPr>
        <w:spacing w:line="360" w:lineRule="auto"/>
        <w:jc w:val="center"/>
        <w:rPr>
          <w:rFonts w:ascii="宋体" w:hAnsi="宋体" w:cs="宋体"/>
          <w:b/>
          <w:sz w:val="32"/>
          <w:szCs w:val="32"/>
          <w:highlight w:val="none"/>
        </w:rPr>
      </w:pPr>
    </w:p>
    <w:p w14:paraId="59A4EB8B">
      <w:pPr>
        <w:spacing w:line="360" w:lineRule="auto"/>
        <w:jc w:val="center"/>
        <w:rPr>
          <w:rFonts w:ascii="宋体" w:hAnsi="宋体" w:cs="宋体"/>
          <w:b/>
          <w:sz w:val="32"/>
          <w:szCs w:val="32"/>
          <w:highlight w:val="none"/>
        </w:rPr>
      </w:pPr>
    </w:p>
    <w:p w14:paraId="15944B6B">
      <w:pPr>
        <w:spacing w:line="360" w:lineRule="auto"/>
        <w:jc w:val="center"/>
        <w:rPr>
          <w:rFonts w:ascii="宋体" w:hAnsi="宋体" w:cs="宋体"/>
          <w:b/>
          <w:sz w:val="32"/>
          <w:szCs w:val="32"/>
          <w:highlight w:val="none"/>
        </w:rPr>
      </w:pPr>
    </w:p>
    <w:p w14:paraId="5E9F2074">
      <w:pPr>
        <w:spacing w:line="360" w:lineRule="auto"/>
        <w:jc w:val="center"/>
        <w:rPr>
          <w:rFonts w:ascii="宋体" w:hAnsi="宋体" w:cs="宋体"/>
          <w:b/>
          <w:sz w:val="32"/>
          <w:szCs w:val="32"/>
          <w:highlight w:val="none"/>
        </w:rPr>
      </w:pPr>
    </w:p>
    <w:p w14:paraId="53F7A647">
      <w:pPr>
        <w:spacing w:line="360" w:lineRule="auto"/>
        <w:jc w:val="center"/>
        <w:rPr>
          <w:rFonts w:ascii="宋体" w:hAnsi="宋体" w:cs="宋体"/>
          <w:b/>
          <w:sz w:val="32"/>
          <w:szCs w:val="32"/>
          <w:highlight w:val="none"/>
        </w:rPr>
      </w:pPr>
    </w:p>
    <w:p w14:paraId="67293193">
      <w:pPr>
        <w:spacing w:line="360" w:lineRule="auto"/>
        <w:jc w:val="center"/>
        <w:rPr>
          <w:rFonts w:ascii="宋体" w:hAnsi="宋体" w:cs="宋体"/>
          <w:b/>
          <w:sz w:val="32"/>
          <w:szCs w:val="32"/>
          <w:highlight w:val="none"/>
        </w:rPr>
      </w:pPr>
    </w:p>
    <w:p w14:paraId="2A44C1A1">
      <w:pPr>
        <w:spacing w:line="360" w:lineRule="auto"/>
        <w:jc w:val="center"/>
        <w:rPr>
          <w:rFonts w:ascii="宋体" w:hAnsi="宋体" w:cs="宋体"/>
          <w:b/>
          <w:sz w:val="32"/>
          <w:szCs w:val="32"/>
          <w:highlight w:val="none"/>
        </w:rPr>
      </w:pPr>
    </w:p>
    <w:p w14:paraId="7FE01116">
      <w:pPr>
        <w:spacing w:line="360" w:lineRule="auto"/>
        <w:jc w:val="center"/>
        <w:rPr>
          <w:rFonts w:ascii="宋体" w:hAnsi="宋体" w:cs="宋体"/>
          <w:b/>
          <w:sz w:val="32"/>
          <w:szCs w:val="32"/>
          <w:highlight w:val="none"/>
        </w:rPr>
      </w:pPr>
    </w:p>
    <w:p w14:paraId="0D1AE2CB">
      <w:pPr>
        <w:spacing w:line="360" w:lineRule="auto"/>
        <w:jc w:val="center"/>
        <w:rPr>
          <w:rFonts w:ascii="宋体" w:hAnsi="宋体" w:cs="宋体"/>
          <w:b/>
          <w:sz w:val="32"/>
          <w:szCs w:val="32"/>
          <w:highlight w:val="none"/>
        </w:rPr>
      </w:pPr>
    </w:p>
    <w:p w14:paraId="192C2FCB">
      <w:pPr>
        <w:spacing w:line="360" w:lineRule="auto"/>
        <w:jc w:val="center"/>
        <w:rPr>
          <w:rFonts w:ascii="宋体" w:hAnsi="宋体" w:cs="宋体"/>
          <w:b/>
          <w:sz w:val="32"/>
          <w:szCs w:val="32"/>
          <w:highlight w:val="none"/>
        </w:rPr>
      </w:pPr>
    </w:p>
    <w:p w14:paraId="6858D45B">
      <w:pPr>
        <w:spacing w:line="360" w:lineRule="auto"/>
        <w:jc w:val="center"/>
        <w:rPr>
          <w:rFonts w:ascii="宋体" w:hAnsi="宋体" w:cs="宋体"/>
          <w:b/>
          <w:sz w:val="32"/>
          <w:szCs w:val="32"/>
          <w:highlight w:val="none"/>
        </w:rPr>
      </w:pPr>
    </w:p>
    <w:p w14:paraId="34B9BCA2">
      <w:pPr>
        <w:spacing w:line="360" w:lineRule="auto"/>
        <w:jc w:val="center"/>
        <w:rPr>
          <w:rFonts w:ascii="宋体" w:hAnsi="宋体" w:cs="宋体"/>
          <w:b/>
          <w:sz w:val="32"/>
          <w:szCs w:val="32"/>
          <w:highlight w:val="none"/>
        </w:rPr>
      </w:pPr>
    </w:p>
    <w:p w14:paraId="04A964A2">
      <w:pPr>
        <w:spacing w:line="360" w:lineRule="auto"/>
        <w:rPr>
          <w:rFonts w:ascii="宋体" w:hAnsi="宋体" w:cs="宋体"/>
          <w:bCs/>
          <w:sz w:val="24"/>
          <w:highlight w:val="none"/>
        </w:rPr>
      </w:pPr>
    </w:p>
    <w:sectPr>
      <w:headerReference r:id="rId29" w:type="first"/>
      <w:footerReference r:id="rId32" w:type="first"/>
      <w:headerReference r:id="rId28" w:type="default"/>
      <w:footerReference r:id="rId30" w:type="default"/>
      <w:footerReference r:id="rId31"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华文楷体">
    <w:panose1 w:val="02010600040101010101"/>
    <w:charset w:val="86"/>
    <w:family w:val="auto"/>
    <w:pitch w:val="default"/>
    <w:sig w:usb0="00000287" w:usb1="080F0000" w:usb2="00000000" w:usb3="00000000" w:csb0="0004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DFA63">
    <w:pPr>
      <w:pStyle w:val="42"/>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128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C8D3F">
    <w:pPr>
      <w:pStyle w:val="42"/>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111</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128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4B09719C">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74A92">
    <w:pPr>
      <w:pStyle w:val="42"/>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106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128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165BD877">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37126">
    <w:pPr>
      <w:pStyle w:val="42"/>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114</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128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55F7AA6F">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0CC02">
    <w:pPr>
      <w:pStyle w:val="42"/>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113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128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1D42D5FD">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CA001">
    <w:pPr>
      <w:pStyle w:val="42"/>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128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128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239F50A0"/>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86C76">
    <w:pPr>
      <w:pStyle w:val="42"/>
      <w:framePr w:wrap="around" w:vAnchor="text" w:hAnchor="margin" w:xAlign="right" w:y="1"/>
      <w:rPr>
        <w:rStyle w:val="72"/>
      </w:rPr>
    </w:pPr>
    <w:r>
      <w:fldChar w:fldCharType="begin"/>
    </w:r>
    <w:r>
      <w:rPr>
        <w:rStyle w:val="72"/>
      </w:rPr>
      <w:instrText xml:space="preserve">PAGE  </w:instrText>
    </w:r>
    <w:r>
      <w:fldChar w:fldCharType="end"/>
    </w:r>
  </w:p>
  <w:p w14:paraId="0E668E84">
    <w:pPr>
      <w:pStyle w:val="42"/>
      <w:ind w:right="360"/>
    </w:pPr>
  </w:p>
  <w:p w14:paraId="72CE4D63"/>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52A3B">
    <w:pPr>
      <w:pStyle w:val="42"/>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115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128</w:t>
    </w:r>
    <w:r>
      <w:rPr>
        <w:rFonts w:hint="eastAsia" w:ascii="仿宋_GB2312" w:eastAsia="仿宋_GB2312"/>
        <w:kern w:val="0"/>
        <w:sz w:val="21"/>
        <w:szCs w:val="21"/>
      </w:rPr>
      <w:fldChar w:fldCharType="end"/>
    </w:r>
    <w:bookmarkStart w:id="435" w:name="_Toc36110187"/>
    <w:bookmarkStart w:id="436" w:name="_Toc131845147"/>
    <w:bookmarkStart w:id="437" w:name="_Toc91899912"/>
    <w:bookmarkStart w:id="438" w:name="_Toc164085800"/>
    <w:r>
      <w:rPr>
        <w:rFonts w:hint="eastAsia" w:ascii="仿宋_GB2312" w:eastAsia="仿宋_GB2312"/>
        <w:kern w:val="0"/>
        <w:sz w:val="21"/>
        <w:szCs w:val="21"/>
      </w:rPr>
      <w:t xml:space="preserve"> 页</w:t>
    </w:r>
    <w:bookmarkEnd w:id="435"/>
    <w:bookmarkEnd w:id="436"/>
    <w:bookmarkEnd w:id="437"/>
    <w:bookmarkEnd w:id="438"/>
  </w:p>
  <w:p w14:paraId="1D118BD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5C2CB">
    <w:pPr>
      <w:pStyle w:val="42"/>
      <w:framePr w:wrap="around" w:vAnchor="text" w:hAnchor="margin" w:xAlign="right" w:y="1"/>
      <w:rPr>
        <w:rStyle w:val="72"/>
      </w:rPr>
    </w:pPr>
    <w:r>
      <w:fldChar w:fldCharType="begin"/>
    </w:r>
    <w:r>
      <w:rPr>
        <w:rStyle w:val="72"/>
      </w:rPr>
      <w:instrText xml:space="preserve">PAGE  </w:instrText>
    </w:r>
    <w:r>
      <w:fldChar w:fldCharType="end"/>
    </w:r>
  </w:p>
  <w:p w14:paraId="05F92E15">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A90B7">
    <w:pPr>
      <w:pStyle w:val="42"/>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28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128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61CF5">
    <w:pPr>
      <w:pStyle w:val="42"/>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71</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128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052A205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6942F">
    <w:pPr>
      <w:pStyle w:val="42"/>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128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2429CF1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B5AB9">
    <w:pPr>
      <w:pStyle w:val="42"/>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107</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243B1A7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DDF5A">
    <w:pPr>
      <w:pStyle w:val="42"/>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104</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128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7A8D500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40014">
    <w:pPr>
      <w:pStyle w:val="42"/>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64</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107</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123411B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FEA4B">
    <w:pPr>
      <w:pStyle w:val="42"/>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105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128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633283F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DB040">
    <w:pPr>
      <w:pStyle w:val="2"/>
      <w:pBdr>
        <w:bottom w:val="single" w:color="auto" w:sz="6" w:space="4"/>
      </w:pBdr>
      <w:jc w:val="right"/>
      <w:rPr>
        <w:rFonts w:ascii="仿宋_GB2312" w:eastAsia="仿宋_GB2312"/>
        <w:b/>
        <w:i/>
        <w:sz w:val="21"/>
        <w:szCs w:val="21"/>
        <w:u w:val="single"/>
      </w:rPr>
    </w:pPr>
    <w:r>
      <w:t></w:t>
    </w:r>
    <w:r>
      <w:rPr>
        <w:rFonts w:hint="eastAsia"/>
      </w:rPr>
      <w:t xml:space="preserve">            </w:t>
    </w:r>
    <w:r>
      <w:rPr>
        <w:rFonts w:hint="eastAsia"/>
        <w:sz w:val="21"/>
        <w:szCs w:val="21"/>
      </w:rPr>
      <w:t xml:space="preserve"> </w:t>
    </w:r>
    <w:r>
      <w:rPr>
        <w:sz w:val="21"/>
        <w:szCs w:val="21"/>
      </w:rPr>
      <w:t>北海市政府采购公开招标文件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80273">
    <w:pPr>
      <w:pStyle w:val="2"/>
      <w:jc w:val="right"/>
      <w:rPr>
        <w:sz w:val="21"/>
        <w:szCs w:val="21"/>
      </w:rPr>
    </w:pPr>
    <w:r>
      <w:t></w:t>
    </w:r>
    <w:r>
      <w:rPr>
        <w:rFonts w:hint="eastAsia"/>
      </w:rPr>
      <w:t xml:space="preserve">                                                                    </w:t>
    </w:r>
    <w:r>
      <w:rPr>
        <w:rFonts w:hint="eastAsia"/>
        <w:sz w:val="21"/>
        <w:szCs w:val="21"/>
      </w:rPr>
      <w:t>北海</w:t>
    </w:r>
    <w:r>
      <w:rPr>
        <w:sz w:val="21"/>
        <w:szCs w:val="21"/>
      </w:rPr>
      <w:t>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3EE51">
    <w:pPr>
      <w:pStyle w:val="2"/>
      <w:jc w:val="right"/>
      <w:rPr>
        <w:rFonts w:ascii="仿宋_GB2312" w:eastAsia="仿宋_GB2312"/>
        <w:b/>
        <w:i/>
        <w:sz w:val="21"/>
        <w:szCs w:val="21"/>
        <w:u w:val="single"/>
      </w:rPr>
    </w:pPr>
    <w:r>
      <w:rPr>
        <w:rFonts w:hint="eastAsia"/>
      </w:rPr>
      <w:t xml:space="preserve">                                </w:t>
    </w:r>
    <w:r>
      <w:rPr>
        <w:rFonts w:hint="eastAsia"/>
        <w:sz w:val="21"/>
        <w:szCs w:val="21"/>
      </w:rPr>
      <w:t xml:space="preserve">  北海</w:t>
    </w:r>
    <w:r>
      <w:rPr>
        <w:sz w:val="21"/>
        <w:szCs w:val="21"/>
      </w:rPr>
      <w:t>市政府采购公开招标文件</w:t>
    </w:r>
  </w:p>
  <w:p w14:paraId="3FA22F7C">
    <w:pPr>
      <w:rPr>
        <w:rFonts w:ascii="仿宋_GB2312" w:eastAsia="仿宋_GB2312"/>
        <w:b/>
        <w:i/>
        <w:sz w:val="18"/>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76627">
    <w:pPr>
      <w:pStyle w:val="2"/>
      <w:jc w:val="right"/>
      <w:rPr>
        <w:sz w:val="21"/>
        <w:szCs w:val="21"/>
      </w:rPr>
    </w:pPr>
    <w:r>
      <w:rPr>
        <w:rFonts w:hint="eastAsia"/>
      </w:rPr>
      <w:t xml:space="preserve">                                                                                                        </w:t>
    </w:r>
    <w:r>
      <w:rPr>
        <w:rFonts w:hint="eastAsia"/>
        <w:sz w:val="21"/>
        <w:szCs w:val="21"/>
      </w:rPr>
      <w:t>北海</w:t>
    </w:r>
    <w:r>
      <w:rPr>
        <w:sz w:val="21"/>
        <w:szCs w:val="21"/>
      </w:rPr>
      <w:t>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03780">
    <w:pPr>
      <w:pStyle w:val="2"/>
      <w:jc w:val="right"/>
      <w:rPr>
        <w:rFonts w:ascii="仿宋_GB2312" w:eastAsia="仿宋_GB2312"/>
        <w:b/>
        <w:i/>
        <w:iCs/>
        <w:u w:val="single"/>
      </w:rPr>
    </w:pPr>
    <w:r>
      <w:t></w:t>
    </w:r>
    <w:r>
      <w:rPr>
        <w:sz w:val="21"/>
        <w:szCs w:val="21"/>
      </w:rPr>
      <w:t></w:t>
    </w:r>
    <w:r>
      <w:rPr>
        <w:rFonts w:hint="eastAsia"/>
        <w:sz w:val="21"/>
        <w:szCs w:val="21"/>
      </w:rPr>
      <w:t>北海</w:t>
    </w:r>
    <w:r>
      <w:rPr>
        <w:sz w:val="21"/>
        <w:szCs w:val="21"/>
      </w:rPr>
      <w:t>市政府采购公开招标文件</w:t>
    </w:r>
  </w:p>
  <w:p w14:paraId="5E58F1D7"/>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79260">
    <w:pPr>
      <w:pStyle w:val="2"/>
      <w:rPr>
        <w:sz w:val="21"/>
        <w:szCs w:val="21"/>
      </w:rPr>
    </w:pPr>
    <w:r>
      <w:t></w:t>
    </w:r>
    <w:r>
      <w:rPr>
        <w:rFonts w:hint="eastAsia"/>
      </w:rPr>
      <w:t xml:space="preserve">                </w:t>
    </w:r>
    <w:r>
      <w:rPr>
        <w:rFonts w:hint="eastAsia"/>
        <w:sz w:val="21"/>
        <w:szCs w:val="21"/>
      </w:rPr>
      <w:t xml:space="preserve">                       北海</w:t>
    </w:r>
    <w:r>
      <w:rPr>
        <w:sz w:val="21"/>
        <w:szCs w:val="21"/>
      </w:rPr>
      <w:t>市政府采购公开招标文件</w:t>
    </w:r>
  </w:p>
  <w:p w14:paraId="2AC06D2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2BD99">
    <w:pPr>
      <w:pStyle w:val="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sz w:val="21"/>
        <w:szCs w:val="21"/>
        <w:lang w:val="zh-CN"/>
      </w:rPr>
      <w:t>北海市政府采购公开招标文件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9570A">
    <w:pPr>
      <w:pStyle w:val="2"/>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5B7A3">
    <w:pPr>
      <w:pStyle w:val="2"/>
    </w:pPr>
    <w:r>
      <w:t></w:t>
    </w:r>
    <w:r>
      <w:rPr>
        <w:rFonts w:hint="eastAsia"/>
      </w:rPr>
      <w:t xml:space="preserve">         </w:t>
    </w:r>
  </w:p>
  <w:p w14:paraId="756EF122">
    <w:pPr>
      <w:pStyle w:val="2"/>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FD681">
    <w:pPr>
      <w:pStyle w:val="2"/>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F7F5F">
    <w:pPr>
      <w:pStyle w:val="2"/>
    </w:pPr>
    <w:r>
      <w:t></w:t>
    </w:r>
    <w:r>
      <w:rPr>
        <w:rFonts w:hint="eastAsia"/>
      </w:rPr>
      <w:t xml:space="preserve">         </w:t>
    </w:r>
  </w:p>
  <w:p w14:paraId="4AB8EE70">
    <w:pPr>
      <w:pStyle w:val="2"/>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2C23A">
    <w:pPr>
      <w:pStyle w:val="2"/>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48EF8">
    <w:pPr>
      <w:pStyle w:val="2"/>
    </w:pPr>
    <w:r>
      <w:t></w:t>
    </w:r>
    <w:r>
      <w:rPr>
        <w:rFonts w:hint="eastAsia"/>
      </w:rPr>
      <w:t xml:space="preserve">         </w:t>
    </w:r>
  </w:p>
  <w:p w14:paraId="27D54864">
    <w:pPr>
      <w:pStyle w:val="2"/>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DA520">
    <w:pPr>
      <w:pStyle w:val="2"/>
      <w:rPr>
        <w:rFonts w:ascii="仿宋_GB2312" w:eastAsia="仿宋_GB2312"/>
        <w:b/>
        <w:i/>
        <w:sz w:val="21"/>
        <w:szCs w:val="21"/>
        <w:u w:val="single"/>
      </w:rPr>
    </w:pPr>
    <w:r>
      <w:t></w:t>
    </w:r>
    <w:r>
      <w:rPr>
        <w:rFonts w:hint="eastAsia"/>
      </w:rPr>
      <w:t xml:space="preserve">                                                </w:t>
    </w:r>
    <w:r>
      <w:rPr>
        <w:sz w:val="21"/>
        <w:szCs w:val="21"/>
      </w:rPr>
      <w:t xml:space="preserve"> </w:t>
    </w:r>
    <w:r>
      <w:rPr>
        <w:rFonts w:hint="eastAsia"/>
        <w:sz w:val="21"/>
        <w:szCs w:val="21"/>
      </w:rPr>
      <w:t>北海</w:t>
    </w:r>
    <w:r>
      <w:rPr>
        <w:sz w:val="21"/>
        <w:szCs w:val="21"/>
      </w:rPr>
      <w:t>市政府采购公开招标文件</w:t>
    </w:r>
  </w:p>
  <w:p w14:paraId="335BE681">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257FE8"/>
    <w:multiLevelType w:val="singleLevel"/>
    <w:tmpl w:val="9C257FE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iMWYxY2Y2NjljNmNjYTdiY2UyZDkxZTA2YWE5YjEifQ=="/>
  </w:docVars>
  <w:rsids>
    <w:rsidRoot w:val="00172A27"/>
    <w:rsid w:val="00000451"/>
    <w:rsid w:val="00000A8C"/>
    <w:rsid w:val="0000108B"/>
    <w:rsid w:val="0000114C"/>
    <w:rsid w:val="0000133D"/>
    <w:rsid w:val="00001509"/>
    <w:rsid w:val="00001C42"/>
    <w:rsid w:val="000032B2"/>
    <w:rsid w:val="0000363B"/>
    <w:rsid w:val="000058BD"/>
    <w:rsid w:val="00006109"/>
    <w:rsid w:val="00006150"/>
    <w:rsid w:val="000063E8"/>
    <w:rsid w:val="000066F2"/>
    <w:rsid w:val="00006725"/>
    <w:rsid w:val="0000675E"/>
    <w:rsid w:val="000072FF"/>
    <w:rsid w:val="00007CAA"/>
    <w:rsid w:val="00010FE9"/>
    <w:rsid w:val="0001122F"/>
    <w:rsid w:val="00011943"/>
    <w:rsid w:val="00011A4B"/>
    <w:rsid w:val="00012251"/>
    <w:rsid w:val="0001232F"/>
    <w:rsid w:val="0001337C"/>
    <w:rsid w:val="000138C4"/>
    <w:rsid w:val="00013C1F"/>
    <w:rsid w:val="00013F31"/>
    <w:rsid w:val="000140D8"/>
    <w:rsid w:val="00014530"/>
    <w:rsid w:val="00014BBC"/>
    <w:rsid w:val="000150EE"/>
    <w:rsid w:val="00015988"/>
    <w:rsid w:val="000163D1"/>
    <w:rsid w:val="000168D8"/>
    <w:rsid w:val="000170C8"/>
    <w:rsid w:val="000173F4"/>
    <w:rsid w:val="00020287"/>
    <w:rsid w:val="000202A2"/>
    <w:rsid w:val="000202FE"/>
    <w:rsid w:val="00020B5F"/>
    <w:rsid w:val="000211BC"/>
    <w:rsid w:val="0002207B"/>
    <w:rsid w:val="00022EBE"/>
    <w:rsid w:val="00022F58"/>
    <w:rsid w:val="000232FD"/>
    <w:rsid w:val="00023323"/>
    <w:rsid w:val="000233E4"/>
    <w:rsid w:val="00023495"/>
    <w:rsid w:val="00023777"/>
    <w:rsid w:val="00023CC9"/>
    <w:rsid w:val="00024130"/>
    <w:rsid w:val="00024584"/>
    <w:rsid w:val="00024962"/>
    <w:rsid w:val="000249AA"/>
    <w:rsid w:val="00025350"/>
    <w:rsid w:val="000253E5"/>
    <w:rsid w:val="00025776"/>
    <w:rsid w:val="00025A26"/>
    <w:rsid w:val="00026B14"/>
    <w:rsid w:val="00026EAC"/>
    <w:rsid w:val="000270F2"/>
    <w:rsid w:val="00027540"/>
    <w:rsid w:val="0003042E"/>
    <w:rsid w:val="00030572"/>
    <w:rsid w:val="00030A97"/>
    <w:rsid w:val="00030CB3"/>
    <w:rsid w:val="0003124B"/>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5432"/>
    <w:rsid w:val="00045817"/>
    <w:rsid w:val="0004598C"/>
    <w:rsid w:val="00047354"/>
    <w:rsid w:val="00050072"/>
    <w:rsid w:val="00050656"/>
    <w:rsid w:val="00050A19"/>
    <w:rsid w:val="000511B6"/>
    <w:rsid w:val="00051B00"/>
    <w:rsid w:val="00051C72"/>
    <w:rsid w:val="00052192"/>
    <w:rsid w:val="0005238F"/>
    <w:rsid w:val="00052787"/>
    <w:rsid w:val="00052992"/>
    <w:rsid w:val="00052BB8"/>
    <w:rsid w:val="00052F10"/>
    <w:rsid w:val="0005417A"/>
    <w:rsid w:val="00054D39"/>
    <w:rsid w:val="0005501B"/>
    <w:rsid w:val="000550F5"/>
    <w:rsid w:val="000552AD"/>
    <w:rsid w:val="00055337"/>
    <w:rsid w:val="000554C7"/>
    <w:rsid w:val="000559B0"/>
    <w:rsid w:val="00056145"/>
    <w:rsid w:val="00056402"/>
    <w:rsid w:val="00056791"/>
    <w:rsid w:val="00056868"/>
    <w:rsid w:val="00056876"/>
    <w:rsid w:val="000568DF"/>
    <w:rsid w:val="00057700"/>
    <w:rsid w:val="000578A3"/>
    <w:rsid w:val="00057D4C"/>
    <w:rsid w:val="00060C48"/>
    <w:rsid w:val="00061A3C"/>
    <w:rsid w:val="00061C48"/>
    <w:rsid w:val="000622AC"/>
    <w:rsid w:val="00062CFD"/>
    <w:rsid w:val="00063C38"/>
    <w:rsid w:val="00063E1E"/>
    <w:rsid w:val="00064278"/>
    <w:rsid w:val="000646CA"/>
    <w:rsid w:val="000665C4"/>
    <w:rsid w:val="00066D83"/>
    <w:rsid w:val="00067821"/>
    <w:rsid w:val="0006785E"/>
    <w:rsid w:val="00067F92"/>
    <w:rsid w:val="00067FA7"/>
    <w:rsid w:val="0007038E"/>
    <w:rsid w:val="0007077C"/>
    <w:rsid w:val="00070825"/>
    <w:rsid w:val="00071845"/>
    <w:rsid w:val="00071CD8"/>
    <w:rsid w:val="00071DB2"/>
    <w:rsid w:val="00072519"/>
    <w:rsid w:val="00072AED"/>
    <w:rsid w:val="00072B56"/>
    <w:rsid w:val="00072D2B"/>
    <w:rsid w:val="00072D51"/>
    <w:rsid w:val="000730B1"/>
    <w:rsid w:val="00073860"/>
    <w:rsid w:val="000738EA"/>
    <w:rsid w:val="00074078"/>
    <w:rsid w:val="0007523B"/>
    <w:rsid w:val="00075B15"/>
    <w:rsid w:val="00075D0E"/>
    <w:rsid w:val="00075F6A"/>
    <w:rsid w:val="00076159"/>
    <w:rsid w:val="0007616C"/>
    <w:rsid w:val="000763B5"/>
    <w:rsid w:val="000763F3"/>
    <w:rsid w:val="000766D2"/>
    <w:rsid w:val="00076801"/>
    <w:rsid w:val="00076BCE"/>
    <w:rsid w:val="00077577"/>
    <w:rsid w:val="00077607"/>
    <w:rsid w:val="00077756"/>
    <w:rsid w:val="00077B7F"/>
    <w:rsid w:val="000808C1"/>
    <w:rsid w:val="00080970"/>
    <w:rsid w:val="00081671"/>
    <w:rsid w:val="00082AD4"/>
    <w:rsid w:val="00083B19"/>
    <w:rsid w:val="00083C35"/>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96E65"/>
    <w:rsid w:val="000A0729"/>
    <w:rsid w:val="000A0C6F"/>
    <w:rsid w:val="000A0E69"/>
    <w:rsid w:val="000A199D"/>
    <w:rsid w:val="000A1A52"/>
    <w:rsid w:val="000A1E26"/>
    <w:rsid w:val="000A1F98"/>
    <w:rsid w:val="000A3A4C"/>
    <w:rsid w:val="000A3D58"/>
    <w:rsid w:val="000A3FE3"/>
    <w:rsid w:val="000A4708"/>
    <w:rsid w:val="000A47B0"/>
    <w:rsid w:val="000A4851"/>
    <w:rsid w:val="000A49BB"/>
    <w:rsid w:val="000A4F22"/>
    <w:rsid w:val="000A5674"/>
    <w:rsid w:val="000A5A46"/>
    <w:rsid w:val="000A64ED"/>
    <w:rsid w:val="000A7299"/>
    <w:rsid w:val="000A752E"/>
    <w:rsid w:val="000B0B97"/>
    <w:rsid w:val="000B0E04"/>
    <w:rsid w:val="000B1437"/>
    <w:rsid w:val="000B1776"/>
    <w:rsid w:val="000B268D"/>
    <w:rsid w:val="000B291B"/>
    <w:rsid w:val="000B2BE4"/>
    <w:rsid w:val="000B33A8"/>
    <w:rsid w:val="000B35EC"/>
    <w:rsid w:val="000B381E"/>
    <w:rsid w:val="000B41D6"/>
    <w:rsid w:val="000B456C"/>
    <w:rsid w:val="000B458E"/>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2FC9"/>
    <w:rsid w:val="000C3970"/>
    <w:rsid w:val="000C3B1A"/>
    <w:rsid w:val="000C4727"/>
    <w:rsid w:val="000C47AE"/>
    <w:rsid w:val="000C51AD"/>
    <w:rsid w:val="000C5298"/>
    <w:rsid w:val="000C52E5"/>
    <w:rsid w:val="000C5374"/>
    <w:rsid w:val="000C5710"/>
    <w:rsid w:val="000C5EC0"/>
    <w:rsid w:val="000C6162"/>
    <w:rsid w:val="000C64CC"/>
    <w:rsid w:val="000C6688"/>
    <w:rsid w:val="000C692E"/>
    <w:rsid w:val="000C6B28"/>
    <w:rsid w:val="000C725C"/>
    <w:rsid w:val="000C78DB"/>
    <w:rsid w:val="000C7B4D"/>
    <w:rsid w:val="000C7BEB"/>
    <w:rsid w:val="000D0124"/>
    <w:rsid w:val="000D0496"/>
    <w:rsid w:val="000D11E5"/>
    <w:rsid w:val="000D165F"/>
    <w:rsid w:val="000D19E8"/>
    <w:rsid w:val="000D1A04"/>
    <w:rsid w:val="000D1FA1"/>
    <w:rsid w:val="000D2834"/>
    <w:rsid w:val="000D2CAC"/>
    <w:rsid w:val="000D34C8"/>
    <w:rsid w:val="000D34FD"/>
    <w:rsid w:val="000D3BE5"/>
    <w:rsid w:val="000D3C37"/>
    <w:rsid w:val="000D41E3"/>
    <w:rsid w:val="000D453A"/>
    <w:rsid w:val="000D4AFA"/>
    <w:rsid w:val="000D5EA6"/>
    <w:rsid w:val="000D5F00"/>
    <w:rsid w:val="000D6C9F"/>
    <w:rsid w:val="000D6E3B"/>
    <w:rsid w:val="000D6F30"/>
    <w:rsid w:val="000D74E4"/>
    <w:rsid w:val="000D7BE9"/>
    <w:rsid w:val="000D7C9D"/>
    <w:rsid w:val="000D7CE0"/>
    <w:rsid w:val="000E1351"/>
    <w:rsid w:val="000E2785"/>
    <w:rsid w:val="000E27BB"/>
    <w:rsid w:val="000E3153"/>
    <w:rsid w:val="000E3484"/>
    <w:rsid w:val="000E386F"/>
    <w:rsid w:val="000E4051"/>
    <w:rsid w:val="000E4139"/>
    <w:rsid w:val="000E4765"/>
    <w:rsid w:val="000E5475"/>
    <w:rsid w:val="000E5B7E"/>
    <w:rsid w:val="000E5FF9"/>
    <w:rsid w:val="000E6AE1"/>
    <w:rsid w:val="000E6B0F"/>
    <w:rsid w:val="000E7142"/>
    <w:rsid w:val="000E7632"/>
    <w:rsid w:val="000E76F2"/>
    <w:rsid w:val="000E7737"/>
    <w:rsid w:val="000E7739"/>
    <w:rsid w:val="000E77EE"/>
    <w:rsid w:val="000F1604"/>
    <w:rsid w:val="000F1825"/>
    <w:rsid w:val="000F287A"/>
    <w:rsid w:val="000F2940"/>
    <w:rsid w:val="000F2AB3"/>
    <w:rsid w:val="000F3D08"/>
    <w:rsid w:val="000F4495"/>
    <w:rsid w:val="000F4A05"/>
    <w:rsid w:val="000F4AA8"/>
    <w:rsid w:val="000F4AEA"/>
    <w:rsid w:val="000F4E67"/>
    <w:rsid w:val="000F505B"/>
    <w:rsid w:val="000F5677"/>
    <w:rsid w:val="000F572C"/>
    <w:rsid w:val="000F5DDB"/>
    <w:rsid w:val="000F628E"/>
    <w:rsid w:val="000F68A0"/>
    <w:rsid w:val="000F6CC2"/>
    <w:rsid w:val="000F729C"/>
    <w:rsid w:val="000F7D4B"/>
    <w:rsid w:val="000F7F9A"/>
    <w:rsid w:val="001006F7"/>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112"/>
    <w:rsid w:val="001176FF"/>
    <w:rsid w:val="0012153F"/>
    <w:rsid w:val="0012159D"/>
    <w:rsid w:val="00121804"/>
    <w:rsid w:val="00121EC9"/>
    <w:rsid w:val="0012208F"/>
    <w:rsid w:val="00122222"/>
    <w:rsid w:val="001224FE"/>
    <w:rsid w:val="001231D3"/>
    <w:rsid w:val="001232A7"/>
    <w:rsid w:val="00123F7C"/>
    <w:rsid w:val="001240B8"/>
    <w:rsid w:val="0012419E"/>
    <w:rsid w:val="0012432A"/>
    <w:rsid w:val="001248EF"/>
    <w:rsid w:val="00124AC0"/>
    <w:rsid w:val="00124EB2"/>
    <w:rsid w:val="00124FC4"/>
    <w:rsid w:val="001253AB"/>
    <w:rsid w:val="0012574C"/>
    <w:rsid w:val="001259B8"/>
    <w:rsid w:val="001264B9"/>
    <w:rsid w:val="0012693E"/>
    <w:rsid w:val="00126A3A"/>
    <w:rsid w:val="00127060"/>
    <w:rsid w:val="0012716F"/>
    <w:rsid w:val="00127B83"/>
    <w:rsid w:val="00127F4D"/>
    <w:rsid w:val="00131C2D"/>
    <w:rsid w:val="0013202C"/>
    <w:rsid w:val="00132704"/>
    <w:rsid w:val="00132CBF"/>
    <w:rsid w:val="00133707"/>
    <w:rsid w:val="00133742"/>
    <w:rsid w:val="00133B70"/>
    <w:rsid w:val="00133E97"/>
    <w:rsid w:val="001350F7"/>
    <w:rsid w:val="001355F2"/>
    <w:rsid w:val="00135769"/>
    <w:rsid w:val="00135BE9"/>
    <w:rsid w:val="00135CD9"/>
    <w:rsid w:val="00135E5C"/>
    <w:rsid w:val="00136762"/>
    <w:rsid w:val="00136C1D"/>
    <w:rsid w:val="00136E33"/>
    <w:rsid w:val="0013773D"/>
    <w:rsid w:val="00140130"/>
    <w:rsid w:val="0014042F"/>
    <w:rsid w:val="00140575"/>
    <w:rsid w:val="00140693"/>
    <w:rsid w:val="00140D7A"/>
    <w:rsid w:val="00141AC5"/>
    <w:rsid w:val="00141D28"/>
    <w:rsid w:val="00141DFE"/>
    <w:rsid w:val="00142185"/>
    <w:rsid w:val="001422E2"/>
    <w:rsid w:val="00142841"/>
    <w:rsid w:val="001433BC"/>
    <w:rsid w:val="00143872"/>
    <w:rsid w:val="00143A85"/>
    <w:rsid w:val="00144649"/>
    <w:rsid w:val="00145022"/>
    <w:rsid w:val="00145662"/>
    <w:rsid w:val="00145C6D"/>
    <w:rsid w:val="001460FC"/>
    <w:rsid w:val="00146151"/>
    <w:rsid w:val="00146326"/>
    <w:rsid w:val="00147032"/>
    <w:rsid w:val="00147EA7"/>
    <w:rsid w:val="00150082"/>
    <w:rsid w:val="00151820"/>
    <w:rsid w:val="00151B2F"/>
    <w:rsid w:val="001524DC"/>
    <w:rsid w:val="001525E5"/>
    <w:rsid w:val="00153859"/>
    <w:rsid w:val="00153915"/>
    <w:rsid w:val="001539F0"/>
    <w:rsid w:val="00153F7C"/>
    <w:rsid w:val="00154BBA"/>
    <w:rsid w:val="00155B95"/>
    <w:rsid w:val="00155EF6"/>
    <w:rsid w:val="00156853"/>
    <w:rsid w:val="00156CCE"/>
    <w:rsid w:val="00156FDF"/>
    <w:rsid w:val="0015719E"/>
    <w:rsid w:val="00157432"/>
    <w:rsid w:val="00161185"/>
    <w:rsid w:val="001620BA"/>
    <w:rsid w:val="001623AC"/>
    <w:rsid w:val="00162BAA"/>
    <w:rsid w:val="00163926"/>
    <w:rsid w:val="00163C40"/>
    <w:rsid w:val="0016488B"/>
    <w:rsid w:val="001654FA"/>
    <w:rsid w:val="00165758"/>
    <w:rsid w:val="00165A65"/>
    <w:rsid w:val="001662BF"/>
    <w:rsid w:val="00166317"/>
    <w:rsid w:val="00167055"/>
    <w:rsid w:val="001673C3"/>
    <w:rsid w:val="00167478"/>
    <w:rsid w:val="00167594"/>
    <w:rsid w:val="001702BE"/>
    <w:rsid w:val="001704B3"/>
    <w:rsid w:val="0017059C"/>
    <w:rsid w:val="0017105C"/>
    <w:rsid w:val="001715AF"/>
    <w:rsid w:val="00171622"/>
    <w:rsid w:val="001716BB"/>
    <w:rsid w:val="00171785"/>
    <w:rsid w:val="00171AB5"/>
    <w:rsid w:val="0017204F"/>
    <w:rsid w:val="001721CF"/>
    <w:rsid w:val="001722DD"/>
    <w:rsid w:val="001728FD"/>
    <w:rsid w:val="00172A27"/>
    <w:rsid w:val="00172F02"/>
    <w:rsid w:val="00172F2D"/>
    <w:rsid w:val="00172FDE"/>
    <w:rsid w:val="00173631"/>
    <w:rsid w:val="0017372D"/>
    <w:rsid w:val="00173826"/>
    <w:rsid w:val="00173C58"/>
    <w:rsid w:val="00173E59"/>
    <w:rsid w:val="001741DC"/>
    <w:rsid w:val="00174C4F"/>
    <w:rsid w:val="00174F57"/>
    <w:rsid w:val="00175078"/>
    <w:rsid w:val="001755DC"/>
    <w:rsid w:val="001763D8"/>
    <w:rsid w:val="001764C0"/>
    <w:rsid w:val="00176AA6"/>
    <w:rsid w:val="00176EBA"/>
    <w:rsid w:val="00177063"/>
    <w:rsid w:val="00177400"/>
    <w:rsid w:val="00180A47"/>
    <w:rsid w:val="001816F1"/>
    <w:rsid w:val="00181ECA"/>
    <w:rsid w:val="001827B7"/>
    <w:rsid w:val="001827EF"/>
    <w:rsid w:val="00182982"/>
    <w:rsid w:val="001829BC"/>
    <w:rsid w:val="00182D68"/>
    <w:rsid w:val="00183031"/>
    <w:rsid w:val="00183468"/>
    <w:rsid w:val="0018397E"/>
    <w:rsid w:val="00184466"/>
    <w:rsid w:val="00184DBF"/>
    <w:rsid w:val="001852A8"/>
    <w:rsid w:val="001856EF"/>
    <w:rsid w:val="00185CBD"/>
    <w:rsid w:val="0018620A"/>
    <w:rsid w:val="00186EB0"/>
    <w:rsid w:val="00187121"/>
    <w:rsid w:val="00187243"/>
    <w:rsid w:val="0018774E"/>
    <w:rsid w:val="00187C29"/>
    <w:rsid w:val="00187ECB"/>
    <w:rsid w:val="00190782"/>
    <w:rsid w:val="00190942"/>
    <w:rsid w:val="001909A7"/>
    <w:rsid w:val="001909C3"/>
    <w:rsid w:val="00191459"/>
    <w:rsid w:val="00191603"/>
    <w:rsid w:val="001916DE"/>
    <w:rsid w:val="0019173E"/>
    <w:rsid w:val="0019174E"/>
    <w:rsid w:val="0019196B"/>
    <w:rsid w:val="001923D5"/>
    <w:rsid w:val="0019260C"/>
    <w:rsid w:val="00192991"/>
    <w:rsid w:val="00192D1F"/>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09C"/>
    <w:rsid w:val="001A128B"/>
    <w:rsid w:val="001A1475"/>
    <w:rsid w:val="001A1F0E"/>
    <w:rsid w:val="001A2A43"/>
    <w:rsid w:val="001A3335"/>
    <w:rsid w:val="001A473A"/>
    <w:rsid w:val="001A4977"/>
    <w:rsid w:val="001A4ED9"/>
    <w:rsid w:val="001A52CD"/>
    <w:rsid w:val="001A5785"/>
    <w:rsid w:val="001A5A67"/>
    <w:rsid w:val="001A5FD7"/>
    <w:rsid w:val="001A66A6"/>
    <w:rsid w:val="001A6BAF"/>
    <w:rsid w:val="001A6BBB"/>
    <w:rsid w:val="001A79A2"/>
    <w:rsid w:val="001A79F1"/>
    <w:rsid w:val="001A7FA5"/>
    <w:rsid w:val="001B00BE"/>
    <w:rsid w:val="001B06A6"/>
    <w:rsid w:val="001B13BF"/>
    <w:rsid w:val="001B16F5"/>
    <w:rsid w:val="001B1C1F"/>
    <w:rsid w:val="001B219B"/>
    <w:rsid w:val="001B2703"/>
    <w:rsid w:val="001B2B94"/>
    <w:rsid w:val="001B3DCD"/>
    <w:rsid w:val="001B422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0B5F"/>
    <w:rsid w:val="001C1072"/>
    <w:rsid w:val="001C10BD"/>
    <w:rsid w:val="001C13A3"/>
    <w:rsid w:val="001C1F01"/>
    <w:rsid w:val="001C2092"/>
    <w:rsid w:val="001C232F"/>
    <w:rsid w:val="001C2544"/>
    <w:rsid w:val="001C2884"/>
    <w:rsid w:val="001C2A17"/>
    <w:rsid w:val="001C31F5"/>
    <w:rsid w:val="001C4962"/>
    <w:rsid w:val="001C537C"/>
    <w:rsid w:val="001C6047"/>
    <w:rsid w:val="001C6698"/>
    <w:rsid w:val="001C69CC"/>
    <w:rsid w:val="001C6C5B"/>
    <w:rsid w:val="001C6F7D"/>
    <w:rsid w:val="001C7399"/>
    <w:rsid w:val="001C7C5F"/>
    <w:rsid w:val="001C7CE0"/>
    <w:rsid w:val="001D005B"/>
    <w:rsid w:val="001D0947"/>
    <w:rsid w:val="001D0DF7"/>
    <w:rsid w:val="001D16F5"/>
    <w:rsid w:val="001D1970"/>
    <w:rsid w:val="001D1D55"/>
    <w:rsid w:val="001D21EF"/>
    <w:rsid w:val="001D29A4"/>
    <w:rsid w:val="001D2B73"/>
    <w:rsid w:val="001D3136"/>
    <w:rsid w:val="001D330D"/>
    <w:rsid w:val="001D4AB6"/>
    <w:rsid w:val="001D4AD3"/>
    <w:rsid w:val="001D5281"/>
    <w:rsid w:val="001D54EE"/>
    <w:rsid w:val="001D6E1E"/>
    <w:rsid w:val="001E17E3"/>
    <w:rsid w:val="001E2052"/>
    <w:rsid w:val="001E2492"/>
    <w:rsid w:val="001E257C"/>
    <w:rsid w:val="001E286C"/>
    <w:rsid w:val="001E28DF"/>
    <w:rsid w:val="001E2B44"/>
    <w:rsid w:val="001E2F34"/>
    <w:rsid w:val="001E35EE"/>
    <w:rsid w:val="001E4B2C"/>
    <w:rsid w:val="001E507F"/>
    <w:rsid w:val="001E56C2"/>
    <w:rsid w:val="001E59FB"/>
    <w:rsid w:val="001E6665"/>
    <w:rsid w:val="001E7F81"/>
    <w:rsid w:val="001F0361"/>
    <w:rsid w:val="001F0FD1"/>
    <w:rsid w:val="001F1526"/>
    <w:rsid w:val="001F19D1"/>
    <w:rsid w:val="001F1CB9"/>
    <w:rsid w:val="001F1F18"/>
    <w:rsid w:val="001F2F92"/>
    <w:rsid w:val="001F3712"/>
    <w:rsid w:val="001F3A4E"/>
    <w:rsid w:val="001F41F3"/>
    <w:rsid w:val="001F5330"/>
    <w:rsid w:val="001F5DA1"/>
    <w:rsid w:val="001F612E"/>
    <w:rsid w:val="001F6A92"/>
    <w:rsid w:val="001F77E8"/>
    <w:rsid w:val="0020022C"/>
    <w:rsid w:val="00200B55"/>
    <w:rsid w:val="00200C64"/>
    <w:rsid w:val="00201647"/>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42A"/>
    <w:rsid w:val="00207B46"/>
    <w:rsid w:val="00210943"/>
    <w:rsid w:val="00210B9C"/>
    <w:rsid w:val="00211185"/>
    <w:rsid w:val="00211A94"/>
    <w:rsid w:val="002126F2"/>
    <w:rsid w:val="00213478"/>
    <w:rsid w:val="00214028"/>
    <w:rsid w:val="002141C3"/>
    <w:rsid w:val="002141DC"/>
    <w:rsid w:val="0021440C"/>
    <w:rsid w:val="00214479"/>
    <w:rsid w:val="002144F3"/>
    <w:rsid w:val="002146C3"/>
    <w:rsid w:val="00214A9B"/>
    <w:rsid w:val="00215334"/>
    <w:rsid w:val="00215514"/>
    <w:rsid w:val="00215A2A"/>
    <w:rsid w:val="00215A3F"/>
    <w:rsid w:val="00215D21"/>
    <w:rsid w:val="0021636B"/>
    <w:rsid w:val="00216387"/>
    <w:rsid w:val="00216E7B"/>
    <w:rsid w:val="002170A1"/>
    <w:rsid w:val="00217A7A"/>
    <w:rsid w:val="00217DEF"/>
    <w:rsid w:val="00217E1F"/>
    <w:rsid w:val="00220274"/>
    <w:rsid w:val="002204BC"/>
    <w:rsid w:val="00220F7B"/>
    <w:rsid w:val="002213CE"/>
    <w:rsid w:val="00221AF7"/>
    <w:rsid w:val="00222494"/>
    <w:rsid w:val="00222775"/>
    <w:rsid w:val="00222A31"/>
    <w:rsid w:val="00222CF6"/>
    <w:rsid w:val="00224037"/>
    <w:rsid w:val="002244E4"/>
    <w:rsid w:val="00224586"/>
    <w:rsid w:val="00224D2A"/>
    <w:rsid w:val="00224D8D"/>
    <w:rsid w:val="0022555A"/>
    <w:rsid w:val="00225E6B"/>
    <w:rsid w:val="00227214"/>
    <w:rsid w:val="00227532"/>
    <w:rsid w:val="00227DDC"/>
    <w:rsid w:val="0023079F"/>
    <w:rsid w:val="00231135"/>
    <w:rsid w:val="00231B0B"/>
    <w:rsid w:val="00231D18"/>
    <w:rsid w:val="00232555"/>
    <w:rsid w:val="00232CB6"/>
    <w:rsid w:val="00233538"/>
    <w:rsid w:val="00234248"/>
    <w:rsid w:val="0023449F"/>
    <w:rsid w:val="002344F5"/>
    <w:rsid w:val="0023454D"/>
    <w:rsid w:val="00234679"/>
    <w:rsid w:val="00234D3E"/>
    <w:rsid w:val="002351C2"/>
    <w:rsid w:val="002359FC"/>
    <w:rsid w:val="002361C8"/>
    <w:rsid w:val="00236690"/>
    <w:rsid w:val="0023669D"/>
    <w:rsid w:val="002367EC"/>
    <w:rsid w:val="00237364"/>
    <w:rsid w:val="00237EAE"/>
    <w:rsid w:val="00237FA2"/>
    <w:rsid w:val="002403D5"/>
    <w:rsid w:val="00240C1F"/>
    <w:rsid w:val="00240F55"/>
    <w:rsid w:val="00240F67"/>
    <w:rsid w:val="00241144"/>
    <w:rsid w:val="00241427"/>
    <w:rsid w:val="00242510"/>
    <w:rsid w:val="00242F79"/>
    <w:rsid w:val="0024415B"/>
    <w:rsid w:val="00244E18"/>
    <w:rsid w:val="00245565"/>
    <w:rsid w:val="002458C1"/>
    <w:rsid w:val="00245E62"/>
    <w:rsid w:val="002460D0"/>
    <w:rsid w:val="00246168"/>
    <w:rsid w:val="00246357"/>
    <w:rsid w:val="00247422"/>
    <w:rsid w:val="00247BA2"/>
    <w:rsid w:val="002507B0"/>
    <w:rsid w:val="00250870"/>
    <w:rsid w:val="0025151C"/>
    <w:rsid w:val="0025184F"/>
    <w:rsid w:val="00251967"/>
    <w:rsid w:val="002527CC"/>
    <w:rsid w:val="00252F48"/>
    <w:rsid w:val="002530C0"/>
    <w:rsid w:val="00253586"/>
    <w:rsid w:val="002537FC"/>
    <w:rsid w:val="002542F8"/>
    <w:rsid w:val="002543EF"/>
    <w:rsid w:val="00254F2A"/>
    <w:rsid w:val="00255272"/>
    <w:rsid w:val="00255784"/>
    <w:rsid w:val="00255A29"/>
    <w:rsid w:val="0025631F"/>
    <w:rsid w:val="00256986"/>
    <w:rsid w:val="00256D61"/>
    <w:rsid w:val="00256E23"/>
    <w:rsid w:val="00257246"/>
    <w:rsid w:val="00257438"/>
    <w:rsid w:val="0026119C"/>
    <w:rsid w:val="00261AFE"/>
    <w:rsid w:val="0026212A"/>
    <w:rsid w:val="002621D7"/>
    <w:rsid w:val="00262996"/>
    <w:rsid w:val="00262D66"/>
    <w:rsid w:val="00263044"/>
    <w:rsid w:val="00263759"/>
    <w:rsid w:val="002638BD"/>
    <w:rsid w:val="0026470B"/>
    <w:rsid w:val="0026486D"/>
    <w:rsid w:val="00264C4B"/>
    <w:rsid w:val="00264ED0"/>
    <w:rsid w:val="00265346"/>
    <w:rsid w:val="00266045"/>
    <w:rsid w:val="002660C3"/>
    <w:rsid w:val="00266C21"/>
    <w:rsid w:val="00266DE1"/>
    <w:rsid w:val="00267887"/>
    <w:rsid w:val="00267A92"/>
    <w:rsid w:val="00267E43"/>
    <w:rsid w:val="00270282"/>
    <w:rsid w:val="0027062F"/>
    <w:rsid w:val="00270780"/>
    <w:rsid w:val="00270A01"/>
    <w:rsid w:val="00270CF6"/>
    <w:rsid w:val="00271097"/>
    <w:rsid w:val="002719FA"/>
    <w:rsid w:val="00271C53"/>
    <w:rsid w:val="0027244F"/>
    <w:rsid w:val="00273052"/>
    <w:rsid w:val="002739CE"/>
    <w:rsid w:val="00273C5F"/>
    <w:rsid w:val="002741D4"/>
    <w:rsid w:val="002743AC"/>
    <w:rsid w:val="0027499D"/>
    <w:rsid w:val="002751CA"/>
    <w:rsid w:val="0027544D"/>
    <w:rsid w:val="00277196"/>
    <w:rsid w:val="002775ED"/>
    <w:rsid w:val="002778AB"/>
    <w:rsid w:val="00277A1C"/>
    <w:rsid w:val="002802A5"/>
    <w:rsid w:val="00280CFB"/>
    <w:rsid w:val="00280D24"/>
    <w:rsid w:val="002815C4"/>
    <w:rsid w:val="00281BCB"/>
    <w:rsid w:val="00281C76"/>
    <w:rsid w:val="002821E2"/>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3748"/>
    <w:rsid w:val="00294012"/>
    <w:rsid w:val="002945B0"/>
    <w:rsid w:val="0029499D"/>
    <w:rsid w:val="00294A13"/>
    <w:rsid w:val="00294B10"/>
    <w:rsid w:val="00294DF9"/>
    <w:rsid w:val="00295073"/>
    <w:rsid w:val="00295468"/>
    <w:rsid w:val="0029680C"/>
    <w:rsid w:val="00296C32"/>
    <w:rsid w:val="002977CE"/>
    <w:rsid w:val="00297A66"/>
    <w:rsid w:val="00297AF5"/>
    <w:rsid w:val="002A02D6"/>
    <w:rsid w:val="002A07C4"/>
    <w:rsid w:val="002A0921"/>
    <w:rsid w:val="002A0CB3"/>
    <w:rsid w:val="002A1711"/>
    <w:rsid w:val="002A1887"/>
    <w:rsid w:val="002A2001"/>
    <w:rsid w:val="002A205F"/>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6FC1"/>
    <w:rsid w:val="002A7748"/>
    <w:rsid w:val="002A7ED3"/>
    <w:rsid w:val="002A7FB1"/>
    <w:rsid w:val="002A7FC9"/>
    <w:rsid w:val="002B137D"/>
    <w:rsid w:val="002B139C"/>
    <w:rsid w:val="002B1881"/>
    <w:rsid w:val="002B1F61"/>
    <w:rsid w:val="002B2070"/>
    <w:rsid w:val="002B2906"/>
    <w:rsid w:val="002B2C66"/>
    <w:rsid w:val="002B34E3"/>
    <w:rsid w:val="002B4F44"/>
    <w:rsid w:val="002B51B6"/>
    <w:rsid w:val="002B5AEE"/>
    <w:rsid w:val="002B6177"/>
    <w:rsid w:val="002B650C"/>
    <w:rsid w:val="002B68E6"/>
    <w:rsid w:val="002B6985"/>
    <w:rsid w:val="002B6D7A"/>
    <w:rsid w:val="002C0231"/>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8E9"/>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4F69"/>
    <w:rsid w:val="002D5AAD"/>
    <w:rsid w:val="002D5DA3"/>
    <w:rsid w:val="002D6097"/>
    <w:rsid w:val="002D65AD"/>
    <w:rsid w:val="002D6782"/>
    <w:rsid w:val="002D74A4"/>
    <w:rsid w:val="002D7C9C"/>
    <w:rsid w:val="002D7D99"/>
    <w:rsid w:val="002D7DB2"/>
    <w:rsid w:val="002D7DBD"/>
    <w:rsid w:val="002D7EA8"/>
    <w:rsid w:val="002D7FF1"/>
    <w:rsid w:val="002E00E1"/>
    <w:rsid w:val="002E0102"/>
    <w:rsid w:val="002E03AE"/>
    <w:rsid w:val="002E0542"/>
    <w:rsid w:val="002E05F2"/>
    <w:rsid w:val="002E0E87"/>
    <w:rsid w:val="002E12FA"/>
    <w:rsid w:val="002E13CF"/>
    <w:rsid w:val="002E201C"/>
    <w:rsid w:val="002E22CA"/>
    <w:rsid w:val="002E236F"/>
    <w:rsid w:val="002E33CA"/>
    <w:rsid w:val="002E37C5"/>
    <w:rsid w:val="002E3956"/>
    <w:rsid w:val="002E3C08"/>
    <w:rsid w:val="002E3CF2"/>
    <w:rsid w:val="002E469E"/>
    <w:rsid w:val="002E4C01"/>
    <w:rsid w:val="002E4D50"/>
    <w:rsid w:val="002E4DBC"/>
    <w:rsid w:val="002E55FF"/>
    <w:rsid w:val="002E587E"/>
    <w:rsid w:val="002E5B3A"/>
    <w:rsid w:val="002E5BDA"/>
    <w:rsid w:val="002E672A"/>
    <w:rsid w:val="002E6853"/>
    <w:rsid w:val="002E7EC1"/>
    <w:rsid w:val="002E7EE5"/>
    <w:rsid w:val="002F0323"/>
    <w:rsid w:val="002F0325"/>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129"/>
    <w:rsid w:val="002F7DF0"/>
    <w:rsid w:val="002F7FAF"/>
    <w:rsid w:val="00300573"/>
    <w:rsid w:val="003018A6"/>
    <w:rsid w:val="00301B79"/>
    <w:rsid w:val="003025FE"/>
    <w:rsid w:val="00302A27"/>
    <w:rsid w:val="00303AB6"/>
    <w:rsid w:val="00304640"/>
    <w:rsid w:val="00304AC1"/>
    <w:rsid w:val="00304C93"/>
    <w:rsid w:val="00305090"/>
    <w:rsid w:val="00305454"/>
    <w:rsid w:val="00305B9F"/>
    <w:rsid w:val="00305E21"/>
    <w:rsid w:val="003066C6"/>
    <w:rsid w:val="003066FA"/>
    <w:rsid w:val="00306AD6"/>
    <w:rsid w:val="003077F4"/>
    <w:rsid w:val="00307DC7"/>
    <w:rsid w:val="00307FF2"/>
    <w:rsid w:val="00310002"/>
    <w:rsid w:val="00310EDB"/>
    <w:rsid w:val="0031106F"/>
    <w:rsid w:val="00311C51"/>
    <w:rsid w:val="00311D56"/>
    <w:rsid w:val="00312016"/>
    <w:rsid w:val="00312340"/>
    <w:rsid w:val="00312DFC"/>
    <w:rsid w:val="0031318C"/>
    <w:rsid w:val="00313C9D"/>
    <w:rsid w:val="00313DF8"/>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27AC"/>
    <w:rsid w:val="003235E6"/>
    <w:rsid w:val="00324038"/>
    <w:rsid w:val="0032451F"/>
    <w:rsid w:val="00324951"/>
    <w:rsid w:val="003249F6"/>
    <w:rsid w:val="00324B2F"/>
    <w:rsid w:val="0032589D"/>
    <w:rsid w:val="00325FCC"/>
    <w:rsid w:val="00326106"/>
    <w:rsid w:val="00326805"/>
    <w:rsid w:val="003269B7"/>
    <w:rsid w:val="00326C0E"/>
    <w:rsid w:val="003272A3"/>
    <w:rsid w:val="003272E4"/>
    <w:rsid w:val="0032756B"/>
    <w:rsid w:val="00327B71"/>
    <w:rsid w:val="003303ED"/>
    <w:rsid w:val="00330A0F"/>
    <w:rsid w:val="00331461"/>
    <w:rsid w:val="003316A8"/>
    <w:rsid w:val="00331C80"/>
    <w:rsid w:val="00331CC9"/>
    <w:rsid w:val="003320D7"/>
    <w:rsid w:val="00332265"/>
    <w:rsid w:val="003322F8"/>
    <w:rsid w:val="003325D3"/>
    <w:rsid w:val="00332862"/>
    <w:rsid w:val="00332BFF"/>
    <w:rsid w:val="00332D52"/>
    <w:rsid w:val="00333337"/>
    <w:rsid w:val="00333A28"/>
    <w:rsid w:val="00333B6C"/>
    <w:rsid w:val="0033404C"/>
    <w:rsid w:val="00334927"/>
    <w:rsid w:val="003360AD"/>
    <w:rsid w:val="0033631D"/>
    <w:rsid w:val="003369C7"/>
    <w:rsid w:val="003373A6"/>
    <w:rsid w:val="00337409"/>
    <w:rsid w:val="0033792A"/>
    <w:rsid w:val="00337E18"/>
    <w:rsid w:val="003405AF"/>
    <w:rsid w:val="0034088F"/>
    <w:rsid w:val="00340B3E"/>
    <w:rsid w:val="00340E1A"/>
    <w:rsid w:val="003413D2"/>
    <w:rsid w:val="00341525"/>
    <w:rsid w:val="0034257E"/>
    <w:rsid w:val="00342811"/>
    <w:rsid w:val="003429A1"/>
    <w:rsid w:val="003429FC"/>
    <w:rsid w:val="00343079"/>
    <w:rsid w:val="00343127"/>
    <w:rsid w:val="00343320"/>
    <w:rsid w:val="00344066"/>
    <w:rsid w:val="003447C1"/>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822"/>
    <w:rsid w:val="00355D75"/>
    <w:rsid w:val="00355D8F"/>
    <w:rsid w:val="00356A73"/>
    <w:rsid w:val="00356FF0"/>
    <w:rsid w:val="003577EF"/>
    <w:rsid w:val="00357A3A"/>
    <w:rsid w:val="00357A60"/>
    <w:rsid w:val="00360304"/>
    <w:rsid w:val="00360A78"/>
    <w:rsid w:val="00361750"/>
    <w:rsid w:val="00362DE8"/>
    <w:rsid w:val="00363573"/>
    <w:rsid w:val="00363894"/>
    <w:rsid w:val="00363B2A"/>
    <w:rsid w:val="00363BF1"/>
    <w:rsid w:val="00363D45"/>
    <w:rsid w:val="00366779"/>
    <w:rsid w:val="003668E5"/>
    <w:rsid w:val="003669C8"/>
    <w:rsid w:val="00366CEB"/>
    <w:rsid w:val="003672B3"/>
    <w:rsid w:val="003676DF"/>
    <w:rsid w:val="00367783"/>
    <w:rsid w:val="00367898"/>
    <w:rsid w:val="003679D3"/>
    <w:rsid w:val="00367A87"/>
    <w:rsid w:val="00367EE7"/>
    <w:rsid w:val="00367F42"/>
    <w:rsid w:val="003703BB"/>
    <w:rsid w:val="003705EA"/>
    <w:rsid w:val="00370A56"/>
    <w:rsid w:val="00371213"/>
    <w:rsid w:val="003717BB"/>
    <w:rsid w:val="00372275"/>
    <w:rsid w:val="00372842"/>
    <w:rsid w:val="003729A5"/>
    <w:rsid w:val="00372C89"/>
    <w:rsid w:val="00372E9A"/>
    <w:rsid w:val="003735B9"/>
    <w:rsid w:val="00373634"/>
    <w:rsid w:val="00373B6E"/>
    <w:rsid w:val="00374677"/>
    <w:rsid w:val="0037510C"/>
    <w:rsid w:val="00375850"/>
    <w:rsid w:val="0037632F"/>
    <w:rsid w:val="00377B26"/>
    <w:rsid w:val="00380658"/>
    <w:rsid w:val="00381014"/>
    <w:rsid w:val="003811E0"/>
    <w:rsid w:val="00381604"/>
    <w:rsid w:val="00381B67"/>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4EA"/>
    <w:rsid w:val="00392B20"/>
    <w:rsid w:val="00392E35"/>
    <w:rsid w:val="00393157"/>
    <w:rsid w:val="00393247"/>
    <w:rsid w:val="00393551"/>
    <w:rsid w:val="00393816"/>
    <w:rsid w:val="00393FCD"/>
    <w:rsid w:val="003944EA"/>
    <w:rsid w:val="00394639"/>
    <w:rsid w:val="00394DF6"/>
    <w:rsid w:val="00394EC6"/>
    <w:rsid w:val="00395A02"/>
    <w:rsid w:val="00395B36"/>
    <w:rsid w:val="00395CD9"/>
    <w:rsid w:val="003962E6"/>
    <w:rsid w:val="00396831"/>
    <w:rsid w:val="003971A1"/>
    <w:rsid w:val="003A03B8"/>
    <w:rsid w:val="003A0F6B"/>
    <w:rsid w:val="003A12B6"/>
    <w:rsid w:val="003A1804"/>
    <w:rsid w:val="003A1C44"/>
    <w:rsid w:val="003A20D5"/>
    <w:rsid w:val="003A24CC"/>
    <w:rsid w:val="003A2512"/>
    <w:rsid w:val="003A2A53"/>
    <w:rsid w:val="003A2EE8"/>
    <w:rsid w:val="003A3249"/>
    <w:rsid w:val="003A373C"/>
    <w:rsid w:val="003A5378"/>
    <w:rsid w:val="003A553C"/>
    <w:rsid w:val="003A56DF"/>
    <w:rsid w:val="003A6008"/>
    <w:rsid w:val="003A703F"/>
    <w:rsid w:val="003A76BD"/>
    <w:rsid w:val="003A7E2B"/>
    <w:rsid w:val="003A7E40"/>
    <w:rsid w:val="003B0336"/>
    <w:rsid w:val="003B0A3A"/>
    <w:rsid w:val="003B0A6B"/>
    <w:rsid w:val="003B0D79"/>
    <w:rsid w:val="003B18C5"/>
    <w:rsid w:val="003B2930"/>
    <w:rsid w:val="003B31A7"/>
    <w:rsid w:val="003B31F2"/>
    <w:rsid w:val="003B3A29"/>
    <w:rsid w:val="003B4587"/>
    <w:rsid w:val="003B4B51"/>
    <w:rsid w:val="003B4FE1"/>
    <w:rsid w:val="003B514E"/>
    <w:rsid w:val="003B5531"/>
    <w:rsid w:val="003B636A"/>
    <w:rsid w:val="003B64A2"/>
    <w:rsid w:val="003B69CE"/>
    <w:rsid w:val="003B7403"/>
    <w:rsid w:val="003B7C3C"/>
    <w:rsid w:val="003C011C"/>
    <w:rsid w:val="003C0BF8"/>
    <w:rsid w:val="003C0E32"/>
    <w:rsid w:val="003C11D7"/>
    <w:rsid w:val="003C126B"/>
    <w:rsid w:val="003C141F"/>
    <w:rsid w:val="003C16CB"/>
    <w:rsid w:val="003C1B97"/>
    <w:rsid w:val="003C247B"/>
    <w:rsid w:val="003C3292"/>
    <w:rsid w:val="003C3525"/>
    <w:rsid w:val="003C3C1E"/>
    <w:rsid w:val="003C3D88"/>
    <w:rsid w:val="003C4134"/>
    <w:rsid w:val="003C435B"/>
    <w:rsid w:val="003C4C8E"/>
    <w:rsid w:val="003C4EBE"/>
    <w:rsid w:val="003C5887"/>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A13"/>
    <w:rsid w:val="003D2DA0"/>
    <w:rsid w:val="003D34C3"/>
    <w:rsid w:val="003D3A35"/>
    <w:rsid w:val="003D3D83"/>
    <w:rsid w:val="003D4685"/>
    <w:rsid w:val="003D4A41"/>
    <w:rsid w:val="003D4CDF"/>
    <w:rsid w:val="003D514A"/>
    <w:rsid w:val="003D5484"/>
    <w:rsid w:val="003D5ADB"/>
    <w:rsid w:val="003D6202"/>
    <w:rsid w:val="003D6448"/>
    <w:rsid w:val="003D646C"/>
    <w:rsid w:val="003D663E"/>
    <w:rsid w:val="003D664B"/>
    <w:rsid w:val="003D6793"/>
    <w:rsid w:val="003D6B03"/>
    <w:rsid w:val="003D6B76"/>
    <w:rsid w:val="003D75D8"/>
    <w:rsid w:val="003E006E"/>
    <w:rsid w:val="003E0947"/>
    <w:rsid w:val="003E0E96"/>
    <w:rsid w:val="003E16B9"/>
    <w:rsid w:val="003E20F7"/>
    <w:rsid w:val="003E2444"/>
    <w:rsid w:val="003E336A"/>
    <w:rsid w:val="003E3E2F"/>
    <w:rsid w:val="003E4048"/>
    <w:rsid w:val="003E4CE5"/>
    <w:rsid w:val="003E5A46"/>
    <w:rsid w:val="003E604C"/>
    <w:rsid w:val="003E60DA"/>
    <w:rsid w:val="003E6E00"/>
    <w:rsid w:val="003E7111"/>
    <w:rsid w:val="003E7940"/>
    <w:rsid w:val="003F01BD"/>
    <w:rsid w:val="003F0486"/>
    <w:rsid w:val="003F048E"/>
    <w:rsid w:val="003F09FA"/>
    <w:rsid w:val="003F0AFF"/>
    <w:rsid w:val="003F175C"/>
    <w:rsid w:val="003F1AA2"/>
    <w:rsid w:val="003F26DC"/>
    <w:rsid w:val="003F292C"/>
    <w:rsid w:val="003F42FF"/>
    <w:rsid w:val="003F4B48"/>
    <w:rsid w:val="003F4DDC"/>
    <w:rsid w:val="003F56B8"/>
    <w:rsid w:val="003F57CB"/>
    <w:rsid w:val="003F5F1A"/>
    <w:rsid w:val="003F5F2A"/>
    <w:rsid w:val="003F6327"/>
    <w:rsid w:val="003F7425"/>
    <w:rsid w:val="003F765B"/>
    <w:rsid w:val="003F7CB8"/>
    <w:rsid w:val="00400CB4"/>
    <w:rsid w:val="00401386"/>
    <w:rsid w:val="004013E6"/>
    <w:rsid w:val="00401E31"/>
    <w:rsid w:val="00402BBA"/>
    <w:rsid w:val="004035D0"/>
    <w:rsid w:val="0040361D"/>
    <w:rsid w:val="00403795"/>
    <w:rsid w:val="00403B06"/>
    <w:rsid w:val="004041FB"/>
    <w:rsid w:val="0040443E"/>
    <w:rsid w:val="00404628"/>
    <w:rsid w:val="004056B6"/>
    <w:rsid w:val="00405764"/>
    <w:rsid w:val="00405AA4"/>
    <w:rsid w:val="00406745"/>
    <w:rsid w:val="0040674B"/>
    <w:rsid w:val="00406B32"/>
    <w:rsid w:val="004074AD"/>
    <w:rsid w:val="004074FA"/>
    <w:rsid w:val="00407A56"/>
    <w:rsid w:val="00407FCC"/>
    <w:rsid w:val="0041035A"/>
    <w:rsid w:val="00410E76"/>
    <w:rsid w:val="004112D1"/>
    <w:rsid w:val="004113C9"/>
    <w:rsid w:val="00411D1E"/>
    <w:rsid w:val="00411DF2"/>
    <w:rsid w:val="004120DF"/>
    <w:rsid w:val="004126B5"/>
    <w:rsid w:val="00413FEE"/>
    <w:rsid w:val="00414512"/>
    <w:rsid w:val="00414909"/>
    <w:rsid w:val="00414D7A"/>
    <w:rsid w:val="00415034"/>
    <w:rsid w:val="00415B1A"/>
    <w:rsid w:val="00415DFD"/>
    <w:rsid w:val="00416208"/>
    <w:rsid w:val="0041690F"/>
    <w:rsid w:val="004169D3"/>
    <w:rsid w:val="00416C2B"/>
    <w:rsid w:val="00416D41"/>
    <w:rsid w:val="00416E70"/>
    <w:rsid w:val="00417264"/>
    <w:rsid w:val="00417490"/>
    <w:rsid w:val="004210C0"/>
    <w:rsid w:val="004211DD"/>
    <w:rsid w:val="00421762"/>
    <w:rsid w:val="00421D4B"/>
    <w:rsid w:val="00421ED8"/>
    <w:rsid w:val="00422907"/>
    <w:rsid w:val="00423125"/>
    <w:rsid w:val="00423309"/>
    <w:rsid w:val="004233AD"/>
    <w:rsid w:val="0042372C"/>
    <w:rsid w:val="00424446"/>
    <w:rsid w:val="00424867"/>
    <w:rsid w:val="00425341"/>
    <w:rsid w:val="004255FE"/>
    <w:rsid w:val="00425674"/>
    <w:rsid w:val="004259A5"/>
    <w:rsid w:val="00425A82"/>
    <w:rsid w:val="00425C60"/>
    <w:rsid w:val="00426B2C"/>
    <w:rsid w:val="00427D10"/>
    <w:rsid w:val="00427FA8"/>
    <w:rsid w:val="0043009D"/>
    <w:rsid w:val="0043026B"/>
    <w:rsid w:val="00430299"/>
    <w:rsid w:val="004306D4"/>
    <w:rsid w:val="00431810"/>
    <w:rsid w:val="00431A2A"/>
    <w:rsid w:val="00431C62"/>
    <w:rsid w:val="00432ECA"/>
    <w:rsid w:val="00433B43"/>
    <w:rsid w:val="004341AF"/>
    <w:rsid w:val="0043554E"/>
    <w:rsid w:val="004355D4"/>
    <w:rsid w:val="004357B1"/>
    <w:rsid w:val="00435821"/>
    <w:rsid w:val="0043583E"/>
    <w:rsid w:val="00436CCE"/>
    <w:rsid w:val="00436EAD"/>
    <w:rsid w:val="00437439"/>
    <w:rsid w:val="004375E1"/>
    <w:rsid w:val="00437730"/>
    <w:rsid w:val="00437A2F"/>
    <w:rsid w:val="00437B38"/>
    <w:rsid w:val="00440262"/>
    <w:rsid w:val="004406BF"/>
    <w:rsid w:val="00440814"/>
    <w:rsid w:val="00440D68"/>
    <w:rsid w:val="0044105D"/>
    <w:rsid w:val="00441424"/>
    <w:rsid w:val="00442731"/>
    <w:rsid w:val="00442C12"/>
    <w:rsid w:val="004434DF"/>
    <w:rsid w:val="0044354B"/>
    <w:rsid w:val="0044455F"/>
    <w:rsid w:val="0044493E"/>
    <w:rsid w:val="00444A1F"/>
    <w:rsid w:val="00444FC6"/>
    <w:rsid w:val="00445004"/>
    <w:rsid w:val="00445874"/>
    <w:rsid w:val="00445C38"/>
    <w:rsid w:val="00446199"/>
    <w:rsid w:val="0044686B"/>
    <w:rsid w:val="004475F7"/>
    <w:rsid w:val="0045057B"/>
    <w:rsid w:val="0045069B"/>
    <w:rsid w:val="00450B22"/>
    <w:rsid w:val="004515DE"/>
    <w:rsid w:val="00451709"/>
    <w:rsid w:val="004518FA"/>
    <w:rsid w:val="00451A02"/>
    <w:rsid w:val="0045277C"/>
    <w:rsid w:val="004531DC"/>
    <w:rsid w:val="00453507"/>
    <w:rsid w:val="00453592"/>
    <w:rsid w:val="004543AB"/>
    <w:rsid w:val="004545EC"/>
    <w:rsid w:val="00455392"/>
    <w:rsid w:val="00455967"/>
    <w:rsid w:val="00455F71"/>
    <w:rsid w:val="00456272"/>
    <w:rsid w:val="0045679C"/>
    <w:rsid w:val="004570EF"/>
    <w:rsid w:val="004572D4"/>
    <w:rsid w:val="00457517"/>
    <w:rsid w:val="004579EC"/>
    <w:rsid w:val="00457CF7"/>
    <w:rsid w:val="00457D37"/>
    <w:rsid w:val="00457D7B"/>
    <w:rsid w:val="0046028A"/>
    <w:rsid w:val="00460CAC"/>
    <w:rsid w:val="00460E3A"/>
    <w:rsid w:val="00460E68"/>
    <w:rsid w:val="004614BC"/>
    <w:rsid w:val="004619A5"/>
    <w:rsid w:val="00461F80"/>
    <w:rsid w:val="0046240D"/>
    <w:rsid w:val="00462898"/>
    <w:rsid w:val="00462D5B"/>
    <w:rsid w:val="00462D81"/>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4BF"/>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E1B"/>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77A"/>
    <w:rsid w:val="00494E90"/>
    <w:rsid w:val="00495380"/>
    <w:rsid w:val="00495553"/>
    <w:rsid w:val="0049570D"/>
    <w:rsid w:val="0049584D"/>
    <w:rsid w:val="00495C48"/>
    <w:rsid w:val="00495DC6"/>
    <w:rsid w:val="00496CCE"/>
    <w:rsid w:val="004978C1"/>
    <w:rsid w:val="00497AAD"/>
    <w:rsid w:val="00497BD7"/>
    <w:rsid w:val="00497D1A"/>
    <w:rsid w:val="004A00C9"/>
    <w:rsid w:val="004A03D0"/>
    <w:rsid w:val="004A1049"/>
    <w:rsid w:val="004A1AFA"/>
    <w:rsid w:val="004A1D81"/>
    <w:rsid w:val="004A1E1C"/>
    <w:rsid w:val="004A1EA7"/>
    <w:rsid w:val="004A26F5"/>
    <w:rsid w:val="004A2EF8"/>
    <w:rsid w:val="004A3A21"/>
    <w:rsid w:val="004A407A"/>
    <w:rsid w:val="004A4E3B"/>
    <w:rsid w:val="004A6110"/>
    <w:rsid w:val="004A61B8"/>
    <w:rsid w:val="004A6415"/>
    <w:rsid w:val="004A64F9"/>
    <w:rsid w:val="004A65F4"/>
    <w:rsid w:val="004A6D2C"/>
    <w:rsid w:val="004A7733"/>
    <w:rsid w:val="004B026C"/>
    <w:rsid w:val="004B0271"/>
    <w:rsid w:val="004B0BE8"/>
    <w:rsid w:val="004B0E4A"/>
    <w:rsid w:val="004B18F4"/>
    <w:rsid w:val="004B1A98"/>
    <w:rsid w:val="004B2463"/>
    <w:rsid w:val="004B2E9D"/>
    <w:rsid w:val="004B305F"/>
    <w:rsid w:val="004B34C4"/>
    <w:rsid w:val="004B34E8"/>
    <w:rsid w:val="004B3981"/>
    <w:rsid w:val="004B3A03"/>
    <w:rsid w:val="004B3D51"/>
    <w:rsid w:val="004B419F"/>
    <w:rsid w:val="004B4EA9"/>
    <w:rsid w:val="004B5C96"/>
    <w:rsid w:val="004B6124"/>
    <w:rsid w:val="004B6E50"/>
    <w:rsid w:val="004B728F"/>
    <w:rsid w:val="004B7317"/>
    <w:rsid w:val="004B75B2"/>
    <w:rsid w:val="004B75C6"/>
    <w:rsid w:val="004B7D44"/>
    <w:rsid w:val="004C02C5"/>
    <w:rsid w:val="004C0BF0"/>
    <w:rsid w:val="004C0D40"/>
    <w:rsid w:val="004C0D94"/>
    <w:rsid w:val="004C114F"/>
    <w:rsid w:val="004C11A9"/>
    <w:rsid w:val="004C27CF"/>
    <w:rsid w:val="004C2CA7"/>
    <w:rsid w:val="004C3592"/>
    <w:rsid w:val="004C375C"/>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29"/>
    <w:rsid w:val="004D16A3"/>
    <w:rsid w:val="004D1934"/>
    <w:rsid w:val="004D199D"/>
    <w:rsid w:val="004D1E41"/>
    <w:rsid w:val="004D2326"/>
    <w:rsid w:val="004D2E11"/>
    <w:rsid w:val="004D3108"/>
    <w:rsid w:val="004D329C"/>
    <w:rsid w:val="004D34D1"/>
    <w:rsid w:val="004D4523"/>
    <w:rsid w:val="004D4990"/>
    <w:rsid w:val="004D4B05"/>
    <w:rsid w:val="004D51D6"/>
    <w:rsid w:val="004D5B4B"/>
    <w:rsid w:val="004D5CC4"/>
    <w:rsid w:val="004D6BF2"/>
    <w:rsid w:val="004D6F29"/>
    <w:rsid w:val="004D758F"/>
    <w:rsid w:val="004D76CF"/>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959"/>
    <w:rsid w:val="004E3A2A"/>
    <w:rsid w:val="004E3AB1"/>
    <w:rsid w:val="004E4003"/>
    <w:rsid w:val="004E428D"/>
    <w:rsid w:val="004E4626"/>
    <w:rsid w:val="004E4984"/>
    <w:rsid w:val="004E5101"/>
    <w:rsid w:val="004E5380"/>
    <w:rsid w:val="004E5D19"/>
    <w:rsid w:val="004E606D"/>
    <w:rsid w:val="004E6746"/>
    <w:rsid w:val="004E6CAC"/>
    <w:rsid w:val="004E6F69"/>
    <w:rsid w:val="004E75C1"/>
    <w:rsid w:val="004E777F"/>
    <w:rsid w:val="004F07F2"/>
    <w:rsid w:val="004F07F9"/>
    <w:rsid w:val="004F0A50"/>
    <w:rsid w:val="004F0D1F"/>
    <w:rsid w:val="004F0E82"/>
    <w:rsid w:val="004F13EB"/>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247"/>
    <w:rsid w:val="004F531B"/>
    <w:rsid w:val="004F560C"/>
    <w:rsid w:val="004F5DBB"/>
    <w:rsid w:val="004F5F2F"/>
    <w:rsid w:val="004F60B4"/>
    <w:rsid w:val="004F61A3"/>
    <w:rsid w:val="004F6874"/>
    <w:rsid w:val="004F7922"/>
    <w:rsid w:val="004F7A1F"/>
    <w:rsid w:val="004F7B47"/>
    <w:rsid w:val="0050079C"/>
    <w:rsid w:val="0050106A"/>
    <w:rsid w:val="005010BC"/>
    <w:rsid w:val="00501848"/>
    <w:rsid w:val="00502B31"/>
    <w:rsid w:val="00502D6D"/>
    <w:rsid w:val="0050434C"/>
    <w:rsid w:val="0050537D"/>
    <w:rsid w:val="00505861"/>
    <w:rsid w:val="0050591C"/>
    <w:rsid w:val="00505935"/>
    <w:rsid w:val="005059BD"/>
    <w:rsid w:val="005060AE"/>
    <w:rsid w:val="005061D2"/>
    <w:rsid w:val="0050790B"/>
    <w:rsid w:val="00507FDF"/>
    <w:rsid w:val="0051037C"/>
    <w:rsid w:val="0051050F"/>
    <w:rsid w:val="0051058B"/>
    <w:rsid w:val="005105CD"/>
    <w:rsid w:val="00510734"/>
    <w:rsid w:val="00510DDC"/>
    <w:rsid w:val="00511166"/>
    <w:rsid w:val="00511A7A"/>
    <w:rsid w:val="00512217"/>
    <w:rsid w:val="00512459"/>
    <w:rsid w:val="005131A2"/>
    <w:rsid w:val="005137E4"/>
    <w:rsid w:val="00513BB9"/>
    <w:rsid w:val="0051440E"/>
    <w:rsid w:val="00514480"/>
    <w:rsid w:val="005147C4"/>
    <w:rsid w:val="005148CD"/>
    <w:rsid w:val="00515180"/>
    <w:rsid w:val="00515973"/>
    <w:rsid w:val="00516069"/>
    <w:rsid w:val="00517AC8"/>
    <w:rsid w:val="00517C3E"/>
    <w:rsid w:val="005207D8"/>
    <w:rsid w:val="0052091D"/>
    <w:rsid w:val="005212F4"/>
    <w:rsid w:val="005216A3"/>
    <w:rsid w:val="00521908"/>
    <w:rsid w:val="00521CEE"/>
    <w:rsid w:val="005224BC"/>
    <w:rsid w:val="00522928"/>
    <w:rsid w:val="00522FF1"/>
    <w:rsid w:val="00523946"/>
    <w:rsid w:val="0052397A"/>
    <w:rsid w:val="0052483E"/>
    <w:rsid w:val="00524A6A"/>
    <w:rsid w:val="005256D6"/>
    <w:rsid w:val="00525AD8"/>
    <w:rsid w:val="00526429"/>
    <w:rsid w:val="005266C1"/>
    <w:rsid w:val="005267F4"/>
    <w:rsid w:val="00526966"/>
    <w:rsid w:val="005269D3"/>
    <w:rsid w:val="00527317"/>
    <w:rsid w:val="00527C5E"/>
    <w:rsid w:val="00527ED6"/>
    <w:rsid w:val="0053024F"/>
    <w:rsid w:val="005303E9"/>
    <w:rsid w:val="005309F7"/>
    <w:rsid w:val="00531064"/>
    <w:rsid w:val="005312CB"/>
    <w:rsid w:val="005313B2"/>
    <w:rsid w:val="00531911"/>
    <w:rsid w:val="00531E92"/>
    <w:rsid w:val="005323A7"/>
    <w:rsid w:val="005324D7"/>
    <w:rsid w:val="005326F0"/>
    <w:rsid w:val="00532764"/>
    <w:rsid w:val="00532AA5"/>
    <w:rsid w:val="00532C5F"/>
    <w:rsid w:val="00533233"/>
    <w:rsid w:val="005335A2"/>
    <w:rsid w:val="00533D13"/>
    <w:rsid w:val="00533DEC"/>
    <w:rsid w:val="00534026"/>
    <w:rsid w:val="00534D55"/>
    <w:rsid w:val="00535B53"/>
    <w:rsid w:val="00536B03"/>
    <w:rsid w:val="005371D5"/>
    <w:rsid w:val="00537456"/>
    <w:rsid w:val="0053790C"/>
    <w:rsid w:val="00537974"/>
    <w:rsid w:val="00537B3D"/>
    <w:rsid w:val="00540401"/>
    <w:rsid w:val="005405B2"/>
    <w:rsid w:val="0054076A"/>
    <w:rsid w:val="00540D47"/>
    <w:rsid w:val="00540EE7"/>
    <w:rsid w:val="00541A22"/>
    <w:rsid w:val="00541EAD"/>
    <w:rsid w:val="005424C2"/>
    <w:rsid w:val="005426B2"/>
    <w:rsid w:val="005426BD"/>
    <w:rsid w:val="00543519"/>
    <w:rsid w:val="00543640"/>
    <w:rsid w:val="00544019"/>
    <w:rsid w:val="0054442E"/>
    <w:rsid w:val="005444C6"/>
    <w:rsid w:val="00544591"/>
    <w:rsid w:val="00544BF9"/>
    <w:rsid w:val="00544F05"/>
    <w:rsid w:val="00544FCC"/>
    <w:rsid w:val="005454B8"/>
    <w:rsid w:val="005455BB"/>
    <w:rsid w:val="00545ACB"/>
    <w:rsid w:val="00545DB9"/>
    <w:rsid w:val="005461BC"/>
    <w:rsid w:val="005462ED"/>
    <w:rsid w:val="00546585"/>
    <w:rsid w:val="0054680A"/>
    <w:rsid w:val="00546A91"/>
    <w:rsid w:val="00546BF8"/>
    <w:rsid w:val="00547344"/>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D45"/>
    <w:rsid w:val="00557F87"/>
    <w:rsid w:val="00560FCB"/>
    <w:rsid w:val="00561001"/>
    <w:rsid w:val="0056111C"/>
    <w:rsid w:val="00561140"/>
    <w:rsid w:val="00561412"/>
    <w:rsid w:val="00561903"/>
    <w:rsid w:val="00561A9B"/>
    <w:rsid w:val="00561E54"/>
    <w:rsid w:val="00561F73"/>
    <w:rsid w:val="005621F7"/>
    <w:rsid w:val="0056278F"/>
    <w:rsid w:val="00562C8D"/>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0F95"/>
    <w:rsid w:val="0057200B"/>
    <w:rsid w:val="00572297"/>
    <w:rsid w:val="00572B30"/>
    <w:rsid w:val="0057345D"/>
    <w:rsid w:val="0057347D"/>
    <w:rsid w:val="00573560"/>
    <w:rsid w:val="005738BB"/>
    <w:rsid w:val="00573973"/>
    <w:rsid w:val="00574E7B"/>
    <w:rsid w:val="00574F36"/>
    <w:rsid w:val="0057516C"/>
    <w:rsid w:val="00575D4C"/>
    <w:rsid w:val="00576B5C"/>
    <w:rsid w:val="005770CC"/>
    <w:rsid w:val="00577A60"/>
    <w:rsid w:val="005802F9"/>
    <w:rsid w:val="005806D5"/>
    <w:rsid w:val="00580DFC"/>
    <w:rsid w:val="0058134C"/>
    <w:rsid w:val="005815CD"/>
    <w:rsid w:val="0058173F"/>
    <w:rsid w:val="005827A7"/>
    <w:rsid w:val="005828CB"/>
    <w:rsid w:val="00583D43"/>
    <w:rsid w:val="005846C3"/>
    <w:rsid w:val="00584C8E"/>
    <w:rsid w:val="00584F04"/>
    <w:rsid w:val="0058544C"/>
    <w:rsid w:val="00585623"/>
    <w:rsid w:val="005857F7"/>
    <w:rsid w:val="0058652B"/>
    <w:rsid w:val="005865E9"/>
    <w:rsid w:val="005868FD"/>
    <w:rsid w:val="00587411"/>
    <w:rsid w:val="0058769F"/>
    <w:rsid w:val="00587D7B"/>
    <w:rsid w:val="005904DB"/>
    <w:rsid w:val="005905ED"/>
    <w:rsid w:val="00590D11"/>
    <w:rsid w:val="00591BA6"/>
    <w:rsid w:val="00592825"/>
    <w:rsid w:val="00594437"/>
    <w:rsid w:val="00594B70"/>
    <w:rsid w:val="00594D62"/>
    <w:rsid w:val="00596CFA"/>
    <w:rsid w:val="00596EC6"/>
    <w:rsid w:val="00596F83"/>
    <w:rsid w:val="005975CE"/>
    <w:rsid w:val="005A0088"/>
    <w:rsid w:val="005A04F6"/>
    <w:rsid w:val="005A0C74"/>
    <w:rsid w:val="005A14F0"/>
    <w:rsid w:val="005A1861"/>
    <w:rsid w:val="005A1A31"/>
    <w:rsid w:val="005A243F"/>
    <w:rsid w:val="005A2520"/>
    <w:rsid w:val="005A29A5"/>
    <w:rsid w:val="005A3287"/>
    <w:rsid w:val="005A361D"/>
    <w:rsid w:val="005A36C2"/>
    <w:rsid w:val="005A3719"/>
    <w:rsid w:val="005A3A94"/>
    <w:rsid w:val="005A3DD7"/>
    <w:rsid w:val="005A40FA"/>
    <w:rsid w:val="005A4C20"/>
    <w:rsid w:val="005A4DD5"/>
    <w:rsid w:val="005A4F48"/>
    <w:rsid w:val="005A54F1"/>
    <w:rsid w:val="005A57B8"/>
    <w:rsid w:val="005A5DDE"/>
    <w:rsid w:val="005A64A8"/>
    <w:rsid w:val="005A65C5"/>
    <w:rsid w:val="005A682A"/>
    <w:rsid w:val="005A6875"/>
    <w:rsid w:val="005A6A95"/>
    <w:rsid w:val="005A7016"/>
    <w:rsid w:val="005A7703"/>
    <w:rsid w:val="005A7A32"/>
    <w:rsid w:val="005A7F85"/>
    <w:rsid w:val="005B00DD"/>
    <w:rsid w:val="005B03B1"/>
    <w:rsid w:val="005B07D5"/>
    <w:rsid w:val="005B1A8A"/>
    <w:rsid w:val="005B1AAB"/>
    <w:rsid w:val="005B1DB9"/>
    <w:rsid w:val="005B208A"/>
    <w:rsid w:val="005B2578"/>
    <w:rsid w:val="005B2930"/>
    <w:rsid w:val="005B2B87"/>
    <w:rsid w:val="005B2FAA"/>
    <w:rsid w:val="005B33C8"/>
    <w:rsid w:val="005B387B"/>
    <w:rsid w:val="005B3B01"/>
    <w:rsid w:val="005B4333"/>
    <w:rsid w:val="005B48BE"/>
    <w:rsid w:val="005B57CC"/>
    <w:rsid w:val="005B58F7"/>
    <w:rsid w:val="005B5981"/>
    <w:rsid w:val="005B5994"/>
    <w:rsid w:val="005B6474"/>
    <w:rsid w:val="005B666D"/>
    <w:rsid w:val="005B667A"/>
    <w:rsid w:val="005B6865"/>
    <w:rsid w:val="005B7840"/>
    <w:rsid w:val="005C039B"/>
    <w:rsid w:val="005C059F"/>
    <w:rsid w:val="005C07CE"/>
    <w:rsid w:val="005C0B8F"/>
    <w:rsid w:val="005C1312"/>
    <w:rsid w:val="005C194E"/>
    <w:rsid w:val="005C1C83"/>
    <w:rsid w:val="005C1DB1"/>
    <w:rsid w:val="005C226F"/>
    <w:rsid w:val="005C2294"/>
    <w:rsid w:val="005C2E48"/>
    <w:rsid w:val="005C3344"/>
    <w:rsid w:val="005C4B28"/>
    <w:rsid w:val="005C4E4D"/>
    <w:rsid w:val="005C51DD"/>
    <w:rsid w:val="005C58F2"/>
    <w:rsid w:val="005C5A97"/>
    <w:rsid w:val="005C5F77"/>
    <w:rsid w:val="005C6AAB"/>
    <w:rsid w:val="005C6BF3"/>
    <w:rsid w:val="005C6C80"/>
    <w:rsid w:val="005C6D5D"/>
    <w:rsid w:val="005C6FD0"/>
    <w:rsid w:val="005C78A6"/>
    <w:rsid w:val="005D01C3"/>
    <w:rsid w:val="005D05FF"/>
    <w:rsid w:val="005D0FB4"/>
    <w:rsid w:val="005D1176"/>
    <w:rsid w:val="005D1747"/>
    <w:rsid w:val="005D266D"/>
    <w:rsid w:val="005D306D"/>
    <w:rsid w:val="005D3327"/>
    <w:rsid w:val="005D476A"/>
    <w:rsid w:val="005D4854"/>
    <w:rsid w:val="005D5BCF"/>
    <w:rsid w:val="005D5CA3"/>
    <w:rsid w:val="005D65BF"/>
    <w:rsid w:val="005D6D84"/>
    <w:rsid w:val="005D70A1"/>
    <w:rsid w:val="005D79F2"/>
    <w:rsid w:val="005D79FB"/>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1DB"/>
    <w:rsid w:val="005F1470"/>
    <w:rsid w:val="005F15A9"/>
    <w:rsid w:val="005F273D"/>
    <w:rsid w:val="005F2807"/>
    <w:rsid w:val="005F2CD5"/>
    <w:rsid w:val="005F3382"/>
    <w:rsid w:val="005F3720"/>
    <w:rsid w:val="005F3977"/>
    <w:rsid w:val="005F4F00"/>
    <w:rsid w:val="005F5506"/>
    <w:rsid w:val="005F5A0D"/>
    <w:rsid w:val="005F60DF"/>
    <w:rsid w:val="005F615B"/>
    <w:rsid w:val="005F61DF"/>
    <w:rsid w:val="005F680A"/>
    <w:rsid w:val="005F6880"/>
    <w:rsid w:val="005F6B3E"/>
    <w:rsid w:val="005F6ED2"/>
    <w:rsid w:val="005F745B"/>
    <w:rsid w:val="005F77F8"/>
    <w:rsid w:val="005F7CA8"/>
    <w:rsid w:val="0060008F"/>
    <w:rsid w:val="00600A8C"/>
    <w:rsid w:val="00600DE1"/>
    <w:rsid w:val="00601506"/>
    <w:rsid w:val="00601596"/>
    <w:rsid w:val="00601C92"/>
    <w:rsid w:val="00601F66"/>
    <w:rsid w:val="00602764"/>
    <w:rsid w:val="00602B29"/>
    <w:rsid w:val="00602DAD"/>
    <w:rsid w:val="00603373"/>
    <w:rsid w:val="006036D0"/>
    <w:rsid w:val="00603B1C"/>
    <w:rsid w:val="006042CD"/>
    <w:rsid w:val="006043D9"/>
    <w:rsid w:val="00605217"/>
    <w:rsid w:val="006054A5"/>
    <w:rsid w:val="006059E4"/>
    <w:rsid w:val="00605D60"/>
    <w:rsid w:val="006062A0"/>
    <w:rsid w:val="00606CE0"/>
    <w:rsid w:val="00607015"/>
    <w:rsid w:val="00607261"/>
    <w:rsid w:val="0060746E"/>
    <w:rsid w:val="0060795C"/>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1935"/>
    <w:rsid w:val="00622B22"/>
    <w:rsid w:val="00622F67"/>
    <w:rsid w:val="00623571"/>
    <w:rsid w:val="00623A5E"/>
    <w:rsid w:val="006245B1"/>
    <w:rsid w:val="00625008"/>
    <w:rsid w:val="0062548B"/>
    <w:rsid w:val="00625553"/>
    <w:rsid w:val="006257A3"/>
    <w:rsid w:val="00626710"/>
    <w:rsid w:val="00626930"/>
    <w:rsid w:val="00626A04"/>
    <w:rsid w:val="00626AD3"/>
    <w:rsid w:val="00626BAC"/>
    <w:rsid w:val="006271C3"/>
    <w:rsid w:val="006277EA"/>
    <w:rsid w:val="00627B14"/>
    <w:rsid w:val="00627BD7"/>
    <w:rsid w:val="0063001E"/>
    <w:rsid w:val="00630023"/>
    <w:rsid w:val="006308EE"/>
    <w:rsid w:val="00630C70"/>
    <w:rsid w:val="00630D67"/>
    <w:rsid w:val="00631005"/>
    <w:rsid w:val="006312FA"/>
    <w:rsid w:val="00631C79"/>
    <w:rsid w:val="00631F32"/>
    <w:rsid w:val="00632727"/>
    <w:rsid w:val="0063283D"/>
    <w:rsid w:val="00633769"/>
    <w:rsid w:val="00633FE3"/>
    <w:rsid w:val="00634276"/>
    <w:rsid w:val="00634570"/>
    <w:rsid w:val="0063481A"/>
    <w:rsid w:val="0063487C"/>
    <w:rsid w:val="00635B73"/>
    <w:rsid w:val="00635BB7"/>
    <w:rsid w:val="00635DCB"/>
    <w:rsid w:val="00636BF1"/>
    <w:rsid w:val="00636CC7"/>
    <w:rsid w:val="00637F27"/>
    <w:rsid w:val="006405EC"/>
    <w:rsid w:val="00640A4D"/>
    <w:rsid w:val="00640EBD"/>
    <w:rsid w:val="006418F2"/>
    <w:rsid w:val="00641A84"/>
    <w:rsid w:val="00641B05"/>
    <w:rsid w:val="00641DA1"/>
    <w:rsid w:val="00641E5B"/>
    <w:rsid w:val="00642369"/>
    <w:rsid w:val="006428D7"/>
    <w:rsid w:val="00642C69"/>
    <w:rsid w:val="0064330A"/>
    <w:rsid w:val="00643F89"/>
    <w:rsid w:val="00644334"/>
    <w:rsid w:val="0064487C"/>
    <w:rsid w:val="00644BED"/>
    <w:rsid w:val="00644E2E"/>
    <w:rsid w:val="00645A3A"/>
    <w:rsid w:val="00645B87"/>
    <w:rsid w:val="00645CB4"/>
    <w:rsid w:val="00646084"/>
    <w:rsid w:val="006468ED"/>
    <w:rsid w:val="006472CD"/>
    <w:rsid w:val="0064758A"/>
    <w:rsid w:val="00647664"/>
    <w:rsid w:val="00650401"/>
    <w:rsid w:val="006506AA"/>
    <w:rsid w:val="00650D19"/>
    <w:rsid w:val="006515FD"/>
    <w:rsid w:val="00652647"/>
    <w:rsid w:val="00652CF5"/>
    <w:rsid w:val="0065343E"/>
    <w:rsid w:val="00653446"/>
    <w:rsid w:val="00653672"/>
    <w:rsid w:val="006536BB"/>
    <w:rsid w:val="0065398F"/>
    <w:rsid w:val="00653C7C"/>
    <w:rsid w:val="00654252"/>
    <w:rsid w:val="006543B7"/>
    <w:rsid w:val="00654EA5"/>
    <w:rsid w:val="0065587E"/>
    <w:rsid w:val="006558CD"/>
    <w:rsid w:val="00655A78"/>
    <w:rsid w:val="00655C26"/>
    <w:rsid w:val="0065637A"/>
    <w:rsid w:val="00656998"/>
    <w:rsid w:val="00656E4D"/>
    <w:rsid w:val="00656FBF"/>
    <w:rsid w:val="006574AA"/>
    <w:rsid w:val="006576BA"/>
    <w:rsid w:val="006600BF"/>
    <w:rsid w:val="00660495"/>
    <w:rsid w:val="00660AF7"/>
    <w:rsid w:val="00660D3E"/>
    <w:rsid w:val="00661691"/>
    <w:rsid w:val="00662D3D"/>
    <w:rsid w:val="00662F1F"/>
    <w:rsid w:val="00663454"/>
    <w:rsid w:val="0066394F"/>
    <w:rsid w:val="00663D15"/>
    <w:rsid w:val="00664AF1"/>
    <w:rsid w:val="00665030"/>
    <w:rsid w:val="00665670"/>
    <w:rsid w:val="006659EA"/>
    <w:rsid w:val="00665D6B"/>
    <w:rsid w:val="006661E8"/>
    <w:rsid w:val="00666424"/>
    <w:rsid w:val="0066676C"/>
    <w:rsid w:val="006673B9"/>
    <w:rsid w:val="00667632"/>
    <w:rsid w:val="0066790C"/>
    <w:rsid w:val="00667DE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41"/>
    <w:rsid w:val="00677991"/>
    <w:rsid w:val="00677AD2"/>
    <w:rsid w:val="00680326"/>
    <w:rsid w:val="00680510"/>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87E69"/>
    <w:rsid w:val="006901AC"/>
    <w:rsid w:val="00690C8D"/>
    <w:rsid w:val="00691389"/>
    <w:rsid w:val="00691890"/>
    <w:rsid w:val="00691AAD"/>
    <w:rsid w:val="00691CD1"/>
    <w:rsid w:val="00692416"/>
    <w:rsid w:val="00692789"/>
    <w:rsid w:val="00692AFF"/>
    <w:rsid w:val="00692D2D"/>
    <w:rsid w:val="00693B73"/>
    <w:rsid w:val="00693CF0"/>
    <w:rsid w:val="006945A1"/>
    <w:rsid w:val="00694A53"/>
    <w:rsid w:val="006952DE"/>
    <w:rsid w:val="00695985"/>
    <w:rsid w:val="00695C78"/>
    <w:rsid w:val="00695D5E"/>
    <w:rsid w:val="00695E6C"/>
    <w:rsid w:val="00695EAC"/>
    <w:rsid w:val="00696AB2"/>
    <w:rsid w:val="00696C79"/>
    <w:rsid w:val="00697068"/>
    <w:rsid w:val="006977DE"/>
    <w:rsid w:val="00697D5F"/>
    <w:rsid w:val="006A035B"/>
    <w:rsid w:val="006A0582"/>
    <w:rsid w:val="006A060C"/>
    <w:rsid w:val="006A06F8"/>
    <w:rsid w:val="006A071C"/>
    <w:rsid w:val="006A0ABB"/>
    <w:rsid w:val="006A0DC7"/>
    <w:rsid w:val="006A150D"/>
    <w:rsid w:val="006A1B00"/>
    <w:rsid w:val="006A1D07"/>
    <w:rsid w:val="006A1E80"/>
    <w:rsid w:val="006A2309"/>
    <w:rsid w:val="006A2766"/>
    <w:rsid w:val="006A39D0"/>
    <w:rsid w:val="006A3E91"/>
    <w:rsid w:val="006A430B"/>
    <w:rsid w:val="006A4321"/>
    <w:rsid w:val="006A4E20"/>
    <w:rsid w:val="006A4F11"/>
    <w:rsid w:val="006A563C"/>
    <w:rsid w:val="006A58D1"/>
    <w:rsid w:val="006A59D9"/>
    <w:rsid w:val="006A5A6F"/>
    <w:rsid w:val="006A5F7E"/>
    <w:rsid w:val="006A6786"/>
    <w:rsid w:val="006A722A"/>
    <w:rsid w:val="006A7BCC"/>
    <w:rsid w:val="006A7C29"/>
    <w:rsid w:val="006B0102"/>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CB"/>
    <w:rsid w:val="006B36E5"/>
    <w:rsid w:val="006B3D00"/>
    <w:rsid w:val="006B4CF8"/>
    <w:rsid w:val="006B506B"/>
    <w:rsid w:val="006B54E8"/>
    <w:rsid w:val="006B56A9"/>
    <w:rsid w:val="006B5FBC"/>
    <w:rsid w:val="006B6ED2"/>
    <w:rsid w:val="006B74FD"/>
    <w:rsid w:val="006B775A"/>
    <w:rsid w:val="006B79A8"/>
    <w:rsid w:val="006B7F74"/>
    <w:rsid w:val="006C0230"/>
    <w:rsid w:val="006C03A3"/>
    <w:rsid w:val="006C05BE"/>
    <w:rsid w:val="006C05C7"/>
    <w:rsid w:val="006C0C70"/>
    <w:rsid w:val="006C25AB"/>
    <w:rsid w:val="006C2DA6"/>
    <w:rsid w:val="006C3581"/>
    <w:rsid w:val="006C35E7"/>
    <w:rsid w:val="006C39A0"/>
    <w:rsid w:val="006C3EFE"/>
    <w:rsid w:val="006C46C7"/>
    <w:rsid w:val="006C4767"/>
    <w:rsid w:val="006C4A1A"/>
    <w:rsid w:val="006C4D02"/>
    <w:rsid w:val="006C53A4"/>
    <w:rsid w:val="006C54DF"/>
    <w:rsid w:val="006C5CA6"/>
    <w:rsid w:val="006C5D5D"/>
    <w:rsid w:val="006C627E"/>
    <w:rsid w:val="006C6303"/>
    <w:rsid w:val="006C6A51"/>
    <w:rsid w:val="006C6EBD"/>
    <w:rsid w:val="006C7500"/>
    <w:rsid w:val="006C7E04"/>
    <w:rsid w:val="006C7F79"/>
    <w:rsid w:val="006D0004"/>
    <w:rsid w:val="006D015F"/>
    <w:rsid w:val="006D060E"/>
    <w:rsid w:val="006D0681"/>
    <w:rsid w:val="006D0A80"/>
    <w:rsid w:val="006D0AE8"/>
    <w:rsid w:val="006D135C"/>
    <w:rsid w:val="006D17B8"/>
    <w:rsid w:val="006D2F72"/>
    <w:rsid w:val="006D38E6"/>
    <w:rsid w:val="006D43C1"/>
    <w:rsid w:val="006D5442"/>
    <w:rsid w:val="006D6E4E"/>
    <w:rsid w:val="006D7A7B"/>
    <w:rsid w:val="006D7A8E"/>
    <w:rsid w:val="006D7C59"/>
    <w:rsid w:val="006E00E3"/>
    <w:rsid w:val="006E045C"/>
    <w:rsid w:val="006E0569"/>
    <w:rsid w:val="006E065E"/>
    <w:rsid w:val="006E06D0"/>
    <w:rsid w:val="006E0849"/>
    <w:rsid w:val="006E11D6"/>
    <w:rsid w:val="006E11E4"/>
    <w:rsid w:val="006E17AC"/>
    <w:rsid w:val="006E189B"/>
    <w:rsid w:val="006E2079"/>
    <w:rsid w:val="006E20D9"/>
    <w:rsid w:val="006E27DC"/>
    <w:rsid w:val="006E2902"/>
    <w:rsid w:val="006E2F9D"/>
    <w:rsid w:val="006E37C6"/>
    <w:rsid w:val="006E3CF3"/>
    <w:rsid w:val="006E41ED"/>
    <w:rsid w:val="006E4667"/>
    <w:rsid w:val="006E46B7"/>
    <w:rsid w:val="006E475A"/>
    <w:rsid w:val="006E486D"/>
    <w:rsid w:val="006E4880"/>
    <w:rsid w:val="006E48BB"/>
    <w:rsid w:val="006E6E0C"/>
    <w:rsid w:val="006E727B"/>
    <w:rsid w:val="006E76C8"/>
    <w:rsid w:val="006E7A92"/>
    <w:rsid w:val="006E7FDD"/>
    <w:rsid w:val="006F01FF"/>
    <w:rsid w:val="006F0CB2"/>
    <w:rsid w:val="006F1DA1"/>
    <w:rsid w:val="006F1DE9"/>
    <w:rsid w:val="006F2046"/>
    <w:rsid w:val="006F2F59"/>
    <w:rsid w:val="006F311E"/>
    <w:rsid w:val="006F3442"/>
    <w:rsid w:val="006F36A5"/>
    <w:rsid w:val="006F41F4"/>
    <w:rsid w:val="006F4576"/>
    <w:rsid w:val="006F5813"/>
    <w:rsid w:val="006F59A8"/>
    <w:rsid w:val="006F5A1D"/>
    <w:rsid w:val="006F5CDF"/>
    <w:rsid w:val="006F71A6"/>
    <w:rsid w:val="006F7974"/>
    <w:rsid w:val="006F7C2C"/>
    <w:rsid w:val="006F7FD5"/>
    <w:rsid w:val="00700405"/>
    <w:rsid w:val="00700D18"/>
    <w:rsid w:val="00700FEA"/>
    <w:rsid w:val="0070168D"/>
    <w:rsid w:val="00701C36"/>
    <w:rsid w:val="00702F2D"/>
    <w:rsid w:val="0070353F"/>
    <w:rsid w:val="007036B3"/>
    <w:rsid w:val="00703ABE"/>
    <w:rsid w:val="0070415E"/>
    <w:rsid w:val="00704631"/>
    <w:rsid w:val="00704B79"/>
    <w:rsid w:val="00704E7D"/>
    <w:rsid w:val="00705060"/>
    <w:rsid w:val="00705351"/>
    <w:rsid w:val="007053A3"/>
    <w:rsid w:val="00705619"/>
    <w:rsid w:val="00705799"/>
    <w:rsid w:val="00705ACC"/>
    <w:rsid w:val="00705E93"/>
    <w:rsid w:val="007062AF"/>
    <w:rsid w:val="007069AE"/>
    <w:rsid w:val="007069D4"/>
    <w:rsid w:val="00706C89"/>
    <w:rsid w:val="007077CF"/>
    <w:rsid w:val="00707967"/>
    <w:rsid w:val="00710257"/>
    <w:rsid w:val="00710587"/>
    <w:rsid w:val="007107D5"/>
    <w:rsid w:val="007119DC"/>
    <w:rsid w:val="00711CC7"/>
    <w:rsid w:val="0071230A"/>
    <w:rsid w:val="0071294A"/>
    <w:rsid w:val="00712BDD"/>
    <w:rsid w:val="00712E1E"/>
    <w:rsid w:val="00712F37"/>
    <w:rsid w:val="00713184"/>
    <w:rsid w:val="00713A6B"/>
    <w:rsid w:val="00713CB5"/>
    <w:rsid w:val="00713DD9"/>
    <w:rsid w:val="007143B7"/>
    <w:rsid w:val="0071499C"/>
    <w:rsid w:val="00714F9D"/>
    <w:rsid w:val="007154D8"/>
    <w:rsid w:val="00715577"/>
    <w:rsid w:val="007156D3"/>
    <w:rsid w:val="0071604D"/>
    <w:rsid w:val="007160F1"/>
    <w:rsid w:val="00716C67"/>
    <w:rsid w:val="007170AB"/>
    <w:rsid w:val="0071779C"/>
    <w:rsid w:val="00717808"/>
    <w:rsid w:val="00717E60"/>
    <w:rsid w:val="007208A7"/>
    <w:rsid w:val="00720B3D"/>
    <w:rsid w:val="00720B6A"/>
    <w:rsid w:val="007210F6"/>
    <w:rsid w:val="0072129A"/>
    <w:rsid w:val="0072139F"/>
    <w:rsid w:val="0072198A"/>
    <w:rsid w:val="00721AD9"/>
    <w:rsid w:val="00721D24"/>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822"/>
    <w:rsid w:val="00733A43"/>
    <w:rsid w:val="00733AE4"/>
    <w:rsid w:val="00733D5F"/>
    <w:rsid w:val="00734932"/>
    <w:rsid w:val="00734AF7"/>
    <w:rsid w:val="00735D53"/>
    <w:rsid w:val="0073618A"/>
    <w:rsid w:val="007364A3"/>
    <w:rsid w:val="00736740"/>
    <w:rsid w:val="007378FD"/>
    <w:rsid w:val="007403FE"/>
    <w:rsid w:val="007413EB"/>
    <w:rsid w:val="007413FB"/>
    <w:rsid w:val="007421B8"/>
    <w:rsid w:val="00742D32"/>
    <w:rsid w:val="00742E9B"/>
    <w:rsid w:val="0074344A"/>
    <w:rsid w:val="007444E6"/>
    <w:rsid w:val="0074592C"/>
    <w:rsid w:val="00745C91"/>
    <w:rsid w:val="00746098"/>
    <w:rsid w:val="00746D58"/>
    <w:rsid w:val="00747300"/>
    <w:rsid w:val="00747578"/>
    <w:rsid w:val="00750ACA"/>
    <w:rsid w:val="00750D12"/>
    <w:rsid w:val="00751073"/>
    <w:rsid w:val="00751AF2"/>
    <w:rsid w:val="00751B1A"/>
    <w:rsid w:val="00751BD2"/>
    <w:rsid w:val="00751CE5"/>
    <w:rsid w:val="00752188"/>
    <w:rsid w:val="00752CC6"/>
    <w:rsid w:val="00753792"/>
    <w:rsid w:val="00753938"/>
    <w:rsid w:val="00753A57"/>
    <w:rsid w:val="007543CE"/>
    <w:rsid w:val="0075497E"/>
    <w:rsid w:val="00754A29"/>
    <w:rsid w:val="00755B6F"/>
    <w:rsid w:val="00755BCF"/>
    <w:rsid w:val="007564B9"/>
    <w:rsid w:val="00756C5F"/>
    <w:rsid w:val="00756D69"/>
    <w:rsid w:val="00757029"/>
    <w:rsid w:val="00757146"/>
    <w:rsid w:val="007571FD"/>
    <w:rsid w:val="0075723D"/>
    <w:rsid w:val="007602D4"/>
    <w:rsid w:val="00760389"/>
    <w:rsid w:val="007605D0"/>
    <w:rsid w:val="00760613"/>
    <w:rsid w:val="00760A5A"/>
    <w:rsid w:val="00760D96"/>
    <w:rsid w:val="0076124A"/>
    <w:rsid w:val="0076161B"/>
    <w:rsid w:val="0076182A"/>
    <w:rsid w:val="00761950"/>
    <w:rsid w:val="00761CB5"/>
    <w:rsid w:val="0076216B"/>
    <w:rsid w:val="00762948"/>
    <w:rsid w:val="00762A81"/>
    <w:rsid w:val="00763137"/>
    <w:rsid w:val="0076357F"/>
    <w:rsid w:val="00763AED"/>
    <w:rsid w:val="00763F8B"/>
    <w:rsid w:val="007640F3"/>
    <w:rsid w:val="0076417E"/>
    <w:rsid w:val="0076497F"/>
    <w:rsid w:val="007660EC"/>
    <w:rsid w:val="007662C7"/>
    <w:rsid w:val="00766862"/>
    <w:rsid w:val="00766DD0"/>
    <w:rsid w:val="007675DD"/>
    <w:rsid w:val="007702BF"/>
    <w:rsid w:val="007705F0"/>
    <w:rsid w:val="00770884"/>
    <w:rsid w:val="00771CAC"/>
    <w:rsid w:val="00772036"/>
    <w:rsid w:val="00773098"/>
    <w:rsid w:val="007739A3"/>
    <w:rsid w:val="00773BD9"/>
    <w:rsid w:val="00773CB0"/>
    <w:rsid w:val="00773D71"/>
    <w:rsid w:val="00774336"/>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2F70"/>
    <w:rsid w:val="00793105"/>
    <w:rsid w:val="007931E8"/>
    <w:rsid w:val="00793333"/>
    <w:rsid w:val="00793D3A"/>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0A2F"/>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AD5"/>
    <w:rsid w:val="007A54F6"/>
    <w:rsid w:val="007A5599"/>
    <w:rsid w:val="007A55FE"/>
    <w:rsid w:val="007A582C"/>
    <w:rsid w:val="007A5950"/>
    <w:rsid w:val="007A6D91"/>
    <w:rsid w:val="007A7618"/>
    <w:rsid w:val="007A7778"/>
    <w:rsid w:val="007B00C9"/>
    <w:rsid w:val="007B02C7"/>
    <w:rsid w:val="007B0306"/>
    <w:rsid w:val="007B06BE"/>
    <w:rsid w:val="007B06E3"/>
    <w:rsid w:val="007B08E4"/>
    <w:rsid w:val="007B0D86"/>
    <w:rsid w:val="007B1637"/>
    <w:rsid w:val="007B2896"/>
    <w:rsid w:val="007B28C3"/>
    <w:rsid w:val="007B3A74"/>
    <w:rsid w:val="007B3A8E"/>
    <w:rsid w:val="007B3C9B"/>
    <w:rsid w:val="007B4271"/>
    <w:rsid w:val="007B4472"/>
    <w:rsid w:val="007B497D"/>
    <w:rsid w:val="007B4EE9"/>
    <w:rsid w:val="007B5234"/>
    <w:rsid w:val="007B530C"/>
    <w:rsid w:val="007B54C7"/>
    <w:rsid w:val="007B5637"/>
    <w:rsid w:val="007B5DC5"/>
    <w:rsid w:val="007B5F32"/>
    <w:rsid w:val="007B63FC"/>
    <w:rsid w:val="007B6708"/>
    <w:rsid w:val="007B6C20"/>
    <w:rsid w:val="007B6E8D"/>
    <w:rsid w:val="007C029E"/>
    <w:rsid w:val="007C04CC"/>
    <w:rsid w:val="007C0636"/>
    <w:rsid w:val="007C0EDF"/>
    <w:rsid w:val="007C10E4"/>
    <w:rsid w:val="007C17B4"/>
    <w:rsid w:val="007C20F8"/>
    <w:rsid w:val="007C21C5"/>
    <w:rsid w:val="007C2229"/>
    <w:rsid w:val="007C2313"/>
    <w:rsid w:val="007C24E0"/>
    <w:rsid w:val="007C2D47"/>
    <w:rsid w:val="007C3162"/>
    <w:rsid w:val="007C3590"/>
    <w:rsid w:val="007C387A"/>
    <w:rsid w:val="007C3A0D"/>
    <w:rsid w:val="007C3EB0"/>
    <w:rsid w:val="007C43D6"/>
    <w:rsid w:val="007C47FF"/>
    <w:rsid w:val="007C5B15"/>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D6A"/>
    <w:rsid w:val="007D2E50"/>
    <w:rsid w:val="007D3D74"/>
    <w:rsid w:val="007D445F"/>
    <w:rsid w:val="007D4DED"/>
    <w:rsid w:val="007D5BA2"/>
    <w:rsid w:val="007D5C40"/>
    <w:rsid w:val="007D5ED3"/>
    <w:rsid w:val="007D665C"/>
    <w:rsid w:val="007D682F"/>
    <w:rsid w:val="007D6FB9"/>
    <w:rsid w:val="007D7211"/>
    <w:rsid w:val="007E0595"/>
    <w:rsid w:val="007E0654"/>
    <w:rsid w:val="007E08C8"/>
    <w:rsid w:val="007E0A63"/>
    <w:rsid w:val="007E0C63"/>
    <w:rsid w:val="007E0E05"/>
    <w:rsid w:val="007E0F5D"/>
    <w:rsid w:val="007E1901"/>
    <w:rsid w:val="007E1DE1"/>
    <w:rsid w:val="007E23A1"/>
    <w:rsid w:val="007E259F"/>
    <w:rsid w:val="007E2C4F"/>
    <w:rsid w:val="007E347E"/>
    <w:rsid w:val="007E3B14"/>
    <w:rsid w:val="007E41A4"/>
    <w:rsid w:val="007E43E3"/>
    <w:rsid w:val="007E469A"/>
    <w:rsid w:val="007E54B8"/>
    <w:rsid w:val="007E569C"/>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A96"/>
    <w:rsid w:val="007F3C18"/>
    <w:rsid w:val="007F4318"/>
    <w:rsid w:val="007F4709"/>
    <w:rsid w:val="007F47DA"/>
    <w:rsid w:val="007F4E52"/>
    <w:rsid w:val="007F4F84"/>
    <w:rsid w:val="007F4F92"/>
    <w:rsid w:val="007F5072"/>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0CD"/>
    <w:rsid w:val="0080348B"/>
    <w:rsid w:val="00803D82"/>
    <w:rsid w:val="00803D98"/>
    <w:rsid w:val="008043FC"/>
    <w:rsid w:val="008052CE"/>
    <w:rsid w:val="0080548A"/>
    <w:rsid w:val="008058D0"/>
    <w:rsid w:val="00806A4C"/>
    <w:rsid w:val="0080705B"/>
    <w:rsid w:val="0080712F"/>
    <w:rsid w:val="0080723C"/>
    <w:rsid w:val="00807748"/>
    <w:rsid w:val="00807F71"/>
    <w:rsid w:val="00807FFB"/>
    <w:rsid w:val="0081000F"/>
    <w:rsid w:val="00810FE5"/>
    <w:rsid w:val="00811E76"/>
    <w:rsid w:val="00812657"/>
    <w:rsid w:val="00812A1A"/>
    <w:rsid w:val="00812DB4"/>
    <w:rsid w:val="00812DFF"/>
    <w:rsid w:val="00812FA8"/>
    <w:rsid w:val="008135BD"/>
    <w:rsid w:val="0081362F"/>
    <w:rsid w:val="0081383A"/>
    <w:rsid w:val="0081497F"/>
    <w:rsid w:val="00814B90"/>
    <w:rsid w:val="00814FC7"/>
    <w:rsid w:val="008154A7"/>
    <w:rsid w:val="008162DC"/>
    <w:rsid w:val="0081660C"/>
    <w:rsid w:val="00816A0D"/>
    <w:rsid w:val="00816AD8"/>
    <w:rsid w:val="00816EA0"/>
    <w:rsid w:val="00817195"/>
    <w:rsid w:val="00817416"/>
    <w:rsid w:val="00817658"/>
    <w:rsid w:val="00817FB9"/>
    <w:rsid w:val="008206AE"/>
    <w:rsid w:val="00821271"/>
    <w:rsid w:val="00821306"/>
    <w:rsid w:val="008213D9"/>
    <w:rsid w:val="008216CE"/>
    <w:rsid w:val="008218AE"/>
    <w:rsid w:val="00821D85"/>
    <w:rsid w:val="00821E47"/>
    <w:rsid w:val="008220F6"/>
    <w:rsid w:val="00822456"/>
    <w:rsid w:val="00822E53"/>
    <w:rsid w:val="00823819"/>
    <w:rsid w:val="00823C4B"/>
    <w:rsid w:val="00824140"/>
    <w:rsid w:val="0082427D"/>
    <w:rsid w:val="00825441"/>
    <w:rsid w:val="00826855"/>
    <w:rsid w:val="00830052"/>
    <w:rsid w:val="008300D0"/>
    <w:rsid w:val="008308D8"/>
    <w:rsid w:val="00830F8C"/>
    <w:rsid w:val="008313E8"/>
    <w:rsid w:val="008320D2"/>
    <w:rsid w:val="008321CE"/>
    <w:rsid w:val="0083257C"/>
    <w:rsid w:val="0083261B"/>
    <w:rsid w:val="00832B44"/>
    <w:rsid w:val="00832EC9"/>
    <w:rsid w:val="00833307"/>
    <w:rsid w:val="00833583"/>
    <w:rsid w:val="00833B5B"/>
    <w:rsid w:val="00833E9A"/>
    <w:rsid w:val="0083414E"/>
    <w:rsid w:val="0083454E"/>
    <w:rsid w:val="00834FEF"/>
    <w:rsid w:val="008355F6"/>
    <w:rsid w:val="00835692"/>
    <w:rsid w:val="00836323"/>
    <w:rsid w:val="0083713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869"/>
    <w:rsid w:val="00845B14"/>
    <w:rsid w:val="00845F4B"/>
    <w:rsid w:val="008465B4"/>
    <w:rsid w:val="00846ACC"/>
    <w:rsid w:val="00846D25"/>
    <w:rsid w:val="00847B75"/>
    <w:rsid w:val="00850013"/>
    <w:rsid w:val="008500DD"/>
    <w:rsid w:val="00850884"/>
    <w:rsid w:val="00850A0A"/>
    <w:rsid w:val="00850A94"/>
    <w:rsid w:val="0085114F"/>
    <w:rsid w:val="00851E96"/>
    <w:rsid w:val="00851F1C"/>
    <w:rsid w:val="00852FA5"/>
    <w:rsid w:val="00853D7C"/>
    <w:rsid w:val="00853F7D"/>
    <w:rsid w:val="0085517F"/>
    <w:rsid w:val="0085562D"/>
    <w:rsid w:val="00855A78"/>
    <w:rsid w:val="00855E8C"/>
    <w:rsid w:val="00856154"/>
    <w:rsid w:val="00856286"/>
    <w:rsid w:val="0085657E"/>
    <w:rsid w:val="00856F0E"/>
    <w:rsid w:val="008573AF"/>
    <w:rsid w:val="008576B0"/>
    <w:rsid w:val="00860296"/>
    <w:rsid w:val="008602E3"/>
    <w:rsid w:val="00860DA4"/>
    <w:rsid w:val="00861146"/>
    <w:rsid w:val="00861948"/>
    <w:rsid w:val="00861CEE"/>
    <w:rsid w:val="00862011"/>
    <w:rsid w:val="00862A15"/>
    <w:rsid w:val="00862CC9"/>
    <w:rsid w:val="00862D8E"/>
    <w:rsid w:val="00862EF2"/>
    <w:rsid w:val="0086598A"/>
    <w:rsid w:val="00865C3D"/>
    <w:rsid w:val="00865F4C"/>
    <w:rsid w:val="00866453"/>
    <w:rsid w:val="008669D2"/>
    <w:rsid w:val="00866BBB"/>
    <w:rsid w:val="0086707F"/>
    <w:rsid w:val="00867501"/>
    <w:rsid w:val="00867D8E"/>
    <w:rsid w:val="008700C0"/>
    <w:rsid w:val="0087058B"/>
    <w:rsid w:val="0087099A"/>
    <w:rsid w:val="00870ACE"/>
    <w:rsid w:val="00870D79"/>
    <w:rsid w:val="00871333"/>
    <w:rsid w:val="00871952"/>
    <w:rsid w:val="00872006"/>
    <w:rsid w:val="00872386"/>
    <w:rsid w:val="008726D7"/>
    <w:rsid w:val="00873128"/>
    <w:rsid w:val="008735BC"/>
    <w:rsid w:val="00873AAC"/>
    <w:rsid w:val="00873C61"/>
    <w:rsid w:val="00873DFD"/>
    <w:rsid w:val="008748C0"/>
    <w:rsid w:val="008749BF"/>
    <w:rsid w:val="00875542"/>
    <w:rsid w:val="00875E14"/>
    <w:rsid w:val="0087677E"/>
    <w:rsid w:val="0087712C"/>
    <w:rsid w:val="008776E7"/>
    <w:rsid w:val="00877746"/>
    <w:rsid w:val="00877C5D"/>
    <w:rsid w:val="0088019D"/>
    <w:rsid w:val="00880354"/>
    <w:rsid w:val="0088093C"/>
    <w:rsid w:val="00880BC0"/>
    <w:rsid w:val="0088127A"/>
    <w:rsid w:val="00881D59"/>
    <w:rsid w:val="008826D7"/>
    <w:rsid w:val="00882991"/>
    <w:rsid w:val="00882DB6"/>
    <w:rsid w:val="00882EC1"/>
    <w:rsid w:val="00883236"/>
    <w:rsid w:val="0088324E"/>
    <w:rsid w:val="00883BBB"/>
    <w:rsid w:val="0088434F"/>
    <w:rsid w:val="00884371"/>
    <w:rsid w:val="008848E2"/>
    <w:rsid w:val="00884B7A"/>
    <w:rsid w:val="00884D47"/>
    <w:rsid w:val="00885604"/>
    <w:rsid w:val="008856C5"/>
    <w:rsid w:val="00886112"/>
    <w:rsid w:val="008869D4"/>
    <w:rsid w:val="00886EAC"/>
    <w:rsid w:val="008872B3"/>
    <w:rsid w:val="00887392"/>
    <w:rsid w:val="00890A64"/>
    <w:rsid w:val="00890C3E"/>
    <w:rsid w:val="00890C40"/>
    <w:rsid w:val="0089122E"/>
    <w:rsid w:val="008912A7"/>
    <w:rsid w:val="0089183A"/>
    <w:rsid w:val="008920B4"/>
    <w:rsid w:val="008925EB"/>
    <w:rsid w:val="0089275E"/>
    <w:rsid w:val="00892B43"/>
    <w:rsid w:val="00892D9C"/>
    <w:rsid w:val="00893432"/>
    <w:rsid w:val="00893936"/>
    <w:rsid w:val="00893CE2"/>
    <w:rsid w:val="00893F41"/>
    <w:rsid w:val="00895144"/>
    <w:rsid w:val="00895963"/>
    <w:rsid w:val="008969EE"/>
    <w:rsid w:val="008972B6"/>
    <w:rsid w:val="0089731C"/>
    <w:rsid w:val="00897339"/>
    <w:rsid w:val="00897697"/>
    <w:rsid w:val="008977E1"/>
    <w:rsid w:val="00897AE6"/>
    <w:rsid w:val="00897BFA"/>
    <w:rsid w:val="00897D19"/>
    <w:rsid w:val="008A0044"/>
    <w:rsid w:val="008A0156"/>
    <w:rsid w:val="008A0BFE"/>
    <w:rsid w:val="008A12C2"/>
    <w:rsid w:val="008A1932"/>
    <w:rsid w:val="008A21D9"/>
    <w:rsid w:val="008A232D"/>
    <w:rsid w:val="008A3182"/>
    <w:rsid w:val="008A3C76"/>
    <w:rsid w:val="008A3D54"/>
    <w:rsid w:val="008A3E10"/>
    <w:rsid w:val="008A411C"/>
    <w:rsid w:val="008A4630"/>
    <w:rsid w:val="008A47CE"/>
    <w:rsid w:val="008A4DFA"/>
    <w:rsid w:val="008A5D73"/>
    <w:rsid w:val="008A5F2F"/>
    <w:rsid w:val="008A6BAE"/>
    <w:rsid w:val="008A719F"/>
    <w:rsid w:val="008A7350"/>
    <w:rsid w:val="008A77AB"/>
    <w:rsid w:val="008A7A72"/>
    <w:rsid w:val="008B09F3"/>
    <w:rsid w:val="008B0ECF"/>
    <w:rsid w:val="008B111A"/>
    <w:rsid w:val="008B16E6"/>
    <w:rsid w:val="008B1AB2"/>
    <w:rsid w:val="008B1D9B"/>
    <w:rsid w:val="008B2042"/>
    <w:rsid w:val="008B20FF"/>
    <w:rsid w:val="008B2569"/>
    <w:rsid w:val="008B25F1"/>
    <w:rsid w:val="008B3351"/>
    <w:rsid w:val="008B3567"/>
    <w:rsid w:val="008B36D0"/>
    <w:rsid w:val="008B38AF"/>
    <w:rsid w:val="008B3D7F"/>
    <w:rsid w:val="008B3E1B"/>
    <w:rsid w:val="008B3F4B"/>
    <w:rsid w:val="008B4353"/>
    <w:rsid w:val="008B48EC"/>
    <w:rsid w:val="008B4AF0"/>
    <w:rsid w:val="008B518E"/>
    <w:rsid w:val="008B527B"/>
    <w:rsid w:val="008B5AB9"/>
    <w:rsid w:val="008B67E6"/>
    <w:rsid w:val="008B69B8"/>
    <w:rsid w:val="008B6F12"/>
    <w:rsid w:val="008B7042"/>
    <w:rsid w:val="008B770C"/>
    <w:rsid w:val="008C0325"/>
    <w:rsid w:val="008C094A"/>
    <w:rsid w:val="008C1570"/>
    <w:rsid w:val="008C1792"/>
    <w:rsid w:val="008C17B2"/>
    <w:rsid w:val="008C1AD3"/>
    <w:rsid w:val="008C1E3E"/>
    <w:rsid w:val="008C2059"/>
    <w:rsid w:val="008C21D0"/>
    <w:rsid w:val="008C2DBC"/>
    <w:rsid w:val="008C3A4E"/>
    <w:rsid w:val="008C422F"/>
    <w:rsid w:val="008C48FF"/>
    <w:rsid w:val="008C527D"/>
    <w:rsid w:val="008C5371"/>
    <w:rsid w:val="008C6031"/>
    <w:rsid w:val="008C623D"/>
    <w:rsid w:val="008C65F4"/>
    <w:rsid w:val="008C6683"/>
    <w:rsid w:val="008C6A10"/>
    <w:rsid w:val="008C6E0C"/>
    <w:rsid w:val="008C70FF"/>
    <w:rsid w:val="008C7273"/>
    <w:rsid w:val="008C78F8"/>
    <w:rsid w:val="008D05DF"/>
    <w:rsid w:val="008D07B8"/>
    <w:rsid w:val="008D09E8"/>
    <w:rsid w:val="008D0E65"/>
    <w:rsid w:val="008D10C6"/>
    <w:rsid w:val="008D110A"/>
    <w:rsid w:val="008D1612"/>
    <w:rsid w:val="008D19CF"/>
    <w:rsid w:val="008D20CE"/>
    <w:rsid w:val="008D2259"/>
    <w:rsid w:val="008D2531"/>
    <w:rsid w:val="008D25BB"/>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335"/>
    <w:rsid w:val="008E35A6"/>
    <w:rsid w:val="008E36D9"/>
    <w:rsid w:val="008E38BC"/>
    <w:rsid w:val="008E3A5C"/>
    <w:rsid w:val="008E3A9A"/>
    <w:rsid w:val="008E429E"/>
    <w:rsid w:val="008E58A3"/>
    <w:rsid w:val="008E5938"/>
    <w:rsid w:val="008E6109"/>
    <w:rsid w:val="008E6395"/>
    <w:rsid w:val="008E6A39"/>
    <w:rsid w:val="008E76BB"/>
    <w:rsid w:val="008E7BC7"/>
    <w:rsid w:val="008F09D3"/>
    <w:rsid w:val="008F12A6"/>
    <w:rsid w:val="008F1764"/>
    <w:rsid w:val="008F1E3D"/>
    <w:rsid w:val="008F235C"/>
    <w:rsid w:val="008F2860"/>
    <w:rsid w:val="008F290B"/>
    <w:rsid w:val="008F2F11"/>
    <w:rsid w:val="008F3369"/>
    <w:rsid w:val="008F33A6"/>
    <w:rsid w:val="008F35EC"/>
    <w:rsid w:val="008F4FE8"/>
    <w:rsid w:val="008F4FED"/>
    <w:rsid w:val="008F5189"/>
    <w:rsid w:val="008F5D5A"/>
    <w:rsid w:val="008F6200"/>
    <w:rsid w:val="008F62F8"/>
    <w:rsid w:val="008F6893"/>
    <w:rsid w:val="008F6B9D"/>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DCE"/>
    <w:rsid w:val="00906EA2"/>
    <w:rsid w:val="00907278"/>
    <w:rsid w:val="00907E91"/>
    <w:rsid w:val="00910041"/>
    <w:rsid w:val="00910C26"/>
    <w:rsid w:val="0091112B"/>
    <w:rsid w:val="00911D61"/>
    <w:rsid w:val="00912850"/>
    <w:rsid w:val="009128B8"/>
    <w:rsid w:val="00913AFB"/>
    <w:rsid w:val="0091472C"/>
    <w:rsid w:val="00914BAD"/>
    <w:rsid w:val="00914DC9"/>
    <w:rsid w:val="00914F4F"/>
    <w:rsid w:val="00915351"/>
    <w:rsid w:val="00915679"/>
    <w:rsid w:val="009159C2"/>
    <w:rsid w:val="00915D01"/>
    <w:rsid w:val="0091627F"/>
    <w:rsid w:val="00916E45"/>
    <w:rsid w:val="0092077A"/>
    <w:rsid w:val="00920DC0"/>
    <w:rsid w:val="009219F3"/>
    <w:rsid w:val="009221CB"/>
    <w:rsid w:val="00922320"/>
    <w:rsid w:val="00922E57"/>
    <w:rsid w:val="00923643"/>
    <w:rsid w:val="00923A75"/>
    <w:rsid w:val="00923E1A"/>
    <w:rsid w:val="0092405E"/>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09"/>
    <w:rsid w:val="00935194"/>
    <w:rsid w:val="00936EA5"/>
    <w:rsid w:val="00937079"/>
    <w:rsid w:val="00937114"/>
    <w:rsid w:val="00937E71"/>
    <w:rsid w:val="0094015D"/>
    <w:rsid w:val="00940916"/>
    <w:rsid w:val="009412B7"/>
    <w:rsid w:val="00941B13"/>
    <w:rsid w:val="0094215C"/>
    <w:rsid w:val="00942F8E"/>
    <w:rsid w:val="00943543"/>
    <w:rsid w:val="0094364F"/>
    <w:rsid w:val="009437AE"/>
    <w:rsid w:val="009441DB"/>
    <w:rsid w:val="0094435E"/>
    <w:rsid w:val="00944834"/>
    <w:rsid w:val="00946128"/>
    <w:rsid w:val="0094633F"/>
    <w:rsid w:val="00947BA5"/>
    <w:rsid w:val="00950805"/>
    <w:rsid w:val="009517E4"/>
    <w:rsid w:val="009518D4"/>
    <w:rsid w:val="009520BC"/>
    <w:rsid w:val="009521D2"/>
    <w:rsid w:val="0095224C"/>
    <w:rsid w:val="00952403"/>
    <w:rsid w:val="00952589"/>
    <w:rsid w:val="00952BD8"/>
    <w:rsid w:val="00953573"/>
    <w:rsid w:val="009537C0"/>
    <w:rsid w:val="00954B06"/>
    <w:rsid w:val="009557A9"/>
    <w:rsid w:val="00956647"/>
    <w:rsid w:val="00956CF3"/>
    <w:rsid w:val="00957380"/>
    <w:rsid w:val="00957409"/>
    <w:rsid w:val="00957499"/>
    <w:rsid w:val="00957ED2"/>
    <w:rsid w:val="009604AE"/>
    <w:rsid w:val="00960863"/>
    <w:rsid w:val="009609AF"/>
    <w:rsid w:val="00960DE4"/>
    <w:rsid w:val="009610C7"/>
    <w:rsid w:val="00961164"/>
    <w:rsid w:val="009612A4"/>
    <w:rsid w:val="00961867"/>
    <w:rsid w:val="00961A4F"/>
    <w:rsid w:val="00961DC5"/>
    <w:rsid w:val="009625B7"/>
    <w:rsid w:val="00962FB8"/>
    <w:rsid w:val="0096302C"/>
    <w:rsid w:val="00963183"/>
    <w:rsid w:val="0096361C"/>
    <w:rsid w:val="0096373F"/>
    <w:rsid w:val="00964007"/>
    <w:rsid w:val="00964283"/>
    <w:rsid w:val="009642A4"/>
    <w:rsid w:val="009643F4"/>
    <w:rsid w:val="009645A6"/>
    <w:rsid w:val="00964DD4"/>
    <w:rsid w:val="00964F5A"/>
    <w:rsid w:val="0096527F"/>
    <w:rsid w:val="009653ED"/>
    <w:rsid w:val="009654BB"/>
    <w:rsid w:val="00965B85"/>
    <w:rsid w:val="00966216"/>
    <w:rsid w:val="00966A21"/>
    <w:rsid w:val="00966AD2"/>
    <w:rsid w:val="009700E6"/>
    <w:rsid w:val="0097025C"/>
    <w:rsid w:val="0097082E"/>
    <w:rsid w:val="00970C77"/>
    <w:rsid w:val="00971415"/>
    <w:rsid w:val="009716D8"/>
    <w:rsid w:val="00971F54"/>
    <w:rsid w:val="00972057"/>
    <w:rsid w:val="00972224"/>
    <w:rsid w:val="0097227B"/>
    <w:rsid w:val="0097262E"/>
    <w:rsid w:val="0097293F"/>
    <w:rsid w:val="00973103"/>
    <w:rsid w:val="009732EB"/>
    <w:rsid w:val="00974022"/>
    <w:rsid w:val="009743E8"/>
    <w:rsid w:val="009745D8"/>
    <w:rsid w:val="00974F3B"/>
    <w:rsid w:val="0097552A"/>
    <w:rsid w:val="0097564A"/>
    <w:rsid w:val="00975707"/>
    <w:rsid w:val="00975974"/>
    <w:rsid w:val="00975D06"/>
    <w:rsid w:val="00975D63"/>
    <w:rsid w:val="00975DAE"/>
    <w:rsid w:val="00976BBE"/>
    <w:rsid w:val="00977349"/>
    <w:rsid w:val="009775E3"/>
    <w:rsid w:val="00977A7B"/>
    <w:rsid w:val="00977D18"/>
    <w:rsid w:val="0098055B"/>
    <w:rsid w:val="00980B30"/>
    <w:rsid w:val="009810BE"/>
    <w:rsid w:val="009817BC"/>
    <w:rsid w:val="009819A7"/>
    <w:rsid w:val="0098220A"/>
    <w:rsid w:val="00982E75"/>
    <w:rsid w:val="00982F7D"/>
    <w:rsid w:val="00983337"/>
    <w:rsid w:val="009836AA"/>
    <w:rsid w:val="009846BF"/>
    <w:rsid w:val="00984EE9"/>
    <w:rsid w:val="009851F5"/>
    <w:rsid w:val="0098534B"/>
    <w:rsid w:val="00986019"/>
    <w:rsid w:val="00986281"/>
    <w:rsid w:val="00986283"/>
    <w:rsid w:val="00986B7B"/>
    <w:rsid w:val="00986FC9"/>
    <w:rsid w:val="00987322"/>
    <w:rsid w:val="0098764E"/>
    <w:rsid w:val="00987683"/>
    <w:rsid w:val="00987826"/>
    <w:rsid w:val="00987B4F"/>
    <w:rsid w:val="00987D58"/>
    <w:rsid w:val="0099034B"/>
    <w:rsid w:val="009906D4"/>
    <w:rsid w:val="00990A8E"/>
    <w:rsid w:val="00990EB7"/>
    <w:rsid w:val="00990F5F"/>
    <w:rsid w:val="009911A7"/>
    <w:rsid w:val="009913B8"/>
    <w:rsid w:val="009914E4"/>
    <w:rsid w:val="00991E0C"/>
    <w:rsid w:val="00992141"/>
    <w:rsid w:val="009921DB"/>
    <w:rsid w:val="00992C67"/>
    <w:rsid w:val="00992D5B"/>
    <w:rsid w:val="00992F7F"/>
    <w:rsid w:val="00993135"/>
    <w:rsid w:val="0099321A"/>
    <w:rsid w:val="00993AC7"/>
    <w:rsid w:val="00993BAD"/>
    <w:rsid w:val="00993E49"/>
    <w:rsid w:val="00994120"/>
    <w:rsid w:val="009942F5"/>
    <w:rsid w:val="00994568"/>
    <w:rsid w:val="00994602"/>
    <w:rsid w:val="00995B01"/>
    <w:rsid w:val="00996055"/>
    <w:rsid w:val="009967B2"/>
    <w:rsid w:val="00996EF4"/>
    <w:rsid w:val="00997044"/>
    <w:rsid w:val="00997BC9"/>
    <w:rsid w:val="009A113D"/>
    <w:rsid w:val="009A1ECA"/>
    <w:rsid w:val="009A2BE9"/>
    <w:rsid w:val="009A2BF3"/>
    <w:rsid w:val="009A3688"/>
    <w:rsid w:val="009A3713"/>
    <w:rsid w:val="009A3C3E"/>
    <w:rsid w:val="009A4153"/>
    <w:rsid w:val="009A4C2C"/>
    <w:rsid w:val="009A59B3"/>
    <w:rsid w:val="009A5A82"/>
    <w:rsid w:val="009A5FAE"/>
    <w:rsid w:val="009A6B3A"/>
    <w:rsid w:val="009A7081"/>
    <w:rsid w:val="009A70A3"/>
    <w:rsid w:val="009A73C5"/>
    <w:rsid w:val="009A7E7C"/>
    <w:rsid w:val="009A7EFA"/>
    <w:rsid w:val="009B05D2"/>
    <w:rsid w:val="009B152B"/>
    <w:rsid w:val="009B2731"/>
    <w:rsid w:val="009B2DCF"/>
    <w:rsid w:val="009B384C"/>
    <w:rsid w:val="009B39D8"/>
    <w:rsid w:val="009B3D38"/>
    <w:rsid w:val="009B4368"/>
    <w:rsid w:val="009B4D4C"/>
    <w:rsid w:val="009B66F5"/>
    <w:rsid w:val="009B7505"/>
    <w:rsid w:val="009B7F67"/>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89B"/>
    <w:rsid w:val="009D03B7"/>
    <w:rsid w:val="009D07AD"/>
    <w:rsid w:val="009D0824"/>
    <w:rsid w:val="009D1172"/>
    <w:rsid w:val="009D13CC"/>
    <w:rsid w:val="009D1654"/>
    <w:rsid w:val="009D1AAC"/>
    <w:rsid w:val="009D1BDB"/>
    <w:rsid w:val="009D298F"/>
    <w:rsid w:val="009D2F9C"/>
    <w:rsid w:val="009D4207"/>
    <w:rsid w:val="009D4225"/>
    <w:rsid w:val="009D4461"/>
    <w:rsid w:val="009D4E4A"/>
    <w:rsid w:val="009D5130"/>
    <w:rsid w:val="009D53D1"/>
    <w:rsid w:val="009D53FB"/>
    <w:rsid w:val="009D56A4"/>
    <w:rsid w:val="009D6081"/>
    <w:rsid w:val="009D6446"/>
    <w:rsid w:val="009D678C"/>
    <w:rsid w:val="009D6B9A"/>
    <w:rsid w:val="009D6D30"/>
    <w:rsid w:val="009D7523"/>
    <w:rsid w:val="009D76B5"/>
    <w:rsid w:val="009D7AF1"/>
    <w:rsid w:val="009D7BC7"/>
    <w:rsid w:val="009D7FAC"/>
    <w:rsid w:val="009E0109"/>
    <w:rsid w:val="009E0342"/>
    <w:rsid w:val="009E098B"/>
    <w:rsid w:val="009E09AB"/>
    <w:rsid w:val="009E0D2F"/>
    <w:rsid w:val="009E0D7D"/>
    <w:rsid w:val="009E0DAF"/>
    <w:rsid w:val="009E19BB"/>
    <w:rsid w:val="009E1C47"/>
    <w:rsid w:val="009E280A"/>
    <w:rsid w:val="009E38D1"/>
    <w:rsid w:val="009E3DF1"/>
    <w:rsid w:val="009E40FF"/>
    <w:rsid w:val="009E47DD"/>
    <w:rsid w:val="009E48DE"/>
    <w:rsid w:val="009E514A"/>
    <w:rsid w:val="009E5177"/>
    <w:rsid w:val="009E5701"/>
    <w:rsid w:val="009E5711"/>
    <w:rsid w:val="009E758E"/>
    <w:rsid w:val="009E7737"/>
    <w:rsid w:val="009E7BC5"/>
    <w:rsid w:val="009E7BFB"/>
    <w:rsid w:val="009E7D6B"/>
    <w:rsid w:val="009E7E81"/>
    <w:rsid w:val="009F020A"/>
    <w:rsid w:val="009F02B9"/>
    <w:rsid w:val="009F05AD"/>
    <w:rsid w:val="009F0659"/>
    <w:rsid w:val="009F1109"/>
    <w:rsid w:val="009F143E"/>
    <w:rsid w:val="009F1DE8"/>
    <w:rsid w:val="009F1EDF"/>
    <w:rsid w:val="009F2186"/>
    <w:rsid w:val="009F227C"/>
    <w:rsid w:val="009F28DC"/>
    <w:rsid w:val="009F2E2B"/>
    <w:rsid w:val="009F2EDB"/>
    <w:rsid w:val="009F33DC"/>
    <w:rsid w:val="009F3572"/>
    <w:rsid w:val="009F3B27"/>
    <w:rsid w:val="009F448D"/>
    <w:rsid w:val="009F4550"/>
    <w:rsid w:val="009F56C0"/>
    <w:rsid w:val="009F5C76"/>
    <w:rsid w:val="009F5C92"/>
    <w:rsid w:val="009F70F1"/>
    <w:rsid w:val="00A000C5"/>
    <w:rsid w:val="00A00213"/>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270"/>
    <w:rsid w:val="00A044AA"/>
    <w:rsid w:val="00A04763"/>
    <w:rsid w:val="00A0700C"/>
    <w:rsid w:val="00A102F8"/>
    <w:rsid w:val="00A10A20"/>
    <w:rsid w:val="00A117D5"/>
    <w:rsid w:val="00A11C11"/>
    <w:rsid w:val="00A12280"/>
    <w:rsid w:val="00A12720"/>
    <w:rsid w:val="00A12ED1"/>
    <w:rsid w:val="00A130DC"/>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773"/>
    <w:rsid w:val="00A21838"/>
    <w:rsid w:val="00A22C3E"/>
    <w:rsid w:val="00A22C4D"/>
    <w:rsid w:val="00A2319C"/>
    <w:rsid w:val="00A23343"/>
    <w:rsid w:val="00A2334E"/>
    <w:rsid w:val="00A23442"/>
    <w:rsid w:val="00A239AD"/>
    <w:rsid w:val="00A249D2"/>
    <w:rsid w:val="00A254AB"/>
    <w:rsid w:val="00A259F2"/>
    <w:rsid w:val="00A266CC"/>
    <w:rsid w:val="00A26DB4"/>
    <w:rsid w:val="00A27425"/>
    <w:rsid w:val="00A27F0F"/>
    <w:rsid w:val="00A3023E"/>
    <w:rsid w:val="00A305C5"/>
    <w:rsid w:val="00A30919"/>
    <w:rsid w:val="00A31F05"/>
    <w:rsid w:val="00A31FD2"/>
    <w:rsid w:val="00A33723"/>
    <w:rsid w:val="00A33924"/>
    <w:rsid w:val="00A33CF5"/>
    <w:rsid w:val="00A3404D"/>
    <w:rsid w:val="00A341AB"/>
    <w:rsid w:val="00A34290"/>
    <w:rsid w:val="00A355F9"/>
    <w:rsid w:val="00A357D3"/>
    <w:rsid w:val="00A35AA9"/>
    <w:rsid w:val="00A35F3C"/>
    <w:rsid w:val="00A36CF6"/>
    <w:rsid w:val="00A37309"/>
    <w:rsid w:val="00A37329"/>
    <w:rsid w:val="00A37558"/>
    <w:rsid w:val="00A3786A"/>
    <w:rsid w:val="00A37D5A"/>
    <w:rsid w:val="00A4008C"/>
    <w:rsid w:val="00A402A8"/>
    <w:rsid w:val="00A40685"/>
    <w:rsid w:val="00A40E2F"/>
    <w:rsid w:val="00A41819"/>
    <w:rsid w:val="00A41C9A"/>
    <w:rsid w:val="00A41D73"/>
    <w:rsid w:val="00A42406"/>
    <w:rsid w:val="00A433E8"/>
    <w:rsid w:val="00A43A1D"/>
    <w:rsid w:val="00A43AB0"/>
    <w:rsid w:val="00A44854"/>
    <w:rsid w:val="00A44A45"/>
    <w:rsid w:val="00A4651F"/>
    <w:rsid w:val="00A4665D"/>
    <w:rsid w:val="00A46859"/>
    <w:rsid w:val="00A46D39"/>
    <w:rsid w:val="00A47019"/>
    <w:rsid w:val="00A47247"/>
    <w:rsid w:val="00A472B8"/>
    <w:rsid w:val="00A47E11"/>
    <w:rsid w:val="00A47F4D"/>
    <w:rsid w:val="00A5004A"/>
    <w:rsid w:val="00A5013E"/>
    <w:rsid w:val="00A50149"/>
    <w:rsid w:val="00A5017C"/>
    <w:rsid w:val="00A502D6"/>
    <w:rsid w:val="00A502F5"/>
    <w:rsid w:val="00A504F4"/>
    <w:rsid w:val="00A507C4"/>
    <w:rsid w:val="00A508AA"/>
    <w:rsid w:val="00A50EE7"/>
    <w:rsid w:val="00A51A6F"/>
    <w:rsid w:val="00A526CE"/>
    <w:rsid w:val="00A52CFF"/>
    <w:rsid w:val="00A5468F"/>
    <w:rsid w:val="00A54909"/>
    <w:rsid w:val="00A54DC0"/>
    <w:rsid w:val="00A550C9"/>
    <w:rsid w:val="00A55228"/>
    <w:rsid w:val="00A55410"/>
    <w:rsid w:val="00A55A04"/>
    <w:rsid w:val="00A564DE"/>
    <w:rsid w:val="00A5670C"/>
    <w:rsid w:val="00A6054E"/>
    <w:rsid w:val="00A6061B"/>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1FF6"/>
    <w:rsid w:val="00A72727"/>
    <w:rsid w:val="00A727D8"/>
    <w:rsid w:val="00A72C1A"/>
    <w:rsid w:val="00A732FB"/>
    <w:rsid w:val="00A73513"/>
    <w:rsid w:val="00A73AA7"/>
    <w:rsid w:val="00A7463E"/>
    <w:rsid w:val="00A74C54"/>
    <w:rsid w:val="00A75185"/>
    <w:rsid w:val="00A75696"/>
    <w:rsid w:val="00A758E2"/>
    <w:rsid w:val="00A7613D"/>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19A"/>
    <w:rsid w:val="00A86EED"/>
    <w:rsid w:val="00A8733A"/>
    <w:rsid w:val="00A8778D"/>
    <w:rsid w:val="00A90B45"/>
    <w:rsid w:val="00A9151F"/>
    <w:rsid w:val="00A9196B"/>
    <w:rsid w:val="00A91AEF"/>
    <w:rsid w:val="00A91BB5"/>
    <w:rsid w:val="00A91BEE"/>
    <w:rsid w:val="00A91D4B"/>
    <w:rsid w:val="00A920B2"/>
    <w:rsid w:val="00A92A96"/>
    <w:rsid w:val="00A92AF0"/>
    <w:rsid w:val="00A933FE"/>
    <w:rsid w:val="00A937D5"/>
    <w:rsid w:val="00A93C41"/>
    <w:rsid w:val="00A93C70"/>
    <w:rsid w:val="00A93F85"/>
    <w:rsid w:val="00A94423"/>
    <w:rsid w:val="00A94A32"/>
    <w:rsid w:val="00A94AFC"/>
    <w:rsid w:val="00A94BF5"/>
    <w:rsid w:val="00A94D97"/>
    <w:rsid w:val="00A9686A"/>
    <w:rsid w:val="00A96B4A"/>
    <w:rsid w:val="00A97717"/>
    <w:rsid w:val="00A97BDA"/>
    <w:rsid w:val="00A97F56"/>
    <w:rsid w:val="00AA043A"/>
    <w:rsid w:val="00AA0779"/>
    <w:rsid w:val="00AA08F3"/>
    <w:rsid w:val="00AA0A7E"/>
    <w:rsid w:val="00AA0F23"/>
    <w:rsid w:val="00AA1067"/>
    <w:rsid w:val="00AA1163"/>
    <w:rsid w:val="00AA1DA8"/>
    <w:rsid w:val="00AA222C"/>
    <w:rsid w:val="00AA2264"/>
    <w:rsid w:val="00AA238E"/>
    <w:rsid w:val="00AA2483"/>
    <w:rsid w:val="00AA248C"/>
    <w:rsid w:val="00AA253B"/>
    <w:rsid w:val="00AA29F8"/>
    <w:rsid w:val="00AA3243"/>
    <w:rsid w:val="00AA388F"/>
    <w:rsid w:val="00AA3C4C"/>
    <w:rsid w:val="00AA408E"/>
    <w:rsid w:val="00AA4DA9"/>
    <w:rsid w:val="00AA4F6D"/>
    <w:rsid w:val="00AA50CE"/>
    <w:rsid w:val="00AA536B"/>
    <w:rsid w:val="00AA57C3"/>
    <w:rsid w:val="00AA57C9"/>
    <w:rsid w:val="00AA5A5C"/>
    <w:rsid w:val="00AA5A6F"/>
    <w:rsid w:val="00AA634D"/>
    <w:rsid w:val="00AA6F6C"/>
    <w:rsid w:val="00AA721D"/>
    <w:rsid w:val="00AA7519"/>
    <w:rsid w:val="00AA790A"/>
    <w:rsid w:val="00AA7CD0"/>
    <w:rsid w:val="00AB02EA"/>
    <w:rsid w:val="00AB0B63"/>
    <w:rsid w:val="00AB110C"/>
    <w:rsid w:val="00AB11EF"/>
    <w:rsid w:val="00AB135F"/>
    <w:rsid w:val="00AB227A"/>
    <w:rsid w:val="00AB22BF"/>
    <w:rsid w:val="00AB256E"/>
    <w:rsid w:val="00AB3466"/>
    <w:rsid w:val="00AB38B2"/>
    <w:rsid w:val="00AB3BBB"/>
    <w:rsid w:val="00AB408C"/>
    <w:rsid w:val="00AB40C4"/>
    <w:rsid w:val="00AB40DD"/>
    <w:rsid w:val="00AB43AF"/>
    <w:rsid w:val="00AB4E41"/>
    <w:rsid w:val="00AB5A33"/>
    <w:rsid w:val="00AB5EB1"/>
    <w:rsid w:val="00AB6003"/>
    <w:rsid w:val="00AB6344"/>
    <w:rsid w:val="00AB759A"/>
    <w:rsid w:val="00AB7B06"/>
    <w:rsid w:val="00AB7EAA"/>
    <w:rsid w:val="00AC0432"/>
    <w:rsid w:val="00AC0770"/>
    <w:rsid w:val="00AC14B4"/>
    <w:rsid w:val="00AC1683"/>
    <w:rsid w:val="00AC1D82"/>
    <w:rsid w:val="00AC2D5F"/>
    <w:rsid w:val="00AC33F2"/>
    <w:rsid w:val="00AC4094"/>
    <w:rsid w:val="00AC42B6"/>
    <w:rsid w:val="00AC4AB7"/>
    <w:rsid w:val="00AC51E0"/>
    <w:rsid w:val="00AC55E0"/>
    <w:rsid w:val="00AC6987"/>
    <w:rsid w:val="00AC6CF3"/>
    <w:rsid w:val="00AC6D24"/>
    <w:rsid w:val="00AC6E18"/>
    <w:rsid w:val="00AC75EB"/>
    <w:rsid w:val="00AC7F64"/>
    <w:rsid w:val="00AD1065"/>
    <w:rsid w:val="00AD159E"/>
    <w:rsid w:val="00AD2AB1"/>
    <w:rsid w:val="00AD3132"/>
    <w:rsid w:val="00AD33A5"/>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003"/>
    <w:rsid w:val="00AF7389"/>
    <w:rsid w:val="00AF76B7"/>
    <w:rsid w:val="00AF79DF"/>
    <w:rsid w:val="00AF7C37"/>
    <w:rsid w:val="00B00378"/>
    <w:rsid w:val="00B00D91"/>
    <w:rsid w:val="00B00E84"/>
    <w:rsid w:val="00B01DD9"/>
    <w:rsid w:val="00B01F0E"/>
    <w:rsid w:val="00B02680"/>
    <w:rsid w:val="00B02E98"/>
    <w:rsid w:val="00B037F9"/>
    <w:rsid w:val="00B038F1"/>
    <w:rsid w:val="00B0392E"/>
    <w:rsid w:val="00B03C1B"/>
    <w:rsid w:val="00B0430C"/>
    <w:rsid w:val="00B04678"/>
    <w:rsid w:val="00B047C9"/>
    <w:rsid w:val="00B04A04"/>
    <w:rsid w:val="00B04B78"/>
    <w:rsid w:val="00B04C37"/>
    <w:rsid w:val="00B04F00"/>
    <w:rsid w:val="00B05107"/>
    <w:rsid w:val="00B056EE"/>
    <w:rsid w:val="00B05BA6"/>
    <w:rsid w:val="00B066FE"/>
    <w:rsid w:val="00B06912"/>
    <w:rsid w:val="00B06C80"/>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546"/>
    <w:rsid w:val="00B14F47"/>
    <w:rsid w:val="00B15282"/>
    <w:rsid w:val="00B15286"/>
    <w:rsid w:val="00B1539F"/>
    <w:rsid w:val="00B1550D"/>
    <w:rsid w:val="00B15F6C"/>
    <w:rsid w:val="00B163E8"/>
    <w:rsid w:val="00B16A6F"/>
    <w:rsid w:val="00B16B1F"/>
    <w:rsid w:val="00B1767E"/>
    <w:rsid w:val="00B20760"/>
    <w:rsid w:val="00B2125C"/>
    <w:rsid w:val="00B21676"/>
    <w:rsid w:val="00B219E1"/>
    <w:rsid w:val="00B21ECF"/>
    <w:rsid w:val="00B22150"/>
    <w:rsid w:val="00B226DE"/>
    <w:rsid w:val="00B22FB5"/>
    <w:rsid w:val="00B234ED"/>
    <w:rsid w:val="00B241D5"/>
    <w:rsid w:val="00B243C7"/>
    <w:rsid w:val="00B24BE9"/>
    <w:rsid w:val="00B2547E"/>
    <w:rsid w:val="00B2551D"/>
    <w:rsid w:val="00B25F8C"/>
    <w:rsid w:val="00B260BE"/>
    <w:rsid w:val="00B260DE"/>
    <w:rsid w:val="00B26677"/>
    <w:rsid w:val="00B26A96"/>
    <w:rsid w:val="00B26E58"/>
    <w:rsid w:val="00B26F5E"/>
    <w:rsid w:val="00B27251"/>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74E"/>
    <w:rsid w:val="00B37B8E"/>
    <w:rsid w:val="00B37C34"/>
    <w:rsid w:val="00B40222"/>
    <w:rsid w:val="00B404C3"/>
    <w:rsid w:val="00B4160A"/>
    <w:rsid w:val="00B41618"/>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4E1"/>
    <w:rsid w:val="00B53623"/>
    <w:rsid w:val="00B53D1D"/>
    <w:rsid w:val="00B53E98"/>
    <w:rsid w:val="00B53F9B"/>
    <w:rsid w:val="00B54B19"/>
    <w:rsid w:val="00B55F64"/>
    <w:rsid w:val="00B56007"/>
    <w:rsid w:val="00B561D7"/>
    <w:rsid w:val="00B56CE0"/>
    <w:rsid w:val="00B56ECA"/>
    <w:rsid w:val="00B56EF6"/>
    <w:rsid w:val="00B57093"/>
    <w:rsid w:val="00B57B5D"/>
    <w:rsid w:val="00B60613"/>
    <w:rsid w:val="00B60BE6"/>
    <w:rsid w:val="00B61AEC"/>
    <w:rsid w:val="00B6244C"/>
    <w:rsid w:val="00B62774"/>
    <w:rsid w:val="00B62A2F"/>
    <w:rsid w:val="00B62B7B"/>
    <w:rsid w:val="00B62D3F"/>
    <w:rsid w:val="00B62F0A"/>
    <w:rsid w:val="00B63484"/>
    <w:rsid w:val="00B634B7"/>
    <w:rsid w:val="00B634F1"/>
    <w:rsid w:val="00B637EF"/>
    <w:rsid w:val="00B63EF6"/>
    <w:rsid w:val="00B6440A"/>
    <w:rsid w:val="00B65788"/>
    <w:rsid w:val="00B65844"/>
    <w:rsid w:val="00B66054"/>
    <w:rsid w:val="00B66563"/>
    <w:rsid w:val="00B6677F"/>
    <w:rsid w:val="00B66950"/>
    <w:rsid w:val="00B66A19"/>
    <w:rsid w:val="00B66C7A"/>
    <w:rsid w:val="00B66D0C"/>
    <w:rsid w:val="00B672EA"/>
    <w:rsid w:val="00B6747B"/>
    <w:rsid w:val="00B70200"/>
    <w:rsid w:val="00B702D7"/>
    <w:rsid w:val="00B70389"/>
    <w:rsid w:val="00B70E01"/>
    <w:rsid w:val="00B713F0"/>
    <w:rsid w:val="00B7191B"/>
    <w:rsid w:val="00B71973"/>
    <w:rsid w:val="00B72A0B"/>
    <w:rsid w:val="00B72CF0"/>
    <w:rsid w:val="00B7380E"/>
    <w:rsid w:val="00B740F6"/>
    <w:rsid w:val="00B74615"/>
    <w:rsid w:val="00B7474B"/>
    <w:rsid w:val="00B74789"/>
    <w:rsid w:val="00B75408"/>
    <w:rsid w:val="00B755B6"/>
    <w:rsid w:val="00B75977"/>
    <w:rsid w:val="00B75A48"/>
    <w:rsid w:val="00B75CC0"/>
    <w:rsid w:val="00B76021"/>
    <w:rsid w:val="00B76FCD"/>
    <w:rsid w:val="00B76FFF"/>
    <w:rsid w:val="00B771F7"/>
    <w:rsid w:val="00B7764D"/>
    <w:rsid w:val="00B77BB2"/>
    <w:rsid w:val="00B8003B"/>
    <w:rsid w:val="00B804F8"/>
    <w:rsid w:val="00B8095A"/>
    <w:rsid w:val="00B81274"/>
    <w:rsid w:val="00B815D3"/>
    <w:rsid w:val="00B81721"/>
    <w:rsid w:val="00B81742"/>
    <w:rsid w:val="00B817B5"/>
    <w:rsid w:val="00B81BC5"/>
    <w:rsid w:val="00B823A6"/>
    <w:rsid w:val="00B829C4"/>
    <w:rsid w:val="00B82D28"/>
    <w:rsid w:val="00B83295"/>
    <w:rsid w:val="00B83E76"/>
    <w:rsid w:val="00B83FA0"/>
    <w:rsid w:val="00B84156"/>
    <w:rsid w:val="00B841D5"/>
    <w:rsid w:val="00B846E6"/>
    <w:rsid w:val="00B847E5"/>
    <w:rsid w:val="00B8537B"/>
    <w:rsid w:val="00B85586"/>
    <w:rsid w:val="00B859FB"/>
    <w:rsid w:val="00B86119"/>
    <w:rsid w:val="00B86289"/>
    <w:rsid w:val="00B863B3"/>
    <w:rsid w:val="00B869D3"/>
    <w:rsid w:val="00B86CF8"/>
    <w:rsid w:val="00B86E44"/>
    <w:rsid w:val="00B87359"/>
    <w:rsid w:val="00B87C2A"/>
    <w:rsid w:val="00B87F1C"/>
    <w:rsid w:val="00B90D8D"/>
    <w:rsid w:val="00B91263"/>
    <w:rsid w:val="00B91B61"/>
    <w:rsid w:val="00B92E64"/>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016"/>
    <w:rsid w:val="00BA050E"/>
    <w:rsid w:val="00BA1289"/>
    <w:rsid w:val="00BA14B2"/>
    <w:rsid w:val="00BA15DC"/>
    <w:rsid w:val="00BA1E2F"/>
    <w:rsid w:val="00BA1EB8"/>
    <w:rsid w:val="00BA2907"/>
    <w:rsid w:val="00BA2C82"/>
    <w:rsid w:val="00BA2FB2"/>
    <w:rsid w:val="00BA308C"/>
    <w:rsid w:val="00BA3532"/>
    <w:rsid w:val="00BA3869"/>
    <w:rsid w:val="00BA39EB"/>
    <w:rsid w:val="00BA4399"/>
    <w:rsid w:val="00BA4452"/>
    <w:rsid w:val="00BA46C6"/>
    <w:rsid w:val="00BA4ACF"/>
    <w:rsid w:val="00BA5039"/>
    <w:rsid w:val="00BA5800"/>
    <w:rsid w:val="00BA583B"/>
    <w:rsid w:val="00BA5DF2"/>
    <w:rsid w:val="00BA5EC7"/>
    <w:rsid w:val="00BA6319"/>
    <w:rsid w:val="00BA63CE"/>
    <w:rsid w:val="00BA65FC"/>
    <w:rsid w:val="00BA676E"/>
    <w:rsid w:val="00BA6980"/>
    <w:rsid w:val="00BA6E22"/>
    <w:rsid w:val="00BA6EF2"/>
    <w:rsid w:val="00BA7227"/>
    <w:rsid w:val="00BA763C"/>
    <w:rsid w:val="00BA784D"/>
    <w:rsid w:val="00BA7CD7"/>
    <w:rsid w:val="00BB00E5"/>
    <w:rsid w:val="00BB1688"/>
    <w:rsid w:val="00BB1EFB"/>
    <w:rsid w:val="00BB269F"/>
    <w:rsid w:val="00BB270D"/>
    <w:rsid w:val="00BB27CC"/>
    <w:rsid w:val="00BB2ACE"/>
    <w:rsid w:val="00BB2E4E"/>
    <w:rsid w:val="00BB2E62"/>
    <w:rsid w:val="00BB36C9"/>
    <w:rsid w:val="00BB3A66"/>
    <w:rsid w:val="00BB40D1"/>
    <w:rsid w:val="00BB610B"/>
    <w:rsid w:val="00BB777D"/>
    <w:rsid w:val="00BB7EC0"/>
    <w:rsid w:val="00BB7F88"/>
    <w:rsid w:val="00BC0207"/>
    <w:rsid w:val="00BC072C"/>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8B3"/>
    <w:rsid w:val="00BD1BDD"/>
    <w:rsid w:val="00BD1D7D"/>
    <w:rsid w:val="00BD1E27"/>
    <w:rsid w:val="00BD2B4D"/>
    <w:rsid w:val="00BD2F08"/>
    <w:rsid w:val="00BD2FB9"/>
    <w:rsid w:val="00BD31C2"/>
    <w:rsid w:val="00BD3683"/>
    <w:rsid w:val="00BD376F"/>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501"/>
    <w:rsid w:val="00BE1EF0"/>
    <w:rsid w:val="00BE246C"/>
    <w:rsid w:val="00BE2657"/>
    <w:rsid w:val="00BE2FD2"/>
    <w:rsid w:val="00BE3473"/>
    <w:rsid w:val="00BE377A"/>
    <w:rsid w:val="00BE37AE"/>
    <w:rsid w:val="00BE3B14"/>
    <w:rsid w:val="00BE3C65"/>
    <w:rsid w:val="00BE4222"/>
    <w:rsid w:val="00BE452F"/>
    <w:rsid w:val="00BE472D"/>
    <w:rsid w:val="00BE4C03"/>
    <w:rsid w:val="00BE4C13"/>
    <w:rsid w:val="00BE593E"/>
    <w:rsid w:val="00BE5A35"/>
    <w:rsid w:val="00BE5C04"/>
    <w:rsid w:val="00BE7D6A"/>
    <w:rsid w:val="00BE7F4D"/>
    <w:rsid w:val="00BF02CD"/>
    <w:rsid w:val="00BF03C0"/>
    <w:rsid w:val="00BF0EBF"/>
    <w:rsid w:val="00BF1534"/>
    <w:rsid w:val="00BF153D"/>
    <w:rsid w:val="00BF1CB7"/>
    <w:rsid w:val="00BF2021"/>
    <w:rsid w:val="00BF21D4"/>
    <w:rsid w:val="00BF2829"/>
    <w:rsid w:val="00BF2DDC"/>
    <w:rsid w:val="00BF313C"/>
    <w:rsid w:val="00BF32DE"/>
    <w:rsid w:val="00BF4A15"/>
    <w:rsid w:val="00BF4E0E"/>
    <w:rsid w:val="00BF4E27"/>
    <w:rsid w:val="00BF4F7C"/>
    <w:rsid w:val="00BF537B"/>
    <w:rsid w:val="00BF55FF"/>
    <w:rsid w:val="00BF5901"/>
    <w:rsid w:val="00BF626A"/>
    <w:rsid w:val="00BF688E"/>
    <w:rsid w:val="00BF6D77"/>
    <w:rsid w:val="00BF704C"/>
    <w:rsid w:val="00BF70C8"/>
    <w:rsid w:val="00BF739A"/>
    <w:rsid w:val="00BF7E79"/>
    <w:rsid w:val="00BF7EF5"/>
    <w:rsid w:val="00C00358"/>
    <w:rsid w:val="00C00BF6"/>
    <w:rsid w:val="00C01146"/>
    <w:rsid w:val="00C01912"/>
    <w:rsid w:val="00C0234A"/>
    <w:rsid w:val="00C0247B"/>
    <w:rsid w:val="00C0363A"/>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6EA"/>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402"/>
    <w:rsid w:val="00C17AB5"/>
    <w:rsid w:val="00C17BDC"/>
    <w:rsid w:val="00C20051"/>
    <w:rsid w:val="00C2021B"/>
    <w:rsid w:val="00C20833"/>
    <w:rsid w:val="00C20B6C"/>
    <w:rsid w:val="00C20B86"/>
    <w:rsid w:val="00C21145"/>
    <w:rsid w:val="00C215ED"/>
    <w:rsid w:val="00C22350"/>
    <w:rsid w:val="00C2302B"/>
    <w:rsid w:val="00C23615"/>
    <w:rsid w:val="00C2397E"/>
    <w:rsid w:val="00C23A83"/>
    <w:rsid w:val="00C24381"/>
    <w:rsid w:val="00C24801"/>
    <w:rsid w:val="00C2499B"/>
    <w:rsid w:val="00C24C2E"/>
    <w:rsid w:val="00C24C7A"/>
    <w:rsid w:val="00C24FFB"/>
    <w:rsid w:val="00C25CFF"/>
    <w:rsid w:val="00C25D94"/>
    <w:rsid w:val="00C25EA6"/>
    <w:rsid w:val="00C26164"/>
    <w:rsid w:val="00C261C1"/>
    <w:rsid w:val="00C26540"/>
    <w:rsid w:val="00C26574"/>
    <w:rsid w:val="00C26A27"/>
    <w:rsid w:val="00C26DBF"/>
    <w:rsid w:val="00C27199"/>
    <w:rsid w:val="00C27204"/>
    <w:rsid w:val="00C30021"/>
    <w:rsid w:val="00C304E9"/>
    <w:rsid w:val="00C30B0B"/>
    <w:rsid w:val="00C31214"/>
    <w:rsid w:val="00C31320"/>
    <w:rsid w:val="00C3158F"/>
    <w:rsid w:val="00C316B4"/>
    <w:rsid w:val="00C32A9B"/>
    <w:rsid w:val="00C32F03"/>
    <w:rsid w:val="00C332D4"/>
    <w:rsid w:val="00C33514"/>
    <w:rsid w:val="00C33A66"/>
    <w:rsid w:val="00C33E51"/>
    <w:rsid w:val="00C34C45"/>
    <w:rsid w:val="00C34C47"/>
    <w:rsid w:val="00C34FCE"/>
    <w:rsid w:val="00C34FF6"/>
    <w:rsid w:val="00C35411"/>
    <w:rsid w:val="00C35EED"/>
    <w:rsid w:val="00C36B2C"/>
    <w:rsid w:val="00C3701A"/>
    <w:rsid w:val="00C379EF"/>
    <w:rsid w:val="00C379F5"/>
    <w:rsid w:val="00C405C8"/>
    <w:rsid w:val="00C40C2F"/>
    <w:rsid w:val="00C415AC"/>
    <w:rsid w:val="00C428B6"/>
    <w:rsid w:val="00C4297A"/>
    <w:rsid w:val="00C4360C"/>
    <w:rsid w:val="00C439B8"/>
    <w:rsid w:val="00C43A0B"/>
    <w:rsid w:val="00C43EDA"/>
    <w:rsid w:val="00C43FEC"/>
    <w:rsid w:val="00C4414C"/>
    <w:rsid w:val="00C45512"/>
    <w:rsid w:val="00C4602B"/>
    <w:rsid w:val="00C46564"/>
    <w:rsid w:val="00C46BB5"/>
    <w:rsid w:val="00C46BFA"/>
    <w:rsid w:val="00C46DDF"/>
    <w:rsid w:val="00C500A1"/>
    <w:rsid w:val="00C50A02"/>
    <w:rsid w:val="00C51149"/>
    <w:rsid w:val="00C5117E"/>
    <w:rsid w:val="00C512D1"/>
    <w:rsid w:val="00C51856"/>
    <w:rsid w:val="00C51B04"/>
    <w:rsid w:val="00C51DB5"/>
    <w:rsid w:val="00C52959"/>
    <w:rsid w:val="00C53CE9"/>
    <w:rsid w:val="00C5531B"/>
    <w:rsid w:val="00C55375"/>
    <w:rsid w:val="00C5570F"/>
    <w:rsid w:val="00C56C98"/>
    <w:rsid w:val="00C56DE1"/>
    <w:rsid w:val="00C56DEE"/>
    <w:rsid w:val="00C5710A"/>
    <w:rsid w:val="00C57120"/>
    <w:rsid w:val="00C571D5"/>
    <w:rsid w:val="00C575D4"/>
    <w:rsid w:val="00C61223"/>
    <w:rsid w:val="00C61246"/>
    <w:rsid w:val="00C618A8"/>
    <w:rsid w:val="00C61A78"/>
    <w:rsid w:val="00C621E1"/>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661"/>
    <w:rsid w:val="00C67C4F"/>
    <w:rsid w:val="00C70718"/>
    <w:rsid w:val="00C70B25"/>
    <w:rsid w:val="00C713E1"/>
    <w:rsid w:val="00C71528"/>
    <w:rsid w:val="00C717E4"/>
    <w:rsid w:val="00C7191B"/>
    <w:rsid w:val="00C71F09"/>
    <w:rsid w:val="00C72443"/>
    <w:rsid w:val="00C72588"/>
    <w:rsid w:val="00C727B9"/>
    <w:rsid w:val="00C72F44"/>
    <w:rsid w:val="00C73670"/>
    <w:rsid w:val="00C737D1"/>
    <w:rsid w:val="00C738A0"/>
    <w:rsid w:val="00C73DE0"/>
    <w:rsid w:val="00C74609"/>
    <w:rsid w:val="00C749AB"/>
    <w:rsid w:val="00C757BF"/>
    <w:rsid w:val="00C75A8F"/>
    <w:rsid w:val="00C76129"/>
    <w:rsid w:val="00C76C0C"/>
    <w:rsid w:val="00C76FFC"/>
    <w:rsid w:val="00C774E0"/>
    <w:rsid w:val="00C77526"/>
    <w:rsid w:val="00C776BA"/>
    <w:rsid w:val="00C7791E"/>
    <w:rsid w:val="00C80994"/>
    <w:rsid w:val="00C81716"/>
    <w:rsid w:val="00C82BD2"/>
    <w:rsid w:val="00C832CB"/>
    <w:rsid w:val="00C83C1C"/>
    <w:rsid w:val="00C84085"/>
    <w:rsid w:val="00C852DC"/>
    <w:rsid w:val="00C854A8"/>
    <w:rsid w:val="00C85677"/>
    <w:rsid w:val="00C85E17"/>
    <w:rsid w:val="00C85F6A"/>
    <w:rsid w:val="00C86061"/>
    <w:rsid w:val="00C861FF"/>
    <w:rsid w:val="00C868A7"/>
    <w:rsid w:val="00C86ABA"/>
    <w:rsid w:val="00C86BF7"/>
    <w:rsid w:val="00C87164"/>
    <w:rsid w:val="00C8786A"/>
    <w:rsid w:val="00C87BBA"/>
    <w:rsid w:val="00C87BD0"/>
    <w:rsid w:val="00C90381"/>
    <w:rsid w:val="00C90492"/>
    <w:rsid w:val="00C905E5"/>
    <w:rsid w:val="00C90754"/>
    <w:rsid w:val="00C908A1"/>
    <w:rsid w:val="00C90B95"/>
    <w:rsid w:val="00C90BC4"/>
    <w:rsid w:val="00C90CA9"/>
    <w:rsid w:val="00C91802"/>
    <w:rsid w:val="00C91F6F"/>
    <w:rsid w:val="00C92E41"/>
    <w:rsid w:val="00C92F62"/>
    <w:rsid w:val="00C93097"/>
    <w:rsid w:val="00C93B40"/>
    <w:rsid w:val="00C93DB5"/>
    <w:rsid w:val="00C94CB9"/>
    <w:rsid w:val="00C95853"/>
    <w:rsid w:val="00C95C2F"/>
    <w:rsid w:val="00C95F87"/>
    <w:rsid w:val="00C96035"/>
    <w:rsid w:val="00C960DB"/>
    <w:rsid w:val="00C968EF"/>
    <w:rsid w:val="00C972CE"/>
    <w:rsid w:val="00CA0492"/>
    <w:rsid w:val="00CA05B0"/>
    <w:rsid w:val="00CA0632"/>
    <w:rsid w:val="00CA0A04"/>
    <w:rsid w:val="00CA2528"/>
    <w:rsid w:val="00CA33D8"/>
    <w:rsid w:val="00CA3CAB"/>
    <w:rsid w:val="00CA3FC0"/>
    <w:rsid w:val="00CA5685"/>
    <w:rsid w:val="00CA634A"/>
    <w:rsid w:val="00CA6A2E"/>
    <w:rsid w:val="00CA6B56"/>
    <w:rsid w:val="00CA6C0E"/>
    <w:rsid w:val="00CA7D3E"/>
    <w:rsid w:val="00CB0317"/>
    <w:rsid w:val="00CB0662"/>
    <w:rsid w:val="00CB0A82"/>
    <w:rsid w:val="00CB0F2F"/>
    <w:rsid w:val="00CB0F76"/>
    <w:rsid w:val="00CB10EA"/>
    <w:rsid w:val="00CB14EE"/>
    <w:rsid w:val="00CB1556"/>
    <w:rsid w:val="00CB2913"/>
    <w:rsid w:val="00CB3970"/>
    <w:rsid w:val="00CB4234"/>
    <w:rsid w:val="00CB42B9"/>
    <w:rsid w:val="00CB4550"/>
    <w:rsid w:val="00CB4F39"/>
    <w:rsid w:val="00CB52A4"/>
    <w:rsid w:val="00CB537C"/>
    <w:rsid w:val="00CB5A26"/>
    <w:rsid w:val="00CB645B"/>
    <w:rsid w:val="00CB6A93"/>
    <w:rsid w:val="00CB6C79"/>
    <w:rsid w:val="00CB6F2E"/>
    <w:rsid w:val="00CB77C3"/>
    <w:rsid w:val="00CB7D62"/>
    <w:rsid w:val="00CB7E9C"/>
    <w:rsid w:val="00CC0072"/>
    <w:rsid w:val="00CC027A"/>
    <w:rsid w:val="00CC0915"/>
    <w:rsid w:val="00CC0FBD"/>
    <w:rsid w:val="00CC1398"/>
    <w:rsid w:val="00CC1AF5"/>
    <w:rsid w:val="00CC1B74"/>
    <w:rsid w:val="00CC291E"/>
    <w:rsid w:val="00CC2D03"/>
    <w:rsid w:val="00CC2EB0"/>
    <w:rsid w:val="00CC40EC"/>
    <w:rsid w:val="00CC4701"/>
    <w:rsid w:val="00CC56B4"/>
    <w:rsid w:val="00CC5F95"/>
    <w:rsid w:val="00CC642A"/>
    <w:rsid w:val="00CC6AC7"/>
    <w:rsid w:val="00CC733D"/>
    <w:rsid w:val="00CC7617"/>
    <w:rsid w:val="00CC7B8D"/>
    <w:rsid w:val="00CC7E0D"/>
    <w:rsid w:val="00CC7E97"/>
    <w:rsid w:val="00CD00EB"/>
    <w:rsid w:val="00CD1255"/>
    <w:rsid w:val="00CD1343"/>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3AB"/>
    <w:rsid w:val="00CE0697"/>
    <w:rsid w:val="00CE0CA0"/>
    <w:rsid w:val="00CE14CB"/>
    <w:rsid w:val="00CE20E0"/>
    <w:rsid w:val="00CE2E2E"/>
    <w:rsid w:val="00CE3A51"/>
    <w:rsid w:val="00CE41F9"/>
    <w:rsid w:val="00CE4E0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545"/>
    <w:rsid w:val="00CF3AD3"/>
    <w:rsid w:val="00CF3D9D"/>
    <w:rsid w:val="00CF475F"/>
    <w:rsid w:val="00CF5008"/>
    <w:rsid w:val="00CF5069"/>
    <w:rsid w:val="00CF59BF"/>
    <w:rsid w:val="00CF5E34"/>
    <w:rsid w:val="00CF6025"/>
    <w:rsid w:val="00CF6707"/>
    <w:rsid w:val="00CF7101"/>
    <w:rsid w:val="00CF7327"/>
    <w:rsid w:val="00CF7385"/>
    <w:rsid w:val="00CF7539"/>
    <w:rsid w:val="00CF75C6"/>
    <w:rsid w:val="00CF7B77"/>
    <w:rsid w:val="00CF7DF5"/>
    <w:rsid w:val="00D001D2"/>
    <w:rsid w:val="00D02A80"/>
    <w:rsid w:val="00D0352D"/>
    <w:rsid w:val="00D038B7"/>
    <w:rsid w:val="00D038DC"/>
    <w:rsid w:val="00D04658"/>
    <w:rsid w:val="00D04DBF"/>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4F5"/>
    <w:rsid w:val="00D11FE3"/>
    <w:rsid w:val="00D12393"/>
    <w:rsid w:val="00D12945"/>
    <w:rsid w:val="00D12CC0"/>
    <w:rsid w:val="00D12DA1"/>
    <w:rsid w:val="00D130C0"/>
    <w:rsid w:val="00D1343A"/>
    <w:rsid w:val="00D13D50"/>
    <w:rsid w:val="00D14101"/>
    <w:rsid w:val="00D144D8"/>
    <w:rsid w:val="00D14919"/>
    <w:rsid w:val="00D14E25"/>
    <w:rsid w:val="00D14F8A"/>
    <w:rsid w:val="00D15470"/>
    <w:rsid w:val="00D15AE3"/>
    <w:rsid w:val="00D160C4"/>
    <w:rsid w:val="00D165D8"/>
    <w:rsid w:val="00D16B61"/>
    <w:rsid w:val="00D1724E"/>
    <w:rsid w:val="00D17C26"/>
    <w:rsid w:val="00D17E08"/>
    <w:rsid w:val="00D206F6"/>
    <w:rsid w:val="00D20FD1"/>
    <w:rsid w:val="00D214D4"/>
    <w:rsid w:val="00D21AAA"/>
    <w:rsid w:val="00D21E6F"/>
    <w:rsid w:val="00D2218A"/>
    <w:rsid w:val="00D22B13"/>
    <w:rsid w:val="00D2371E"/>
    <w:rsid w:val="00D237E0"/>
    <w:rsid w:val="00D23A17"/>
    <w:rsid w:val="00D24343"/>
    <w:rsid w:val="00D24DFC"/>
    <w:rsid w:val="00D251CB"/>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3DAA"/>
    <w:rsid w:val="00D3497A"/>
    <w:rsid w:val="00D34EBC"/>
    <w:rsid w:val="00D35F2F"/>
    <w:rsid w:val="00D35FC6"/>
    <w:rsid w:val="00D36BB8"/>
    <w:rsid w:val="00D377D4"/>
    <w:rsid w:val="00D401A1"/>
    <w:rsid w:val="00D40217"/>
    <w:rsid w:val="00D40385"/>
    <w:rsid w:val="00D404CE"/>
    <w:rsid w:val="00D40E8F"/>
    <w:rsid w:val="00D412BF"/>
    <w:rsid w:val="00D417C6"/>
    <w:rsid w:val="00D417D0"/>
    <w:rsid w:val="00D41DA9"/>
    <w:rsid w:val="00D42B0C"/>
    <w:rsid w:val="00D42D6E"/>
    <w:rsid w:val="00D43DEF"/>
    <w:rsid w:val="00D44259"/>
    <w:rsid w:val="00D45C61"/>
    <w:rsid w:val="00D45DDC"/>
    <w:rsid w:val="00D479B3"/>
    <w:rsid w:val="00D5064C"/>
    <w:rsid w:val="00D50C94"/>
    <w:rsid w:val="00D511E7"/>
    <w:rsid w:val="00D517ED"/>
    <w:rsid w:val="00D52490"/>
    <w:rsid w:val="00D5251C"/>
    <w:rsid w:val="00D52F56"/>
    <w:rsid w:val="00D539DA"/>
    <w:rsid w:val="00D53B3E"/>
    <w:rsid w:val="00D53EC6"/>
    <w:rsid w:val="00D54A50"/>
    <w:rsid w:val="00D54FFD"/>
    <w:rsid w:val="00D5552C"/>
    <w:rsid w:val="00D5556D"/>
    <w:rsid w:val="00D55C34"/>
    <w:rsid w:val="00D55C81"/>
    <w:rsid w:val="00D5674B"/>
    <w:rsid w:val="00D56B56"/>
    <w:rsid w:val="00D56BF5"/>
    <w:rsid w:val="00D56F99"/>
    <w:rsid w:val="00D5743F"/>
    <w:rsid w:val="00D5768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5EA1"/>
    <w:rsid w:val="00D6611C"/>
    <w:rsid w:val="00D66D1F"/>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A76"/>
    <w:rsid w:val="00D774F4"/>
    <w:rsid w:val="00D77687"/>
    <w:rsid w:val="00D778A1"/>
    <w:rsid w:val="00D77AF6"/>
    <w:rsid w:val="00D80138"/>
    <w:rsid w:val="00D804C5"/>
    <w:rsid w:val="00D815E6"/>
    <w:rsid w:val="00D81A28"/>
    <w:rsid w:val="00D81BDE"/>
    <w:rsid w:val="00D8201D"/>
    <w:rsid w:val="00D82531"/>
    <w:rsid w:val="00D82B00"/>
    <w:rsid w:val="00D82B04"/>
    <w:rsid w:val="00D82BE4"/>
    <w:rsid w:val="00D82E05"/>
    <w:rsid w:val="00D83C0D"/>
    <w:rsid w:val="00D83C80"/>
    <w:rsid w:val="00D83F5B"/>
    <w:rsid w:val="00D8426A"/>
    <w:rsid w:val="00D84327"/>
    <w:rsid w:val="00D84922"/>
    <w:rsid w:val="00D85FDE"/>
    <w:rsid w:val="00D864AD"/>
    <w:rsid w:val="00D8665E"/>
    <w:rsid w:val="00D869C1"/>
    <w:rsid w:val="00D86CA9"/>
    <w:rsid w:val="00D86EC6"/>
    <w:rsid w:val="00D87418"/>
    <w:rsid w:val="00D87A39"/>
    <w:rsid w:val="00D87D32"/>
    <w:rsid w:val="00D87FE6"/>
    <w:rsid w:val="00D90830"/>
    <w:rsid w:val="00D90BC3"/>
    <w:rsid w:val="00D90C93"/>
    <w:rsid w:val="00D90DB9"/>
    <w:rsid w:val="00D91001"/>
    <w:rsid w:val="00D910FF"/>
    <w:rsid w:val="00D912F4"/>
    <w:rsid w:val="00D91337"/>
    <w:rsid w:val="00D915C9"/>
    <w:rsid w:val="00D916C2"/>
    <w:rsid w:val="00D918DA"/>
    <w:rsid w:val="00D9198F"/>
    <w:rsid w:val="00D92078"/>
    <w:rsid w:val="00D926F0"/>
    <w:rsid w:val="00D9274D"/>
    <w:rsid w:val="00D92A87"/>
    <w:rsid w:val="00D9319F"/>
    <w:rsid w:val="00D933E9"/>
    <w:rsid w:val="00D9384E"/>
    <w:rsid w:val="00D93AEE"/>
    <w:rsid w:val="00D93E95"/>
    <w:rsid w:val="00D9413E"/>
    <w:rsid w:val="00D94C8D"/>
    <w:rsid w:val="00D95F88"/>
    <w:rsid w:val="00D96328"/>
    <w:rsid w:val="00D96698"/>
    <w:rsid w:val="00D96876"/>
    <w:rsid w:val="00D96940"/>
    <w:rsid w:val="00D96B12"/>
    <w:rsid w:val="00D96F59"/>
    <w:rsid w:val="00D9737A"/>
    <w:rsid w:val="00DA0175"/>
    <w:rsid w:val="00DA099C"/>
    <w:rsid w:val="00DA0F18"/>
    <w:rsid w:val="00DA1959"/>
    <w:rsid w:val="00DA2125"/>
    <w:rsid w:val="00DA21EC"/>
    <w:rsid w:val="00DA245B"/>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D77"/>
    <w:rsid w:val="00DB4F12"/>
    <w:rsid w:val="00DB4F21"/>
    <w:rsid w:val="00DB4F42"/>
    <w:rsid w:val="00DB540C"/>
    <w:rsid w:val="00DB5854"/>
    <w:rsid w:val="00DB6F96"/>
    <w:rsid w:val="00DB71B9"/>
    <w:rsid w:val="00DB7662"/>
    <w:rsid w:val="00DB7E46"/>
    <w:rsid w:val="00DC063C"/>
    <w:rsid w:val="00DC1395"/>
    <w:rsid w:val="00DC1B92"/>
    <w:rsid w:val="00DC32FC"/>
    <w:rsid w:val="00DC347D"/>
    <w:rsid w:val="00DC3D53"/>
    <w:rsid w:val="00DC3D89"/>
    <w:rsid w:val="00DC4567"/>
    <w:rsid w:val="00DC4D6C"/>
    <w:rsid w:val="00DC4F47"/>
    <w:rsid w:val="00DC501D"/>
    <w:rsid w:val="00DC5059"/>
    <w:rsid w:val="00DC5860"/>
    <w:rsid w:val="00DC5BD0"/>
    <w:rsid w:val="00DC5BE2"/>
    <w:rsid w:val="00DC6284"/>
    <w:rsid w:val="00DC628E"/>
    <w:rsid w:val="00DC6747"/>
    <w:rsid w:val="00DC6AF3"/>
    <w:rsid w:val="00DC7608"/>
    <w:rsid w:val="00DC761E"/>
    <w:rsid w:val="00DC7B3B"/>
    <w:rsid w:val="00DC7B9B"/>
    <w:rsid w:val="00DC7CFC"/>
    <w:rsid w:val="00DC7F1D"/>
    <w:rsid w:val="00DD0273"/>
    <w:rsid w:val="00DD0359"/>
    <w:rsid w:val="00DD06ED"/>
    <w:rsid w:val="00DD09F2"/>
    <w:rsid w:val="00DD0DEE"/>
    <w:rsid w:val="00DD1205"/>
    <w:rsid w:val="00DD1633"/>
    <w:rsid w:val="00DD17A0"/>
    <w:rsid w:val="00DD1B97"/>
    <w:rsid w:val="00DD2182"/>
    <w:rsid w:val="00DD2831"/>
    <w:rsid w:val="00DD2A6D"/>
    <w:rsid w:val="00DD2E17"/>
    <w:rsid w:val="00DD42DE"/>
    <w:rsid w:val="00DD4309"/>
    <w:rsid w:val="00DD4344"/>
    <w:rsid w:val="00DD4357"/>
    <w:rsid w:val="00DD4DDD"/>
    <w:rsid w:val="00DD549E"/>
    <w:rsid w:val="00DD573B"/>
    <w:rsid w:val="00DD57E7"/>
    <w:rsid w:val="00DD5A1E"/>
    <w:rsid w:val="00DD5B8C"/>
    <w:rsid w:val="00DD5DFA"/>
    <w:rsid w:val="00DD5E91"/>
    <w:rsid w:val="00DD6CE2"/>
    <w:rsid w:val="00DD720D"/>
    <w:rsid w:val="00DE0229"/>
    <w:rsid w:val="00DE0264"/>
    <w:rsid w:val="00DE04E0"/>
    <w:rsid w:val="00DE12F1"/>
    <w:rsid w:val="00DE1A9D"/>
    <w:rsid w:val="00DE1CB1"/>
    <w:rsid w:val="00DE1EA4"/>
    <w:rsid w:val="00DE2073"/>
    <w:rsid w:val="00DE2F10"/>
    <w:rsid w:val="00DE2F85"/>
    <w:rsid w:val="00DE30AC"/>
    <w:rsid w:val="00DE38D1"/>
    <w:rsid w:val="00DE4106"/>
    <w:rsid w:val="00DE466B"/>
    <w:rsid w:val="00DE48F4"/>
    <w:rsid w:val="00DE493B"/>
    <w:rsid w:val="00DE5563"/>
    <w:rsid w:val="00DE5C19"/>
    <w:rsid w:val="00DE5D48"/>
    <w:rsid w:val="00DE6157"/>
    <w:rsid w:val="00DE6E4D"/>
    <w:rsid w:val="00DE7498"/>
    <w:rsid w:val="00DE75EF"/>
    <w:rsid w:val="00DE7611"/>
    <w:rsid w:val="00DE7614"/>
    <w:rsid w:val="00DE7D19"/>
    <w:rsid w:val="00DF05A0"/>
    <w:rsid w:val="00DF1162"/>
    <w:rsid w:val="00DF1BA8"/>
    <w:rsid w:val="00DF1F63"/>
    <w:rsid w:val="00DF28F2"/>
    <w:rsid w:val="00DF2BFF"/>
    <w:rsid w:val="00DF30F6"/>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3C60"/>
    <w:rsid w:val="00E0479F"/>
    <w:rsid w:val="00E04816"/>
    <w:rsid w:val="00E04982"/>
    <w:rsid w:val="00E04D6A"/>
    <w:rsid w:val="00E058DB"/>
    <w:rsid w:val="00E05950"/>
    <w:rsid w:val="00E05CD4"/>
    <w:rsid w:val="00E05DE8"/>
    <w:rsid w:val="00E06100"/>
    <w:rsid w:val="00E0614E"/>
    <w:rsid w:val="00E0692E"/>
    <w:rsid w:val="00E06E97"/>
    <w:rsid w:val="00E0730B"/>
    <w:rsid w:val="00E07B8F"/>
    <w:rsid w:val="00E102A6"/>
    <w:rsid w:val="00E10712"/>
    <w:rsid w:val="00E10DD1"/>
    <w:rsid w:val="00E11105"/>
    <w:rsid w:val="00E1224C"/>
    <w:rsid w:val="00E1254C"/>
    <w:rsid w:val="00E1298C"/>
    <w:rsid w:val="00E12BDF"/>
    <w:rsid w:val="00E131D8"/>
    <w:rsid w:val="00E13326"/>
    <w:rsid w:val="00E13D07"/>
    <w:rsid w:val="00E14346"/>
    <w:rsid w:val="00E14356"/>
    <w:rsid w:val="00E14961"/>
    <w:rsid w:val="00E14D76"/>
    <w:rsid w:val="00E15183"/>
    <w:rsid w:val="00E15D6C"/>
    <w:rsid w:val="00E1720B"/>
    <w:rsid w:val="00E20057"/>
    <w:rsid w:val="00E203DE"/>
    <w:rsid w:val="00E2096D"/>
    <w:rsid w:val="00E20CE7"/>
    <w:rsid w:val="00E217B1"/>
    <w:rsid w:val="00E222FA"/>
    <w:rsid w:val="00E229CE"/>
    <w:rsid w:val="00E22B4A"/>
    <w:rsid w:val="00E2376D"/>
    <w:rsid w:val="00E2449B"/>
    <w:rsid w:val="00E24A62"/>
    <w:rsid w:val="00E24E3B"/>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7B5"/>
    <w:rsid w:val="00E327EB"/>
    <w:rsid w:val="00E33328"/>
    <w:rsid w:val="00E333D5"/>
    <w:rsid w:val="00E333E8"/>
    <w:rsid w:val="00E3394F"/>
    <w:rsid w:val="00E33A0B"/>
    <w:rsid w:val="00E34037"/>
    <w:rsid w:val="00E34A2F"/>
    <w:rsid w:val="00E355CA"/>
    <w:rsid w:val="00E35A45"/>
    <w:rsid w:val="00E35F7F"/>
    <w:rsid w:val="00E36392"/>
    <w:rsid w:val="00E36790"/>
    <w:rsid w:val="00E36B32"/>
    <w:rsid w:val="00E37A6F"/>
    <w:rsid w:val="00E37A9C"/>
    <w:rsid w:val="00E40222"/>
    <w:rsid w:val="00E40406"/>
    <w:rsid w:val="00E4082B"/>
    <w:rsid w:val="00E40835"/>
    <w:rsid w:val="00E408EC"/>
    <w:rsid w:val="00E409B5"/>
    <w:rsid w:val="00E40BCB"/>
    <w:rsid w:val="00E4208F"/>
    <w:rsid w:val="00E42291"/>
    <w:rsid w:val="00E42E94"/>
    <w:rsid w:val="00E43006"/>
    <w:rsid w:val="00E4312A"/>
    <w:rsid w:val="00E4331B"/>
    <w:rsid w:val="00E434E6"/>
    <w:rsid w:val="00E43551"/>
    <w:rsid w:val="00E437FA"/>
    <w:rsid w:val="00E438F3"/>
    <w:rsid w:val="00E456A5"/>
    <w:rsid w:val="00E45A2C"/>
    <w:rsid w:val="00E46A6B"/>
    <w:rsid w:val="00E46A9C"/>
    <w:rsid w:val="00E47DB1"/>
    <w:rsid w:val="00E50BDD"/>
    <w:rsid w:val="00E510CF"/>
    <w:rsid w:val="00E513D7"/>
    <w:rsid w:val="00E519FE"/>
    <w:rsid w:val="00E5206C"/>
    <w:rsid w:val="00E52AAB"/>
    <w:rsid w:val="00E5448E"/>
    <w:rsid w:val="00E5477E"/>
    <w:rsid w:val="00E54E0D"/>
    <w:rsid w:val="00E54F47"/>
    <w:rsid w:val="00E55096"/>
    <w:rsid w:val="00E551E0"/>
    <w:rsid w:val="00E55247"/>
    <w:rsid w:val="00E558E5"/>
    <w:rsid w:val="00E55B3C"/>
    <w:rsid w:val="00E56795"/>
    <w:rsid w:val="00E56D88"/>
    <w:rsid w:val="00E56D96"/>
    <w:rsid w:val="00E57300"/>
    <w:rsid w:val="00E57594"/>
    <w:rsid w:val="00E57932"/>
    <w:rsid w:val="00E606C4"/>
    <w:rsid w:val="00E60811"/>
    <w:rsid w:val="00E60AB8"/>
    <w:rsid w:val="00E6103E"/>
    <w:rsid w:val="00E6185F"/>
    <w:rsid w:val="00E61D32"/>
    <w:rsid w:val="00E622F0"/>
    <w:rsid w:val="00E62FB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35"/>
    <w:rsid w:val="00E85AD2"/>
    <w:rsid w:val="00E87A37"/>
    <w:rsid w:val="00E87CF7"/>
    <w:rsid w:val="00E9036E"/>
    <w:rsid w:val="00E9078A"/>
    <w:rsid w:val="00E912FD"/>
    <w:rsid w:val="00E91483"/>
    <w:rsid w:val="00E91B26"/>
    <w:rsid w:val="00E92C6E"/>
    <w:rsid w:val="00E92D0B"/>
    <w:rsid w:val="00E92FFF"/>
    <w:rsid w:val="00E93195"/>
    <w:rsid w:val="00E9391C"/>
    <w:rsid w:val="00E93D05"/>
    <w:rsid w:val="00E93F48"/>
    <w:rsid w:val="00E950D4"/>
    <w:rsid w:val="00E951D8"/>
    <w:rsid w:val="00E95C2A"/>
    <w:rsid w:val="00E95F03"/>
    <w:rsid w:val="00E961CB"/>
    <w:rsid w:val="00E963BC"/>
    <w:rsid w:val="00E966A6"/>
    <w:rsid w:val="00E96D97"/>
    <w:rsid w:val="00E96E91"/>
    <w:rsid w:val="00E9751D"/>
    <w:rsid w:val="00E97DC6"/>
    <w:rsid w:val="00E97F7A"/>
    <w:rsid w:val="00EA0010"/>
    <w:rsid w:val="00EA0143"/>
    <w:rsid w:val="00EA06C4"/>
    <w:rsid w:val="00EA073C"/>
    <w:rsid w:val="00EA089B"/>
    <w:rsid w:val="00EA1ACC"/>
    <w:rsid w:val="00EA29E4"/>
    <w:rsid w:val="00EA2DCA"/>
    <w:rsid w:val="00EA2E21"/>
    <w:rsid w:val="00EA2EAA"/>
    <w:rsid w:val="00EA380C"/>
    <w:rsid w:val="00EA613D"/>
    <w:rsid w:val="00EA6645"/>
    <w:rsid w:val="00EA6744"/>
    <w:rsid w:val="00EA7077"/>
    <w:rsid w:val="00EA7308"/>
    <w:rsid w:val="00EA7474"/>
    <w:rsid w:val="00EB018D"/>
    <w:rsid w:val="00EB0831"/>
    <w:rsid w:val="00EB089C"/>
    <w:rsid w:val="00EB0AA8"/>
    <w:rsid w:val="00EB0B65"/>
    <w:rsid w:val="00EB0C65"/>
    <w:rsid w:val="00EB1624"/>
    <w:rsid w:val="00EB169F"/>
    <w:rsid w:val="00EB2635"/>
    <w:rsid w:val="00EB2961"/>
    <w:rsid w:val="00EB2E1A"/>
    <w:rsid w:val="00EB2F8A"/>
    <w:rsid w:val="00EB3012"/>
    <w:rsid w:val="00EB3268"/>
    <w:rsid w:val="00EB3298"/>
    <w:rsid w:val="00EB33EA"/>
    <w:rsid w:val="00EB3939"/>
    <w:rsid w:val="00EB3CE6"/>
    <w:rsid w:val="00EB3E92"/>
    <w:rsid w:val="00EB54AB"/>
    <w:rsid w:val="00EB6257"/>
    <w:rsid w:val="00EB64E8"/>
    <w:rsid w:val="00EB68E6"/>
    <w:rsid w:val="00EB6AE9"/>
    <w:rsid w:val="00EB6B2D"/>
    <w:rsid w:val="00EB71C9"/>
    <w:rsid w:val="00EB763E"/>
    <w:rsid w:val="00EB7B67"/>
    <w:rsid w:val="00EC07F1"/>
    <w:rsid w:val="00EC1E8A"/>
    <w:rsid w:val="00EC328C"/>
    <w:rsid w:val="00EC32F5"/>
    <w:rsid w:val="00EC36FD"/>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D53"/>
    <w:rsid w:val="00ED149C"/>
    <w:rsid w:val="00ED18B1"/>
    <w:rsid w:val="00ED1ADE"/>
    <w:rsid w:val="00ED2F40"/>
    <w:rsid w:val="00ED3692"/>
    <w:rsid w:val="00ED3B94"/>
    <w:rsid w:val="00ED4A77"/>
    <w:rsid w:val="00ED4B6E"/>
    <w:rsid w:val="00ED5981"/>
    <w:rsid w:val="00ED613A"/>
    <w:rsid w:val="00ED6227"/>
    <w:rsid w:val="00ED6514"/>
    <w:rsid w:val="00ED66B2"/>
    <w:rsid w:val="00ED71BA"/>
    <w:rsid w:val="00ED728F"/>
    <w:rsid w:val="00ED73A1"/>
    <w:rsid w:val="00ED7CA2"/>
    <w:rsid w:val="00EE04F9"/>
    <w:rsid w:val="00EE05E0"/>
    <w:rsid w:val="00EE0F88"/>
    <w:rsid w:val="00EE0FF6"/>
    <w:rsid w:val="00EE13DA"/>
    <w:rsid w:val="00EE1595"/>
    <w:rsid w:val="00EE1E71"/>
    <w:rsid w:val="00EE2087"/>
    <w:rsid w:val="00EE20C2"/>
    <w:rsid w:val="00EE2A9D"/>
    <w:rsid w:val="00EE3384"/>
    <w:rsid w:val="00EE4309"/>
    <w:rsid w:val="00EE499F"/>
    <w:rsid w:val="00EE56E2"/>
    <w:rsid w:val="00EE5C81"/>
    <w:rsid w:val="00EE5FCD"/>
    <w:rsid w:val="00EE63BF"/>
    <w:rsid w:val="00EE6D45"/>
    <w:rsid w:val="00EE6E89"/>
    <w:rsid w:val="00EE7DCE"/>
    <w:rsid w:val="00EF028F"/>
    <w:rsid w:val="00EF0D4B"/>
    <w:rsid w:val="00EF0FE6"/>
    <w:rsid w:val="00EF1130"/>
    <w:rsid w:val="00EF1432"/>
    <w:rsid w:val="00EF1511"/>
    <w:rsid w:val="00EF1F01"/>
    <w:rsid w:val="00EF2C39"/>
    <w:rsid w:val="00EF2C5F"/>
    <w:rsid w:val="00EF302A"/>
    <w:rsid w:val="00EF317C"/>
    <w:rsid w:val="00EF320D"/>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03B"/>
    <w:rsid w:val="00F016AB"/>
    <w:rsid w:val="00F0187E"/>
    <w:rsid w:val="00F01BE6"/>
    <w:rsid w:val="00F01F75"/>
    <w:rsid w:val="00F0217A"/>
    <w:rsid w:val="00F022AA"/>
    <w:rsid w:val="00F026D3"/>
    <w:rsid w:val="00F0272A"/>
    <w:rsid w:val="00F027E8"/>
    <w:rsid w:val="00F03395"/>
    <w:rsid w:val="00F034E6"/>
    <w:rsid w:val="00F03E4C"/>
    <w:rsid w:val="00F042D1"/>
    <w:rsid w:val="00F04D19"/>
    <w:rsid w:val="00F050A3"/>
    <w:rsid w:val="00F06340"/>
    <w:rsid w:val="00F0665D"/>
    <w:rsid w:val="00F068F3"/>
    <w:rsid w:val="00F06D42"/>
    <w:rsid w:val="00F07134"/>
    <w:rsid w:val="00F0724D"/>
    <w:rsid w:val="00F07378"/>
    <w:rsid w:val="00F07F8C"/>
    <w:rsid w:val="00F10B81"/>
    <w:rsid w:val="00F10BC9"/>
    <w:rsid w:val="00F113C9"/>
    <w:rsid w:val="00F11C01"/>
    <w:rsid w:val="00F11D80"/>
    <w:rsid w:val="00F12129"/>
    <w:rsid w:val="00F121BE"/>
    <w:rsid w:val="00F14B08"/>
    <w:rsid w:val="00F14B4B"/>
    <w:rsid w:val="00F14CD1"/>
    <w:rsid w:val="00F1500D"/>
    <w:rsid w:val="00F15115"/>
    <w:rsid w:val="00F15A85"/>
    <w:rsid w:val="00F15B14"/>
    <w:rsid w:val="00F15C81"/>
    <w:rsid w:val="00F15D8C"/>
    <w:rsid w:val="00F15F18"/>
    <w:rsid w:val="00F16B86"/>
    <w:rsid w:val="00F16E1A"/>
    <w:rsid w:val="00F16F92"/>
    <w:rsid w:val="00F17C3E"/>
    <w:rsid w:val="00F20197"/>
    <w:rsid w:val="00F20369"/>
    <w:rsid w:val="00F20607"/>
    <w:rsid w:val="00F2078B"/>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BF5"/>
    <w:rsid w:val="00F24C28"/>
    <w:rsid w:val="00F254C4"/>
    <w:rsid w:val="00F25641"/>
    <w:rsid w:val="00F256D8"/>
    <w:rsid w:val="00F25813"/>
    <w:rsid w:val="00F25824"/>
    <w:rsid w:val="00F25E8C"/>
    <w:rsid w:val="00F26065"/>
    <w:rsid w:val="00F26277"/>
    <w:rsid w:val="00F266E3"/>
    <w:rsid w:val="00F2689C"/>
    <w:rsid w:val="00F26913"/>
    <w:rsid w:val="00F26D17"/>
    <w:rsid w:val="00F27099"/>
    <w:rsid w:val="00F27E44"/>
    <w:rsid w:val="00F27F79"/>
    <w:rsid w:val="00F30313"/>
    <w:rsid w:val="00F303BC"/>
    <w:rsid w:val="00F30472"/>
    <w:rsid w:val="00F31052"/>
    <w:rsid w:val="00F318A1"/>
    <w:rsid w:val="00F31CF5"/>
    <w:rsid w:val="00F3265C"/>
    <w:rsid w:val="00F32C4A"/>
    <w:rsid w:val="00F33262"/>
    <w:rsid w:val="00F343EE"/>
    <w:rsid w:val="00F353F4"/>
    <w:rsid w:val="00F35494"/>
    <w:rsid w:val="00F35607"/>
    <w:rsid w:val="00F357F3"/>
    <w:rsid w:val="00F359AB"/>
    <w:rsid w:val="00F35AD5"/>
    <w:rsid w:val="00F35DBA"/>
    <w:rsid w:val="00F3619D"/>
    <w:rsid w:val="00F36DDE"/>
    <w:rsid w:val="00F3722A"/>
    <w:rsid w:val="00F37366"/>
    <w:rsid w:val="00F37C99"/>
    <w:rsid w:val="00F37EDB"/>
    <w:rsid w:val="00F37FCC"/>
    <w:rsid w:val="00F405CB"/>
    <w:rsid w:val="00F40FCD"/>
    <w:rsid w:val="00F419B8"/>
    <w:rsid w:val="00F41C0F"/>
    <w:rsid w:val="00F42856"/>
    <w:rsid w:val="00F4288F"/>
    <w:rsid w:val="00F42ED7"/>
    <w:rsid w:val="00F433B2"/>
    <w:rsid w:val="00F43777"/>
    <w:rsid w:val="00F4482B"/>
    <w:rsid w:val="00F44F02"/>
    <w:rsid w:val="00F45039"/>
    <w:rsid w:val="00F4526B"/>
    <w:rsid w:val="00F45298"/>
    <w:rsid w:val="00F45A96"/>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034"/>
    <w:rsid w:val="00F5309E"/>
    <w:rsid w:val="00F5364F"/>
    <w:rsid w:val="00F53A44"/>
    <w:rsid w:val="00F54E5E"/>
    <w:rsid w:val="00F551DB"/>
    <w:rsid w:val="00F553E7"/>
    <w:rsid w:val="00F55810"/>
    <w:rsid w:val="00F559BE"/>
    <w:rsid w:val="00F55D76"/>
    <w:rsid w:val="00F56C40"/>
    <w:rsid w:val="00F56F7E"/>
    <w:rsid w:val="00F56FEF"/>
    <w:rsid w:val="00F57521"/>
    <w:rsid w:val="00F57E2D"/>
    <w:rsid w:val="00F60024"/>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67E88"/>
    <w:rsid w:val="00F70055"/>
    <w:rsid w:val="00F7044B"/>
    <w:rsid w:val="00F70FD4"/>
    <w:rsid w:val="00F70FDC"/>
    <w:rsid w:val="00F71342"/>
    <w:rsid w:val="00F71C68"/>
    <w:rsid w:val="00F724E2"/>
    <w:rsid w:val="00F74103"/>
    <w:rsid w:val="00F7410A"/>
    <w:rsid w:val="00F745A4"/>
    <w:rsid w:val="00F74C0C"/>
    <w:rsid w:val="00F758E1"/>
    <w:rsid w:val="00F75BB5"/>
    <w:rsid w:val="00F75E22"/>
    <w:rsid w:val="00F75FD5"/>
    <w:rsid w:val="00F7604C"/>
    <w:rsid w:val="00F773A9"/>
    <w:rsid w:val="00F8056E"/>
    <w:rsid w:val="00F805B7"/>
    <w:rsid w:val="00F80F4A"/>
    <w:rsid w:val="00F810C1"/>
    <w:rsid w:val="00F81623"/>
    <w:rsid w:val="00F81D25"/>
    <w:rsid w:val="00F81F6C"/>
    <w:rsid w:val="00F8245C"/>
    <w:rsid w:val="00F82928"/>
    <w:rsid w:val="00F829B9"/>
    <w:rsid w:val="00F83045"/>
    <w:rsid w:val="00F83615"/>
    <w:rsid w:val="00F83EC7"/>
    <w:rsid w:val="00F8421D"/>
    <w:rsid w:val="00F85329"/>
    <w:rsid w:val="00F85504"/>
    <w:rsid w:val="00F85683"/>
    <w:rsid w:val="00F85841"/>
    <w:rsid w:val="00F86079"/>
    <w:rsid w:val="00F8610A"/>
    <w:rsid w:val="00F87282"/>
    <w:rsid w:val="00F873B9"/>
    <w:rsid w:val="00F878CD"/>
    <w:rsid w:val="00F87905"/>
    <w:rsid w:val="00F87A66"/>
    <w:rsid w:val="00F903AB"/>
    <w:rsid w:val="00F90C1F"/>
    <w:rsid w:val="00F912D9"/>
    <w:rsid w:val="00F919F8"/>
    <w:rsid w:val="00F91A44"/>
    <w:rsid w:val="00F91BFA"/>
    <w:rsid w:val="00F91F8F"/>
    <w:rsid w:val="00F9217B"/>
    <w:rsid w:val="00F92A4E"/>
    <w:rsid w:val="00F9399D"/>
    <w:rsid w:val="00F94016"/>
    <w:rsid w:val="00F95995"/>
    <w:rsid w:val="00F97A34"/>
    <w:rsid w:val="00F97E4A"/>
    <w:rsid w:val="00F97EA1"/>
    <w:rsid w:val="00FA003A"/>
    <w:rsid w:val="00FA05C8"/>
    <w:rsid w:val="00FA0678"/>
    <w:rsid w:val="00FA0DB6"/>
    <w:rsid w:val="00FA1687"/>
    <w:rsid w:val="00FA23F7"/>
    <w:rsid w:val="00FA27EB"/>
    <w:rsid w:val="00FA2B08"/>
    <w:rsid w:val="00FA35B6"/>
    <w:rsid w:val="00FA3EBC"/>
    <w:rsid w:val="00FA423C"/>
    <w:rsid w:val="00FA44D0"/>
    <w:rsid w:val="00FA4590"/>
    <w:rsid w:val="00FA55A2"/>
    <w:rsid w:val="00FA568C"/>
    <w:rsid w:val="00FA672F"/>
    <w:rsid w:val="00FA775E"/>
    <w:rsid w:val="00FA7792"/>
    <w:rsid w:val="00FA7AA8"/>
    <w:rsid w:val="00FA7F1D"/>
    <w:rsid w:val="00FB011C"/>
    <w:rsid w:val="00FB0D60"/>
    <w:rsid w:val="00FB18FD"/>
    <w:rsid w:val="00FB2440"/>
    <w:rsid w:val="00FB2BF5"/>
    <w:rsid w:val="00FB2F8E"/>
    <w:rsid w:val="00FB30C3"/>
    <w:rsid w:val="00FB39B0"/>
    <w:rsid w:val="00FB5138"/>
    <w:rsid w:val="00FB547F"/>
    <w:rsid w:val="00FB55AB"/>
    <w:rsid w:val="00FB5A71"/>
    <w:rsid w:val="00FB63F6"/>
    <w:rsid w:val="00FB7823"/>
    <w:rsid w:val="00FC05B2"/>
    <w:rsid w:val="00FC08B3"/>
    <w:rsid w:val="00FC09D7"/>
    <w:rsid w:val="00FC0ABE"/>
    <w:rsid w:val="00FC1269"/>
    <w:rsid w:val="00FC13E4"/>
    <w:rsid w:val="00FC1D89"/>
    <w:rsid w:val="00FC22D0"/>
    <w:rsid w:val="00FC2E74"/>
    <w:rsid w:val="00FC38D4"/>
    <w:rsid w:val="00FC391E"/>
    <w:rsid w:val="00FC39B3"/>
    <w:rsid w:val="00FC3A70"/>
    <w:rsid w:val="00FC3BB7"/>
    <w:rsid w:val="00FC4345"/>
    <w:rsid w:val="00FC444A"/>
    <w:rsid w:val="00FC453D"/>
    <w:rsid w:val="00FC4A89"/>
    <w:rsid w:val="00FC619B"/>
    <w:rsid w:val="00FC665F"/>
    <w:rsid w:val="00FC6C35"/>
    <w:rsid w:val="00FC6D59"/>
    <w:rsid w:val="00FC7561"/>
    <w:rsid w:val="00FC78F5"/>
    <w:rsid w:val="00FC7ACA"/>
    <w:rsid w:val="00FC7AD2"/>
    <w:rsid w:val="00FD0993"/>
    <w:rsid w:val="00FD10B3"/>
    <w:rsid w:val="00FD11C3"/>
    <w:rsid w:val="00FD154E"/>
    <w:rsid w:val="00FD24D7"/>
    <w:rsid w:val="00FD29CE"/>
    <w:rsid w:val="00FD305F"/>
    <w:rsid w:val="00FD3AE2"/>
    <w:rsid w:val="00FD3E41"/>
    <w:rsid w:val="00FD3EFA"/>
    <w:rsid w:val="00FD54A8"/>
    <w:rsid w:val="00FD5A43"/>
    <w:rsid w:val="00FD5AE4"/>
    <w:rsid w:val="00FD5F25"/>
    <w:rsid w:val="00FD60BE"/>
    <w:rsid w:val="00FD6894"/>
    <w:rsid w:val="00FD6AF0"/>
    <w:rsid w:val="00FD704D"/>
    <w:rsid w:val="00FD74EF"/>
    <w:rsid w:val="00FD785C"/>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1CEF"/>
    <w:rsid w:val="00FF219D"/>
    <w:rsid w:val="00FF2A7B"/>
    <w:rsid w:val="00FF3D2B"/>
    <w:rsid w:val="00FF41FF"/>
    <w:rsid w:val="00FF49B4"/>
    <w:rsid w:val="00FF49F4"/>
    <w:rsid w:val="00FF5B8D"/>
    <w:rsid w:val="00FF5C6A"/>
    <w:rsid w:val="00FF651D"/>
    <w:rsid w:val="00FF6843"/>
    <w:rsid w:val="00FF6C25"/>
    <w:rsid w:val="00FF7B6C"/>
    <w:rsid w:val="00FF7DED"/>
    <w:rsid w:val="010651D9"/>
    <w:rsid w:val="011F6449"/>
    <w:rsid w:val="01236AFB"/>
    <w:rsid w:val="019F7441"/>
    <w:rsid w:val="01B37585"/>
    <w:rsid w:val="01B37EEC"/>
    <w:rsid w:val="01D55165"/>
    <w:rsid w:val="01DF6BF8"/>
    <w:rsid w:val="01EC2C57"/>
    <w:rsid w:val="02372314"/>
    <w:rsid w:val="02503D32"/>
    <w:rsid w:val="025F0711"/>
    <w:rsid w:val="026B2E25"/>
    <w:rsid w:val="02824D4D"/>
    <w:rsid w:val="02DC4B10"/>
    <w:rsid w:val="02DD76CE"/>
    <w:rsid w:val="02F36323"/>
    <w:rsid w:val="02F5619C"/>
    <w:rsid w:val="0326446A"/>
    <w:rsid w:val="032D5555"/>
    <w:rsid w:val="036634D2"/>
    <w:rsid w:val="03DD35E4"/>
    <w:rsid w:val="03FD05D6"/>
    <w:rsid w:val="04076900"/>
    <w:rsid w:val="041A5A3B"/>
    <w:rsid w:val="042311BA"/>
    <w:rsid w:val="042B157A"/>
    <w:rsid w:val="048F763B"/>
    <w:rsid w:val="049F330E"/>
    <w:rsid w:val="04AA775C"/>
    <w:rsid w:val="04AF1889"/>
    <w:rsid w:val="04B35BB4"/>
    <w:rsid w:val="04F66F48"/>
    <w:rsid w:val="05251E14"/>
    <w:rsid w:val="054B711F"/>
    <w:rsid w:val="05A16594"/>
    <w:rsid w:val="05A7762D"/>
    <w:rsid w:val="05A86320"/>
    <w:rsid w:val="06035C4C"/>
    <w:rsid w:val="060E5941"/>
    <w:rsid w:val="06110FAF"/>
    <w:rsid w:val="06493CA7"/>
    <w:rsid w:val="065A6178"/>
    <w:rsid w:val="066F1CF3"/>
    <w:rsid w:val="06930BB8"/>
    <w:rsid w:val="07245D42"/>
    <w:rsid w:val="07264C62"/>
    <w:rsid w:val="0779354C"/>
    <w:rsid w:val="07846919"/>
    <w:rsid w:val="07FA27BB"/>
    <w:rsid w:val="08061376"/>
    <w:rsid w:val="08452D77"/>
    <w:rsid w:val="086401F8"/>
    <w:rsid w:val="08716E9D"/>
    <w:rsid w:val="08751CAA"/>
    <w:rsid w:val="087A54E0"/>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0E0220"/>
    <w:rsid w:val="0A1C0718"/>
    <w:rsid w:val="0A3E7710"/>
    <w:rsid w:val="0A5B7E63"/>
    <w:rsid w:val="0AA374A5"/>
    <w:rsid w:val="0AAB7649"/>
    <w:rsid w:val="0ABC5606"/>
    <w:rsid w:val="0B30404E"/>
    <w:rsid w:val="0B4C6C14"/>
    <w:rsid w:val="0B547599"/>
    <w:rsid w:val="0B631A88"/>
    <w:rsid w:val="0B683D45"/>
    <w:rsid w:val="0B7F3F11"/>
    <w:rsid w:val="0B884417"/>
    <w:rsid w:val="0BD50530"/>
    <w:rsid w:val="0BF12A18"/>
    <w:rsid w:val="0BF6188C"/>
    <w:rsid w:val="0BF73C91"/>
    <w:rsid w:val="0C170175"/>
    <w:rsid w:val="0C571A41"/>
    <w:rsid w:val="0C5C1171"/>
    <w:rsid w:val="0C5E1CBC"/>
    <w:rsid w:val="0C615B50"/>
    <w:rsid w:val="0C7D5AA0"/>
    <w:rsid w:val="0C8445DA"/>
    <w:rsid w:val="0C87121B"/>
    <w:rsid w:val="0CB47CA0"/>
    <w:rsid w:val="0CC007F7"/>
    <w:rsid w:val="0CC617AC"/>
    <w:rsid w:val="0CCF56F4"/>
    <w:rsid w:val="0CE618DF"/>
    <w:rsid w:val="0CFE707A"/>
    <w:rsid w:val="0D063BDA"/>
    <w:rsid w:val="0D08375F"/>
    <w:rsid w:val="0D184CFB"/>
    <w:rsid w:val="0D274B5A"/>
    <w:rsid w:val="0D4A7419"/>
    <w:rsid w:val="0D827401"/>
    <w:rsid w:val="0D84094E"/>
    <w:rsid w:val="0D8A00E9"/>
    <w:rsid w:val="0D8D589E"/>
    <w:rsid w:val="0DA01C73"/>
    <w:rsid w:val="0DD63300"/>
    <w:rsid w:val="0DF50604"/>
    <w:rsid w:val="0DF702FE"/>
    <w:rsid w:val="0E060E51"/>
    <w:rsid w:val="0E1048CA"/>
    <w:rsid w:val="0E3177FA"/>
    <w:rsid w:val="0E355107"/>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914580"/>
    <w:rsid w:val="10935F8D"/>
    <w:rsid w:val="109813C2"/>
    <w:rsid w:val="10997B3A"/>
    <w:rsid w:val="10C26171"/>
    <w:rsid w:val="10F33360"/>
    <w:rsid w:val="10FC16EA"/>
    <w:rsid w:val="110F1D40"/>
    <w:rsid w:val="11266F33"/>
    <w:rsid w:val="118963A1"/>
    <w:rsid w:val="11AC5D7A"/>
    <w:rsid w:val="11C6522A"/>
    <w:rsid w:val="11E104CC"/>
    <w:rsid w:val="11E20309"/>
    <w:rsid w:val="120C4828"/>
    <w:rsid w:val="12255233"/>
    <w:rsid w:val="12456AF7"/>
    <w:rsid w:val="12530213"/>
    <w:rsid w:val="127723A9"/>
    <w:rsid w:val="12862074"/>
    <w:rsid w:val="12883966"/>
    <w:rsid w:val="129E45B4"/>
    <w:rsid w:val="12D81596"/>
    <w:rsid w:val="13072A44"/>
    <w:rsid w:val="135F4BE2"/>
    <w:rsid w:val="139B1A0A"/>
    <w:rsid w:val="139D25C7"/>
    <w:rsid w:val="13BF3CE4"/>
    <w:rsid w:val="141008D8"/>
    <w:rsid w:val="14125FE6"/>
    <w:rsid w:val="14646327"/>
    <w:rsid w:val="146D271E"/>
    <w:rsid w:val="14982588"/>
    <w:rsid w:val="149A5AD9"/>
    <w:rsid w:val="14A50244"/>
    <w:rsid w:val="14A7619D"/>
    <w:rsid w:val="150536C3"/>
    <w:rsid w:val="150C1963"/>
    <w:rsid w:val="150F4DF1"/>
    <w:rsid w:val="151447A0"/>
    <w:rsid w:val="154A6454"/>
    <w:rsid w:val="15762120"/>
    <w:rsid w:val="15C90318"/>
    <w:rsid w:val="1641578F"/>
    <w:rsid w:val="16A8729C"/>
    <w:rsid w:val="16B33777"/>
    <w:rsid w:val="16BC70A7"/>
    <w:rsid w:val="16C6339E"/>
    <w:rsid w:val="170D06D9"/>
    <w:rsid w:val="172F2D79"/>
    <w:rsid w:val="175207E1"/>
    <w:rsid w:val="17557BEF"/>
    <w:rsid w:val="17CF68BB"/>
    <w:rsid w:val="17D349C1"/>
    <w:rsid w:val="18244F26"/>
    <w:rsid w:val="1830729E"/>
    <w:rsid w:val="1870062C"/>
    <w:rsid w:val="18817102"/>
    <w:rsid w:val="18830A15"/>
    <w:rsid w:val="18852B28"/>
    <w:rsid w:val="188B5321"/>
    <w:rsid w:val="18A328E2"/>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9E72CC"/>
    <w:rsid w:val="1BA209CF"/>
    <w:rsid w:val="1BB4777D"/>
    <w:rsid w:val="1BD75AB8"/>
    <w:rsid w:val="1C0459C2"/>
    <w:rsid w:val="1C1B3B4A"/>
    <w:rsid w:val="1C5C1647"/>
    <w:rsid w:val="1C6A4A04"/>
    <w:rsid w:val="1C88086E"/>
    <w:rsid w:val="1CD14095"/>
    <w:rsid w:val="1D266CE1"/>
    <w:rsid w:val="1D3963AF"/>
    <w:rsid w:val="1D6A673C"/>
    <w:rsid w:val="1D9247AE"/>
    <w:rsid w:val="1DB567EC"/>
    <w:rsid w:val="1DB807CF"/>
    <w:rsid w:val="1DC357BA"/>
    <w:rsid w:val="1DF51A98"/>
    <w:rsid w:val="1E051CD9"/>
    <w:rsid w:val="1E0A4CCC"/>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0BD7F29"/>
    <w:rsid w:val="20DE4E3A"/>
    <w:rsid w:val="211116EB"/>
    <w:rsid w:val="216133FC"/>
    <w:rsid w:val="21AB5AD8"/>
    <w:rsid w:val="21D56769"/>
    <w:rsid w:val="21E52EF3"/>
    <w:rsid w:val="21FB5D7B"/>
    <w:rsid w:val="22015E94"/>
    <w:rsid w:val="220B1C3D"/>
    <w:rsid w:val="221D1D20"/>
    <w:rsid w:val="22334A87"/>
    <w:rsid w:val="22A84CC4"/>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373A30"/>
    <w:rsid w:val="2550492B"/>
    <w:rsid w:val="258B00E2"/>
    <w:rsid w:val="258B55EA"/>
    <w:rsid w:val="25A917A6"/>
    <w:rsid w:val="25BE27CC"/>
    <w:rsid w:val="25C84358"/>
    <w:rsid w:val="25D172F8"/>
    <w:rsid w:val="25F74A5C"/>
    <w:rsid w:val="2628662C"/>
    <w:rsid w:val="262D45DE"/>
    <w:rsid w:val="26871DC8"/>
    <w:rsid w:val="26A53EF9"/>
    <w:rsid w:val="26A94201"/>
    <w:rsid w:val="26AC274F"/>
    <w:rsid w:val="27044A29"/>
    <w:rsid w:val="271D34C8"/>
    <w:rsid w:val="275B0FEC"/>
    <w:rsid w:val="275B34F0"/>
    <w:rsid w:val="276142BF"/>
    <w:rsid w:val="27783712"/>
    <w:rsid w:val="278414A7"/>
    <w:rsid w:val="27907362"/>
    <w:rsid w:val="27A965F8"/>
    <w:rsid w:val="28026ECF"/>
    <w:rsid w:val="28333E1D"/>
    <w:rsid w:val="28454BD6"/>
    <w:rsid w:val="28455253"/>
    <w:rsid w:val="28551971"/>
    <w:rsid w:val="285B1C53"/>
    <w:rsid w:val="289F7086"/>
    <w:rsid w:val="28C32028"/>
    <w:rsid w:val="28CC490F"/>
    <w:rsid w:val="28DE40AA"/>
    <w:rsid w:val="29345E77"/>
    <w:rsid w:val="294C65AD"/>
    <w:rsid w:val="29713987"/>
    <w:rsid w:val="29806583"/>
    <w:rsid w:val="298B3C4C"/>
    <w:rsid w:val="29F26D24"/>
    <w:rsid w:val="29F80D74"/>
    <w:rsid w:val="2A15033F"/>
    <w:rsid w:val="2A1662C1"/>
    <w:rsid w:val="2A1C7367"/>
    <w:rsid w:val="2A2815FA"/>
    <w:rsid w:val="2A6D6092"/>
    <w:rsid w:val="2A7B76E8"/>
    <w:rsid w:val="2A7D76B4"/>
    <w:rsid w:val="2ACA0963"/>
    <w:rsid w:val="2B437463"/>
    <w:rsid w:val="2B7807EE"/>
    <w:rsid w:val="2BA50BF7"/>
    <w:rsid w:val="2BBF00EC"/>
    <w:rsid w:val="2BC0756A"/>
    <w:rsid w:val="2BC37CFD"/>
    <w:rsid w:val="2BD35FB2"/>
    <w:rsid w:val="2BD5237F"/>
    <w:rsid w:val="2BE536CE"/>
    <w:rsid w:val="2BE758D9"/>
    <w:rsid w:val="2BF346BB"/>
    <w:rsid w:val="2C09049E"/>
    <w:rsid w:val="2C0A653C"/>
    <w:rsid w:val="2C191F85"/>
    <w:rsid w:val="2C364183"/>
    <w:rsid w:val="2CE82D6F"/>
    <w:rsid w:val="2D343236"/>
    <w:rsid w:val="2D4F478D"/>
    <w:rsid w:val="2D575011"/>
    <w:rsid w:val="2DD15014"/>
    <w:rsid w:val="2DF30D4F"/>
    <w:rsid w:val="2DF72DE4"/>
    <w:rsid w:val="2E0220AF"/>
    <w:rsid w:val="2E0376B1"/>
    <w:rsid w:val="2E350140"/>
    <w:rsid w:val="2E356016"/>
    <w:rsid w:val="2E3C0331"/>
    <w:rsid w:val="2E4B082A"/>
    <w:rsid w:val="2E5D4E86"/>
    <w:rsid w:val="2E5D790B"/>
    <w:rsid w:val="2E9A3C18"/>
    <w:rsid w:val="2EBB0FEE"/>
    <w:rsid w:val="2EC63002"/>
    <w:rsid w:val="2EFB774D"/>
    <w:rsid w:val="2F0A6B38"/>
    <w:rsid w:val="2F946CCB"/>
    <w:rsid w:val="2FD25781"/>
    <w:rsid w:val="2FDC745C"/>
    <w:rsid w:val="2FEF290A"/>
    <w:rsid w:val="2FFD7934"/>
    <w:rsid w:val="303D7702"/>
    <w:rsid w:val="30733ACD"/>
    <w:rsid w:val="308C3862"/>
    <w:rsid w:val="309379D8"/>
    <w:rsid w:val="30A270F7"/>
    <w:rsid w:val="30DF1478"/>
    <w:rsid w:val="30EC586F"/>
    <w:rsid w:val="319C6071"/>
    <w:rsid w:val="31AC537E"/>
    <w:rsid w:val="31E3679B"/>
    <w:rsid w:val="31E732FD"/>
    <w:rsid w:val="321D0FA8"/>
    <w:rsid w:val="32517576"/>
    <w:rsid w:val="32BE5C2C"/>
    <w:rsid w:val="32FB6478"/>
    <w:rsid w:val="33263B3F"/>
    <w:rsid w:val="336963EB"/>
    <w:rsid w:val="33816EEB"/>
    <w:rsid w:val="33CB12A8"/>
    <w:rsid w:val="33EB55CD"/>
    <w:rsid w:val="33EC4C02"/>
    <w:rsid w:val="340D2360"/>
    <w:rsid w:val="3410665D"/>
    <w:rsid w:val="34211214"/>
    <w:rsid w:val="342E63AB"/>
    <w:rsid w:val="34950E68"/>
    <w:rsid w:val="34986E94"/>
    <w:rsid w:val="34AF62C9"/>
    <w:rsid w:val="34CB4388"/>
    <w:rsid w:val="34FA6E12"/>
    <w:rsid w:val="354D7158"/>
    <w:rsid w:val="355C627A"/>
    <w:rsid w:val="358D5588"/>
    <w:rsid w:val="362E6CC6"/>
    <w:rsid w:val="363A3B40"/>
    <w:rsid w:val="365302AE"/>
    <w:rsid w:val="36607A0A"/>
    <w:rsid w:val="366E227C"/>
    <w:rsid w:val="366F2E0D"/>
    <w:rsid w:val="367B6A5C"/>
    <w:rsid w:val="36A74ADA"/>
    <w:rsid w:val="36AD60D5"/>
    <w:rsid w:val="36AE1139"/>
    <w:rsid w:val="36B224F9"/>
    <w:rsid w:val="36EC0CC9"/>
    <w:rsid w:val="36EC6637"/>
    <w:rsid w:val="36F81DF1"/>
    <w:rsid w:val="37103E31"/>
    <w:rsid w:val="37145E00"/>
    <w:rsid w:val="371861FD"/>
    <w:rsid w:val="3724764D"/>
    <w:rsid w:val="373F410B"/>
    <w:rsid w:val="37EE7094"/>
    <w:rsid w:val="38296C89"/>
    <w:rsid w:val="383002EB"/>
    <w:rsid w:val="383A7C01"/>
    <w:rsid w:val="38586797"/>
    <w:rsid w:val="385D15DF"/>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15D6A"/>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1C72D0"/>
    <w:rsid w:val="3E377251"/>
    <w:rsid w:val="3E42664B"/>
    <w:rsid w:val="3E5A7334"/>
    <w:rsid w:val="3E7B5D6B"/>
    <w:rsid w:val="3E843E66"/>
    <w:rsid w:val="3E8F51FE"/>
    <w:rsid w:val="3E926F87"/>
    <w:rsid w:val="3E9A59DE"/>
    <w:rsid w:val="3EAF4836"/>
    <w:rsid w:val="3EC33DFA"/>
    <w:rsid w:val="3F060E16"/>
    <w:rsid w:val="3F074C8B"/>
    <w:rsid w:val="3F1D1096"/>
    <w:rsid w:val="3F2F0234"/>
    <w:rsid w:val="3F463005"/>
    <w:rsid w:val="3F6363FE"/>
    <w:rsid w:val="3F756B8F"/>
    <w:rsid w:val="3F95482B"/>
    <w:rsid w:val="3FE24949"/>
    <w:rsid w:val="3FE43638"/>
    <w:rsid w:val="4019356B"/>
    <w:rsid w:val="402C30CE"/>
    <w:rsid w:val="40592157"/>
    <w:rsid w:val="406E1CAE"/>
    <w:rsid w:val="40A0133A"/>
    <w:rsid w:val="40C31A53"/>
    <w:rsid w:val="40DE086C"/>
    <w:rsid w:val="40FF545D"/>
    <w:rsid w:val="410067C8"/>
    <w:rsid w:val="410F224C"/>
    <w:rsid w:val="418F0D2A"/>
    <w:rsid w:val="41D01505"/>
    <w:rsid w:val="422F6EA6"/>
    <w:rsid w:val="42474939"/>
    <w:rsid w:val="424C3C57"/>
    <w:rsid w:val="424D3EFC"/>
    <w:rsid w:val="42613FF3"/>
    <w:rsid w:val="42660D96"/>
    <w:rsid w:val="428667D2"/>
    <w:rsid w:val="42CD1CE0"/>
    <w:rsid w:val="42E1381E"/>
    <w:rsid w:val="42ED6459"/>
    <w:rsid w:val="42FE58DD"/>
    <w:rsid w:val="43174B3D"/>
    <w:rsid w:val="43195B8C"/>
    <w:rsid w:val="431B4638"/>
    <w:rsid w:val="434B790E"/>
    <w:rsid w:val="434E41C7"/>
    <w:rsid w:val="435117C9"/>
    <w:rsid w:val="4360274F"/>
    <w:rsid w:val="43977AB6"/>
    <w:rsid w:val="43A3342B"/>
    <w:rsid w:val="43C77C27"/>
    <w:rsid w:val="43DE09EE"/>
    <w:rsid w:val="44002FAD"/>
    <w:rsid w:val="44307631"/>
    <w:rsid w:val="448B2AB9"/>
    <w:rsid w:val="449101DD"/>
    <w:rsid w:val="44DE1391"/>
    <w:rsid w:val="45192C6B"/>
    <w:rsid w:val="451B225C"/>
    <w:rsid w:val="452410C9"/>
    <w:rsid w:val="45317DFB"/>
    <w:rsid w:val="4537679D"/>
    <w:rsid w:val="456D3CE4"/>
    <w:rsid w:val="4579042C"/>
    <w:rsid w:val="457F0571"/>
    <w:rsid w:val="45851176"/>
    <w:rsid w:val="45C63B94"/>
    <w:rsid w:val="460E7DA5"/>
    <w:rsid w:val="46422483"/>
    <w:rsid w:val="4659254A"/>
    <w:rsid w:val="465B0637"/>
    <w:rsid w:val="465E3F0D"/>
    <w:rsid w:val="466A16E6"/>
    <w:rsid w:val="46893F2B"/>
    <w:rsid w:val="46C4686E"/>
    <w:rsid w:val="46EE1AE9"/>
    <w:rsid w:val="47745A86"/>
    <w:rsid w:val="477B778F"/>
    <w:rsid w:val="478203EC"/>
    <w:rsid w:val="47B025FA"/>
    <w:rsid w:val="4809698F"/>
    <w:rsid w:val="4811697D"/>
    <w:rsid w:val="48657AC5"/>
    <w:rsid w:val="487A3E25"/>
    <w:rsid w:val="488B5503"/>
    <w:rsid w:val="48937E21"/>
    <w:rsid w:val="489A0361"/>
    <w:rsid w:val="489A57D5"/>
    <w:rsid w:val="48B94FF3"/>
    <w:rsid w:val="48E37AAB"/>
    <w:rsid w:val="48FD4B4C"/>
    <w:rsid w:val="490A68E0"/>
    <w:rsid w:val="491055FE"/>
    <w:rsid w:val="49461866"/>
    <w:rsid w:val="495F5B3E"/>
    <w:rsid w:val="496F77D7"/>
    <w:rsid w:val="497654FD"/>
    <w:rsid w:val="49B64211"/>
    <w:rsid w:val="49F6167F"/>
    <w:rsid w:val="4A064FA0"/>
    <w:rsid w:val="4A16615C"/>
    <w:rsid w:val="4A247D3B"/>
    <w:rsid w:val="4A4424D7"/>
    <w:rsid w:val="4A56032E"/>
    <w:rsid w:val="4AB82D0F"/>
    <w:rsid w:val="4AEB7664"/>
    <w:rsid w:val="4AFD7C19"/>
    <w:rsid w:val="4B0567D1"/>
    <w:rsid w:val="4B236AAE"/>
    <w:rsid w:val="4B3311B3"/>
    <w:rsid w:val="4B707271"/>
    <w:rsid w:val="4B9739F7"/>
    <w:rsid w:val="4BEE2503"/>
    <w:rsid w:val="4C245A30"/>
    <w:rsid w:val="4CB6685F"/>
    <w:rsid w:val="4CB9595F"/>
    <w:rsid w:val="4CC367FE"/>
    <w:rsid w:val="4D077F3C"/>
    <w:rsid w:val="4D123355"/>
    <w:rsid w:val="4D2A3B31"/>
    <w:rsid w:val="4D312C52"/>
    <w:rsid w:val="4D905305"/>
    <w:rsid w:val="4D964A72"/>
    <w:rsid w:val="4D9C1254"/>
    <w:rsid w:val="4E793892"/>
    <w:rsid w:val="4E800872"/>
    <w:rsid w:val="4E8F13F8"/>
    <w:rsid w:val="4EC569ED"/>
    <w:rsid w:val="4ED50EA1"/>
    <w:rsid w:val="4EEC050C"/>
    <w:rsid w:val="4F0E2627"/>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2B03"/>
    <w:rsid w:val="511157AB"/>
    <w:rsid w:val="5142540C"/>
    <w:rsid w:val="518832C8"/>
    <w:rsid w:val="519D3C50"/>
    <w:rsid w:val="51A0432A"/>
    <w:rsid w:val="51A86090"/>
    <w:rsid w:val="51B7396D"/>
    <w:rsid w:val="522E4CC3"/>
    <w:rsid w:val="5244713B"/>
    <w:rsid w:val="52615633"/>
    <w:rsid w:val="52691F60"/>
    <w:rsid w:val="526F4DE4"/>
    <w:rsid w:val="52977FD4"/>
    <w:rsid w:val="52A25790"/>
    <w:rsid w:val="52A96B6F"/>
    <w:rsid w:val="52B45975"/>
    <w:rsid w:val="52D94AA4"/>
    <w:rsid w:val="52EA3A62"/>
    <w:rsid w:val="52F50BB8"/>
    <w:rsid w:val="53097272"/>
    <w:rsid w:val="53544462"/>
    <w:rsid w:val="536A3872"/>
    <w:rsid w:val="537A50EC"/>
    <w:rsid w:val="5397158E"/>
    <w:rsid w:val="53990805"/>
    <w:rsid w:val="53A62E65"/>
    <w:rsid w:val="53BA0CC5"/>
    <w:rsid w:val="54013861"/>
    <w:rsid w:val="54153F94"/>
    <w:rsid w:val="5448503D"/>
    <w:rsid w:val="54487265"/>
    <w:rsid w:val="544D6070"/>
    <w:rsid w:val="54605E1E"/>
    <w:rsid w:val="54894FA5"/>
    <w:rsid w:val="54B3506A"/>
    <w:rsid w:val="54BD5242"/>
    <w:rsid w:val="54CA0D16"/>
    <w:rsid w:val="54DD4057"/>
    <w:rsid w:val="54E337C4"/>
    <w:rsid w:val="54E7490F"/>
    <w:rsid w:val="550764A4"/>
    <w:rsid w:val="550B2BF6"/>
    <w:rsid w:val="55214EB5"/>
    <w:rsid w:val="55364EFD"/>
    <w:rsid w:val="555D4828"/>
    <w:rsid w:val="557A1216"/>
    <w:rsid w:val="557A4C8B"/>
    <w:rsid w:val="558931E1"/>
    <w:rsid w:val="55923347"/>
    <w:rsid w:val="55925180"/>
    <w:rsid w:val="55983B1B"/>
    <w:rsid w:val="55A8376B"/>
    <w:rsid w:val="55DC29B6"/>
    <w:rsid w:val="55DD4241"/>
    <w:rsid w:val="566B6D1E"/>
    <w:rsid w:val="57032A2C"/>
    <w:rsid w:val="570F5219"/>
    <w:rsid w:val="57231423"/>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5C1FC3"/>
    <w:rsid w:val="58917D2F"/>
    <w:rsid w:val="5894085C"/>
    <w:rsid w:val="58AE4F0C"/>
    <w:rsid w:val="58B85899"/>
    <w:rsid w:val="58DD073C"/>
    <w:rsid w:val="58E363A9"/>
    <w:rsid w:val="58E56A80"/>
    <w:rsid w:val="59166304"/>
    <w:rsid w:val="5925341C"/>
    <w:rsid w:val="595E1678"/>
    <w:rsid w:val="596D5BD4"/>
    <w:rsid w:val="597E3DD8"/>
    <w:rsid w:val="59F80043"/>
    <w:rsid w:val="5A09252F"/>
    <w:rsid w:val="5A0B2778"/>
    <w:rsid w:val="5A2A7C7B"/>
    <w:rsid w:val="5A3E2560"/>
    <w:rsid w:val="5A5D3B6E"/>
    <w:rsid w:val="5A637A76"/>
    <w:rsid w:val="5A6D33BA"/>
    <w:rsid w:val="5A6D351F"/>
    <w:rsid w:val="5A792B1F"/>
    <w:rsid w:val="5A874767"/>
    <w:rsid w:val="5AA85BE2"/>
    <w:rsid w:val="5AAD6F28"/>
    <w:rsid w:val="5AD63A24"/>
    <w:rsid w:val="5B2E1A1D"/>
    <w:rsid w:val="5B843A1C"/>
    <w:rsid w:val="5B873E3F"/>
    <w:rsid w:val="5C02690E"/>
    <w:rsid w:val="5C196DA7"/>
    <w:rsid w:val="5C2A048C"/>
    <w:rsid w:val="5C5767C2"/>
    <w:rsid w:val="5C80234E"/>
    <w:rsid w:val="5C8A680C"/>
    <w:rsid w:val="5D0C4701"/>
    <w:rsid w:val="5D0F0395"/>
    <w:rsid w:val="5D221076"/>
    <w:rsid w:val="5D397964"/>
    <w:rsid w:val="5D473CFC"/>
    <w:rsid w:val="5D5A391C"/>
    <w:rsid w:val="5D5F10C0"/>
    <w:rsid w:val="5D891B7B"/>
    <w:rsid w:val="5DAD38EE"/>
    <w:rsid w:val="5E006862"/>
    <w:rsid w:val="5E0207B9"/>
    <w:rsid w:val="5E1834A1"/>
    <w:rsid w:val="5E186263"/>
    <w:rsid w:val="5E261785"/>
    <w:rsid w:val="5E4A7017"/>
    <w:rsid w:val="5E552BBA"/>
    <w:rsid w:val="5E611C10"/>
    <w:rsid w:val="5E7A0F3F"/>
    <w:rsid w:val="5E8A398A"/>
    <w:rsid w:val="5EFC7377"/>
    <w:rsid w:val="5F06174D"/>
    <w:rsid w:val="5F200575"/>
    <w:rsid w:val="5F3A3602"/>
    <w:rsid w:val="5F45733B"/>
    <w:rsid w:val="5F6277C6"/>
    <w:rsid w:val="5F6D0B1D"/>
    <w:rsid w:val="5F8D0B82"/>
    <w:rsid w:val="5FCC5339"/>
    <w:rsid w:val="5FE34A5B"/>
    <w:rsid w:val="5FFC117B"/>
    <w:rsid w:val="5FFE1E36"/>
    <w:rsid w:val="60100DB0"/>
    <w:rsid w:val="60232584"/>
    <w:rsid w:val="607330CE"/>
    <w:rsid w:val="60825176"/>
    <w:rsid w:val="609F2AC4"/>
    <w:rsid w:val="60FA2EE8"/>
    <w:rsid w:val="61054A27"/>
    <w:rsid w:val="610A52BC"/>
    <w:rsid w:val="611D2366"/>
    <w:rsid w:val="61377DF9"/>
    <w:rsid w:val="613E45A3"/>
    <w:rsid w:val="61421856"/>
    <w:rsid w:val="615227C4"/>
    <w:rsid w:val="61654E3F"/>
    <w:rsid w:val="6182292A"/>
    <w:rsid w:val="619F7F92"/>
    <w:rsid w:val="61E20363"/>
    <w:rsid w:val="61F94C26"/>
    <w:rsid w:val="62000E56"/>
    <w:rsid w:val="624F3E49"/>
    <w:rsid w:val="62632286"/>
    <w:rsid w:val="62885958"/>
    <w:rsid w:val="62F40B65"/>
    <w:rsid w:val="62FC2CFE"/>
    <w:rsid w:val="63024505"/>
    <w:rsid w:val="635600A5"/>
    <w:rsid w:val="635B1DB5"/>
    <w:rsid w:val="63711FED"/>
    <w:rsid w:val="63880DDC"/>
    <w:rsid w:val="638D750D"/>
    <w:rsid w:val="639A229E"/>
    <w:rsid w:val="63AC6CC0"/>
    <w:rsid w:val="63DD01D7"/>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763171"/>
    <w:rsid w:val="668B6A45"/>
    <w:rsid w:val="66D406CF"/>
    <w:rsid w:val="672F3F24"/>
    <w:rsid w:val="673A4C42"/>
    <w:rsid w:val="673E055F"/>
    <w:rsid w:val="67551CE3"/>
    <w:rsid w:val="677078C2"/>
    <w:rsid w:val="67A22552"/>
    <w:rsid w:val="67B14467"/>
    <w:rsid w:val="67B22DCC"/>
    <w:rsid w:val="67BE71AA"/>
    <w:rsid w:val="67CE592F"/>
    <w:rsid w:val="67D90273"/>
    <w:rsid w:val="67DE5875"/>
    <w:rsid w:val="67E55852"/>
    <w:rsid w:val="67EB1AB4"/>
    <w:rsid w:val="67FA1285"/>
    <w:rsid w:val="680B538A"/>
    <w:rsid w:val="68551F4F"/>
    <w:rsid w:val="687C10C9"/>
    <w:rsid w:val="68840C16"/>
    <w:rsid w:val="68876EFB"/>
    <w:rsid w:val="68884654"/>
    <w:rsid w:val="689F444F"/>
    <w:rsid w:val="68B96DBB"/>
    <w:rsid w:val="68CA2805"/>
    <w:rsid w:val="68D669B3"/>
    <w:rsid w:val="68E937A3"/>
    <w:rsid w:val="68F505D1"/>
    <w:rsid w:val="693E15D3"/>
    <w:rsid w:val="69627681"/>
    <w:rsid w:val="6977531D"/>
    <w:rsid w:val="69CC2BFF"/>
    <w:rsid w:val="69F71B66"/>
    <w:rsid w:val="69FD55B8"/>
    <w:rsid w:val="6A0B1C62"/>
    <w:rsid w:val="6A2406C8"/>
    <w:rsid w:val="6A776286"/>
    <w:rsid w:val="6ADE0BD1"/>
    <w:rsid w:val="6AE96859"/>
    <w:rsid w:val="6B147746"/>
    <w:rsid w:val="6B24787C"/>
    <w:rsid w:val="6B573233"/>
    <w:rsid w:val="6B5B6274"/>
    <w:rsid w:val="6B935D53"/>
    <w:rsid w:val="6BF15048"/>
    <w:rsid w:val="6C196F71"/>
    <w:rsid w:val="6C226FCB"/>
    <w:rsid w:val="6C31226F"/>
    <w:rsid w:val="6C3D3BAD"/>
    <w:rsid w:val="6C552F0B"/>
    <w:rsid w:val="6C8C67B7"/>
    <w:rsid w:val="6C9D744C"/>
    <w:rsid w:val="6CA4030D"/>
    <w:rsid w:val="6CFD5230"/>
    <w:rsid w:val="6D081342"/>
    <w:rsid w:val="6D167928"/>
    <w:rsid w:val="6D1C273C"/>
    <w:rsid w:val="6D26299B"/>
    <w:rsid w:val="6D4772EC"/>
    <w:rsid w:val="6D62756E"/>
    <w:rsid w:val="6D8223FC"/>
    <w:rsid w:val="6D9078AF"/>
    <w:rsid w:val="6DAA3FEF"/>
    <w:rsid w:val="6DC0172B"/>
    <w:rsid w:val="6DCB690C"/>
    <w:rsid w:val="6DD41A5B"/>
    <w:rsid w:val="6DF43C2E"/>
    <w:rsid w:val="6DF51CA3"/>
    <w:rsid w:val="6E414065"/>
    <w:rsid w:val="6E677844"/>
    <w:rsid w:val="6E8335BD"/>
    <w:rsid w:val="6E8E12EF"/>
    <w:rsid w:val="6E972936"/>
    <w:rsid w:val="6ED446C5"/>
    <w:rsid w:val="6EDB462A"/>
    <w:rsid w:val="6F2A7D94"/>
    <w:rsid w:val="6F8331F1"/>
    <w:rsid w:val="6FA80B0C"/>
    <w:rsid w:val="6FA8684E"/>
    <w:rsid w:val="6FAE1A09"/>
    <w:rsid w:val="6FBF0969"/>
    <w:rsid w:val="6FD75BF8"/>
    <w:rsid w:val="707723D0"/>
    <w:rsid w:val="70F5661B"/>
    <w:rsid w:val="71257C6E"/>
    <w:rsid w:val="71360107"/>
    <w:rsid w:val="713B688E"/>
    <w:rsid w:val="71696914"/>
    <w:rsid w:val="71895784"/>
    <w:rsid w:val="71D43752"/>
    <w:rsid w:val="71F1796A"/>
    <w:rsid w:val="72154626"/>
    <w:rsid w:val="721957EB"/>
    <w:rsid w:val="721E46BD"/>
    <w:rsid w:val="72262B5D"/>
    <w:rsid w:val="72283FF7"/>
    <w:rsid w:val="722E7212"/>
    <w:rsid w:val="723A0474"/>
    <w:rsid w:val="725325F1"/>
    <w:rsid w:val="725923E4"/>
    <w:rsid w:val="727B3360"/>
    <w:rsid w:val="72864BF7"/>
    <w:rsid w:val="729023FC"/>
    <w:rsid w:val="72F912A8"/>
    <w:rsid w:val="730074EB"/>
    <w:rsid w:val="73A865DE"/>
    <w:rsid w:val="73C0646E"/>
    <w:rsid w:val="742222F5"/>
    <w:rsid w:val="74476126"/>
    <w:rsid w:val="74706664"/>
    <w:rsid w:val="747F3682"/>
    <w:rsid w:val="749C4185"/>
    <w:rsid w:val="75067759"/>
    <w:rsid w:val="752E6DCD"/>
    <w:rsid w:val="754C4F04"/>
    <w:rsid w:val="7551380D"/>
    <w:rsid w:val="75600BE5"/>
    <w:rsid w:val="7564475C"/>
    <w:rsid w:val="7583797F"/>
    <w:rsid w:val="75D20F1D"/>
    <w:rsid w:val="75DA2C18"/>
    <w:rsid w:val="75F54412"/>
    <w:rsid w:val="761D08E0"/>
    <w:rsid w:val="765D347C"/>
    <w:rsid w:val="76826699"/>
    <w:rsid w:val="76B80988"/>
    <w:rsid w:val="76C87133"/>
    <w:rsid w:val="76CD08D5"/>
    <w:rsid w:val="76DB4B92"/>
    <w:rsid w:val="77052AA4"/>
    <w:rsid w:val="7711272C"/>
    <w:rsid w:val="77136511"/>
    <w:rsid w:val="77340A39"/>
    <w:rsid w:val="77351FD0"/>
    <w:rsid w:val="77472422"/>
    <w:rsid w:val="777F31F2"/>
    <w:rsid w:val="77B05DB7"/>
    <w:rsid w:val="77D1700D"/>
    <w:rsid w:val="77EC04CC"/>
    <w:rsid w:val="783059B2"/>
    <w:rsid w:val="78775729"/>
    <w:rsid w:val="78A42DB0"/>
    <w:rsid w:val="78A656AB"/>
    <w:rsid w:val="78B2245C"/>
    <w:rsid w:val="78E172CC"/>
    <w:rsid w:val="78EA1D1F"/>
    <w:rsid w:val="7904172F"/>
    <w:rsid w:val="790F7E27"/>
    <w:rsid w:val="792A231A"/>
    <w:rsid w:val="79316829"/>
    <w:rsid w:val="79644FDB"/>
    <w:rsid w:val="797E66A9"/>
    <w:rsid w:val="798518A4"/>
    <w:rsid w:val="79A97383"/>
    <w:rsid w:val="79B3109C"/>
    <w:rsid w:val="79E06865"/>
    <w:rsid w:val="79E27E8B"/>
    <w:rsid w:val="79F850CE"/>
    <w:rsid w:val="79FD443C"/>
    <w:rsid w:val="7A1D1975"/>
    <w:rsid w:val="7A3E5150"/>
    <w:rsid w:val="7A4670D6"/>
    <w:rsid w:val="7A534B63"/>
    <w:rsid w:val="7A615382"/>
    <w:rsid w:val="7A67303B"/>
    <w:rsid w:val="7A920378"/>
    <w:rsid w:val="7AAB1D04"/>
    <w:rsid w:val="7ABA4368"/>
    <w:rsid w:val="7AD05746"/>
    <w:rsid w:val="7B251622"/>
    <w:rsid w:val="7B257FFD"/>
    <w:rsid w:val="7B343476"/>
    <w:rsid w:val="7B5A2978"/>
    <w:rsid w:val="7B5A7E4C"/>
    <w:rsid w:val="7B667AF9"/>
    <w:rsid w:val="7B7468F8"/>
    <w:rsid w:val="7B875273"/>
    <w:rsid w:val="7BEE0103"/>
    <w:rsid w:val="7C0A0FE4"/>
    <w:rsid w:val="7C254906"/>
    <w:rsid w:val="7C4B59F8"/>
    <w:rsid w:val="7C590818"/>
    <w:rsid w:val="7C7C10F6"/>
    <w:rsid w:val="7C853BEA"/>
    <w:rsid w:val="7C881368"/>
    <w:rsid w:val="7CE27788"/>
    <w:rsid w:val="7D0C32F1"/>
    <w:rsid w:val="7D0F408D"/>
    <w:rsid w:val="7D380577"/>
    <w:rsid w:val="7D491C6C"/>
    <w:rsid w:val="7D5429C0"/>
    <w:rsid w:val="7D637428"/>
    <w:rsid w:val="7D686059"/>
    <w:rsid w:val="7D6E6D43"/>
    <w:rsid w:val="7DB57A34"/>
    <w:rsid w:val="7DE60973"/>
    <w:rsid w:val="7DEF0916"/>
    <w:rsid w:val="7DFA111A"/>
    <w:rsid w:val="7DFF7C0C"/>
    <w:rsid w:val="7E1E5218"/>
    <w:rsid w:val="7E9A4E1F"/>
    <w:rsid w:val="7EA7723A"/>
    <w:rsid w:val="7EE230FA"/>
    <w:rsid w:val="7EF56FBB"/>
    <w:rsid w:val="7F0768EB"/>
    <w:rsid w:val="7F143BEC"/>
    <w:rsid w:val="7F715AF2"/>
    <w:rsid w:val="7F886E69"/>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6">
    <w:name w:val="Normal Indent"/>
    <w:basedOn w:val="1"/>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6"/>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199"/>
    <w:autoRedefine/>
    <w:qFormat/>
    <w:uiPriority w:val="0"/>
    <w:pPr>
      <w:shd w:val="clear" w:color="auto" w:fill="000080"/>
    </w:pPr>
  </w:style>
  <w:style w:type="paragraph" w:styleId="20">
    <w:name w:val="annotation text"/>
    <w:basedOn w:val="1"/>
    <w:link w:val="341"/>
    <w:autoRedefine/>
    <w:qFormat/>
    <w:uiPriority w:val="99"/>
    <w:pPr>
      <w:jc w:val="left"/>
    </w:pPr>
  </w:style>
  <w:style w:type="paragraph" w:styleId="21">
    <w:name w:val="Salutation"/>
    <w:basedOn w:val="1"/>
    <w:next w:val="1"/>
    <w:link w:val="295"/>
    <w:autoRedefine/>
    <w:qFormat/>
    <w:uiPriority w:val="0"/>
    <w:rPr>
      <w:rFonts w:ascii="仿宋_GB2312" w:eastAsia="仿宋_GB2312"/>
      <w:sz w:val="28"/>
      <w:szCs w:val="20"/>
    </w:rPr>
  </w:style>
  <w:style w:type="paragraph" w:styleId="22">
    <w:name w:val="Body Text 3"/>
    <w:basedOn w:val="1"/>
    <w:link w:val="327"/>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18"/>
    <w:autoRedefine/>
    <w:qFormat/>
    <w:uiPriority w:val="0"/>
    <w:pPr>
      <w:ind w:firstLine="420"/>
    </w:pPr>
    <w:rPr>
      <w:rFonts w:hAnsi="Calibri" w:cs="Times New Roman"/>
      <w:snapToGrid/>
      <w:szCs w:val="20"/>
    </w:rPr>
  </w:style>
  <w:style w:type="paragraph" w:styleId="26">
    <w:name w:val="toc 6"/>
    <w:basedOn w:val="1"/>
    <w:next w:val="1"/>
    <w:autoRedefine/>
    <w:qFormat/>
    <w:uiPriority w:val="0"/>
    <w:pPr>
      <w:ind w:left="2100" w:leftChars="1000"/>
    </w:pPr>
  </w:style>
  <w:style w:type="paragraph" w:styleId="27">
    <w:name w:val="Body Text Indent"/>
    <w:basedOn w:val="1"/>
    <w:link w:val="262"/>
    <w:autoRedefine/>
    <w:qFormat/>
    <w:uiPriority w:val="0"/>
    <w:pPr>
      <w:spacing w:line="480" w:lineRule="exact"/>
      <w:ind w:firstLine="480" w:firstLineChars="200"/>
    </w:pPr>
    <w:rPr>
      <w:rFonts w:ascii="宋体" w:hAnsi="宋体"/>
      <w:sz w:val="24"/>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2"/>
    <w:autoRedefine/>
    <w:qFormat/>
    <w:uiPriority w:val="99"/>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78"/>
    <w:autoRedefine/>
    <w:qFormat/>
    <w:uiPriority w:val="0"/>
    <w:pPr>
      <w:ind w:left="100" w:leftChars="2500"/>
    </w:pPr>
    <w:rPr>
      <w:rFonts w:ascii="宋体"/>
      <w:sz w:val="24"/>
      <w:szCs w:val="21"/>
      <w:lang w:val="zh-CN"/>
    </w:rPr>
  </w:style>
  <w:style w:type="paragraph" w:styleId="39">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29"/>
    <w:autoRedefine/>
    <w:qFormat/>
    <w:uiPriority w:val="0"/>
    <w:rPr>
      <w:lang w:val="zh-CN"/>
    </w:rPr>
  </w:style>
  <w:style w:type="paragraph" w:styleId="41">
    <w:name w:val="Balloon Text"/>
    <w:basedOn w:val="1"/>
    <w:link w:val="185"/>
    <w:autoRedefine/>
    <w:qFormat/>
    <w:uiPriority w:val="0"/>
    <w:rPr>
      <w:sz w:val="18"/>
      <w:szCs w:val="18"/>
    </w:rPr>
  </w:style>
  <w:style w:type="paragraph" w:styleId="42">
    <w:name w:val="footer"/>
    <w:basedOn w:val="1"/>
    <w:next w:val="1"/>
    <w:link w:val="380"/>
    <w:autoRedefine/>
    <w:qFormat/>
    <w:uiPriority w:val="99"/>
    <w:pPr>
      <w:tabs>
        <w:tab w:val="center" w:pos="4153"/>
        <w:tab w:val="right" w:pos="8306"/>
      </w:tabs>
      <w:snapToGrid w:val="0"/>
      <w:jc w:val="left"/>
    </w:pPr>
    <w:rPr>
      <w:sz w:val="18"/>
      <w:szCs w:val="18"/>
    </w:rPr>
  </w:style>
  <w:style w:type="paragraph" w:styleId="43">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39"/>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6"/>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2"/>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299"/>
    <w:autoRedefine/>
    <w:qFormat/>
    <w:uiPriority w:val="0"/>
    <w:pPr>
      <w:spacing w:after="120" w:line="480" w:lineRule="auto"/>
    </w:pPr>
  </w:style>
  <w:style w:type="paragraph" w:styleId="57">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3"/>
    <w:autoRedefine/>
    <w:qFormat/>
    <w:uiPriority w:val="0"/>
    <w:rPr>
      <w:b/>
      <w:bCs/>
    </w:rPr>
  </w:style>
  <w:style w:type="paragraph" w:styleId="61">
    <w:name w:val="Body Text First Indent 2"/>
    <w:basedOn w:val="27"/>
    <w:link w:val="11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Char1"/>
    <w:link w:val="60"/>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首行缩进 2 Char"/>
    <w:link w:val="61"/>
    <w:autoRedefine/>
    <w:qFormat/>
    <w:uiPriority w:val="0"/>
    <w:rPr>
      <w:rFonts w:ascii="宋体" w:hAnsi="宋体"/>
      <w:kern w:val="2"/>
      <w:sz w:val="21"/>
      <w:szCs w:val="24"/>
    </w:rPr>
  </w:style>
  <w:style w:type="character" w:customStyle="1" w:styleId="119">
    <w:name w:val="font11"/>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Char"/>
    <w:link w:val="35"/>
    <w:autoRedefine/>
    <w:qFormat/>
    <w:uiPriority w:val="99"/>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Char"/>
    <w:link w:val="48"/>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autoRedefine/>
    <w:qFormat/>
    <w:uiPriority w:val="0"/>
    <w:rPr>
      <w:rFonts w:hint="eastAsia" w:ascii="仿宋_GB2312" w:eastAsia="仿宋_GB2312" w:cs="仿宋_GB2312"/>
      <w:color w:val="000000"/>
      <w:sz w:val="22"/>
      <w:szCs w:val="22"/>
      <w:u w:val="none"/>
    </w:rPr>
  </w:style>
  <w:style w:type="character" w:customStyle="1" w:styleId="144">
    <w:name w:val="标题 6 Char"/>
    <w:link w:val="9"/>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Char"/>
    <w:link w:val="38"/>
    <w:qFormat/>
    <w:uiPriority w:val="0"/>
    <w:rPr>
      <w:rFonts w:ascii="宋体"/>
      <w:kern w:val="2"/>
      <w:sz w:val="24"/>
      <w:szCs w:val="21"/>
      <w:lang w:val="zh-CN"/>
    </w:rPr>
  </w:style>
  <w:style w:type="character" w:customStyle="1" w:styleId="179">
    <w:name w:val="标题 9 Char"/>
    <w:link w:val="12"/>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qFormat/>
    <w:uiPriority w:val="0"/>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41"/>
    <w:autoRedefine/>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6"/>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autoRedefine/>
    <w:qFormat/>
    <w:uiPriority w:val="0"/>
    <w:rPr>
      <w:rFonts w:eastAsia="仿宋_GB2312"/>
      <w:kern w:val="2"/>
      <w:sz w:val="18"/>
      <w:lang w:val="en-US" w:eastAsia="zh-CN"/>
    </w:rPr>
  </w:style>
  <w:style w:type="character" w:customStyle="1" w:styleId="193">
    <w:name w:val="FA正文 Char Char"/>
    <w:autoRedefine/>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autoRedefine/>
    <w:qFormat/>
    <w:uiPriority w:val="0"/>
    <w:rPr>
      <w:rFonts w:ascii="仿宋_GB2312" w:eastAsia="微软雅黑"/>
      <w:b/>
      <w:kern w:val="2"/>
      <w:sz w:val="32"/>
      <w:szCs w:val="32"/>
      <w:lang w:val="en-US" w:eastAsia="zh-CN" w:bidi="ar-SA"/>
    </w:rPr>
  </w:style>
  <w:style w:type="character" w:customStyle="1" w:styleId="199">
    <w:name w:val="文档结构图 Char1"/>
    <w:link w:val="19"/>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Char"/>
    <w:link w:val="32"/>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Char"/>
    <w:link w:val="17"/>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autoRedefine/>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autoRedefine/>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仿宋_GB2312" w:eastAsia="仿宋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autoRedefine/>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autoRedefine/>
    <w:qFormat/>
    <w:uiPriority w:val="6"/>
    <w:rPr>
      <w:rFonts w:ascii="宋体" w:hAnsi="宋体"/>
      <w:kern w:val="1"/>
      <w:sz w:val="21"/>
    </w:rPr>
  </w:style>
  <w:style w:type="character" w:customStyle="1" w:styleId="252">
    <w:name w:val="正文缩进 Char3"/>
    <w:autoRedefine/>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Char3"/>
    <w:link w:val="27"/>
    <w:autoRedefine/>
    <w:qFormat/>
    <w:uiPriority w:val="0"/>
    <w:rPr>
      <w:rFonts w:ascii="宋体" w:hAnsi="宋体"/>
      <w:kern w:val="2"/>
      <w:sz w:val="24"/>
      <w:szCs w:val="24"/>
    </w:rPr>
  </w:style>
  <w:style w:type="character" w:customStyle="1" w:styleId="263">
    <w:name w:val="font01"/>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Char"/>
    <w:link w:val="3"/>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Char2"/>
    <w:link w:val="59"/>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Char"/>
    <w:link w:val="8"/>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Char"/>
    <w:link w:val="21"/>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Char"/>
    <w:link w:val="57"/>
    <w:autoRedefine/>
    <w:qFormat/>
    <w:uiPriority w:val="0"/>
    <w:rPr>
      <w:rFonts w:ascii="黑体" w:hAnsi="Courier New" w:eastAsia="黑体"/>
    </w:rPr>
  </w:style>
  <w:style w:type="character" w:customStyle="1" w:styleId="299">
    <w:name w:val="正文文本 2 Char1"/>
    <w:link w:val="56"/>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7"/>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Char"/>
    <w:link w:val="10"/>
    <w:autoRedefine/>
    <w:qFormat/>
    <w:uiPriority w:val="0"/>
    <w:rPr>
      <w:b/>
      <w:bCs/>
      <w:kern w:val="2"/>
      <w:sz w:val="24"/>
      <w:szCs w:val="24"/>
    </w:rPr>
  </w:style>
  <w:style w:type="character" w:customStyle="1" w:styleId="305">
    <w:name w:val="正文文本缩进 2 Char"/>
    <w:link w:val="39"/>
    <w:autoRedefine/>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Char"/>
    <w:link w:val="51"/>
    <w:autoRedefine/>
    <w:qFormat/>
    <w:uiPriority w:val="0"/>
    <w:rPr>
      <w:color w:val="0000FF"/>
      <w:sz w:val="21"/>
    </w:rPr>
  </w:style>
  <w:style w:type="character" w:customStyle="1" w:styleId="308">
    <w:name w:val="称呼 Char1"/>
    <w:autoRedefine/>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首行缩进 Char"/>
    <w:link w:val="25"/>
    <w:autoRedefine/>
    <w:qFormat/>
    <w:uiPriority w:val="0"/>
    <w:rPr>
      <w:rFonts w:ascii="宋体"/>
      <w:kern w:val="2"/>
      <w:sz w:val="24"/>
      <w:lang w:val="zh-CN"/>
    </w:rPr>
  </w:style>
  <w:style w:type="character" w:customStyle="1" w:styleId="319">
    <w:name w:val="h3 Char"/>
    <w:autoRedefine/>
    <w:qFormat/>
    <w:uiPriority w:val="0"/>
    <w:rPr>
      <w:rFonts w:eastAsia="宋体"/>
      <w:b/>
      <w:kern w:val="2"/>
      <w:sz w:val="32"/>
      <w:lang w:val="en-US" w:eastAsia="zh-CN" w:bidi="ar-SA"/>
    </w:rPr>
  </w:style>
  <w:style w:type="character" w:customStyle="1" w:styleId="320">
    <w:name w:val="dandyren_title1"/>
    <w:autoRedefine/>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Char2"/>
    <w:link w:val="7"/>
    <w:autoRedefine/>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Char"/>
    <w:link w:val="22"/>
    <w:autoRedefine/>
    <w:qFormat/>
    <w:uiPriority w:val="0"/>
    <w:rPr>
      <w:kern w:val="2"/>
      <w:sz w:val="21"/>
    </w:rPr>
  </w:style>
  <w:style w:type="character" w:customStyle="1" w:styleId="328">
    <w:name w:val="font31"/>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autoRedefine/>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autoRedefine/>
    <w:qFormat/>
    <w:uiPriority w:val="0"/>
    <w:pPr>
      <w:widowControl/>
      <w:spacing w:before="60" w:after="60"/>
      <w:jc w:val="left"/>
    </w:pPr>
    <w:rPr>
      <w:kern w:val="0"/>
      <w:sz w:val="24"/>
    </w:rPr>
  </w:style>
  <w:style w:type="character" w:customStyle="1" w:styleId="338">
    <w:name w:val="正文1 Char1"/>
    <w:autoRedefine/>
    <w:qFormat/>
    <w:uiPriority w:val="0"/>
    <w:rPr>
      <w:rFonts w:ascii="仿宋_GB2312" w:hAnsi="Courier New" w:eastAsia="仿宋_GB2312"/>
      <w:kern w:val="28"/>
      <w:sz w:val="24"/>
      <w:szCs w:val="24"/>
      <w:lang w:val="en-US" w:eastAsia="zh-CN"/>
    </w:rPr>
  </w:style>
  <w:style w:type="character" w:customStyle="1" w:styleId="339">
    <w:name w:val="页脚 Char1"/>
    <w:autoRedefine/>
    <w:qFormat/>
    <w:uiPriority w:val="0"/>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Char1"/>
    <w:link w:val="20"/>
    <w:autoRedefine/>
    <w:qFormat/>
    <w:uiPriority w:val="0"/>
    <w:rPr>
      <w:kern w:val="2"/>
      <w:sz w:val="21"/>
      <w:szCs w:val="24"/>
    </w:rPr>
  </w:style>
  <w:style w:type="character" w:customStyle="1" w:styleId="342">
    <w:name w:val="签名 Char"/>
    <w:link w:val="43"/>
    <w:autoRedefine/>
    <w:qFormat/>
    <w:uiPriority w:val="0"/>
    <w:rPr>
      <w:rFonts w:eastAsia="仿宋_GB2312"/>
      <w:sz w:val="24"/>
    </w:rPr>
  </w:style>
  <w:style w:type="character" w:customStyle="1" w:styleId="343">
    <w:name w:val="hui3"/>
    <w:autoRedefine/>
    <w:qFormat/>
    <w:uiPriority w:val="0"/>
    <w:rPr>
      <w:color w:val="333333"/>
    </w:rPr>
  </w:style>
  <w:style w:type="character" w:customStyle="1" w:styleId="344">
    <w:name w:val="Char Char17"/>
    <w:autoRedefine/>
    <w:qFormat/>
    <w:uiPriority w:val="6"/>
    <w:rPr>
      <w:rFonts w:eastAsia="仿宋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1"/>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仿宋_GB2312" w:cs="宋体"/>
      <w:color w:val="000000"/>
      <w:sz w:val="24"/>
      <w:lang w:val="en-US" w:eastAsia="zh-CN" w:bidi="ar-SA"/>
    </w:rPr>
  </w:style>
  <w:style w:type="character" w:customStyle="1" w:styleId="366">
    <w:name w:val="Char Char212"/>
    <w:autoRedefine/>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Char"/>
    <w:link w:val="53"/>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Char2"/>
    <w:link w:val="42"/>
    <w:autoRedefine/>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Char2"/>
    <w:link w:val="2"/>
    <w:autoRedefine/>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autoRedefine/>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156"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autoRedefine/>
    <w:qFormat/>
    <w:uiPriority w:val="0"/>
    <w:pPr>
      <w:adjustRightInd/>
      <w:spacing w:line="360" w:lineRule="auto"/>
      <w:ind w:firstLine="480" w:firstLineChars="200"/>
    </w:pPr>
    <w:rPr>
      <w:rFonts w:ascii="宋体" w:hAnsi="宋体"/>
      <w:sz w:val="24"/>
      <w:szCs w:val="22"/>
    </w:rPr>
  </w:style>
  <w:style w:type="character" w:customStyle="1" w:styleId="399">
    <w:name w:val="批注文字 字符"/>
    <w:autoRedefine/>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autoRedefine/>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仿宋_GB2312" w:eastAsia="微软雅黑"/>
      <w:b/>
      <w:kern w:val="2"/>
      <w:sz w:val="32"/>
      <w:szCs w:val="32"/>
      <w:lang w:val="en-US" w:eastAsia="zh-CN" w:bidi="ar-SA"/>
    </w:rPr>
  </w:style>
  <w:style w:type="character" w:customStyle="1" w:styleId="420">
    <w:name w:val="DO_NOT_TRANSLATE"/>
    <w:autoRedefin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6"/>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autoRedefine/>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autoRedefine/>
    <w:qFormat/>
    <w:uiPriority w:val="0"/>
    <w:pPr>
      <w:tabs>
        <w:tab w:val="left" w:pos="2790"/>
        <w:tab w:val="left" w:pos="4230"/>
      </w:tabs>
      <w:spacing w:before="312"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autoRedefine/>
    <w:qFormat/>
    <w:uiPriority w:val="0"/>
    <w:pPr>
      <w:tabs>
        <w:tab w:val="left" w:pos="840"/>
      </w:tabs>
      <w:ind w:left="840" w:hanging="420"/>
    </w:pPr>
    <w:rPr>
      <w:rFonts w:ascii="Tahoma" w:hAnsi="Tahoma"/>
      <w:sz w:val="24"/>
    </w:rPr>
  </w:style>
  <w:style w:type="paragraph" w:customStyle="1" w:styleId="4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autoRedefine/>
    <w:qFormat/>
    <w:uiPriority w:val="0"/>
    <w:pPr>
      <w:adjustRightInd/>
      <w:spacing w:before="156" w:line="360" w:lineRule="auto"/>
      <w:ind w:firstLine="510" w:firstLineChars="200"/>
    </w:pPr>
    <w:rPr>
      <w:sz w:val="24"/>
      <w:szCs w:val="20"/>
    </w:rPr>
  </w:style>
  <w:style w:type="paragraph" w:customStyle="1" w:styleId="463">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autoRedefine/>
    <w:qFormat/>
    <w:uiPriority w:val="0"/>
    <w:rPr>
      <w:rFonts w:ascii="仿宋_GB2312" w:eastAsia="仿宋_GB2312"/>
      <w:b/>
      <w:sz w:val="32"/>
      <w:szCs w:val="32"/>
    </w:rPr>
  </w:style>
  <w:style w:type="paragraph" w:customStyle="1" w:styleId="4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autoRedefine/>
    <w:qFormat/>
    <w:uiPriority w:val="0"/>
    <w:pPr>
      <w:keepNext/>
      <w:tabs>
        <w:tab w:val="left" w:pos="360"/>
      </w:tabs>
      <w:spacing w:before="0" w:after="0"/>
      <w:outlineLvl w:val="5"/>
    </w:pPr>
  </w:style>
  <w:style w:type="paragraph" w:customStyle="1" w:styleId="471">
    <w:name w:val="5级标题"/>
    <w:basedOn w:val="472"/>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4">
    <w:name w:val="Char2 Char Char"/>
    <w:basedOn w:val="1"/>
    <w:autoRedefine/>
    <w:qFormat/>
    <w:uiPriority w:val="0"/>
    <w:pPr>
      <w:adjustRightInd/>
    </w:pPr>
    <w:rPr>
      <w:rFonts w:ascii="Tahoma" w:hAnsi="Tahoma"/>
      <w:sz w:val="24"/>
      <w:szCs w:val="20"/>
    </w:rPr>
  </w:style>
  <w:style w:type="paragraph" w:customStyle="1" w:styleId="475">
    <w:name w:val="_Style 11"/>
    <w:basedOn w:val="1"/>
    <w:autoRedefine/>
    <w:qFormat/>
    <w:uiPriority w:val="34"/>
    <w:pPr>
      <w:adjustRightInd/>
      <w:ind w:firstLine="420" w:firstLineChars="200"/>
    </w:pPr>
    <w:rPr>
      <w:rFonts w:eastAsia="仿宋_GB2312"/>
      <w:sz w:val="28"/>
    </w:rPr>
  </w:style>
  <w:style w:type="paragraph" w:customStyle="1" w:styleId="4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autoRedefine/>
    <w:qFormat/>
    <w:uiPriority w:val="0"/>
    <w:rPr>
      <w:rFonts w:ascii="Tahoma" w:hAnsi="Tahoma"/>
      <w:sz w:val="24"/>
      <w:szCs w:val="20"/>
    </w:rPr>
  </w:style>
  <w:style w:type="paragraph" w:customStyle="1" w:styleId="478">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7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autoRedefine/>
    <w:qFormat/>
    <w:uiPriority w:val="99"/>
    <w:rPr>
      <w:szCs w:val="22"/>
    </w:rPr>
  </w:style>
  <w:style w:type="paragraph" w:customStyle="1" w:styleId="4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autoRedefine/>
    <w:qFormat/>
    <w:uiPriority w:val="6"/>
    <w:rPr>
      <w:rFonts w:ascii="Tahoma" w:hAnsi="Tahoma" w:cs="仿宋_GB2312"/>
      <w:sz w:val="24"/>
      <w:szCs w:val="20"/>
    </w:rPr>
  </w:style>
  <w:style w:type="paragraph" w:customStyle="1" w:styleId="48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autoRedefine/>
    <w:qFormat/>
    <w:uiPriority w:val="0"/>
    <w:pPr>
      <w:tabs>
        <w:tab w:val="left" w:pos="1260"/>
      </w:tabs>
      <w:ind w:left="1260" w:hanging="420"/>
    </w:pPr>
    <w:rPr>
      <w:rFonts w:ascii="Arial" w:hAnsi="Arial" w:eastAsia="黑体"/>
      <w:lang w:val="en-US"/>
    </w:rPr>
  </w:style>
  <w:style w:type="paragraph" w:customStyle="1" w:styleId="487">
    <w:name w:val="五级无标题条"/>
    <w:basedOn w:val="1"/>
    <w:autoRedefine/>
    <w:qFormat/>
    <w:uiPriority w:val="0"/>
    <w:pPr>
      <w:adjustRightInd/>
    </w:pPr>
  </w:style>
  <w:style w:type="paragraph" w:customStyle="1" w:styleId="488">
    <w:name w:val="Char5"/>
    <w:basedOn w:val="1"/>
    <w:autoRedefine/>
    <w:qFormat/>
    <w:uiPriority w:val="0"/>
    <w:rPr>
      <w:rFonts w:ascii="仿宋_GB2312" w:eastAsia="仿宋_GB2312"/>
      <w:b/>
      <w:sz w:val="32"/>
      <w:szCs w:val="32"/>
    </w:rPr>
  </w:style>
  <w:style w:type="paragraph" w:customStyle="1" w:styleId="489">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autoRedefine/>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autoRedefine/>
    <w:qFormat/>
    <w:uiPriority w:val="0"/>
    <w:rPr>
      <w:rFonts w:ascii="仿宋_GB2312" w:eastAsia="仿宋_GB2312"/>
      <w:b/>
      <w:sz w:val="32"/>
      <w:szCs w:val="32"/>
    </w:rPr>
  </w:style>
  <w:style w:type="paragraph" w:customStyle="1" w:styleId="493">
    <w:name w:val="数字标题3"/>
    <w:basedOn w:val="5"/>
    <w:next w:val="1"/>
    <w:autoRedefine/>
    <w:qFormat/>
    <w:uiPriority w:val="0"/>
    <w:pPr>
      <w:spacing w:line="240" w:lineRule="auto"/>
    </w:pPr>
    <w:rPr>
      <w:sz w:val="28"/>
      <w:szCs w:val="28"/>
    </w:rPr>
  </w:style>
  <w:style w:type="paragraph" w:customStyle="1" w:styleId="494">
    <w:name w:val="FA正文"/>
    <w:basedOn w:val="1"/>
    <w:autoRedefine/>
    <w:qFormat/>
    <w:uiPriority w:val="0"/>
    <w:pPr>
      <w:spacing w:line="360" w:lineRule="auto"/>
      <w:ind w:firstLine="480" w:firstLineChars="200"/>
    </w:pPr>
    <w:rPr>
      <w:rFonts w:hAnsi="宋体"/>
      <w:sz w:val="24"/>
      <w:szCs w:val="20"/>
    </w:rPr>
  </w:style>
  <w:style w:type="paragraph" w:customStyle="1" w:styleId="495">
    <w:name w:val="MM Topic 5"/>
    <w:basedOn w:val="8"/>
    <w:autoRedefine/>
    <w:qFormat/>
    <w:uiPriority w:val="0"/>
    <w:pPr>
      <w:tabs>
        <w:tab w:val="left" w:pos="2520"/>
      </w:tabs>
      <w:adjustRightInd/>
      <w:ind w:left="2520" w:hanging="420"/>
    </w:pPr>
  </w:style>
  <w:style w:type="paragraph" w:customStyle="1" w:styleId="496">
    <w:name w:val="Char Char Char Char Char Char Char Char Char Char1"/>
    <w:basedOn w:val="1"/>
    <w:autoRedefine/>
    <w:qFormat/>
    <w:uiPriority w:val="0"/>
    <w:rPr>
      <w:rFonts w:ascii="仿宋_GB2312" w:eastAsia="仿宋_GB2312"/>
      <w:b/>
      <w:sz w:val="32"/>
      <w:szCs w:val="32"/>
    </w:rPr>
  </w:style>
  <w:style w:type="paragraph" w:customStyle="1" w:styleId="49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autoRedefine/>
    <w:qFormat/>
    <w:uiPriority w:val="0"/>
    <w:rPr>
      <w:rFonts w:ascii="仿宋_GB2312" w:eastAsia="仿宋_GB2312"/>
      <w:b/>
      <w:sz w:val="32"/>
      <w:szCs w:val="32"/>
    </w:rPr>
  </w:style>
  <w:style w:type="paragraph" w:customStyle="1" w:styleId="500">
    <w:name w:val="Char2 Char Char Char1"/>
    <w:basedOn w:val="1"/>
    <w:autoRedefine/>
    <w:qFormat/>
    <w:uiPriority w:val="6"/>
    <w:rPr>
      <w:rFonts w:ascii="仿宋_GB2312" w:eastAsia="仿宋_GB2312"/>
      <w:b/>
      <w:sz w:val="32"/>
      <w:szCs w:val="32"/>
    </w:rPr>
  </w:style>
  <w:style w:type="paragraph" w:customStyle="1" w:styleId="501">
    <w:name w:val="默认段落样式"/>
    <w:basedOn w:val="128"/>
    <w:autoRedefine/>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autoRedefine/>
    <w:qFormat/>
    <w:uiPriority w:val="0"/>
    <w:pPr>
      <w:tabs>
        <w:tab w:val="left" w:pos="1680"/>
      </w:tabs>
      <w:adjustRightInd/>
      <w:ind w:left="1680" w:hanging="420"/>
    </w:pPr>
  </w:style>
  <w:style w:type="paragraph" w:customStyle="1" w:styleId="505">
    <w:name w:val="标准小四"/>
    <w:basedOn w:val="1"/>
    <w:autoRedefine/>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autoRedefine/>
    <w:qFormat/>
    <w:uiPriority w:val="0"/>
    <w:pPr>
      <w:adjustRightInd/>
      <w:snapToGrid w:val="0"/>
      <w:spacing w:line="300" w:lineRule="auto"/>
    </w:pPr>
    <w:rPr>
      <w:rFonts w:eastAsia="仿宋"/>
      <w:szCs w:val="21"/>
    </w:rPr>
  </w:style>
  <w:style w:type="paragraph" w:customStyle="1" w:styleId="50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autoRedefine/>
    <w:qFormat/>
    <w:uiPriority w:val="6"/>
    <w:pPr>
      <w:adjustRightInd/>
    </w:pPr>
    <w:rPr>
      <w:rFonts w:ascii="Tahoma" w:hAnsi="Tahoma"/>
      <w:sz w:val="24"/>
      <w:szCs w:val="20"/>
    </w:rPr>
  </w:style>
  <w:style w:type="paragraph" w:customStyle="1" w:styleId="51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autoRedefine/>
    <w:qFormat/>
    <w:uiPriority w:val="0"/>
    <w:pPr>
      <w:adjustRightInd/>
      <w:ind w:firstLine="420" w:firstLineChars="200"/>
    </w:pPr>
    <w:rPr>
      <w:rFonts w:eastAsia="仿宋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autoRedefine/>
    <w:qFormat/>
    <w:uiPriority w:val="6"/>
    <w:rPr>
      <w:szCs w:val="20"/>
    </w:rPr>
  </w:style>
  <w:style w:type="paragraph" w:customStyle="1" w:styleId="5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autoRedefine/>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autoRedefine/>
    <w:qFormat/>
    <w:uiPriority w:val="0"/>
    <w:rPr>
      <w:rFonts w:ascii="宋体" w:eastAsia="宋体" w:cs="Times New Roman"/>
      <w:color w:val="auto"/>
    </w:rPr>
  </w:style>
  <w:style w:type="paragraph" w:customStyle="1" w:styleId="547">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7"/>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156"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autoRedefine/>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autoRedefine/>
    <w:qFormat/>
    <w:uiPriority w:val="0"/>
    <w:rPr>
      <w:rFonts w:ascii="仿宋_GB2312" w:eastAsia="仿宋_GB2312"/>
      <w:b/>
      <w:sz w:val="32"/>
      <w:szCs w:val="32"/>
    </w:rPr>
  </w:style>
  <w:style w:type="paragraph" w:customStyle="1" w:styleId="5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3"/>
    <w:autoRedefine/>
    <w:qFormat/>
    <w:uiPriority w:val="0"/>
    <w:pPr>
      <w:tabs>
        <w:tab w:val="left" w:pos="840"/>
      </w:tabs>
      <w:adjustRightInd/>
      <w:ind w:left="840" w:hanging="420"/>
    </w:pPr>
  </w:style>
  <w:style w:type="paragraph" w:customStyle="1" w:styleId="623">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156"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0" w:beforeLines="0" w:after="0" w:afterLines="0"/>
      <w:ind w:left="1680"/>
      <w:outlineLvl w:val="2"/>
    </w:pPr>
  </w:style>
  <w:style w:type="paragraph" w:customStyle="1" w:styleId="655">
    <w:name w:val="章标题"/>
    <w:next w:val="6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autoRedefine/>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autoRedefine/>
    <w:qFormat/>
    <w:uiPriority w:val="6"/>
    <w:rPr>
      <w:rFonts w:ascii="仿宋_GB2312" w:eastAsia="仿宋_GB2312"/>
      <w:b/>
      <w:sz w:val="32"/>
      <w:szCs w:val="32"/>
    </w:rPr>
  </w:style>
  <w:style w:type="paragraph" w:customStyle="1" w:styleId="699">
    <w:name w:val="正文缩进1"/>
    <w:basedOn w:val="1"/>
    <w:next w:val="2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9"/>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40"/>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表格文字1151"/>
    <w:basedOn w:val="1"/>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customXml" Target="../customXml/item2.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theme" Target="theme/theme1.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header" Target="header13.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F91E0A-14C5-4F24-B6A4-12327BF634E2}">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103</Pages>
  <Words>24189</Words>
  <Characters>26282</Characters>
  <Lines>657</Lines>
  <Paragraphs>185</Paragraphs>
  <TotalTime>0</TotalTime>
  <ScaleCrop>false</ScaleCrop>
  <LinksUpToDate>false</LinksUpToDate>
  <CharactersWithSpaces>26671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北海市政府采购中心</dc:creator>
  <cp:lastModifiedBy>WPS_1526954301</cp:lastModifiedBy>
  <cp:lastPrinted>2025-07-29T02:38:00Z</cp:lastPrinted>
  <dcterms:modified xsi:type="dcterms:W3CDTF">2025-07-31T02:05:57Z</dcterms:modified>
  <dc:title>北海市政府采购中心</dc:title>
  <cp:revision>2835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7D13AB49E8784C7CBB62CCD67CA25641_13</vt:lpwstr>
  </property>
  <property fmtid="{D5CDD505-2E9C-101B-9397-08002B2CF9AE}" pid="5" name="KSOTemplateDocerSaveRecord">
    <vt:lpwstr>eyJoZGlkIjoiNmI4NjNjMzYzNDdlYmMzMDAxYjYwOTgwNGI5MjE1NjEiLCJ1c2VySWQiOiIzNzI1ODIwNjgifQ==</vt:lpwstr>
  </property>
</Properties>
</file>