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F3505">
      <w:pPr>
        <w:pStyle w:val="22"/>
        <w:spacing w:line="271" w:lineRule="auto"/>
        <w:rPr>
          <w:rFonts w:asciiTheme="minorEastAsia" w:hAnsiTheme="minorEastAsia" w:eastAsiaTheme="minorEastAsia"/>
        </w:rPr>
      </w:pPr>
    </w:p>
    <w:p w14:paraId="7D41E18C">
      <w:pPr>
        <w:pStyle w:val="22"/>
        <w:spacing w:line="271" w:lineRule="auto"/>
        <w:rPr>
          <w:rFonts w:asciiTheme="minorEastAsia" w:hAnsiTheme="minorEastAsia" w:eastAsiaTheme="minorEastAsia"/>
        </w:rPr>
      </w:pPr>
    </w:p>
    <w:p w14:paraId="6376A4CE">
      <w:pPr>
        <w:pStyle w:val="22"/>
        <w:spacing w:line="271" w:lineRule="auto"/>
        <w:rPr>
          <w:rFonts w:asciiTheme="minorEastAsia" w:hAnsiTheme="minorEastAsia" w:eastAsiaTheme="minorEastAsia"/>
        </w:rPr>
      </w:pPr>
    </w:p>
    <w:p w14:paraId="3A6ACC39">
      <w:pPr>
        <w:adjustRightInd/>
        <w:spacing w:line="360" w:lineRule="auto"/>
        <w:jc w:val="center"/>
        <w:rPr>
          <w:rFonts w:hint="eastAsia" w:cs="仿宋_GB2312" w:asciiTheme="minorEastAsia" w:hAnsiTheme="minorEastAsia" w:eastAsiaTheme="minorEastAsia"/>
          <w:b/>
          <w:bCs/>
          <w:w w:val="95"/>
          <w:sz w:val="40"/>
          <w:szCs w:val="40"/>
          <w:lang w:val="zh-CN"/>
        </w:rPr>
      </w:pPr>
      <w:r>
        <w:rPr>
          <w:rFonts w:hint="eastAsia" w:cs="仿宋_GB2312" w:asciiTheme="minorEastAsia" w:hAnsiTheme="minorEastAsia" w:eastAsiaTheme="minorEastAsia"/>
          <w:b/>
          <w:bCs/>
          <w:w w:val="95"/>
          <w:sz w:val="40"/>
          <w:szCs w:val="40"/>
          <w:lang w:val="zh-CN"/>
        </w:rPr>
        <w:t>《北海市矿产资源总体规划（2026-2030年)》编制项目（重）</w:t>
      </w:r>
    </w:p>
    <w:p w14:paraId="096BA396">
      <w:pPr>
        <w:adjustRightInd/>
        <w:spacing w:line="360" w:lineRule="auto"/>
        <w:jc w:val="center"/>
        <w:rPr>
          <w:rFonts w:cs="宋体" w:asciiTheme="minorEastAsia" w:hAnsiTheme="minorEastAsia" w:eastAsiaTheme="minorEastAsia"/>
          <w:b/>
          <w:bCs/>
          <w:snapToGrid w:val="0"/>
          <w:color w:val="000000"/>
          <w:spacing w:val="-25"/>
          <w:kern w:val="0"/>
          <w:sz w:val="71"/>
          <w:szCs w:val="71"/>
        </w:rPr>
      </w:pPr>
      <w:r>
        <w:rPr>
          <w:rFonts w:hint="eastAsia" w:cs="宋体" w:asciiTheme="minorEastAsia" w:hAnsiTheme="minorEastAsia" w:eastAsiaTheme="minorEastAsia"/>
          <w:b/>
          <w:bCs/>
          <w:snapToGrid w:val="0"/>
          <w:color w:val="000000"/>
          <w:spacing w:val="-25"/>
          <w:kern w:val="0"/>
          <w:sz w:val="71"/>
          <w:szCs w:val="71"/>
          <w:lang w:val="zh-CN"/>
        </w:rPr>
        <w:t>竞争性磋商</w:t>
      </w:r>
      <w:r>
        <w:rPr>
          <w:rFonts w:hint="eastAsia" w:cs="宋体" w:asciiTheme="minorEastAsia" w:hAnsiTheme="minorEastAsia" w:eastAsiaTheme="minorEastAsia"/>
          <w:b/>
          <w:bCs/>
          <w:snapToGrid w:val="0"/>
          <w:color w:val="000000"/>
          <w:spacing w:val="-25"/>
          <w:kern w:val="0"/>
          <w:sz w:val="71"/>
          <w:szCs w:val="71"/>
        </w:rPr>
        <w:t>文件</w:t>
      </w:r>
    </w:p>
    <w:p w14:paraId="016F6E57">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3CB1BC3E">
      <w:pPr>
        <w:snapToGrid w:val="0"/>
        <w:spacing w:line="360" w:lineRule="auto"/>
        <w:ind w:firstLine="2100" w:firstLineChars="700"/>
        <w:jc w:val="left"/>
        <w:rPr>
          <w:rFonts w:cs="仿宋_GB2312" w:asciiTheme="minorEastAsia" w:hAnsiTheme="minorEastAsia" w:eastAsiaTheme="minorEastAsia"/>
          <w:color w:val="0000FF"/>
          <w:sz w:val="30"/>
          <w:szCs w:val="30"/>
        </w:rPr>
      </w:pPr>
      <w:r>
        <w:rPr>
          <w:rFonts w:hint="eastAsia" w:cs="仿宋_GB2312" w:asciiTheme="minorEastAsia" w:hAnsiTheme="minorEastAsia" w:eastAsiaTheme="minorEastAsia"/>
          <w:color w:val="0000FF"/>
          <w:sz w:val="30"/>
          <w:szCs w:val="30"/>
        </w:rPr>
        <w:t xml:space="preserve">项目编号: </w:t>
      </w:r>
      <w:r>
        <w:rPr>
          <w:rFonts w:hint="eastAsia" w:cs="仿宋_GB2312" w:asciiTheme="minorEastAsia" w:hAnsiTheme="minorEastAsia" w:eastAsiaTheme="minorEastAsia"/>
          <w:color w:val="0000FF"/>
          <w:sz w:val="30"/>
          <w:szCs w:val="30"/>
          <w:lang w:eastAsia="zh-CN"/>
        </w:rPr>
        <w:t>BHZC2025-C3-990210-GXYX</w:t>
      </w:r>
      <w:r>
        <w:rPr>
          <w:rFonts w:hint="eastAsia" w:cs="仿宋_GB2312" w:asciiTheme="minorEastAsia" w:hAnsiTheme="minorEastAsia" w:eastAsiaTheme="minorEastAsia"/>
          <w:color w:val="0000FF"/>
          <w:sz w:val="30"/>
          <w:szCs w:val="30"/>
        </w:rPr>
        <w:t xml:space="preserve">     </w:t>
      </w:r>
    </w:p>
    <w:p w14:paraId="098F5880">
      <w:pPr>
        <w:adjustRightInd/>
        <w:spacing w:line="360" w:lineRule="auto"/>
        <w:jc w:val="center"/>
        <w:rPr>
          <w:rFonts w:ascii="宋体" w:hAnsi="宋体" w:cs="宋体"/>
          <w:b/>
          <w:color w:val="000000"/>
          <w:sz w:val="48"/>
          <w:szCs w:val="48"/>
        </w:rPr>
      </w:pPr>
    </w:p>
    <w:p w14:paraId="54744955">
      <w:pPr>
        <w:adjustRightInd/>
        <w:spacing w:line="360" w:lineRule="auto"/>
        <w:jc w:val="center"/>
        <w:rPr>
          <w:rFonts w:ascii="宋体" w:hAnsi="宋体" w:cs="宋体"/>
          <w:b/>
          <w:color w:val="000000"/>
          <w:sz w:val="48"/>
          <w:szCs w:val="48"/>
        </w:rPr>
      </w:pPr>
    </w:p>
    <w:p w14:paraId="5B42EAAF">
      <w:pPr>
        <w:adjustRightInd/>
        <w:spacing w:line="360" w:lineRule="auto"/>
        <w:jc w:val="center"/>
        <w:rPr>
          <w:rFonts w:ascii="宋体" w:hAnsi="宋体" w:cs="宋体"/>
          <w:b/>
          <w:color w:val="000000"/>
          <w:sz w:val="48"/>
          <w:szCs w:val="48"/>
        </w:rPr>
      </w:pPr>
      <w:r>
        <w:rPr>
          <w:rFonts w:ascii="宋体" w:hAnsi="宋体" w:cs="宋体"/>
          <w:b/>
          <w:color w:val="000000"/>
          <w:sz w:val="48"/>
          <w:szCs w:val="48"/>
        </w:rPr>
        <w:drawing>
          <wp:inline distT="0" distB="0" distL="114300" distR="114300">
            <wp:extent cx="1859915" cy="1270000"/>
            <wp:effectExtent l="0" t="0" r="6985" b="6350"/>
            <wp:docPr id="1" name="图片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 公司名称&#10;&#10;描述已自动生成"/>
                    <pic:cNvPicPr>
                      <a:picLocks noChangeAspect="1"/>
                    </pic:cNvPicPr>
                  </pic:nvPicPr>
                  <pic:blipFill>
                    <a:blip r:embed="rId13"/>
                    <a:srcRect t="17120" b="23169"/>
                    <a:stretch>
                      <a:fillRect/>
                    </a:stretch>
                  </pic:blipFill>
                  <pic:spPr>
                    <a:xfrm>
                      <a:off x="0" y="0"/>
                      <a:ext cx="1859915" cy="1270000"/>
                    </a:xfrm>
                    <a:prstGeom prst="rect">
                      <a:avLst/>
                    </a:prstGeom>
                    <a:noFill/>
                    <a:ln>
                      <a:noFill/>
                    </a:ln>
                  </pic:spPr>
                </pic:pic>
              </a:graphicData>
            </a:graphic>
          </wp:inline>
        </w:drawing>
      </w:r>
    </w:p>
    <w:p w14:paraId="313220A7">
      <w:pPr>
        <w:pStyle w:val="22"/>
        <w:spacing w:line="251" w:lineRule="auto"/>
        <w:rPr>
          <w:rFonts w:asciiTheme="minorEastAsia" w:hAnsiTheme="minorEastAsia" w:eastAsiaTheme="minorEastAsia"/>
        </w:rPr>
      </w:pPr>
    </w:p>
    <w:p w14:paraId="6B1B81C7">
      <w:pPr>
        <w:pStyle w:val="22"/>
        <w:spacing w:line="251" w:lineRule="auto"/>
        <w:rPr>
          <w:rFonts w:asciiTheme="minorEastAsia" w:hAnsiTheme="minorEastAsia" w:eastAsiaTheme="minorEastAsia"/>
        </w:rPr>
      </w:pPr>
    </w:p>
    <w:p w14:paraId="194EAAB4">
      <w:pPr>
        <w:pStyle w:val="22"/>
        <w:spacing w:line="251" w:lineRule="auto"/>
        <w:rPr>
          <w:rFonts w:asciiTheme="minorEastAsia" w:hAnsiTheme="minorEastAsia" w:eastAsiaTheme="minorEastAsia"/>
        </w:rPr>
      </w:pPr>
    </w:p>
    <w:p w14:paraId="3F2AADC9">
      <w:pPr>
        <w:spacing w:before="245" w:line="225" w:lineRule="auto"/>
        <w:jc w:val="both"/>
        <w:rPr>
          <w:rFonts w:hint="eastAsia" w:cs="宋体" w:asciiTheme="minorEastAsia" w:hAnsiTheme="minorEastAsia" w:eastAsiaTheme="minorEastAsia"/>
          <w:spacing w:val="8"/>
          <w:sz w:val="31"/>
          <w:szCs w:val="31"/>
        </w:rPr>
      </w:pPr>
    </w:p>
    <w:p w14:paraId="79F77528">
      <w:pPr>
        <w:spacing w:before="245" w:line="225" w:lineRule="auto"/>
        <w:jc w:val="center"/>
        <w:rPr>
          <w:rFonts w:cs="宋体" w:asciiTheme="minorEastAsia" w:hAnsiTheme="minorEastAsia" w:eastAsiaTheme="minorEastAsia"/>
          <w:spacing w:val="8"/>
          <w:sz w:val="31"/>
          <w:szCs w:val="31"/>
        </w:rPr>
      </w:pPr>
      <w:r>
        <w:rPr>
          <w:rFonts w:hint="eastAsia" w:cs="宋体" w:asciiTheme="minorEastAsia" w:hAnsiTheme="minorEastAsia" w:eastAsiaTheme="minorEastAsia"/>
          <w:spacing w:val="8"/>
          <w:sz w:val="31"/>
          <w:szCs w:val="31"/>
          <w:lang w:val="en-US" w:eastAsia="zh-CN"/>
        </w:rPr>
        <w:t>采购人：</w:t>
      </w:r>
      <w:r>
        <w:rPr>
          <w:rFonts w:hint="eastAsia" w:cs="宋体" w:asciiTheme="minorEastAsia" w:hAnsiTheme="minorEastAsia" w:eastAsiaTheme="minorEastAsia"/>
          <w:spacing w:val="8"/>
          <w:sz w:val="31"/>
          <w:szCs w:val="31"/>
        </w:rPr>
        <w:t>北海市自然资源局</w:t>
      </w:r>
    </w:p>
    <w:p w14:paraId="25568175">
      <w:pPr>
        <w:spacing w:before="245" w:line="225" w:lineRule="auto"/>
        <w:jc w:val="center"/>
        <w:rPr>
          <w:rFonts w:cs="宋体" w:asciiTheme="minorEastAsia" w:hAnsiTheme="minorEastAsia" w:eastAsiaTheme="minorEastAsia"/>
          <w:sz w:val="31"/>
          <w:szCs w:val="31"/>
        </w:rPr>
      </w:pPr>
      <w:r>
        <w:rPr>
          <w:rFonts w:hint="eastAsia" w:cs="宋体" w:asciiTheme="minorEastAsia" w:hAnsiTheme="minorEastAsia" w:eastAsiaTheme="minorEastAsia"/>
          <w:spacing w:val="8"/>
          <w:sz w:val="31"/>
          <w:szCs w:val="31"/>
          <w:lang w:val="en-US" w:eastAsia="zh-CN"/>
        </w:rPr>
        <w:t>采购代理机构：</w:t>
      </w:r>
      <w:r>
        <w:rPr>
          <w:rFonts w:hint="eastAsia" w:cs="宋体" w:asciiTheme="minorEastAsia" w:hAnsiTheme="minorEastAsia" w:eastAsiaTheme="minorEastAsia"/>
          <w:spacing w:val="8"/>
          <w:sz w:val="31"/>
          <w:szCs w:val="31"/>
        </w:rPr>
        <w:t>广西亿翔荣工程管理有限责任公司</w:t>
      </w:r>
    </w:p>
    <w:p w14:paraId="02B13E26">
      <w:pPr>
        <w:spacing w:before="243" w:line="225" w:lineRule="auto"/>
        <w:ind w:left="3717"/>
        <w:rPr>
          <w:rFonts w:cs="宋体" w:asciiTheme="minorEastAsia" w:hAnsiTheme="minorEastAsia" w:eastAsiaTheme="minorEastAsia"/>
          <w:spacing w:val="7"/>
          <w:sz w:val="31"/>
          <w:szCs w:val="31"/>
        </w:rPr>
      </w:pPr>
      <w:r>
        <w:rPr>
          <w:rFonts w:cs="宋体" w:asciiTheme="minorEastAsia" w:hAnsiTheme="minorEastAsia" w:eastAsiaTheme="minorEastAsia"/>
          <w:spacing w:val="7"/>
          <w:sz w:val="31"/>
          <w:szCs w:val="31"/>
        </w:rPr>
        <w:t>二〇二五年</w:t>
      </w:r>
      <w:r>
        <w:rPr>
          <w:rFonts w:hint="eastAsia" w:cs="宋体" w:asciiTheme="minorEastAsia" w:hAnsiTheme="minorEastAsia" w:eastAsiaTheme="minorEastAsia"/>
          <w:spacing w:val="7"/>
          <w:sz w:val="31"/>
          <w:szCs w:val="31"/>
          <w:lang w:val="en-US" w:eastAsia="zh-CN"/>
        </w:rPr>
        <w:t>九</w:t>
      </w:r>
      <w:r>
        <w:rPr>
          <w:rFonts w:cs="宋体" w:asciiTheme="minorEastAsia" w:hAnsiTheme="minorEastAsia" w:eastAsiaTheme="minorEastAsia"/>
          <w:spacing w:val="7"/>
          <w:sz w:val="31"/>
          <w:szCs w:val="31"/>
        </w:rPr>
        <w:t>月</w:t>
      </w:r>
    </w:p>
    <w:p w14:paraId="5BB13C0A">
      <w:pPr>
        <w:spacing w:before="243" w:line="225" w:lineRule="auto"/>
        <w:ind w:left="3717"/>
        <w:rPr>
          <w:rFonts w:cs="宋体" w:asciiTheme="minorEastAsia" w:hAnsiTheme="minorEastAsia" w:eastAsiaTheme="minorEastAsia"/>
          <w:spacing w:val="7"/>
          <w:sz w:val="31"/>
          <w:szCs w:val="31"/>
        </w:rPr>
      </w:pPr>
    </w:p>
    <w:p w14:paraId="150D3776">
      <w:pPr>
        <w:spacing w:before="243" w:line="225" w:lineRule="auto"/>
        <w:ind w:left="3717"/>
        <w:rPr>
          <w:rFonts w:cs="宋体" w:asciiTheme="minorEastAsia" w:hAnsiTheme="minorEastAsia" w:eastAsiaTheme="minorEastAsia"/>
          <w:spacing w:val="7"/>
          <w:sz w:val="31"/>
          <w:szCs w:val="31"/>
        </w:rPr>
        <w:sectPr>
          <w:headerReference r:id="rId3" w:type="default"/>
          <w:pgSz w:w="11906" w:h="16839"/>
          <w:pgMar w:top="1440" w:right="1304" w:bottom="1440" w:left="1304" w:header="850" w:footer="992" w:gutter="0"/>
          <w:cols w:space="720" w:num="1"/>
          <w:docGrid w:linePitch="286" w:charSpace="0"/>
        </w:sectPr>
      </w:pPr>
    </w:p>
    <w:p w14:paraId="6504A2B8">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sdt>
      <w:sdtPr>
        <w:rPr>
          <w:rFonts w:ascii="宋体" w:hAnsi="宋体"/>
        </w:rPr>
        <w:id w:val="147474304"/>
        <w15:color w:val="DBDBDB"/>
        <w:docPartObj>
          <w:docPartGallery w:val="Table of Contents"/>
          <w:docPartUnique/>
        </w:docPartObj>
      </w:sdtPr>
      <w:sdtEndPr>
        <w:rPr>
          <w:rFonts w:ascii="宋体" w:hAnsi="宋体"/>
        </w:rPr>
      </w:sdtEndPr>
      <w:sdtContent>
        <w:p w14:paraId="7DE34C13">
          <w:pPr>
            <w:jc w:val="center"/>
          </w:pPr>
          <w:bookmarkStart w:id="0" w:name="_Hlt91233176"/>
          <w:bookmarkEnd w:id="0"/>
          <w:bookmarkStart w:id="1" w:name="_Toc91899869"/>
        </w:p>
        <w:p w14:paraId="13EA6FF0">
          <w:pPr>
            <w:pStyle w:val="40"/>
            <w:tabs>
              <w:tab w:val="right" w:leader="dot" w:pos="9746"/>
            </w:tabs>
            <w:spacing w:line="360" w:lineRule="auto"/>
            <w:rPr>
              <w:sz w:val="24"/>
            </w:rPr>
          </w:pPr>
          <w:r>
            <w:rPr>
              <w:sz w:val="24"/>
            </w:rPr>
            <w:fldChar w:fldCharType="begin"/>
          </w:r>
          <w:r>
            <w:rPr>
              <w:sz w:val="24"/>
            </w:rPr>
            <w:instrText xml:space="preserve">TOC \o "1-2" \h \u </w:instrText>
          </w:r>
          <w:r>
            <w:rPr>
              <w:sz w:val="24"/>
            </w:rPr>
            <w:fldChar w:fldCharType="separate"/>
          </w:r>
          <w:r>
            <w:fldChar w:fldCharType="begin"/>
          </w:r>
          <w:r>
            <w:instrText xml:space="preserve"> HYPERLINK \l "_Toc21638" </w:instrText>
          </w:r>
          <w:r>
            <w:fldChar w:fldCharType="separate"/>
          </w:r>
          <w:r>
            <w:rPr>
              <w:rFonts w:hint="eastAsia" w:cs="仿宋_GB2312" w:asciiTheme="minorEastAsia" w:hAnsiTheme="minorEastAsia" w:eastAsiaTheme="minorEastAsia"/>
              <w:sz w:val="24"/>
            </w:rPr>
            <w:t>第一部分  邀请供应商</w:t>
          </w:r>
          <w:r>
            <w:rPr>
              <w:sz w:val="24"/>
            </w:rPr>
            <w:tab/>
          </w:r>
          <w:r>
            <w:rPr>
              <w:sz w:val="24"/>
            </w:rPr>
            <w:fldChar w:fldCharType="begin"/>
          </w:r>
          <w:r>
            <w:rPr>
              <w:sz w:val="24"/>
            </w:rPr>
            <w:instrText xml:space="preserve"> PAGEREF _Toc21638 \h </w:instrText>
          </w:r>
          <w:r>
            <w:rPr>
              <w:sz w:val="24"/>
            </w:rPr>
            <w:fldChar w:fldCharType="separate"/>
          </w:r>
          <w:r>
            <w:rPr>
              <w:sz w:val="24"/>
            </w:rPr>
            <w:t>3</w:t>
          </w:r>
          <w:r>
            <w:rPr>
              <w:sz w:val="24"/>
            </w:rPr>
            <w:fldChar w:fldCharType="end"/>
          </w:r>
          <w:r>
            <w:rPr>
              <w:sz w:val="24"/>
            </w:rPr>
            <w:fldChar w:fldCharType="end"/>
          </w:r>
        </w:p>
        <w:p w14:paraId="23D5078E">
          <w:pPr>
            <w:pStyle w:val="40"/>
            <w:tabs>
              <w:tab w:val="right" w:leader="dot" w:pos="9746"/>
            </w:tabs>
            <w:spacing w:line="360" w:lineRule="auto"/>
            <w:rPr>
              <w:sz w:val="24"/>
            </w:rPr>
          </w:pPr>
          <w:r>
            <w:fldChar w:fldCharType="begin"/>
          </w:r>
          <w:r>
            <w:instrText xml:space="preserve"> HYPERLINK \l "_Toc22488" </w:instrText>
          </w:r>
          <w:r>
            <w:fldChar w:fldCharType="separate"/>
          </w:r>
          <w:r>
            <w:rPr>
              <w:rFonts w:hint="eastAsia" w:cs="仿宋_GB2312" w:asciiTheme="minorEastAsia" w:hAnsiTheme="minorEastAsia" w:eastAsiaTheme="minorEastAsia"/>
              <w:sz w:val="24"/>
            </w:rPr>
            <w:t>第二部分  竞争性磋商流程</w:t>
          </w:r>
          <w:r>
            <w:rPr>
              <w:sz w:val="24"/>
            </w:rPr>
            <w:tab/>
          </w:r>
          <w:r>
            <w:rPr>
              <w:sz w:val="24"/>
            </w:rPr>
            <w:fldChar w:fldCharType="begin"/>
          </w:r>
          <w:r>
            <w:rPr>
              <w:sz w:val="24"/>
            </w:rPr>
            <w:instrText xml:space="preserve"> PAGEREF _Toc22488 \h </w:instrText>
          </w:r>
          <w:r>
            <w:rPr>
              <w:sz w:val="24"/>
            </w:rPr>
            <w:fldChar w:fldCharType="separate"/>
          </w:r>
          <w:r>
            <w:rPr>
              <w:sz w:val="24"/>
            </w:rPr>
            <w:t>7</w:t>
          </w:r>
          <w:r>
            <w:rPr>
              <w:sz w:val="24"/>
            </w:rPr>
            <w:fldChar w:fldCharType="end"/>
          </w:r>
          <w:r>
            <w:rPr>
              <w:sz w:val="24"/>
            </w:rPr>
            <w:fldChar w:fldCharType="end"/>
          </w:r>
        </w:p>
        <w:p w14:paraId="3E8FA35C">
          <w:pPr>
            <w:pStyle w:val="40"/>
            <w:tabs>
              <w:tab w:val="right" w:leader="dot" w:pos="9746"/>
            </w:tabs>
            <w:spacing w:line="360" w:lineRule="auto"/>
            <w:rPr>
              <w:sz w:val="24"/>
            </w:rPr>
          </w:pPr>
          <w:r>
            <w:fldChar w:fldCharType="begin"/>
          </w:r>
          <w:r>
            <w:instrText xml:space="preserve"> HYPERLINK \l "_Toc24798" </w:instrText>
          </w:r>
          <w:r>
            <w:fldChar w:fldCharType="separate"/>
          </w:r>
          <w:r>
            <w:rPr>
              <w:rFonts w:hint="eastAsia" w:cs="仿宋_GB2312" w:asciiTheme="minorEastAsia" w:hAnsiTheme="minorEastAsia" w:eastAsiaTheme="minorEastAsia"/>
              <w:sz w:val="24"/>
            </w:rPr>
            <w:t>第三部分  供应商须知</w:t>
          </w:r>
          <w:r>
            <w:rPr>
              <w:sz w:val="24"/>
            </w:rPr>
            <w:tab/>
          </w:r>
          <w:r>
            <w:rPr>
              <w:sz w:val="24"/>
            </w:rPr>
            <w:fldChar w:fldCharType="begin"/>
          </w:r>
          <w:r>
            <w:rPr>
              <w:sz w:val="24"/>
            </w:rPr>
            <w:instrText xml:space="preserve"> PAGEREF _Toc24798 \h </w:instrText>
          </w:r>
          <w:r>
            <w:rPr>
              <w:sz w:val="24"/>
            </w:rPr>
            <w:fldChar w:fldCharType="separate"/>
          </w:r>
          <w:r>
            <w:rPr>
              <w:sz w:val="24"/>
            </w:rPr>
            <w:t>10</w:t>
          </w:r>
          <w:r>
            <w:rPr>
              <w:sz w:val="24"/>
            </w:rPr>
            <w:fldChar w:fldCharType="end"/>
          </w:r>
          <w:r>
            <w:rPr>
              <w:sz w:val="24"/>
            </w:rPr>
            <w:fldChar w:fldCharType="end"/>
          </w:r>
        </w:p>
        <w:p w14:paraId="277AD2EB">
          <w:pPr>
            <w:pStyle w:val="51"/>
            <w:tabs>
              <w:tab w:val="right" w:leader="dot" w:pos="9746"/>
            </w:tabs>
            <w:spacing w:line="360" w:lineRule="auto"/>
            <w:rPr>
              <w:sz w:val="24"/>
            </w:rPr>
          </w:pPr>
          <w:r>
            <w:fldChar w:fldCharType="begin"/>
          </w:r>
          <w:r>
            <w:instrText xml:space="preserve"> HYPERLINK \l "_Toc20613" </w:instrText>
          </w:r>
          <w:r>
            <w:fldChar w:fldCharType="separate"/>
          </w:r>
          <w:r>
            <w:rPr>
              <w:rFonts w:hint="eastAsia" w:cs="仿宋_GB2312" w:asciiTheme="minorEastAsia" w:hAnsiTheme="minorEastAsia" w:eastAsiaTheme="minorEastAsia"/>
              <w:sz w:val="24"/>
            </w:rPr>
            <w:t>一、前附表</w:t>
          </w:r>
          <w:r>
            <w:rPr>
              <w:sz w:val="24"/>
            </w:rPr>
            <w:tab/>
          </w:r>
          <w:r>
            <w:rPr>
              <w:sz w:val="24"/>
            </w:rPr>
            <w:fldChar w:fldCharType="begin"/>
          </w:r>
          <w:r>
            <w:rPr>
              <w:sz w:val="24"/>
            </w:rPr>
            <w:instrText xml:space="preserve"> PAGEREF _Toc20613 \h </w:instrText>
          </w:r>
          <w:r>
            <w:rPr>
              <w:sz w:val="24"/>
            </w:rPr>
            <w:fldChar w:fldCharType="separate"/>
          </w:r>
          <w:r>
            <w:rPr>
              <w:sz w:val="24"/>
            </w:rPr>
            <w:t>10</w:t>
          </w:r>
          <w:r>
            <w:rPr>
              <w:sz w:val="24"/>
            </w:rPr>
            <w:fldChar w:fldCharType="end"/>
          </w:r>
          <w:r>
            <w:rPr>
              <w:sz w:val="24"/>
            </w:rPr>
            <w:fldChar w:fldCharType="end"/>
          </w:r>
        </w:p>
        <w:p w14:paraId="2DFA5AB0">
          <w:pPr>
            <w:pStyle w:val="51"/>
            <w:tabs>
              <w:tab w:val="right" w:leader="dot" w:pos="9746"/>
            </w:tabs>
            <w:spacing w:line="360" w:lineRule="auto"/>
            <w:rPr>
              <w:sz w:val="24"/>
            </w:rPr>
          </w:pPr>
          <w:r>
            <w:fldChar w:fldCharType="begin"/>
          </w:r>
          <w:r>
            <w:instrText xml:space="preserve"> HYPERLINK \l "_Toc22104" </w:instrText>
          </w:r>
          <w:r>
            <w:fldChar w:fldCharType="separate"/>
          </w:r>
          <w:r>
            <w:rPr>
              <w:rFonts w:hint="eastAsia" w:cs="仿宋_GB2312" w:asciiTheme="minorEastAsia" w:hAnsiTheme="minorEastAsia" w:eastAsiaTheme="minorEastAsia"/>
              <w:sz w:val="24"/>
            </w:rPr>
            <w:t>二、总则</w:t>
          </w:r>
          <w:r>
            <w:rPr>
              <w:sz w:val="24"/>
            </w:rPr>
            <w:tab/>
          </w:r>
          <w:r>
            <w:rPr>
              <w:sz w:val="24"/>
            </w:rPr>
            <w:fldChar w:fldCharType="begin"/>
          </w:r>
          <w:r>
            <w:rPr>
              <w:sz w:val="24"/>
            </w:rPr>
            <w:instrText xml:space="preserve"> PAGEREF _Toc22104 \h </w:instrText>
          </w:r>
          <w:r>
            <w:rPr>
              <w:sz w:val="24"/>
            </w:rPr>
            <w:fldChar w:fldCharType="separate"/>
          </w:r>
          <w:r>
            <w:rPr>
              <w:sz w:val="24"/>
            </w:rPr>
            <w:t>12</w:t>
          </w:r>
          <w:r>
            <w:rPr>
              <w:sz w:val="24"/>
            </w:rPr>
            <w:fldChar w:fldCharType="end"/>
          </w:r>
          <w:r>
            <w:rPr>
              <w:sz w:val="24"/>
            </w:rPr>
            <w:fldChar w:fldCharType="end"/>
          </w:r>
        </w:p>
        <w:p w14:paraId="7875D931">
          <w:pPr>
            <w:pStyle w:val="51"/>
            <w:tabs>
              <w:tab w:val="right" w:leader="dot" w:pos="9746"/>
            </w:tabs>
            <w:spacing w:line="360" w:lineRule="auto"/>
            <w:rPr>
              <w:sz w:val="24"/>
            </w:rPr>
          </w:pPr>
          <w:r>
            <w:fldChar w:fldCharType="begin"/>
          </w:r>
          <w:r>
            <w:instrText xml:space="preserve"> HYPERLINK \l "_Toc10171" </w:instrText>
          </w:r>
          <w:r>
            <w:fldChar w:fldCharType="separate"/>
          </w:r>
          <w:r>
            <w:rPr>
              <w:rFonts w:hint="eastAsia" w:cs="仿宋_GB2312" w:asciiTheme="minorEastAsia" w:hAnsiTheme="minorEastAsia" w:eastAsiaTheme="minorEastAsia"/>
              <w:sz w:val="24"/>
            </w:rPr>
            <w:t>三、需要落实的政府采购政策</w:t>
          </w:r>
          <w:r>
            <w:rPr>
              <w:sz w:val="24"/>
            </w:rPr>
            <w:tab/>
          </w:r>
          <w:r>
            <w:rPr>
              <w:sz w:val="24"/>
            </w:rPr>
            <w:fldChar w:fldCharType="begin"/>
          </w:r>
          <w:r>
            <w:rPr>
              <w:sz w:val="24"/>
            </w:rPr>
            <w:instrText xml:space="preserve"> PAGEREF _Toc10171 \h </w:instrText>
          </w:r>
          <w:r>
            <w:rPr>
              <w:sz w:val="24"/>
            </w:rPr>
            <w:fldChar w:fldCharType="separate"/>
          </w:r>
          <w:r>
            <w:rPr>
              <w:sz w:val="24"/>
            </w:rPr>
            <w:t>13</w:t>
          </w:r>
          <w:r>
            <w:rPr>
              <w:sz w:val="24"/>
            </w:rPr>
            <w:fldChar w:fldCharType="end"/>
          </w:r>
          <w:r>
            <w:rPr>
              <w:sz w:val="24"/>
            </w:rPr>
            <w:fldChar w:fldCharType="end"/>
          </w:r>
        </w:p>
        <w:p w14:paraId="5C1A2309">
          <w:pPr>
            <w:pStyle w:val="51"/>
            <w:tabs>
              <w:tab w:val="right" w:leader="dot" w:pos="9746"/>
            </w:tabs>
            <w:spacing w:line="360" w:lineRule="auto"/>
            <w:rPr>
              <w:sz w:val="24"/>
            </w:rPr>
          </w:pPr>
          <w:r>
            <w:fldChar w:fldCharType="begin"/>
          </w:r>
          <w:r>
            <w:instrText xml:space="preserve"> HYPERLINK \l "_Toc10092" </w:instrText>
          </w:r>
          <w:r>
            <w:fldChar w:fldCharType="separate"/>
          </w:r>
          <w:r>
            <w:rPr>
              <w:rFonts w:hint="eastAsia" w:cs="仿宋_GB2312" w:asciiTheme="minorEastAsia" w:hAnsiTheme="minorEastAsia" w:eastAsiaTheme="minorEastAsia"/>
              <w:sz w:val="24"/>
            </w:rPr>
            <w:t>四、询问、质疑与投诉</w:t>
          </w:r>
          <w:r>
            <w:rPr>
              <w:sz w:val="24"/>
            </w:rPr>
            <w:tab/>
          </w:r>
          <w:r>
            <w:rPr>
              <w:sz w:val="24"/>
            </w:rPr>
            <w:fldChar w:fldCharType="begin"/>
          </w:r>
          <w:r>
            <w:rPr>
              <w:sz w:val="24"/>
            </w:rPr>
            <w:instrText xml:space="preserve"> PAGEREF _Toc10092 \h </w:instrText>
          </w:r>
          <w:r>
            <w:rPr>
              <w:sz w:val="24"/>
            </w:rPr>
            <w:fldChar w:fldCharType="separate"/>
          </w:r>
          <w:r>
            <w:rPr>
              <w:sz w:val="24"/>
            </w:rPr>
            <w:t>14</w:t>
          </w:r>
          <w:r>
            <w:rPr>
              <w:sz w:val="24"/>
            </w:rPr>
            <w:fldChar w:fldCharType="end"/>
          </w:r>
          <w:r>
            <w:rPr>
              <w:sz w:val="24"/>
            </w:rPr>
            <w:fldChar w:fldCharType="end"/>
          </w:r>
        </w:p>
        <w:p w14:paraId="71BF0262">
          <w:pPr>
            <w:pStyle w:val="51"/>
            <w:tabs>
              <w:tab w:val="right" w:leader="dot" w:pos="9746"/>
            </w:tabs>
            <w:spacing w:line="360" w:lineRule="auto"/>
            <w:rPr>
              <w:sz w:val="24"/>
            </w:rPr>
          </w:pPr>
          <w:r>
            <w:fldChar w:fldCharType="begin"/>
          </w:r>
          <w:r>
            <w:instrText xml:space="preserve"> HYPERLINK \l "_Toc14202" </w:instrText>
          </w:r>
          <w:r>
            <w:fldChar w:fldCharType="separate"/>
          </w:r>
          <w:r>
            <w:rPr>
              <w:rFonts w:hint="eastAsia" w:cs="仿宋_GB2312" w:asciiTheme="minorEastAsia" w:hAnsiTheme="minorEastAsia" w:eastAsiaTheme="minorEastAsia"/>
              <w:sz w:val="24"/>
            </w:rPr>
            <w:t>五、磋商文件构成、修改、解释</w:t>
          </w:r>
          <w:r>
            <w:rPr>
              <w:sz w:val="24"/>
            </w:rPr>
            <w:tab/>
          </w:r>
          <w:r>
            <w:rPr>
              <w:sz w:val="24"/>
            </w:rPr>
            <w:fldChar w:fldCharType="begin"/>
          </w:r>
          <w:r>
            <w:rPr>
              <w:sz w:val="24"/>
            </w:rPr>
            <w:instrText xml:space="preserve"> PAGEREF _Toc14202 \h </w:instrText>
          </w:r>
          <w:r>
            <w:rPr>
              <w:sz w:val="24"/>
            </w:rPr>
            <w:fldChar w:fldCharType="separate"/>
          </w:r>
          <w:r>
            <w:rPr>
              <w:sz w:val="24"/>
            </w:rPr>
            <w:t>16</w:t>
          </w:r>
          <w:r>
            <w:rPr>
              <w:sz w:val="24"/>
            </w:rPr>
            <w:fldChar w:fldCharType="end"/>
          </w:r>
          <w:r>
            <w:rPr>
              <w:sz w:val="24"/>
            </w:rPr>
            <w:fldChar w:fldCharType="end"/>
          </w:r>
        </w:p>
        <w:p w14:paraId="47CB5BF1">
          <w:pPr>
            <w:pStyle w:val="51"/>
            <w:tabs>
              <w:tab w:val="right" w:leader="dot" w:pos="9746"/>
            </w:tabs>
            <w:spacing w:line="360" w:lineRule="auto"/>
            <w:rPr>
              <w:sz w:val="24"/>
            </w:rPr>
          </w:pPr>
          <w:r>
            <w:fldChar w:fldCharType="begin"/>
          </w:r>
          <w:r>
            <w:instrText xml:space="preserve"> HYPERLINK \l "_Toc23010" </w:instrText>
          </w:r>
          <w:r>
            <w:fldChar w:fldCharType="separate"/>
          </w:r>
          <w:r>
            <w:rPr>
              <w:rFonts w:hint="eastAsia" w:cs="仿宋_GB2312" w:asciiTheme="minorEastAsia" w:hAnsiTheme="minorEastAsia" w:eastAsiaTheme="minorEastAsia"/>
              <w:sz w:val="24"/>
            </w:rPr>
            <w:t>六、响应文件的编制</w:t>
          </w:r>
          <w:r>
            <w:rPr>
              <w:sz w:val="24"/>
            </w:rPr>
            <w:tab/>
          </w:r>
          <w:r>
            <w:rPr>
              <w:sz w:val="24"/>
            </w:rPr>
            <w:fldChar w:fldCharType="begin"/>
          </w:r>
          <w:r>
            <w:rPr>
              <w:sz w:val="24"/>
            </w:rPr>
            <w:instrText xml:space="preserve"> PAGEREF _Toc23010 \h </w:instrText>
          </w:r>
          <w:r>
            <w:rPr>
              <w:sz w:val="24"/>
            </w:rPr>
            <w:fldChar w:fldCharType="separate"/>
          </w:r>
          <w:r>
            <w:rPr>
              <w:sz w:val="24"/>
            </w:rPr>
            <w:t>17</w:t>
          </w:r>
          <w:r>
            <w:rPr>
              <w:sz w:val="24"/>
            </w:rPr>
            <w:fldChar w:fldCharType="end"/>
          </w:r>
          <w:r>
            <w:rPr>
              <w:sz w:val="24"/>
            </w:rPr>
            <w:fldChar w:fldCharType="end"/>
          </w:r>
        </w:p>
        <w:p w14:paraId="5F930D95">
          <w:pPr>
            <w:pStyle w:val="51"/>
            <w:tabs>
              <w:tab w:val="right" w:leader="dot" w:pos="9746"/>
            </w:tabs>
            <w:spacing w:line="360" w:lineRule="auto"/>
            <w:rPr>
              <w:sz w:val="24"/>
            </w:rPr>
          </w:pPr>
          <w:r>
            <w:fldChar w:fldCharType="begin"/>
          </w:r>
          <w:r>
            <w:instrText xml:space="preserve"> HYPERLINK \l "_Toc15139" </w:instrText>
          </w:r>
          <w:r>
            <w:fldChar w:fldCharType="separate"/>
          </w:r>
          <w:r>
            <w:rPr>
              <w:rFonts w:hint="eastAsia" w:cs="仿宋_GB2312" w:asciiTheme="minorEastAsia" w:hAnsiTheme="minorEastAsia" w:eastAsiaTheme="minorEastAsia"/>
              <w:sz w:val="24"/>
            </w:rPr>
            <w:t>七、</w:t>
          </w:r>
          <w:r>
            <w:rPr>
              <w:rFonts w:hint="eastAsia" w:asciiTheme="minorEastAsia" w:hAnsiTheme="minorEastAsia" w:eastAsiaTheme="minorEastAsia"/>
              <w:sz w:val="24"/>
            </w:rPr>
            <w:t>响应</w:t>
          </w:r>
          <w:r>
            <w:rPr>
              <w:rFonts w:hint="eastAsia" w:cs="仿宋_GB2312" w:asciiTheme="minorEastAsia" w:hAnsiTheme="minorEastAsia" w:eastAsiaTheme="minorEastAsia"/>
              <w:sz w:val="24"/>
            </w:rPr>
            <w:t>文件的提交和备份</w:t>
          </w:r>
          <w:r>
            <w:rPr>
              <w:sz w:val="24"/>
            </w:rPr>
            <w:tab/>
          </w:r>
          <w:r>
            <w:rPr>
              <w:sz w:val="24"/>
            </w:rPr>
            <w:fldChar w:fldCharType="begin"/>
          </w:r>
          <w:r>
            <w:rPr>
              <w:sz w:val="24"/>
            </w:rPr>
            <w:instrText xml:space="preserve"> PAGEREF _Toc15139 \h </w:instrText>
          </w:r>
          <w:r>
            <w:rPr>
              <w:sz w:val="24"/>
            </w:rPr>
            <w:fldChar w:fldCharType="separate"/>
          </w:r>
          <w:r>
            <w:rPr>
              <w:sz w:val="24"/>
            </w:rPr>
            <w:t>18</w:t>
          </w:r>
          <w:r>
            <w:rPr>
              <w:sz w:val="24"/>
            </w:rPr>
            <w:fldChar w:fldCharType="end"/>
          </w:r>
          <w:r>
            <w:rPr>
              <w:sz w:val="24"/>
            </w:rPr>
            <w:fldChar w:fldCharType="end"/>
          </w:r>
        </w:p>
        <w:p w14:paraId="277CEF96">
          <w:pPr>
            <w:pStyle w:val="51"/>
            <w:tabs>
              <w:tab w:val="right" w:leader="dot" w:pos="9746"/>
            </w:tabs>
            <w:spacing w:line="360" w:lineRule="auto"/>
            <w:rPr>
              <w:sz w:val="24"/>
            </w:rPr>
          </w:pPr>
          <w:r>
            <w:fldChar w:fldCharType="begin"/>
          </w:r>
          <w:r>
            <w:instrText xml:space="preserve"> HYPERLINK \l "_Toc15718" </w:instrText>
          </w:r>
          <w:r>
            <w:fldChar w:fldCharType="separate"/>
          </w:r>
          <w:r>
            <w:rPr>
              <w:rFonts w:hint="eastAsia" w:cs="仿宋_GB2312" w:asciiTheme="minorEastAsia" w:hAnsiTheme="minorEastAsia" w:eastAsiaTheme="minorEastAsia"/>
              <w:sz w:val="24"/>
            </w:rPr>
            <w:t>八、</w:t>
          </w:r>
          <w:r>
            <w:rPr>
              <w:rFonts w:hint="eastAsia" w:asciiTheme="minorEastAsia" w:hAnsiTheme="minorEastAsia" w:eastAsiaTheme="minorEastAsia"/>
              <w:sz w:val="24"/>
            </w:rPr>
            <w:t>开启响应文件与信用信息查询</w:t>
          </w:r>
          <w:r>
            <w:rPr>
              <w:sz w:val="24"/>
            </w:rPr>
            <w:tab/>
          </w:r>
          <w:r>
            <w:rPr>
              <w:sz w:val="24"/>
            </w:rPr>
            <w:fldChar w:fldCharType="begin"/>
          </w:r>
          <w:r>
            <w:rPr>
              <w:sz w:val="24"/>
            </w:rPr>
            <w:instrText xml:space="preserve"> PAGEREF _Toc15718 \h </w:instrText>
          </w:r>
          <w:r>
            <w:rPr>
              <w:sz w:val="24"/>
            </w:rPr>
            <w:fldChar w:fldCharType="separate"/>
          </w:r>
          <w:r>
            <w:rPr>
              <w:sz w:val="24"/>
            </w:rPr>
            <w:t>20</w:t>
          </w:r>
          <w:r>
            <w:rPr>
              <w:sz w:val="24"/>
            </w:rPr>
            <w:fldChar w:fldCharType="end"/>
          </w:r>
          <w:r>
            <w:rPr>
              <w:sz w:val="24"/>
            </w:rPr>
            <w:fldChar w:fldCharType="end"/>
          </w:r>
        </w:p>
        <w:p w14:paraId="7F001AE4">
          <w:pPr>
            <w:pStyle w:val="51"/>
            <w:tabs>
              <w:tab w:val="right" w:leader="dot" w:pos="9746"/>
            </w:tabs>
            <w:spacing w:line="360" w:lineRule="auto"/>
            <w:rPr>
              <w:sz w:val="24"/>
            </w:rPr>
          </w:pPr>
          <w:r>
            <w:fldChar w:fldCharType="begin"/>
          </w:r>
          <w:r>
            <w:instrText xml:space="preserve"> HYPERLINK \l "_Toc1598" </w:instrText>
          </w:r>
          <w:r>
            <w:fldChar w:fldCharType="separate"/>
          </w:r>
          <w:r>
            <w:rPr>
              <w:rFonts w:hint="eastAsia" w:cs="仿宋_GB2312" w:asciiTheme="minorEastAsia" w:hAnsiTheme="minorEastAsia" w:eastAsiaTheme="minorEastAsia"/>
              <w:sz w:val="24"/>
            </w:rPr>
            <w:t>九、提交</w:t>
          </w:r>
          <w:r>
            <w:rPr>
              <w:rFonts w:hint="eastAsia" w:asciiTheme="minorEastAsia" w:hAnsiTheme="minorEastAsia" w:eastAsiaTheme="minorEastAsia"/>
              <w:sz w:val="24"/>
            </w:rPr>
            <w:t>最后报价</w:t>
          </w:r>
          <w:r>
            <w:rPr>
              <w:sz w:val="24"/>
            </w:rPr>
            <w:tab/>
          </w:r>
          <w:r>
            <w:rPr>
              <w:sz w:val="24"/>
            </w:rPr>
            <w:fldChar w:fldCharType="begin"/>
          </w:r>
          <w:r>
            <w:rPr>
              <w:sz w:val="24"/>
            </w:rPr>
            <w:instrText xml:space="preserve"> PAGEREF _Toc1598 \h </w:instrText>
          </w:r>
          <w:r>
            <w:rPr>
              <w:sz w:val="24"/>
            </w:rPr>
            <w:fldChar w:fldCharType="separate"/>
          </w:r>
          <w:r>
            <w:rPr>
              <w:sz w:val="24"/>
            </w:rPr>
            <w:t>21</w:t>
          </w:r>
          <w:r>
            <w:rPr>
              <w:sz w:val="24"/>
            </w:rPr>
            <w:fldChar w:fldCharType="end"/>
          </w:r>
          <w:r>
            <w:rPr>
              <w:sz w:val="24"/>
            </w:rPr>
            <w:fldChar w:fldCharType="end"/>
          </w:r>
        </w:p>
        <w:p w14:paraId="42148F05">
          <w:pPr>
            <w:pStyle w:val="51"/>
            <w:tabs>
              <w:tab w:val="right" w:leader="dot" w:pos="9746"/>
            </w:tabs>
            <w:spacing w:line="360" w:lineRule="auto"/>
            <w:rPr>
              <w:sz w:val="24"/>
            </w:rPr>
          </w:pPr>
          <w:r>
            <w:fldChar w:fldCharType="begin"/>
          </w:r>
          <w:r>
            <w:instrText xml:space="preserve"> HYPERLINK \l "_Toc14271" </w:instrText>
          </w:r>
          <w:r>
            <w:fldChar w:fldCharType="separate"/>
          </w:r>
          <w:r>
            <w:rPr>
              <w:rFonts w:hint="eastAsia" w:cs="仿宋_GB2312" w:asciiTheme="minorEastAsia" w:hAnsiTheme="minorEastAsia" w:eastAsiaTheme="minorEastAsia"/>
              <w:sz w:val="24"/>
            </w:rPr>
            <w:t>十、</w:t>
          </w:r>
          <w:r>
            <w:rPr>
              <w:rFonts w:hint="eastAsia" w:asciiTheme="minorEastAsia" w:hAnsiTheme="minorEastAsia" w:eastAsiaTheme="minorEastAsia"/>
              <w:sz w:val="24"/>
            </w:rPr>
            <w:t>评审</w:t>
          </w:r>
          <w:r>
            <w:rPr>
              <w:sz w:val="24"/>
            </w:rPr>
            <w:tab/>
          </w:r>
          <w:r>
            <w:rPr>
              <w:sz w:val="24"/>
            </w:rPr>
            <w:fldChar w:fldCharType="begin"/>
          </w:r>
          <w:r>
            <w:rPr>
              <w:sz w:val="24"/>
            </w:rPr>
            <w:instrText xml:space="preserve"> PAGEREF _Toc14271 \h </w:instrText>
          </w:r>
          <w:r>
            <w:rPr>
              <w:sz w:val="24"/>
            </w:rPr>
            <w:fldChar w:fldCharType="separate"/>
          </w:r>
          <w:r>
            <w:rPr>
              <w:sz w:val="24"/>
            </w:rPr>
            <w:t>21</w:t>
          </w:r>
          <w:r>
            <w:rPr>
              <w:sz w:val="24"/>
            </w:rPr>
            <w:fldChar w:fldCharType="end"/>
          </w:r>
          <w:r>
            <w:rPr>
              <w:sz w:val="24"/>
            </w:rPr>
            <w:fldChar w:fldCharType="end"/>
          </w:r>
        </w:p>
        <w:p w14:paraId="29BF85C4">
          <w:pPr>
            <w:pStyle w:val="51"/>
            <w:tabs>
              <w:tab w:val="right" w:leader="dot" w:pos="9746"/>
            </w:tabs>
            <w:spacing w:line="360" w:lineRule="auto"/>
            <w:rPr>
              <w:sz w:val="24"/>
            </w:rPr>
          </w:pPr>
          <w:r>
            <w:fldChar w:fldCharType="begin"/>
          </w:r>
          <w:r>
            <w:instrText xml:space="preserve"> HYPERLINK \l "_Toc20047" </w:instrText>
          </w:r>
          <w:r>
            <w:fldChar w:fldCharType="separate"/>
          </w:r>
          <w:r>
            <w:rPr>
              <w:rFonts w:hint="eastAsia" w:cs="仿宋_GB2312" w:asciiTheme="minorEastAsia" w:hAnsiTheme="minorEastAsia" w:eastAsiaTheme="minorEastAsia"/>
              <w:sz w:val="24"/>
            </w:rPr>
            <w:t>十一、</w:t>
          </w:r>
          <w:r>
            <w:rPr>
              <w:rFonts w:hint="eastAsia" w:asciiTheme="minorEastAsia" w:hAnsiTheme="minorEastAsia" w:eastAsiaTheme="minorEastAsia"/>
              <w:sz w:val="24"/>
            </w:rPr>
            <w:t>成交</w:t>
          </w:r>
          <w:r>
            <w:rPr>
              <w:sz w:val="24"/>
            </w:rPr>
            <w:tab/>
          </w:r>
          <w:r>
            <w:rPr>
              <w:sz w:val="24"/>
            </w:rPr>
            <w:fldChar w:fldCharType="begin"/>
          </w:r>
          <w:r>
            <w:rPr>
              <w:sz w:val="24"/>
            </w:rPr>
            <w:instrText xml:space="preserve"> PAGEREF _Toc20047 \h </w:instrText>
          </w:r>
          <w:r>
            <w:rPr>
              <w:sz w:val="24"/>
            </w:rPr>
            <w:fldChar w:fldCharType="separate"/>
          </w:r>
          <w:r>
            <w:rPr>
              <w:sz w:val="24"/>
            </w:rPr>
            <w:t>21</w:t>
          </w:r>
          <w:r>
            <w:rPr>
              <w:sz w:val="24"/>
            </w:rPr>
            <w:fldChar w:fldCharType="end"/>
          </w:r>
          <w:r>
            <w:rPr>
              <w:sz w:val="24"/>
            </w:rPr>
            <w:fldChar w:fldCharType="end"/>
          </w:r>
        </w:p>
        <w:p w14:paraId="337B669A">
          <w:pPr>
            <w:pStyle w:val="51"/>
            <w:tabs>
              <w:tab w:val="right" w:leader="dot" w:pos="9746"/>
            </w:tabs>
            <w:spacing w:line="360" w:lineRule="auto"/>
            <w:rPr>
              <w:sz w:val="24"/>
            </w:rPr>
          </w:pPr>
          <w:r>
            <w:fldChar w:fldCharType="begin"/>
          </w:r>
          <w:r>
            <w:instrText xml:space="preserve"> HYPERLINK \l "_Toc23512" </w:instrText>
          </w:r>
          <w:r>
            <w:fldChar w:fldCharType="separate"/>
          </w:r>
          <w:r>
            <w:rPr>
              <w:rFonts w:hint="eastAsia" w:cs="仿宋_GB2312" w:asciiTheme="minorEastAsia" w:hAnsiTheme="minorEastAsia" w:eastAsiaTheme="minorEastAsia"/>
              <w:sz w:val="24"/>
            </w:rPr>
            <w:t>十二、合同</w:t>
          </w:r>
          <w:r>
            <w:rPr>
              <w:sz w:val="24"/>
            </w:rPr>
            <w:tab/>
          </w:r>
          <w:r>
            <w:rPr>
              <w:sz w:val="24"/>
            </w:rPr>
            <w:fldChar w:fldCharType="begin"/>
          </w:r>
          <w:r>
            <w:rPr>
              <w:sz w:val="24"/>
            </w:rPr>
            <w:instrText xml:space="preserve"> PAGEREF _Toc23512 \h </w:instrText>
          </w:r>
          <w:r>
            <w:rPr>
              <w:sz w:val="24"/>
            </w:rPr>
            <w:fldChar w:fldCharType="separate"/>
          </w:r>
          <w:r>
            <w:rPr>
              <w:sz w:val="24"/>
            </w:rPr>
            <w:t>21</w:t>
          </w:r>
          <w:r>
            <w:rPr>
              <w:sz w:val="24"/>
            </w:rPr>
            <w:fldChar w:fldCharType="end"/>
          </w:r>
          <w:r>
            <w:rPr>
              <w:sz w:val="24"/>
            </w:rPr>
            <w:fldChar w:fldCharType="end"/>
          </w:r>
        </w:p>
        <w:p w14:paraId="201BF6D7">
          <w:pPr>
            <w:pStyle w:val="51"/>
            <w:tabs>
              <w:tab w:val="right" w:leader="dot" w:pos="9746"/>
            </w:tabs>
            <w:spacing w:line="360" w:lineRule="auto"/>
            <w:rPr>
              <w:sz w:val="24"/>
            </w:rPr>
          </w:pPr>
          <w:r>
            <w:fldChar w:fldCharType="begin"/>
          </w:r>
          <w:r>
            <w:instrText xml:space="preserve"> HYPERLINK \l "_Toc2109" </w:instrText>
          </w:r>
          <w:r>
            <w:fldChar w:fldCharType="separate"/>
          </w:r>
          <w:r>
            <w:rPr>
              <w:rFonts w:hint="eastAsia" w:cs="仿宋_GB2312" w:asciiTheme="minorEastAsia" w:hAnsiTheme="minorEastAsia" w:eastAsiaTheme="minorEastAsia"/>
              <w:sz w:val="24"/>
            </w:rPr>
            <w:t>十三、验收</w:t>
          </w:r>
          <w:r>
            <w:rPr>
              <w:sz w:val="24"/>
            </w:rPr>
            <w:tab/>
          </w:r>
          <w:r>
            <w:rPr>
              <w:sz w:val="24"/>
            </w:rPr>
            <w:fldChar w:fldCharType="begin"/>
          </w:r>
          <w:r>
            <w:rPr>
              <w:sz w:val="24"/>
            </w:rPr>
            <w:instrText xml:space="preserve"> PAGEREF _Toc2109 \h </w:instrText>
          </w:r>
          <w:r>
            <w:rPr>
              <w:sz w:val="24"/>
            </w:rPr>
            <w:fldChar w:fldCharType="separate"/>
          </w:r>
          <w:r>
            <w:rPr>
              <w:sz w:val="24"/>
            </w:rPr>
            <w:t>25</w:t>
          </w:r>
          <w:r>
            <w:rPr>
              <w:sz w:val="24"/>
            </w:rPr>
            <w:fldChar w:fldCharType="end"/>
          </w:r>
          <w:r>
            <w:rPr>
              <w:sz w:val="24"/>
            </w:rPr>
            <w:fldChar w:fldCharType="end"/>
          </w:r>
        </w:p>
        <w:p w14:paraId="6BD96839">
          <w:pPr>
            <w:pStyle w:val="51"/>
            <w:tabs>
              <w:tab w:val="right" w:leader="dot" w:pos="9746"/>
            </w:tabs>
            <w:spacing w:line="360" w:lineRule="auto"/>
            <w:rPr>
              <w:sz w:val="24"/>
            </w:rPr>
          </w:pPr>
          <w:r>
            <w:fldChar w:fldCharType="begin"/>
          </w:r>
          <w:r>
            <w:instrText xml:space="preserve"> HYPERLINK \l "_Toc27133" </w:instrText>
          </w:r>
          <w:r>
            <w:fldChar w:fldCharType="separate"/>
          </w:r>
          <w:r>
            <w:rPr>
              <w:rFonts w:hint="eastAsia" w:cs="仿宋_GB2312" w:asciiTheme="minorEastAsia" w:hAnsiTheme="minorEastAsia" w:eastAsiaTheme="minorEastAsia"/>
              <w:sz w:val="24"/>
            </w:rPr>
            <w:t>十四、电子交易活动的中止</w:t>
          </w:r>
          <w:r>
            <w:rPr>
              <w:sz w:val="24"/>
            </w:rPr>
            <w:tab/>
          </w:r>
          <w:r>
            <w:rPr>
              <w:sz w:val="24"/>
            </w:rPr>
            <w:fldChar w:fldCharType="begin"/>
          </w:r>
          <w:r>
            <w:rPr>
              <w:sz w:val="24"/>
            </w:rPr>
            <w:instrText xml:space="preserve"> PAGEREF _Toc27133 \h </w:instrText>
          </w:r>
          <w:r>
            <w:rPr>
              <w:sz w:val="24"/>
            </w:rPr>
            <w:fldChar w:fldCharType="separate"/>
          </w:r>
          <w:r>
            <w:rPr>
              <w:sz w:val="24"/>
            </w:rPr>
            <w:t>25</w:t>
          </w:r>
          <w:r>
            <w:rPr>
              <w:sz w:val="24"/>
            </w:rPr>
            <w:fldChar w:fldCharType="end"/>
          </w:r>
          <w:r>
            <w:rPr>
              <w:sz w:val="24"/>
            </w:rPr>
            <w:fldChar w:fldCharType="end"/>
          </w:r>
        </w:p>
        <w:p w14:paraId="0E8055E9">
          <w:pPr>
            <w:pStyle w:val="51"/>
            <w:tabs>
              <w:tab w:val="right" w:leader="dot" w:pos="9746"/>
            </w:tabs>
            <w:spacing w:line="360" w:lineRule="auto"/>
            <w:rPr>
              <w:sz w:val="24"/>
            </w:rPr>
          </w:pPr>
          <w:r>
            <w:fldChar w:fldCharType="begin"/>
          </w:r>
          <w:r>
            <w:instrText xml:space="preserve"> HYPERLINK \l "_Toc7714" </w:instrText>
          </w:r>
          <w:r>
            <w:fldChar w:fldCharType="separate"/>
          </w:r>
          <w:r>
            <w:rPr>
              <w:rFonts w:hint="eastAsia" w:ascii="宋体" w:hAnsi="宋体" w:cs="宋体"/>
              <w:sz w:val="24"/>
            </w:rPr>
            <w:t>十五、代理费用的收取标准和方式</w:t>
          </w:r>
          <w:r>
            <w:rPr>
              <w:sz w:val="24"/>
            </w:rPr>
            <w:tab/>
          </w:r>
          <w:r>
            <w:rPr>
              <w:sz w:val="24"/>
            </w:rPr>
            <w:fldChar w:fldCharType="begin"/>
          </w:r>
          <w:r>
            <w:rPr>
              <w:sz w:val="24"/>
            </w:rPr>
            <w:instrText xml:space="preserve"> PAGEREF _Toc7714 \h </w:instrText>
          </w:r>
          <w:r>
            <w:rPr>
              <w:sz w:val="24"/>
            </w:rPr>
            <w:fldChar w:fldCharType="separate"/>
          </w:r>
          <w:r>
            <w:rPr>
              <w:sz w:val="24"/>
            </w:rPr>
            <w:t>26</w:t>
          </w:r>
          <w:r>
            <w:rPr>
              <w:sz w:val="24"/>
            </w:rPr>
            <w:fldChar w:fldCharType="end"/>
          </w:r>
          <w:r>
            <w:rPr>
              <w:sz w:val="24"/>
            </w:rPr>
            <w:fldChar w:fldCharType="end"/>
          </w:r>
        </w:p>
        <w:p w14:paraId="6C6C8137">
          <w:pPr>
            <w:pStyle w:val="40"/>
            <w:tabs>
              <w:tab w:val="right" w:leader="dot" w:pos="9746"/>
            </w:tabs>
            <w:spacing w:line="360" w:lineRule="auto"/>
            <w:rPr>
              <w:sz w:val="24"/>
            </w:rPr>
          </w:pPr>
          <w:r>
            <w:fldChar w:fldCharType="begin"/>
          </w:r>
          <w:r>
            <w:instrText xml:space="preserve"> HYPERLINK \l "_Toc2800" </w:instrText>
          </w:r>
          <w:r>
            <w:fldChar w:fldCharType="separate"/>
          </w:r>
          <w:r>
            <w:rPr>
              <w:rFonts w:hint="eastAsia" w:cs="仿宋_GB2312" w:asciiTheme="minorEastAsia" w:hAnsiTheme="minorEastAsia" w:eastAsiaTheme="minorEastAsia"/>
              <w:sz w:val="24"/>
            </w:rPr>
            <w:t>第四部分  采购需求</w:t>
          </w:r>
          <w:r>
            <w:rPr>
              <w:sz w:val="24"/>
            </w:rPr>
            <w:tab/>
          </w:r>
          <w:r>
            <w:rPr>
              <w:sz w:val="24"/>
            </w:rPr>
            <w:fldChar w:fldCharType="begin"/>
          </w:r>
          <w:r>
            <w:rPr>
              <w:sz w:val="24"/>
            </w:rPr>
            <w:instrText xml:space="preserve"> PAGEREF _Toc2800 \h </w:instrText>
          </w:r>
          <w:r>
            <w:rPr>
              <w:sz w:val="24"/>
            </w:rPr>
            <w:fldChar w:fldCharType="separate"/>
          </w:r>
          <w:r>
            <w:rPr>
              <w:sz w:val="24"/>
            </w:rPr>
            <w:t>27</w:t>
          </w:r>
          <w:r>
            <w:rPr>
              <w:sz w:val="24"/>
            </w:rPr>
            <w:fldChar w:fldCharType="end"/>
          </w:r>
          <w:r>
            <w:rPr>
              <w:sz w:val="24"/>
            </w:rPr>
            <w:fldChar w:fldCharType="end"/>
          </w:r>
        </w:p>
        <w:p w14:paraId="19A61651">
          <w:pPr>
            <w:pStyle w:val="40"/>
            <w:tabs>
              <w:tab w:val="right" w:leader="dot" w:pos="9746"/>
            </w:tabs>
            <w:spacing w:line="360" w:lineRule="auto"/>
            <w:rPr>
              <w:sz w:val="24"/>
            </w:rPr>
          </w:pPr>
          <w:r>
            <w:fldChar w:fldCharType="begin"/>
          </w:r>
          <w:r>
            <w:instrText xml:space="preserve"> HYPERLINK \l "_Toc10371" </w:instrText>
          </w:r>
          <w:r>
            <w:fldChar w:fldCharType="separate"/>
          </w:r>
          <w:r>
            <w:rPr>
              <w:rFonts w:hint="eastAsia" w:cs="仿宋_GB2312" w:asciiTheme="minorEastAsia" w:hAnsiTheme="minorEastAsia" w:eastAsiaTheme="minorEastAsia"/>
              <w:sz w:val="24"/>
            </w:rPr>
            <w:t>第五部分  评审方法及评审标准</w:t>
          </w:r>
          <w:r>
            <w:rPr>
              <w:sz w:val="24"/>
            </w:rPr>
            <w:tab/>
          </w:r>
          <w:r>
            <w:rPr>
              <w:sz w:val="24"/>
            </w:rPr>
            <w:fldChar w:fldCharType="begin"/>
          </w:r>
          <w:r>
            <w:rPr>
              <w:sz w:val="24"/>
            </w:rPr>
            <w:instrText xml:space="preserve"> PAGEREF _Toc10371 \h </w:instrText>
          </w:r>
          <w:r>
            <w:rPr>
              <w:sz w:val="24"/>
            </w:rPr>
            <w:fldChar w:fldCharType="separate"/>
          </w:r>
          <w:r>
            <w:rPr>
              <w:sz w:val="24"/>
            </w:rPr>
            <w:t>32</w:t>
          </w:r>
          <w:r>
            <w:rPr>
              <w:sz w:val="24"/>
            </w:rPr>
            <w:fldChar w:fldCharType="end"/>
          </w:r>
          <w:r>
            <w:rPr>
              <w:sz w:val="24"/>
            </w:rPr>
            <w:fldChar w:fldCharType="end"/>
          </w:r>
        </w:p>
        <w:p w14:paraId="13B2D44E">
          <w:pPr>
            <w:pStyle w:val="51"/>
            <w:tabs>
              <w:tab w:val="right" w:leader="dot" w:pos="9746"/>
            </w:tabs>
            <w:spacing w:line="360" w:lineRule="auto"/>
            <w:rPr>
              <w:sz w:val="24"/>
            </w:rPr>
          </w:pPr>
          <w:r>
            <w:fldChar w:fldCharType="begin"/>
          </w:r>
          <w:r>
            <w:instrText xml:space="preserve"> HYPERLINK \l "_Toc28210" </w:instrText>
          </w:r>
          <w:r>
            <w:fldChar w:fldCharType="separate"/>
          </w:r>
          <w:r>
            <w:rPr>
              <w:rFonts w:hint="eastAsia" w:cs="仿宋_GB2312" w:asciiTheme="minorEastAsia" w:hAnsiTheme="minorEastAsia" w:eastAsiaTheme="minorEastAsia"/>
              <w:sz w:val="24"/>
            </w:rPr>
            <w:t>一、评审方法</w:t>
          </w:r>
          <w:r>
            <w:rPr>
              <w:sz w:val="24"/>
            </w:rPr>
            <w:tab/>
          </w:r>
          <w:r>
            <w:rPr>
              <w:sz w:val="24"/>
            </w:rPr>
            <w:fldChar w:fldCharType="begin"/>
          </w:r>
          <w:r>
            <w:rPr>
              <w:sz w:val="24"/>
            </w:rPr>
            <w:instrText xml:space="preserve"> PAGEREF _Toc28210 \h </w:instrText>
          </w:r>
          <w:r>
            <w:rPr>
              <w:sz w:val="24"/>
            </w:rPr>
            <w:fldChar w:fldCharType="separate"/>
          </w:r>
          <w:r>
            <w:rPr>
              <w:sz w:val="24"/>
            </w:rPr>
            <w:t>35</w:t>
          </w:r>
          <w:r>
            <w:rPr>
              <w:sz w:val="24"/>
            </w:rPr>
            <w:fldChar w:fldCharType="end"/>
          </w:r>
          <w:r>
            <w:rPr>
              <w:sz w:val="24"/>
            </w:rPr>
            <w:fldChar w:fldCharType="end"/>
          </w:r>
        </w:p>
        <w:p w14:paraId="4E8774A0">
          <w:pPr>
            <w:pStyle w:val="51"/>
            <w:tabs>
              <w:tab w:val="right" w:leader="dot" w:pos="9746"/>
            </w:tabs>
            <w:spacing w:line="360" w:lineRule="auto"/>
            <w:rPr>
              <w:sz w:val="24"/>
            </w:rPr>
          </w:pPr>
          <w:r>
            <w:fldChar w:fldCharType="begin"/>
          </w:r>
          <w:r>
            <w:instrText xml:space="preserve"> HYPERLINK \l "_Toc24507" </w:instrText>
          </w:r>
          <w:r>
            <w:fldChar w:fldCharType="separate"/>
          </w:r>
          <w:r>
            <w:rPr>
              <w:rFonts w:hint="eastAsia" w:cs="仿宋_GB2312" w:asciiTheme="minorEastAsia" w:hAnsiTheme="minorEastAsia" w:eastAsiaTheme="minorEastAsia"/>
              <w:sz w:val="24"/>
            </w:rPr>
            <w:t>二、磋商小组的组成</w:t>
          </w:r>
          <w:r>
            <w:rPr>
              <w:sz w:val="24"/>
            </w:rPr>
            <w:tab/>
          </w:r>
          <w:r>
            <w:rPr>
              <w:sz w:val="24"/>
            </w:rPr>
            <w:fldChar w:fldCharType="begin"/>
          </w:r>
          <w:r>
            <w:rPr>
              <w:sz w:val="24"/>
            </w:rPr>
            <w:instrText xml:space="preserve"> PAGEREF _Toc24507 \h </w:instrText>
          </w:r>
          <w:r>
            <w:rPr>
              <w:sz w:val="24"/>
            </w:rPr>
            <w:fldChar w:fldCharType="separate"/>
          </w:r>
          <w:r>
            <w:rPr>
              <w:sz w:val="24"/>
            </w:rPr>
            <w:t>35</w:t>
          </w:r>
          <w:r>
            <w:rPr>
              <w:sz w:val="24"/>
            </w:rPr>
            <w:fldChar w:fldCharType="end"/>
          </w:r>
          <w:r>
            <w:rPr>
              <w:sz w:val="24"/>
            </w:rPr>
            <w:fldChar w:fldCharType="end"/>
          </w:r>
        </w:p>
        <w:p w14:paraId="3D91F21F">
          <w:pPr>
            <w:pStyle w:val="51"/>
            <w:tabs>
              <w:tab w:val="right" w:leader="dot" w:pos="9746"/>
            </w:tabs>
            <w:spacing w:line="360" w:lineRule="auto"/>
            <w:rPr>
              <w:sz w:val="24"/>
            </w:rPr>
          </w:pPr>
          <w:r>
            <w:fldChar w:fldCharType="begin"/>
          </w:r>
          <w:r>
            <w:instrText xml:space="preserve"> HYPERLINK \l "_Toc18548" </w:instrText>
          </w:r>
          <w:r>
            <w:fldChar w:fldCharType="separate"/>
          </w:r>
          <w:r>
            <w:rPr>
              <w:rFonts w:hint="eastAsia" w:cs="仿宋_GB2312" w:asciiTheme="minorEastAsia" w:hAnsiTheme="minorEastAsia" w:eastAsiaTheme="minorEastAsia"/>
              <w:sz w:val="24"/>
            </w:rPr>
            <w:t>三、磋商小组的职责</w:t>
          </w:r>
          <w:r>
            <w:rPr>
              <w:sz w:val="24"/>
            </w:rPr>
            <w:tab/>
          </w:r>
          <w:r>
            <w:rPr>
              <w:sz w:val="24"/>
            </w:rPr>
            <w:fldChar w:fldCharType="begin"/>
          </w:r>
          <w:r>
            <w:rPr>
              <w:sz w:val="24"/>
            </w:rPr>
            <w:instrText xml:space="preserve"> PAGEREF _Toc18548 \h </w:instrText>
          </w:r>
          <w:r>
            <w:rPr>
              <w:sz w:val="24"/>
            </w:rPr>
            <w:fldChar w:fldCharType="separate"/>
          </w:r>
          <w:r>
            <w:rPr>
              <w:sz w:val="24"/>
            </w:rPr>
            <w:t>36</w:t>
          </w:r>
          <w:r>
            <w:rPr>
              <w:sz w:val="24"/>
            </w:rPr>
            <w:fldChar w:fldCharType="end"/>
          </w:r>
          <w:r>
            <w:rPr>
              <w:sz w:val="24"/>
            </w:rPr>
            <w:fldChar w:fldCharType="end"/>
          </w:r>
        </w:p>
        <w:p w14:paraId="23025A7E">
          <w:pPr>
            <w:pStyle w:val="51"/>
            <w:tabs>
              <w:tab w:val="right" w:leader="dot" w:pos="9746"/>
            </w:tabs>
            <w:spacing w:line="360" w:lineRule="auto"/>
            <w:rPr>
              <w:sz w:val="24"/>
            </w:rPr>
          </w:pPr>
          <w:r>
            <w:fldChar w:fldCharType="begin"/>
          </w:r>
          <w:r>
            <w:instrText xml:space="preserve"> HYPERLINK \l "_Toc25153" </w:instrText>
          </w:r>
          <w:r>
            <w:fldChar w:fldCharType="separate"/>
          </w:r>
          <w:r>
            <w:rPr>
              <w:rFonts w:hint="eastAsia" w:cs="仿宋_GB2312" w:asciiTheme="minorEastAsia" w:hAnsiTheme="minorEastAsia" w:eastAsiaTheme="minorEastAsia"/>
              <w:sz w:val="24"/>
            </w:rPr>
            <w:t>四、评审程序</w:t>
          </w:r>
          <w:r>
            <w:rPr>
              <w:sz w:val="24"/>
            </w:rPr>
            <w:tab/>
          </w:r>
          <w:r>
            <w:rPr>
              <w:sz w:val="24"/>
            </w:rPr>
            <w:fldChar w:fldCharType="begin"/>
          </w:r>
          <w:r>
            <w:rPr>
              <w:sz w:val="24"/>
            </w:rPr>
            <w:instrText xml:space="preserve"> PAGEREF _Toc25153 \h </w:instrText>
          </w:r>
          <w:r>
            <w:rPr>
              <w:sz w:val="24"/>
            </w:rPr>
            <w:fldChar w:fldCharType="separate"/>
          </w:r>
          <w:r>
            <w:rPr>
              <w:sz w:val="24"/>
            </w:rPr>
            <w:t>36</w:t>
          </w:r>
          <w:r>
            <w:rPr>
              <w:sz w:val="24"/>
            </w:rPr>
            <w:fldChar w:fldCharType="end"/>
          </w:r>
          <w:r>
            <w:rPr>
              <w:sz w:val="24"/>
            </w:rPr>
            <w:fldChar w:fldCharType="end"/>
          </w:r>
        </w:p>
        <w:p w14:paraId="2C565556">
          <w:pPr>
            <w:pStyle w:val="51"/>
            <w:tabs>
              <w:tab w:val="right" w:leader="dot" w:pos="9746"/>
            </w:tabs>
            <w:spacing w:line="360" w:lineRule="auto"/>
            <w:rPr>
              <w:sz w:val="24"/>
            </w:rPr>
          </w:pPr>
          <w:r>
            <w:fldChar w:fldCharType="begin"/>
          </w:r>
          <w:r>
            <w:instrText xml:space="preserve"> HYPERLINK \l "_Toc13597" </w:instrText>
          </w:r>
          <w:r>
            <w:fldChar w:fldCharType="separate"/>
          </w:r>
          <w:r>
            <w:rPr>
              <w:rFonts w:hint="eastAsia" w:cs="仿宋_GB2312" w:asciiTheme="minorEastAsia" w:hAnsiTheme="minorEastAsia" w:eastAsiaTheme="minorEastAsia"/>
              <w:sz w:val="24"/>
            </w:rPr>
            <w:t>五、评审须知</w:t>
          </w:r>
          <w:r>
            <w:rPr>
              <w:sz w:val="24"/>
            </w:rPr>
            <w:tab/>
          </w:r>
          <w:r>
            <w:rPr>
              <w:sz w:val="24"/>
            </w:rPr>
            <w:fldChar w:fldCharType="begin"/>
          </w:r>
          <w:r>
            <w:rPr>
              <w:sz w:val="24"/>
            </w:rPr>
            <w:instrText xml:space="preserve"> PAGEREF _Toc13597 \h </w:instrText>
          </w:r>
          <w:r>
            <w:rPr>
              <w:sz w:val="24"/>
            </w:rPr>
            <w:fldChar w:fldCharType="separate"/>
          </w:r>
          <w:r>
            <w:rPr>
              <w:sz w:val="24"/>
            </w:rPr>
            <w:t>37</w:t>
          </w:r>
          <w:r>
            <w:rPr>
              <w:sz w:val="24"/>
            </w:rPr>
            <w:fldChar w:fldCharType="end"/>
          </w:r>
          <w:r>
            <w:rPr>
              <w:sz w:val="24"/>
            </w:rPr>
            <w:fldChar w:fldCharType="end"/>
          </w:r>
        </w:p>
        <w:p w14:paraId="07149B9D">
          <w:pPr>
            <w:pStyle w:val="51"/>
            <w:tabs>
              <w:tab w:val="right" w:leader="dot" w:pos="9746"/>
            </w:tabs>
            <w:spacing w:line="360" w:lineRule="auto"/>
            <w:rPr>
              <w:sz w:val="24"/>
            </w:rPr>
          </w:pPr>
          <w:r>
            <w:fldChar w:fldCharType="begin"/>
          </w:r>
          <w:r>
            <w:instrText xml:space="preserve"> HYPERLINK \l "_Toc18223" </w:instrText>
          </w:r>
          <w:r>
            <w:fldChar w:fldCharType="separate"/>
          </w:r>
          <w:r>
            <w:rPr>
              <w:rFonts w:hint="eastAsia" w:cs="仿宋_GB2312" w:asciiTheme="minorEastAsia" w:hAnsiTheme="minorEastAsia" w:eastAsiaTheme="minorEastAsia"/>
              <w:sz w:val="24"/>
            </w:rPr>
            <w:t>六、评审过程的保密与录像</w:t>
          </w:r>
          <w:r>
            <w:rPr>
              <w:sz w:val="24"/>
            </w:rPr>
            <w:tab/>
          </w:r>
          <w:r>
            <w:rPr>
              <w:sz w:val="24"/>
            </w:rPr>
            <w:fldChar w:fldCharType="begin"/>
          </w:r>
          <w:r>
            <w:rPr>
              <w:sz w:val="24"/>
            </w:rPr>
            <w:instrText xml:space="preserve"> PAGEREF _Toc18223 \h </w:instrText>
          </w:r>
          <w:r>
            <w:rPr>
              <w:sz w:val="24"/>
            </w:rPr>
            <w:fldChar w:fldCharType="separate"/>
          </w:r>
          <w:r>
            <w:rPr>
              <w:sz w:val="24"/>
            </w:rPr>
            <w:t>40</w:t>
          </w:r>
          <w:r>
            <w:rPr>
              <w:sz w:val="24"/>
            </w:rPr>
            <w:fldChar w:fldCharType="end"/>
          </w:r>
          <w:r>
            <w:rPr>
              <w:sz w:val="24"/>
            </w:rPr>
            <w:fldChar w:fldCharType="end"/>
          </w:r>
        </w:p>
        <w:p w14:paraId="3CA28192">
          <w:pPr>
            <w:pStyle w:val="40"/>
            <w:tabs>
              <w:tab w:val="right" w:leader="dot" w:pos="9746"/>
            </w:tabs>
            <w:spacing w:line="360" w:lineRule="auto"/>
            <w:rPr>
              <w:sz w:val="24"/>
            </w:rPr>
          </w:pPr>
          <w:r>
            <w:fldChar w:fldCharType="begin"/>
          </w:r>
          <w:r>
            <w:instrText xml:space="preserve"> HYPERLINK \l "_Toc28349" </w:instrText>
          </w:r>
          <w:r>
            <w:fldChar w:fldCharType="separate"/>
          </w:r>
          <w:r>
            <w:rPr>
              <w:rFonts w:hint="eastAsia" w:cs="仿宋_GB2312" w:asciiTheme="minorEastAsia" w:hAnsiTheme="minorEastAsia" w:eastAsiaTheme="minorEastAsia"/>
              <w:sz w:val="24"/>
            </w:rPr>
            <w:t>第六部分  拟签订的合同文本</w:t>
          </w:r>
          <w:r>
            <w:rPr>
              <w:sz w:val="24"/>
            </w:rPr>
            <w:tab/>
          </w:r>
          <w:r>
            <w:rPr>
              <w:sz w:val="24"/>
            </w:rPr>
            <w:fldChar w:fldCharType="begin"/>
          </w:r>
          <w:r>
            <w:rPr>
              <w:sz w:val="24"/>
            </w:rPr>
            <w:instrText xml:space="preserve"> PAGEREF _Toc28349 \h </w:instrText>
          </w:r>
          <w:r>
            <w:rPr>
              <w:sz w:val="24"/>
            </w:rPr>
            <w:fldChar w:fldCharType="separate"/>
          </w:r>
          <w:r>
            <w:rPr>
              <w:sz w:val="24"/>
            </w:rPr>
            <w:t>41</w:t>
          </w:r>
          <w:r>
            <w:rPr>
              <w:sz w:val="24"/>
            </w:rPr>
            <w:fldChar w:fldCharType="end"/>
          </w:r>
          <w:r>
            <w:rPr>
              <w:sz w:val="24"/>
            </w:rPr>
            <w:fldChar w:fldCharType="end"/>
          </w:r>
        </w:p>
        <w:p w14:paraId="415185F8">
          <w:pPr>
            <w:pStyle w:val="40"/>
            <w:tabs>
              <w:tab w:val="right" w:leader="dot" w:pos="9746"/>
            </w:tabs>
            <w:spacing w:line="360" w:lineRule="auto"/>
            <w:rPr>
              <w:sz w:val="24"/>
            </w:rPr>
          </w:pPr>
          <w:r>
            <w:fldChar w:fldCharType="begin"/>
          </w:r>
          <w:r>
            <w:instrText xml:space="preserve"> HYPERLINK \l "_Toc25226" </w:instrText>
          </w:r>
          <w:r>
            <w:fldChar w:fldCharType="separate"/>
          </w:r>
          <w:r>
            <w:rPr>
              <w:rFonts w:hint="eastAsia" w:cs="仿宋_GB2312" w:asciiTheme="minorEastAsia" w:hAnsiTheme="minorEastAsia" w:eastAsiaTheme="minorEastAsia"/>
              <w:sz w:val="24"/>
            </w:rPr>
            <w:t>第七部分  应提交的有关格式范例</w:t>
          </w:r>
          <w:r>
            <w:rPr>
              <w:sz w:val="24"/>
            </w:rPr>
            <w:tab/>
          </w:r>
          <w:r>
            <w:rPr>
              <w:sz w:val="24"/>
            </w:rPr>
            <w:fldChar w:fldCharType="begin"/>
          </w:r>
          <w:r>
            <w:rPr>
              <w:sz w:val="24"/>
            </w:rPr>
            <w:instrText xml:space="preserve"> PAGEREF _Toc25226 \h </w:instrText>
          </w:r>
          <w:r>
            <w:rPr>
              <w:sz w:val="24"/>
            </w:rPr>
            <w:fldChar w:fldCharType="separate"/>
          </w:r>
          <w:r>
            <w:rPr>
              <w:sz w:val="24"/>
            </w:rPr>
            <w:t>47</w:t>
          </w:r>
          <w:r>
            <w:rPr>
              <w:sz w:val="24"/>
            </w:rPr>
            <w:fldChar w:fldCharType="end"/>
          </w:r>
          <w:r>
            <w:rPr>
              <w:sz w:val="24"/>
            </w:rPr>
            <w:fldChar w:fldCharType="end"/>
          </w:r>
        </w:p>
        <w:p w14:paraId="6F8D6351">
          <w:pPr>
            <w:pStyle w:val="51"/>
            <w:tabs>
              <w:tab w:val="right" w:leader="dot" w:pos="9746"/>
            </w:tabs>
            <w:spacing w:line="360" w:lineRule="auto"/>
            <w:rPr>
              <w:sz w:val="24"/>
            </w:rPr>
          </w:pPr>
          <w:r>
            <w:fldChar w:fldCharType="begin"/>
          </w:r>
          <w:r>
            <w:instrText xml:space="preserve"> HYPERLINK \l "_Toc31211" </w:instrText>
          </w:r>
          <w:r>
            <w:fldChar w:fldCharType="separate"/>
          </w:r>
          <w:r>
            <w:rPr>
              <w:rFonts w:hint="eastAsia" w:ascii="宋体" w:hAnsi="宋体" w:cs="宋体"/>
              <w:sz w:val="24"/>
            </w:rPr>
            <w:t>(一)资格文件</w:t>
          </w:r>
          <w:r>
            <w:rPr>
              <w:sz w:val="24"/>
            </w:rPr>
            <w:tab/>
          </w:r>
          <w:r>
            <w:rPr>
              <w:sz w:val="24"/>
            </w:rPr>
            <w:fldChar w:fldCharType="begin"/>
          </w:r>
          <w:r>
            <w:rPr>
              <w:sz w:val="24"/>
            </w:rPr>
            <w:instrText xml:space="preserve"> PAGEREF _Toc31211 \h </w:instrText>
          </w:r>
          <w:r>
            <w:rPr>
              <w:sz w:val="24"/>
            </w:rPr>
            <w:fldChar w:fldCharType="separate"/>
          </w:r>
          <w:r>
            <w:rPr>
              <w:sz w:val="24"/>
            </w:rPr>
            <w:t>47</w:t>
          </w:r>
          <w:r>
            <w:rPr>
              <w:sz w:val="24"/>
            </w:rPr>
            <w:fldChar w:fldCharType="end"/>
          </w:r>
          <w:r>
            <w:rPr>
              <w:sz w:val="24"/>
            </w:rPr>
            <w:fldChar w:fldCharType="end"/>
          </w:r>
        </w:p>
        <w:p w14:paraId="1E280DAB">
          <w:pPr>
            <w:pStyle w:val="51"/>
            <w:tabs>
              <w:tab w:val="right" w:leader="dot" w:pos="9746"/>
            </w:tabs>
            <w:spacing w:line="360" w:lineRule="auto"/>
            <w:rPr>
              <w:sz w:val="24"/>
            </w:rPr>
          </w:pPr>
          <w:r>
            <w:fldChar w:fldCharType="begin"/>
          </w:r>
          <w:r>
            <w:instrText xml:space="preserve"> HYPERLINK \l "_Toc30426" </w:instrText>
          </w:r>
          <w:r>
            <w:fldChar w:fldCharType="separate"/>
          </w:r>
          <w:r>
            <w:rPr>
              <w:rFonts w:hint="eastAsia" w:ascii="宋体" w:hAnsi="宋体" w:cs="宋体"/>
              <w:sz w:val="24"/>
            </w:rPr>
            <w:t>(二)报价文件</w:t>
          </w:r>
          <w:r>
            <w:rPr>
              <w:sz w:val="24"/>
            </w:rPr>
            <w:tab/>
          </w:r>
          <w:r>
            <w:rPr>
              <w:sz w:val="24"/>
            </w:rPr>
            <w:fldChar w:fldCharType="begin"/>
          </w:r>
          <w:r>
            <w:rPr>
              <w:sz w:val="24"/>
            </w:rPr>
            <w:instrText xml:space="preserve"> PAGEREF _Toc30426 \h </w:instrText>
          </w:r>
          <w:r>
            <w:rPr>
              <w:sz w:val="24"/>
            </w:rPr>
            <w:fldChar w:fldCharType="separate"/>
          </w:r>
          <w:r>
            <w:rPr>
              <w:sz w:val="24"/>
            </w:rPr>
            <w:t>48</w:t>
          </w:r>
          <w:r>
            <w:rPr>
              <w:sz w:val="24"/>
            </w:rPr>
            <w:fldChar w:fldCharType="end"/>
          </w:r>
          <w:r>
            <w:rPr>
              <w:sz w:val="24"/>
            </w:rPr>
            <w:fldChar w:fldCharType="end"/>
          </w:r>
        </w:p>
        <w:p w14:paraId="01A11AB0">
          <w:pPr>
            <w:pStyle w:val="51"/>
            <w:tabs>
              <w:tab w:val="right" w:leader="dot" w:pos="9746"/>
            </w:tabs>
            <w:spacing w:line="360" w:lineRule="auto"/>
            <w:rPr>
              <w:sz w:val="24"/>
            </w:rPr>
          </w:pPr>
          <w:r>
            <w:fldChar w:fldCharType="begin"/>
          </w:r>
          <w:r>
            <w:instrText xml:space="preserve"> HYPERLINK \l "_Toc14409" </w:instrText>
          </w:r>
          <w:r>
            <w:fldChar w:fldCharType="separate"/>
          </w:r>
          <w:r>
            <w:rPr>
              <w:rFonts w:hint="eastAsia" w:ascii="宋体" w:hAnsi="宋体" w:cs="宋体"/>
              <w:sz w:val="24"/>
            </w:rPr>
            <w:t>(三)商务技术文件</w:t>
          </w:r>
          <w:r>
            <w:rPr>
              <w:sz w:val="24"/>
            </w:rPr>
            <w:tab/>
          </w:r>
          <w:r>
            <w:rPr>
              <w:sz w:val="24"/>
            </w:rPr>
            <w:fldChar w:fldCharType="begin"/>
          </w:r>
          <w:r>
            <w:rPr>
              <w:sz w:val="24"/>
            </w:rPr>
            <w:instrText xml:space="preserve"> PAGEREF _Toc14409 \h </w:instrText>
          </w:r>
          <w:r>
            <w:rPr>
              <w:sz w:val="24"/>
            </w:rPr>
            <w:fldChar w:fldCharType="separate"/>
          </w:r>
          <w:r>
            <w:rPr>
              <w:sz w:val="24"/>
            </w:rPr>
            <w:t>50</w:t>
          </w:r>
          <w:r>
            <w:rPr>
              <w:sz w:val="24"/>
            </w:rPr>
            <w:fldChar w:fldCharType="end"/>
          </w:r>
          <w:r>
            <w:rPr>
              <w:sz w:val="24"/>
            </w:rPr>
            <w:fldChar w:fldCharType="end"/>
          </w:r>
        </w:p>
        <w:p w14:paraId="1C8982F1">
          <w:pPr>
            <w:pStyle w:val="51"/>
            <w:tabs>
              <w:tab w:val="right" w:leader="dot" w:pos="9746"/>
            </w:tabs>
            <w:spacing w:line="360" w:lineRule="auto"/>
            <w:rPr>
              <w:sz w:val="24"/>
            </w:rPr>
          </w:pPr>
          <w:r>
            <w:fldChar w:fldCharType="begin"/>
          </w:r>
          <w:r>
            <w:instrText xml:space="preserve"> HYPERLINK \l "_Toc1786" </w:instrText>
          </w:r>
          <w:r>
            <w:fldChar w:fldCharType="separate"/>
          </w:r>
          <w:r>
            <w:rPr>
              <w:rFonts w:hint="eastAsia" w:ascii="宋体" w:hAnsi="宋体" w:cs="宋体"/>
              <w:sz w:val="24"/>
              <w:lang w:val="zh-CN"/>
            </w:rPr>
            <w:t>(四)其他文件</w:t>
          </w:r>
          <w:r>
            <w:rPr>
              <w:sz w:val="24"/>
            </w:rPr>
            <w:tab/>
          </w:r>
          <w:r>
            <w:rPr>
              <w:sz w:val="24"/>
            </w:rPr>
            <w:fldChar w:fldCharType="begin"/>
          </w:r>
          <w:r>
            <w:rPr>
              <w:sz w:val="24"/>
            </w:rPr>
            <w:instrText xml:space="preserve"> PAGEREF _Toc1786 \h </w:instrText>
          </w:r>
          <w:r>
            <w:rPr>
              <w:sz w:val="24"/>
            </w:rPr>
            <w:fldChar w:fldCharType="separate"/>
          </w:r>
          <w:r>
            <w:rPr>
              <w:sz w:val="24"/>
            </w:rPr>
            <w:t>61</w:t>
          </w:r>
          <w:r>
            <w:rPr>
              <w:sz w:val="24"/>
            </w:rPr>
            <w:fldChar w:fldCharType="end"/>
          </w:r>
          <w:r>
            <w:rPr>
              <w:sz w:val="24"/>
            </w:rPr>
            <w:fldChar w:fldCharType="end"/>
          </w:r>
        </w:p>
        <w:p w14:paraId="62712972">
          <w:pPr>
            <w:pStyle w:val="51"/>
            <w:tabs>
              <w:tab w:val="right" w:leader="dot" w:pos="9746"/>
            </w:tabs>
            <w:spacing w:line="360" w:lineRule="auto"/>
            <w:rPr>
              <w:sz w:val="24"/>
            </w:rPr>
          </w:pPr>
          <w:r>
            <w:fldChar w:fldCharType="begin"/>
          </w:r>
          <w:r>
            <w:instrText xml:space="preserve"> HYPERLINK \l "_Toc28381" </w:instrText>
          </w:r>
          <w:r>
            <w:fldChar w:fldCharType="separate"/>
          </w:r>
          <w:r>
            <w:rPr>
              <w:rFonts w:hint="eastAsia" w:ascii="宋体" w:hAnsi="宋体" w:cs="宋体"/>
              <w:sz w:val="24"/>
              <w:lang w:val="zh-CN"/>
            </w:rPr>
            <w:t>(</w:t>
          </w:r>
          <w:r>
            <w:rPr>
              <w:rFonts w:hint="eastAsia" w:ascii="宋体" w:hAnsi="宋体" w:cs="宋体"/>
              <w:sz w:val="24"/>
            </w:rPr>
            <w:t>五</w:t>
          </w:r>
          <w:r>
            <w:rPr>
              <w:rFonts w:hint="eastAsia" w:ascii="宋体" w:hAnsi="宋体" w:cs="宋体"/>
              <w:sz w:val="24"/>
              <w:lang w:val="zh-CN"/>
            </w:rPr>
            <w:t>)</w:t>
          </w:r>
          <w:r>
            <w:rPr>
              <w:rFonts w:hint="eastAsia" w:ascii="宋体" w:hAnsi="宋体" w:cs="宋体"/>
              <w:sz w:val="24"/>
            </w:rPr>
            <w:t>相关附件</w:t>
          </w:r>
          <w:r>
            <w:rPr>
              <w:sz w:val="24"/>
            </w:rPr>
            <w:tab/>
          </w:r>
          <w:r>
            <w:rPr>
              <w:sz w:val="24"/>
            </w:rPr>
            <w:fldChar w:fldCharType="begin"/>
          </w:r>
          <w:r>
            <w:rPr>
              <w:sz w:val="24"/>
            </w:rPr>
            <w:instrText xml:space="preserve"> PAGEREF _Toc28381 \h </w:instrText>
          </w:r>
          <w:r>
            <w:rPr>
              <w:sz w:val="24"/>
            </w:rPr>
            <w:fldChar w:fldCharType="separate"/>
          </w:r>
          <w:r>
            <w:rPr>
              <w:sz w:val="24"/>
            </w:rPr>
            <w:t>62</w:t>
          </w:r>
          <w:r>
            <w:rPr>
              <w:sz w:val="24"/>
            </w:rPr>
            <w:fldChar w:fldCharType="end"/>
          </w:r>
          <w:r>
            <w:rPr>
              <w:sz w:val="24"/>
            </w:rPr>
            <w:fldChar w:fldCharType="end"/>
          </w:r>
        </w:p>
        <w:p w14:paraId="2A4FF436">
          <w:pPr>
            <w:pStyle w:val="40"/>
            <w:tabs>
              <w:tab w:val="right" w:leader="dot" w:pos="9746"/>
            </w:tabs>
            <w:spacing w:line="360" w:lineRule="auto"/>
            <w:rPr>
              <w:sz w:val="24"/>
            </w:rPr>
          </w:pPr>
          <w:r>
            <w:fldChar w:fldCharType="begin"/>
          </w:r>
          <w:r>
            <w:instrText xml:space="preserve"> HYPERLINK \l "_Toc16387" </w:instrText>
          </w:r>
          <w:r>
            <w:fldChar w:fldCharType="separate"/>
          </w:r>
          <w:r>
            <w:rPr>
              <w:rFonts w:hint="eastAsia" w:cs="仿宋_GB2312" w:asciiTheme="minorEastAsia" w:hAnsiTheme="minorEastAsia" w:eastAsiaTheme="minorEastAsia"/>
              <w:sz w:val="24"/>
            </w:rPr>
            <w:t>第八部分  最后报价格式</w:t>
          </w:r>
          <w:r>
            <w:rPr>
              <w:sz w:val="24"/>
            </w:rPr>
            <w:tab/>
          </w:r>
          <w:r>
            <w:rPr>
              <w:sz w:val="24"/>
            </w:rPr>
            <w:fldChar w:fldCharType="begin"/>
          </w:r>
          <w:r>
            <w:rPr>
              <w:sz w:val="24"/>
            </w:rPr>
            <w:instrText xml:space="preserve"> PAGEREF _Toc16387 \h </w:instrText>
          </w:r>
          <w:r>
            <w:rPr>
              <w:sz w:val="24"/>
            </w:rPr>
            <w:fldChar w:fldCharType="separate"/>
          </w:r>
          <w:r>
            <w:rPr>
              <w:sz w:val="24"/>
            </w:rPr>
            <w:t>69</w:t>
          </w:r>
          <w:r>
            <w:rPr>
              <w:sz w:val="24"/>
            </w:rPr>
            <w:fldChar w:fldCharType="end"/>
          </w:r>
          <w:r>
            <w:rPr>
              <w:sz w:val="24"/>
            </w:rPr>
            <w:fldChar w:fldCharType="end"/>
          </w:r>
        </w:p>
        <w:p w14:paraId="58588C17">
          <w:pPr>
            <w:spacing w:line="360" w:lineRule="auto"/>
          </w:pPr>
          <w:r>
            <w:rPr>
              <w:sz w:val="24"/>
            </w:rPr>
            <w:fldChar w:fldCharType="end"/>
          </w:r>
        </w:p>
      </w:sdtContent>
    </w:sdt>
    <w:p w14:paraId="25B79305">
      <w:pPr>
        <w:tabs>
          <w:tab w:val="left" w:pos="2320"/>
        </w:tabs>
        <w:spacing w:line="360" w:lineRule="auto"/>
        <w:rPr>
          <w:rFonts w:cs="仿宋_GB2312" w:asciiTheme="minorEastAsia" w:hAnsiTheme="minorEastAsia" w:eastAsiaTheme="minorEastAsia"/>
          <w:sz w:val="24"/>
        </w:rPr>
      </w:pPr>
    </w:p>
    <w:p w14:paraId="7890EF60">
      <w:pPr>
        <w:spacing w:line="360" w:lineRule="auto"/>
        <w:rPr>
          <w:rFonts w:cs="仿宋_GB2312" w:asciiTheme="minorEastAsia" w:hAnsiTheme="minorEastAsia" w:eastAsiaTheme="minorEastAsia"/>
          <w:sz w:val="24"/>
        </w:rPr>
      </w:pPr>
    </w:p>
    <w:p w14:paraId="6B3C3121">
      <w:pPr>
        <w:spacing w:line="360" w:lineRule="auto"/>
        <w:ind w:firstLine="549" w:firstLineChars="229"/>
        <w:rPr>
          <w:rFonts w:cs="仿宋_GB2312" w:asciiTheme="minorEastAsia" w:hAnsiTheme="minorEastAsia" w:eastAsiaTheme="minorEastAsia"/>
          <w:sz w:val="24"/>
        </w:rPr>
      </w:pPr>
    </w:p>
    <w:bookmarkEnd w:id="1"/>
    <w:p w14:paraId="7F35B78B">
      <w:pPr>
        <w:adjustRightInd/>
        <w:spacing w:line="360" w:lineRule="auto"/>
        <w:jc w:val="center"/>
        <w:outlineLvl w:val="0"/>
        <w:rPr>
          <w:rFonts w:cs="仿宋_GB2312" w:asciiTheme="minorEastAsia" w:hAnsiTheme="minorEastAsia" w:eastAsiaTheme="minorEastAsia"/>
          <w:b/>
          <w:sz w:val="36"/>
          <w:szCs w:val="20"/>
        </w:rPr>
        <w:sectPr>
          <w:headerReference r:id="rId4" w:type="default"/>
          <w:footerReference r:id="rId5" w:type="default"/>
          <w:pgSz w:w="11906" w:h="16838"/>
          <w:pgMar w:top="1417" w:right="1080" w:bottom="1417" w:left="1080" w:header="680" w:footer="680" w:gutter="0"/>
          <w:pgNumType w:start="1"/>
          <w:cols w:space="0" w:num="1"/>
          <w:docGrid w:linePitch="312" w:charSpace="0"/>
        </w:sect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14:paraId="4ACF59BD">
      <w:pPr>
        <w:adjustRightInd/>
        <w:spacing w:line="360" w:lineRule="auto"/>
        <w:jc w:val="center"/>
        <w:outlineLvl w:val="0"/>
        <w:rPr>
          <w:rFonts w:cs="仿宋_GB2312" w:asciiTheme="minorEastAsia" w:hAnsiTheme="minorEastAsia" w:eastAsiaTheme="minorEastAsia"/>
          <w:b/>
          <w:sz w:val="36"/>
          <w:szCs w:val="20"/>
        </w:rPr>
      </w:pPr>
      <w:bookmarkStart w:id="9" w:name="_Toc18513"/>
      <w:bookmarkStart w:id="10" w:name="_Toc21638"/>
      <w:r>
        <w:rPr>
          <w:rFonts w:hint="eastAsia" w:cs="仿宋_GB2312" w:asciiTheme="minorEastAsia" w:hAnsiTheme="minorEastAsia" w:eastAsiaTheme="minorEastAsia"/>
          <w:b/>
          <w:sz w:val="36"/>
          <w:szCs w:val="20"/>
        </w:rPr>
        <w:t>第一部分 邀请供应商</w:t>
      </w:r>
      <w:bookmarkEnd w:id="9"/>
      <w:bookmarkEnd w:id="10"/>
    </w:p>
    <w:p w14:paraId="0FB28673">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广西亿翔荣工程管理有限责任公司关于</w:t>
      </w:r>
      <w:r>
        <w:rPr>
          <w:rFonts w:hint="eastAsia" w:cs="仿宋_GB2312" w:asciiTheme="minorEastAsia" w:hAnsiTheme="minorEastAsia" w:eastAsiaTheme="minorEastAsia"/>
          <w:b/>
          <w:sz w:val="32"/>
          <w:szCs w:val="32"/>
          <w:lang w:eastAsia="zh-CN"/>
        </w:rPr>
        <w:t>《北海市矿产资源总体规划（2026-2030年)》编制项目（重）</w:t>
      </w:r>
      <w:r>
        <w:rPr>
          <w:rFonts w:hint="eastAsia" w:cs="仿宋_GB2312" w:asciiTheme="minorEastAsia" w:hAnsiTheme="minorEastAsia" w:eastAsiaTheme="minorEastAsia"/>
          <w:b/>
          <w:sz w:val="32"/>
          <w:szCs w:val="32"/>
        </w:rPr>
        <w:t>的竞争性磋商公告（远程异地评审）</w:t>
      </w:r>
    </w:p>
    <w:p w14:paraId="4EDC94A3">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14:paraId="7F3F0727">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lang w:eastAsia="zh-CN"/>
        </w:rPr>
        <w:t>《北海市矿产资源总体规划（2026-2030年)》编制项目（重）</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采购项目的潜在供应商应在</w:t>
      </w:r>
      <w:r>
        <w:rPr>
          <w:rFonts w:hint="eastAsia" w:ascii="宋体" w:hAnsi="宋体" w:cs="宋体"/>
          <w:szCs w:val="21"/>
        </w:rPr>
        <w:t>广西政府采购云平台（https://www.gcy.zfcg.gxzf.gov.cn/）</w:t>
      </w:r>
      <w:r>
        <w:rPr>
          <w:rFonts w:hint="eastAsia" w:asciiTheme="minorEastAsia" w:hAnsiTheme="minorEastAsia" w:eastAsiaTheme="minorEastAsia"/>
          <w:szCs w:val="21"/>
        </w:rPr>
        <w:t>获取采购文件，并于</w:t>
      </w:r>
      <w:r>
        <w:rPr>
          <w:rFonts w:hint="eastAsia" w:asciiTheme="minorEastAsia" w:hAnsiTheme="minorEastAsia" w:eastAsiaTheme="minorEastAsia"/>
          <w:color w:val="FF0000"/>
          <w:szCs w:val="21"/>
          <w:u w:val="single"/>
        </w:rPr>
        <w:t>2025年</w:t>
      </w:r>
      <w:r>
        <w:rPr>
          <w:rFonts w:hint="eastAsia" w:asciiTheme="minorEastAsia" w:hAnsiTheme="minorEastAsia" w:eastAsiaTheme="minorEastAsia"/>
          <w:color w:val="FF0000"/>
          <w:szCs w:val="21"/>
          <w:u w:val="single"/>
          <w:lang w:val="en-US" w:eastAsia="zh-CN"/>
        </w:rPr>
        <w:t>09</w:t>
      </w:r>
      <w:r>
        <w:rPr>
          <w:rFonts w:hint="eastAsia" w:asciiTheme="minorEastAsia" w:hAnsiTheme="minorEastAsia" w:eastAsiaTheme="minorEastAsia"/>
          <w:color w:val="FF0000"/>
          <w:szCs w:val="21"/>
          <w:u w:val="single"/>
        </w:rPr>
        <w:t>月</w:t>
      </w:r>
      <w:r>
        <w:rPr>
          <w:rFonts w:hint="eastAsia" w:asciiTheme="minorEastAsia" w:hAnsiTheme="minorEastAsia" w:eastAsiaTheme="minorEastAsia"/>
          <w:color w:val="FF0000"/>
          <w:szCs w:val="21"/>
          <w:u w:val="single"/>
          <w:lang w:val="en-US" w:eastAsia="zh-CN"/>
        </w:rPr>
        <w:t>15</w:t>
      </w:r>
      <w:r>
        <w:rPr>
          <w:rFonts w:hint="eastAsia" w:asciiTheme="minorEastAsia" w:hAnsiTheme="minorEastAsia" w:eastAsiaTheme="minorEastAsia"/>
          <w:bCs/>
          <w:color w:val="FF0000"/>
          <w:szCs w:val="21"/>
          <w:u w:val="single"/>
        </w:rPr>
        <w:t>日9：00</w:t>
      </w:r>
      <w:r>
        <w:rPr>
          <w:rFonts w:hint="eastAsia" w:asciiTheme="minorEastAsia" w:hAnsiTheme="minorEastAsia" w:eastAsiaTheme="minorEastAsia"/>
          <w:bCs/>
          <w:szCs w:val="21"/>
        </w:rPr>
        <w:t>（北京时间）前提交响应文件</w:t>
      </w:r>
      <w:r>
        <w:rPr>
          <w:rFonts w:hint="eastAsia" w:asciiTheme="minorEastAsia" w:hAnsiTheme="minorEastAsia" w:eastAsiaTheme="minorEastAsia"/>
          <w:szCs w:val="21"/>
        </w:rPr>
        <w:t>。</w:t>
      </w:r>
    </w:p>
    <w:p w14:paraId="3002707C">
      <w:pPr>
        <w:spacing w:line="360" w:lineRule="auto"/>
        <w:rPr>
          <w:rFonts w:asciiTheme="minorEastAsia" w:hAnsiTheme="minorEastAsia" w:eastAsiaTheme="minorEastAsia"/>
          <w:szCs w:val="21"/>
        </w:rPr>
      </w:pPr>
    </w:p>
    <w:p w14:paraId="68A20EB3">
      <w:pPr>
        <w:pStyle w:val="633"/>
        <w:ind w:firstLine="0"/>
        <w:rPr>
          <w:b/>
          <w:sz w:val="21"/>
          <w:szCs w:val="21"/>
        </w:rPr>
      </w:pPr>
      <w:bookmarkStart w:id="11" w:name="_Toc28359012"/>
      <w:bookmarkStart w:id="12" w:name="_Toc35393798"/>
      <w:bookmarkStart w:id="13" w:name="_Toc28359089"/>
      <w:bookmarkStart w:id="14" w:name="_Toc35393629"/>
      <w:r>
        <w:rPr>
          <w:rFonts w:hint="eastAsia"/>
          <w:b/>
          <w:sz w:val="21"/>
          <w:szCs w:val="21"/>
        </w:rPr>
        <w:t>一、项目基本情况</w:t>
      </w:r>
      <w:bookmarkEnd w:id="11"/>
      <w:bookmarkEnd w:id="12"/>
      <w:bookmarkEnd w:id="13"/>
      <w:bookmarkEnd w:id="14"/>
    </w:p>
    <w:p w14:paraId="2C1AD813">
      <w:pPr>
        <w:spacing w:line="360" w:lineRule="auto"/>
        <w:ind w:left="0" w:leftChars="0"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项目编号</w:t>
      </w:r>
      <w:r>
        <w:rPr>
          <w:rFonts w:hint="eastAsia" w:asciiTheme="minorEastAsia" w:hAnsiTheme="minorEastAsia" w:eastAsiaTheme="minorEastAsia"/>
          <w:color w:val="0000FF"/>
          <w:szCs w:val="21"/>
        </w:rPr>
        <w:t>：</w:t>
      </w:r>
      <w:r>
        <w:rPr>
          <w:rFonts w:hint="eastAsia" w:asciiTheme="minorEastAsia" w:hAnsiTheme="minorEastAsia" w:eastAsiaTheme="minorEastAsia"/>
          <w:color w:val="0000FF"/>
          <w:szCs w:val="21"/>
          <w:lang w:eastAsia="zh-CN"/>
        </w:rPr>
        <w:t>BHZC2025-C3-990210-GXYX</w:t>
      </w:r>
    </w:p>
    <w:p w14:paraId="1CE00BB9">
      <w:pPr>
        <w:spacing w:line="360" w:lineRule="auto"/>
        <w:ind w:left="0" w:leftChars="0"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项目名称：</w:t>
      </w:r>
      <w:r>
        <w:rPr>
          <w:rFonts w:hint="eastAsia" w:asciiTheme="minorEastAsia" w:hAnsiTheme="minorEastAsia" w:eastAsiaTheme="minorEastAsia"/>
          <w:szCs w:val="21"/>
          <w:lang w:eastAsia="zh-CN"/>
        </w:rPr>
        <w:t>《北海市矿产资源总体规划（2026-2030年)》编制项目（重）</w:t>
      </w:r>
    </w:p>
    <w:p w14:paraId="5A2E823C">
      <w:pPr>
        <w:spacing w:line="360" w:lineRule="auto"/>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采购方式：竞争性磋商</w:t>
      </w:r>
    </w:p>
    <w:p w14:paraId="45472352">
      <w:pPr>
        <w:spacing w:line="360" w:lineRule="auto"/>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预算金额（元）：650000.00</w:t>
      </w:r>
    </w:p>
    <w:p w14:paraId="7B0F470B">
      <w:pPr>
        <w:snapToGrid w:val="0"/>
        <w:spacing w:line="360" w:lineRule="auto"/>
        <w:ind w:left="0" w:leftChars="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五</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采购需求：</w:t>
      </w:r>
    </w:p>
    <w:p w14:paraId="280A5456">
      <w:p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前期专题研究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根据之前几轮规划的经验，市级规划前期专题研究原则上设置不少于3个，主要以当地矿产资源勘查开发方面热点难点问题为准，研究成果为规划编制提供科学依据。 </w:t>
      </w:r>
    </w:p>
    <w:p w14:paraId="1D1C925B">
      <w:pPr>
        <w:numPr>
          <w:ilvl w:val="0"/>
          <w:numId w:val="0"/>
        </w:num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 xml:space="preserve">《规划》（含文图表）编制。细化落实自治区部署要求，对本市登记发证的矿产资源勘查、开发、利用与保护进行详细部署和安排。开展适当钻探，细化落实各类规划区，明确各区管控要求，设置相关重大工程。确保规划目标指标和任务落地、空间布局落地、勘查开发准入条件和管理措施落地，为十五五矿业权出让和产业配矿提供直接依据。 </w:t>
      </w:r>
    </w:p>
    <w:p w14:paraId="2DC5D735">
      <w:pPr>
        <w:numPr>
          <w:ilvl w:val="0"/>
          <w:numId w:val="0"/>
        </w:numPr>
        <w:snapToGrid w:val="0"/>
        <w:spacing w:line="360" w:lineRule="auto"/>
        <w:rPr>
          <w:rFonts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3.</w:t>
      </w:r>
      <w:r>
        <w:rPr>
          <w:rFonts w:hint="eastAsia" w:asciiTheme="minorEastAsia" w:hAnsiTheme="minorEastAsia" w:eastAsiaTheme="minorEastAsia"/>
          <w:szCs w:val="21"/>
        </w:rPr>
        <w:t>《规划》环评篇章编制。主要是围绕市级登记发证的矿产资源开发利用与保护活动，评价规划部署与区域经济发展、民生改善和生态保护的协调性；预测规划实施和资源开发可能对生态环境造成的直接和间接影响；评价开采规划准入条件的有效性等。</w:t>
      </w:r>
    </w:p>
    <w:p w14:paraId="2A014AA8">
      <w:pPr>
        <w:numPr>
          <w:ilvl w:val="0"/>
          <w:numId w:val="0"/>
        </w:numPr>
        <w:snapToGrid w:val="0"/>
        <w:spacing w:line="360" w:lineRule="auto"/>
        <w:rPr>
          <w:rFonts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4.</w:t>
      </w:r>
      <w:r>
        <w:rPr>
          <w:rFonts w:hint="eastAsia" w:asciiTheme="minorEastAsia" w:hAnsiTheme="minorEastAsia" w:eastAsiaTheme="minorEastAsia"/>
          <w:szCs w:val="21"/>
        </w:rPr>
        <w:t xml:space="preserve"> 《规划》数据库建设。</w:t>
      </w:r>
    </w:p>
    <w:p w14:paraId="7405A710">
      <w:pPr>
        <w:numPr>
          <w:ilvl w:val="0"/>
          <w:numId w:val="0"/>
        </w:numPr>
        <w:snapToGrid w:val="0"/>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数据格式转换。将规划数据转化为规划数据库建库软件识别的数据格式，以便数据整合和检查。</w:t>
      </w:r>
    </w:p>
    <w:p w14:paraId="7F072024">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坐标系统转换。将规划数据转换到统一的投影坐标系统中。</w:t>
      </w:r>
    </w:p>
    <w:p w14:paraId="460E381C">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数据质量检查。图数一致性核查。认真核查规划成果，确保规划数据、图件与实地相一致。对图件的规范化和标准化进行检查。对各图层数据的逻辑一致性、空间定位准确度、属性数据准确性、图层间的空间关系、拓扑关系等进行检查。</w:t>
      </w:r>
    </w:p>
    <w:p w14:paraId="68C0848D">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标准图形分层文件的建立。</w:t>
      </w:r>
    </w:p>
    <w:p w14:paraId="495ED173">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建立数据字典和制作索引图。</w:t>
      </w:r>
    </w:p>
    <w:p w14:paraId="0E2C26DF">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非空间数据入库，空间数据与非空间数据的关联，元数据入库。</w:t>
      </w:r>
    </w:p>
    <w:p w14:paraId="1A5E7092">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成果数据的整合集成，形成北海市规划数据库。</w:t>
      </w:r>
    </w:p>
    <w:p w14:paraId="3E58BBA5">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数据库检查，按照数据库建设的相关标准和规范对数据库进行拓扑等检查，对发现的问题进行全面分析和处理，保证数据库的正确。</w:t>
      </w:r>
    </w:p>
    <w:p w14:paraId="5522CD5D">
      <w:pPr>
        <w:numPr>
          <w:ilvl w:val="0"/>
          <w:numId w:val="0"/>
        </w:num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编制规划数据库建设成果报告，包括项目工作报告、技术报告、自检报告。，</w:t>
      </w:r>
      <w:r>
        <w:rPr>
          <w:rFonts w:hint="eastAsia" w:ascii="宋体" w:hAnsi="宋体"/>
          <w:bCs/>
          <w:color w:val="000000"/>
          <w:szCs w:val="21"/>
        </w:rPr>
        <w:t>具体内容详见</w:t>
      </w:r>
      <w:r>
        <w:rPr>
          <w:rFonts w:hint="eastAsia" w:asciiTheme="minorEastAsia" w:hAnsiTheme="minorEastAsia" w:eastAsiaTheme="minorEastAsia"/>
          <w:szCs w:val="21"/>
        </w:rPr>
        <w:t>竞争性磋商文件。</w:t>
      </w:r>
    </w:p>
    <w:p w14:paraId="332D5B0D">
      <w:pPr>
        <w:snapToGrid w:val="0"/>
        <w:spacing w:line="360" w:lineRule="auto"/>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最高限价（如有）：同预算金额。</w:t>
      </w:r>
    </w:p>
    <w:p w14:paraId="6E0ADBA2">
      <w:pPr>
        <w:snapToGrid w:val="0"/>
        <w:spacing w:line="360" w:lineRule="auto"/>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合同履约期限：自合同签订之日起至报告编制完成并经主管部门审批通过为止。</w:t>
      </w:r>
    </w:p>
    <w:p w14:paraId="3198D4DB">
      <w:pPr>
        <w:snapToGrid w:val="0"/>
        <w:spacing w:line="360" w:lineRule="auto"/>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八</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本标项（否）接受联合体投标</w:t>
      </w:r>
    </w:p>
    <w:p w14:paraId="4F2AAAE7">
      <w:pPr>
        <w:snapToGrid w:val="0"/>
        <w:spacing w:line="360" w:lineRule="auto"/>
        <w:ind w:left="0" w:leftChars="0" w:firstLine="0" w:firstLineChars="0"/>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九</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备注：无</w:t>
      </w:r>
    </w:p>
    <w:p w14:paraId="32EB357D">
      <w:pPr>
        <w:pStyle w:val="633"/>
        <w:ind w:firstLine="0"/>
        <w:rPr>
          <w:b/>
          <w:sz w:val="21"/>
          <w:szCs w:val="21"/>
        </w:rPr>
      </w:pPr>
      <w:bookmarkStart w:id="15" w:name="_Toc28359013"/>
      <w:bookmarkStart w:id="16" w:name="_Toc35393630"/>
      <w:bookmarkStart w:id="17" w:name="_Toc35393799"/>
      <w:bookmarkStart w:id="18" w:name="_Toc28359090"/>
      <w:r>
        <w:rPr>
          <w:rFonts w:hint="eastAsia"/>
          <w:b/>
          <w:sz w:val="21"/>
          <w:szCs w:val="21"/>
        </w:rPr>
        <w:t>二、申请人的资格要求：</w:t>
      </w:r>
      <w:bookmarkEnd w:id="15"/>
      <w:bookmarkEnd w:id="16"/>
      <w:bookmarkEnd w:id="17"/>
      <w:bookmarkEnd w:id="18"/>
    </w:p>
    <w:p w14:paraId="046FC086">
      <w:pPr>
        <w:spacing w:line="360" w:lineRule="auto"/>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 xml:space="preserve">    1.满足《中华人民共和国政府采购法》第二十二条规定；</w:t>
      </w:r>
    </w:p>
    <w:p w14:paraId="75287E75">
      <w:pPr>
        <w:spacing w:line="360" w:lineRule="auto"/>
        <w:ind w:firstLine="420" w:firstLineChars="200"/>
        <w:rPr>
          <w:rFonts w:hint="eastAsia" w:cs="宋体" w:asciiTheme="minorEastAsia" w:hAnsiTheme="minorEastAsia" w:eastAsiaTheme="minorEastAsia"/>
          <w:snapToGrid w:val="0"/>
          <w:kern w:val="28"/>
          <w:szCs w:val="21"/>
          <w:lang w:val="en-US" w:eastAsia="zh-CN"/>
        </w:rPr>
      </w:pPr>
      <w:r>
        <w:rPr>
          <w:rFonts w:hint="eastAsia" w:cs="宋体" w:asciiTheme="minorEastAsia" w:hAnsiTheme="minorEastAsia" w:eastAsiaTheme="minorEastAsia"/>
          <w:snapToGrid w:val="0"/>
          <w:kern w:val="28"/>
          <w:szCs w:val="21"/>
        </w:rPr>
        <w:t>2.落实政府采购政策需满足的资格要求：</w:t>
      </w:r>
      <w:r>
        <w:rPr>
          <w:rFonts w:hint="eastAsia" w:cs="宋体" w:asciiTheme="minorEastAsia" w:hAnsiTheme="minorEastAsia" w:eastAsiaTheme="minorEastAsia"/>
          <w:snapToGrid w:val="0"/>
          <w:kern w:val="28"/>
          <w:szCs w:val="21"/>
          <w:lang w:val="en-US" w:eastAsia="zh-CN"/>
        </w:rPr>
        <w:t>无</w:t>
      </w:r>
    </w:p>
    <w:p w14:paraId="10CD10D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3.本项目的特定资格要求：具备有效的测绘乙级（含乙级）以上资质。</w:t>
      </w:r>
    </w:p>
    <w:p w14:paraId="260B900D">
      <w:pPr>
        <w:pStyle w:val="633"/>
        <w:ind w:firstLine="0"/>
        <w:rPr>
          <w:b/>
          <w:sz w:val="21"/>
          <w:szCs w:val="21"/>
        </w:rPr>
      </w:pPr>
      <w:bookmarkStart w:id="19" w:name="_Toc35393631"/>
      <w:bookmarkStart w:id="20" w:name="_Toc35393800"/>
      <w:bookmarkStart w:id="21" w:name="_Toc28359091"/>
      <w:bookmarkStart w:id="22" w:name="_Toc28359014"/>
      <w:r>
        <w:rPr>
          <w:rFonts w:hint="eastAsia"/>
          <w:b/>
          <w:sz w:val="21"/>
          <w:szCs w:val="21"/>
        </w:rPr>
        <w:t>三、获取（下载）采购文件</w:t>
      </w:r>
      <w:bookmarkEnd w:id="19"/>
      <w:bookmarkEnd w:id="20"/>
      <w:bookmarkEnd w:id="21"/>
      <w:bookmarkEnd w:id="22"/>
    </w:p>
    <w:p w14:paraId="24A1FFF1">
      <w:pPr>
        <w:spacing w:line="360" w:lineRule="auto"/>
        <w:ind w:firstLine="540"/>
        <w:rPr>
          <w:rFonts w:cs="宋体" w:asciiTheme="minorEastAsia" w:hAnsiTheme="minorEastAsia" w:eastAsiaTheme="minorEastAsia"/>
          <w:szCs w:val="21"/>
        </w:rPr>
      </w:pPr>
      <w:r>
        <w:rPr>
          <w:rFonts w:hint="eastAsia" w:cs="宋体" w:asciiTheme="minorEastAsia" w:hAnsiTheme="minorEastAsia" w:eastAsiaTheme="minorEastAsia"/>
          <w:szCs w:val="21"/>
        </w:rPr>
        <w:t>时间：</w:t>
      </w:r>
      <w:r>
        <w:rPr>
          <w:rFonts w:hint="eastAsia" w:cs="宋体" w:asciiTheme="minorEastAsia" w:hAnsiTheme="minorEastAsia" w:eastAsiaTheme="minorEastAsia"/>
          <w:color w:val="FF0000"/>
          <w:szCs w:val="21"/>
        </w:rPr>
        <w:t>2025年</w:t>
      </w:r>
      <w:r>
        <w:rPr>
          <w:rFonts w:hint="eastAsia" w:cs="宋体" w:asciiTheme="minorEastAsia" w:hAnsiTheme="minorEastAsia" w:eastAsiaTheme="minorEastAsia"/>
          <w:color w:val="FF0000"/>
          <w:szCs w:val="21"/>
          <w:lang w:val="en-US" w:eastAsia="zh-CN"/>
        </w:rPr>
        <w:t>09</w:t>
      </w:r>
      <w:r>
        <w:rPr>
          <w:rFonts w:hint="eastAsia" w:cs="宋体" w:asciiTheme="minorEastAsia" w:hAnsiTheme="minorEastAsia" w:eastAsiaTheme="minorEastAsia"/>
          <w:color w:val="FF0000"/>
          <w:szCs w:val="21"/>
        </w:rPr>
        <w:t>月</w:t>
      </w:r>
      <w:r>
        <w:rPr>
          <w:rFonts w:hint="eastAsia" w:cs="宋体" w:asciiTheme="minorEastAsia" w:hAnsiTheme="minorEastAsia" w:eastAsiaTheme="minorEastAsia"/>
          <w:color w:val="FF0000"/>
          <w:szCs w:val="21"/>
          <w:lang w:val="en-US" w:eastAsia="zh-CN"/>
        </w:rPr>
        <w:t>03</w:t>
      </w:r>
      <w:r>
        <w:rPr>
          <w:rFonts w:hint="eastAsia" w:cs="宋体" w:asciiTheme="minorEastAsia" w:hAnsiTheme="minorEastAsia" w:eastAsiaTheme="minorEastAsia"/>
          <w:color w:val="FF0000"/>
          <w:szCs w:val="21"/>
        </w:rPr>
        <w:t>日至2025年</w:t>
      </w:r>
      <w:r>
        <w:rPr>
          <w:rFonts w:hint="eastAsia" w:cs="宋体" w:asciiTheme="minorEastAsia" w:hAnsiTheme="minorEastAsia" w:eastAsiaTheme="minorEastAsia"/>
          <w:color w:val="FF0000"/>
          <w:szCs w:val="21"/>
          <w:lang w:val="en-US" w:eastAsia="zh-CN"/>
        </w:rPr>
        <w:t>09</w:t>
      </w:r>
      <w:r>
        <w:rPr>
          <w:rFonts w:hint="eastAsia" w:cs="宋体" w:asciiTheme="minorEastAsia" w:hAnsiTheme="minorEastAsia" w:eastAsiaTheme="minorEastAsia"/>
          <w:color w:val="FF0000"/>
          <w:szCs w:val="21"/>
        </w:rPr>
        <w:t>月</w:t>
      </w:r>
      <w:r>
        <w:rPr>
          <w:rFonts w:hint="eastAsia" w:cs="宋体" w:asciiTheme="minorEastAsia" w:hAnsiTheme="minorEastAsia" w:eastAsiaTheme="minorEastAsia"/>
          <w:color w:val="FF0000"/>
          <w:szCs w:val="21"/>
          <w:lang w:val="en-US" w:eastAsia="zh-CN"/>
        </w:rPr>
        <w:t>10</w:t>
      </w:r>
      <w:bookmarkStart w:id="98" w:name="_GoBack"/>
      <w:bookmarkEnd w:id="98"/>
      <w:r>
        <w:rPr>
          <w:rFonts w:hint="eastAsia" w:cs="宋体" w:asciiTheme="minorEastAsia" w:hAnsiTheme="minorEastAsia" w:eastAsiaTheme="minorEastAsia"/>
          <w:color w:val="FF0000"/>
          <w:szCs w:val="21"/>
        </w:rPr>
        <w:t>日</w:t>
      </w:r>
      <w:r>
        <w:rPr>
          <w:rFonts w:hint="eastAsia" w:cs="宋体" w:asciiTheme="minorEastAsia" w:hAnsiTheme="minorEastAsia" w:eastAsiaTheme="minorEastAsia"/>
          <w:szCs w:val="21"/>
        </w:rPr>
        <w:t>，每天上午</w:t>
      </w:r>
      <w:r>
        <w:rPr>
          <w:rFonts w:hint="eastAsia" w:asciiTheme="minorEastAsia" w:hAnsiTheme="minorEastAsia" w:eastAsiaTheme="minorEastAsia"/>
          <w:szCs w:val="21"/>
        </w:rPr>
        <w:t>00:00至12:00 ，下午12:00至23:59</w:t>
      </w:r>
      <w:r>
        <w:rPr>
          <w:rFonts w:hint="eastAsia" w:cs="宋体" w:asciiTheme="minorEastAsia" w:hAnsiTheme="minorEastAsia" w:eastAsiaTheme="minorEastAsia"/>
          <w:szCs w:val="21"/>
        </w:rPr>
        <w:t>（北京时间，法定节假日除外）；</w:t>
      </w:r>
    </w:p>
    <w:p w14:paraId="75E48362">
      <w:pPr>
        <w:spacing w:line="360" w:lineRule="auto"/>
        <w:ind w:firstLine="540"/>
        <w:rPr>
          <w:rFonts w:cs="宋体" w:asciiTheme="minorEastAsia" w:hAnsiTheme="minorEastAsia" w:eastAsiaTheme="minorEastAsia"/>
          <w:szCs w:val="21"/>
          <w:u w:val="single"/>
        </w:rPr>
      </w:pPr>
      <w:r>
        <w:rPr>
          <w:rFonts w:hint="eastAsia" w:cs="宋体" w:asciiTheme="minorEastAsia" w:hAnsiTheme="minorEastAsia" w:eastAsiaTheme="minorEastAsia"/>
          <w:szCs w:val="21"/>
        </w:rPr>
        <w:t>地点（网址）：</w:t>
      </w:r>
      <w:r>
        <w:rPr>
          <w:rFonts w:hint="eastAsia" w:ascii="宋体" w:hAnsi="宋体" w:cs="宋体"/>
          <w:szCs w:val="21"/>
        </w:rPr>
        <w:t>广西政府采购云平台（https://www.gcy.zfcg.gxzf.gov.cn/）</w:t>
      </w:r>
    </w:p>
    <w:p w14:paraId="5A9147B4">
      <w:pPr>
        <w:spacing w:line="360" w:lineRule="auto"/>
        <w:ind w:firstLine="540"/>
        <w:rPr>
          <w:rFonts w:cs="宋体" w:asciiTheme="minorEastAsia" w:hAnsiTheme="minorEastAsia" w:eastAsiaTheme="minorEastAsia"/>
          <w:szCs w:val="21"/>
          <w:u w:val="single"/>
        </w:rPr>
      </w:pPr>
      <w:r>
        <w:rPr>
          <w:rFonts w:hint="eastAsia" w:cs="宋体" w:asciiTheme="minorEastAsia" w:hAnsiTheme="minorEastAsia" w:eastAsiaTheme="minorEastAsia"/>
          <w:szCs w:val="21"/>
        </w:rPr>
        <w:t>方式：供应商登录</w:t>
      </w:r>
      <w:r>
        <w:rPr>
          <w:rFonts w:hint="eastAsia" w:ascii="宋体" w:hAnsi="宋体" w:cs="宋体"/>
          <w:szCs w:val="21"/>
        </w:rPr>
        <w:t>广西政府采购云平台（https://www.gcy.zfcg.gxzf.gov.cn/）</w:t>
      </w:r>
      <w:r>
        <w:rPr>
          <w:rFonts w:hint="eastAsia" w:cs="宋体" w:asciiTheme="minorEastAsia" w:hAnsiTheme="minorEastAsia" w:eastAsiaTheme="minorEastAsia"/>
          <w:szCs w:val="21"/>
        </w:rPr>
        <w:t>在线申请获取采购文件（进入“项目采购”应用，在获取采购文件菜单中选择项目，申请获取采购文件）。</w:t>
      </w:r>
    </w:p>
    <w:p w14:paraId="12789D09">
      <w:pPr>
        <w:spacing w:line="360" w:lineRule="auto"/>
        <w:ind w:firstLine="540"/>
        <w:rPr>
          <w:rFonts w:cs="宋体" w:asciiTheme="minorEastAsia" w:hAnsiTheme="minorEastAsia" w:eastAsiaTheme="minorEastAsia"/>
          <w:szCs w:val="21"/>
        </w:rPr>
      </w:pPr>
      <w:r>
        <w:rPr>
          <w:rFonts w:hint="eastAsia" w:cs="宋体" w:asciiTheme="minorEastAsia" w:hAnsiTheme="minorEastAsia" w:eastAsiaTheme="minorEastAsia"/>
          <w:b/>
          <w:szCs w:val="21"/>
        </w:rPr>
        <w:t>售价：</w:t>
      </w:r>
      <w:r>
        <w:rPr>
          <w:rFonts w:hint="eastAsia" w:cs="仿宋_GB2312" w:asciiTheme="minorEastAsia" w:hAnsiTheme="minorEastAsia" w:eastAsiaTheme="minorEastAsia"/>
          <w:szCs w:val="21"/>
        </w:rPr>
        <w:t>0。</w:t>
      </w:r>
    </w:p>
    <w:p w14:paraId="382D112D">
      <w:pPr>
        <w:pStyle w:val="633"/>
        <w:ind w:firstLine="0"/>
        <w:rPr>
          <w:b/>
          <w:sz w:val="21"/>
          <w:szCs w:val="21"/>
        </w:rPr>
      </w:pPr>
      <w:bookmarkStart w:id="23" w:name="_Toc35393632"/>
      <w:bookmarkStart w:id="24" w:name="_Toc28359092"/>
      <w:bookmarkStart w:id="25" w:name="_Toc35393801"/>
      <w:bookmarkStart w:id="26" w:name="_Toc28359015"/>
      <w:r>
        <w:rPr>
          <w:rFonts w:hint="eastAsia"/>
          <w:b/>
          <w:sz w:val="21"/>
          <w:szCs w:val="21"/>
        </w:rPr>
        <w:t>四、响应文件提交</w:t>
      </w:r>
      <w:bookmarkEnd w:id="23"/>
      <w:bookmarkEnd w:id="24"/>
      <w:bookmarkEnd w:id="25"/>
      <w:bookmarkEnd w:id="26"/>
      <w:r>
        <w:rPr>
          <w:rFonts w:hint="eastAsia"/>
          <w:b/>
          <w:sz w:val="21"/>
          <w:szCs w:val="21"/>
        </w:rPr>
        <w:t>（上传）</w:t>
      </w:r>
    </w:p>
    <w:p w14:paraId="33F8B9F3">
      <w:pPr>
        <w:spacing w:line="360" w:lineRule="auto"/>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截止时间：</w:t>
      </w:r>
      <w:r>
        <w:rPr>
          <w:rFonts w:hint="eastAsia" w:asciiTheme="minorEastAsia" w:hAnsiTheme="minorEastAsia" w:eastAsiaTheme="minorEastAsia"/>
          <w:color w:val="FF0000"/>
          <w:szCs w:val="21"/>
          <w:u w:val="single"/>
        </w:rPr>
        <w:t>2025年</w:t>
      </w:r>
      <w:r>
        <w:rPr>
          <w:rFonts w:hint="eastAsia" w:asciiTheme="minorEastAsia" w:hAnsiTheme="minorEastAsia" w:eastAsiaTheme="minorEastAsia"/>
          <w:color w:val="FF0000"/>
          <w:szCs w:val="21"/>
          <w:u w:val="single"/>
          <w:lang w:val="en-US" w:eastAsia="zh-CN"/>
        </w:rPr>
        <w:t>09</w:t>
      </w:r>
      <w:r>
        <w:rPr>
          <w:rFonts w:hint="eastAsia" w:asciiTheme="minorEastAsia" w:hAnsiTheme="minorEastAsia" w:eastAsiaTheme="minorEastAsia"/>
          <w:color w:val="FF0000"/>
          <w:szCs w:val="21"/>
          <w:u w:val="single"/>
        </w:rPr>
        <w:t>月</w:t>
      </w:r>
      <w:r>
        <w:rPr>
          <w:rFonts w:hint="eastAsia" w:asciiTheme="minorEastAsia" w:hAnsiTheme="minorEastAsia" w:eastAsiaTheme="minorEastAsia"/>
          <w:color w:val="FF0000"/>
          <w:szCs w:val="21"/>
          <w:u w:val="single"/>
          <w:lang w:val="en-US" w:eastAsia="zh-CN"/>
        </w:rPr>
        <w:t>15</w:t>
      </w:r>
      <w:r>
        <w:rPr>
          <w:rFonts w:hint="eastAsia" w:asciiTheme="minorEastAsia" w:hAnsiTheme="minorEastAsia" w:eastAsiaTheme="minorEastAsia"/>
          <w:bCs/>
          <w:color w:val="FF0000"/>
          <w:szCs w:val="21"/>
          <w:u w:val="single"/>
        </w:rPr>
        <w:t>日9：00</w:t>
      </w:r>
      <w:r>
        <w:rPr>
          <w:rFonts w:hint="eastAsia" w:asciiTheme="minorEastAsia" w:hAnsiTheme="minorEastAsia" w:eastAsiaTheme="minorEastAsia"/>
          <w:bCs/>
          <w:szCs w:val="21"/>
        </w:rPr>
        <w:t>（北京时间）</w:t>
      </w:r>
    </w:p>
    <w:p w14:paraId="68026782">
      <w:pPr>
        <w:spacing w:line="360" w:lineRule="auto"/>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地点：</w:t>
      </w:r>
      <w:r>
        <w:rPr>
          <w:rFonts w:hint="eastAsia" w:ascii="宋体" w:hAnsi="宋体" w:cs="宋体"/>
          <w:szCs w:val="21"/>
        </w:rPr>
        <w:t>广西政府采购云平台（https://www.gcy.zfcg.gxzf.gov.cn/）</w:t>
      </w:r>
      <w:r>
        <w:rPr>
          <w:rFonts w:hint="eastAsia" w:cs="仿宋_GB2312" w:asciiTheme="minorEastAsia" w:hAnsiTheme="minorEastAsia" w:eastAsiaTheme="minorEastAsia"/>
          <w:b/>
          <w:szCs w:val="21"/>
        </w:rPr>
        <w:t>。</w:t>
      </w:r>
    </w:p>
    <w:p w14:paraId="3F49C3F6">
      <w:pPr>
        <w:pStyle w:val="633"/>
        <w:ind w:firstLine="0"/>
        <w:rPr>
          <w:b/>
          <w:sz w:val="21"/>
          <w:szCs w:val="21"/>
        </w:rPr>
      </w:pPr>
      <w:bookmarkStart w:id="27" w:name="_Toc28359093"/>
      <w:bookmarkStart w:id="28" w:name="_Toc28359016"/>
      <w:bookmarkStart w:id="29" w:name="_Toc35393633"/>
      <w:bookmarkStart w:id="30" w:name="_Toc35393802"/>
      <w:r>
        <w:rPr>
          <w:rFonts w:hint="eastAsia"/>
          <w:b/>
          <w:sz w:val="21"/>
          <w:szCs w:val="21"/>
        </w:rPr>
        <w:t>五、响应文件开启</w:t>
      </w:r>
      <w:bookmarkEnd w:id="27"/>
      <w:bookmarkEnd w:id="28"/>
      <w:bookmarkEnd w:id="29"/>
      <w:bookmarkEnd w:id="30"/>
    </w:p>
    <w:p w14:paraId="0BEF9720">
      <w:pPr>
        <w:spacing w:line="360" w:lineRule="auto"/>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时间：</w:t>
      </w:r>
      <w:r>
        <w:rPr>
          <w:rFonts w:hint="eastAsia" w:asciiTheme="minorEastAsia" w:hAnsiTheme="minorEastAsia" w:eastAsiaTheme="minorEastAsia"/>
          <w:color w:val="FF0000"/>
          <w:szCs w:val="21"/>
          <w:u w:val="single"/>
        </w:rPr>
        <w:t>2025年</w:t>
      </w:r>
      <w:r>
        <w:rPr>
          <w:rFonts w:hint="eastAsia" w:asciiTheme="minorEastAsia" w:hAnsiTheme="minorEastAsia" w:eastAsiaTheme="minorEastAsia"/>
          <w:color w:val="FF0000"/>
          <w:szCs w:val="21"/>
          <w:u w:val="single"/>
          <w:lang w:val="en-US" w:eastAsia="zh-CN"/>
        </w:rPr>
        <w:t>09</w:t>
      </w:r>
      <w:r>
        <w:rPr>
          <w:rFonts w:hint="eastAsia" w:asciiTheme="minorEastAsia" w:hAnsiTheme="minorEastAsia" w:eastAsiaTheme="minorEastAsia"/>
          <w:color w:val="FF0000"/>
          <w:szCs w:val="21"/>
          <w:u w:val="single"/>
        </w:rPr>
        <w:t>月</w:t>
      </w:r>
      <w:r>
        <w:rPr>
          <w:rFonts w:hint="eastAsia" w:asciiTheme="minorEastAsia" w:hAnsiTheme="minorEastAsia" w:eastAsiaTheme="minorEastAsia"/>
          <w:color w:val="FF0000"/>
          <w:szCs w:val="21"/>
          <w:u w:val="single"/>
          <w:lang w:val="en-US" w:eastAsia="zh-CN"/>
        </w:rPr>
        <w:t>15</w:t>
      </w:r>
      <w:r>
        <w:rPr>
          <w:rFonts w:hint="eastAsia" w:asciiTheme="minorEastAsia" w:hAnsiTheme="minorEastAsia" w:eastAsiaTheme="minorEastAsia"/>
          <w:bCs/>
          <w:color w:val="FF0000"/>
          <w:szCs w:val="21"/>
          <w:u w:val="single"/>
        </w:rPr>
        <w:t>日9：00</w:t>
      </w:r>
      <w:r>
        <w:rPr>
          <w:rFonts w:hint="eastAsia" w:asciiTheme="minorEastAsia" w:hAnsiTheme="minorEastAsia" w:eastAsiaTheme="minorEastAsia"/>
          <w:bCs/>
          <w:szCs w:val="21"/>
        </w:rPr>
        <w:t>（北京时间）</w:t>
      </w:r>
    </w:p>
    <w:p w14:paraId="0185698A">
      <w:pPr>
        <w:spacing w:line="360" w:lineRule="auto"/>
        <w:ind w:firstLine="420" w:firstLineChars="200"/>
        <w:rPr>
          <w:rFonts w:asciiTheme="minorEastAsia" w:hAnsiTheme="minorEastAsia" w:eastAsiaTheme="minorEastAsia"/>
          <w:bCs/>
          <w:szCs w:val="21"/>
          <w:u w:val="single"/>
        </w:rPr>
      </w:pPr>
      <w:r>
        <w:rPr>
          <w:rFonts w:hint="eastAsia" w:asciiTheme="minorEastAsia" w:hAnsiTheme="minorEastAsia" w:eastAsiaTheme="minorEastAsia"/>
          <w:szCs w:val="21"/>
        </w:rPr>
        <w:t>地点：</w:t>
      </w:r>
      <w:r>
        <w:rPr>
          <w:rFonts w:hint="eastAsia" w:ascii="宋体" w:hAnsi="宋体" w:cs="宋体"/>
          <w:szCs w:val="21"/>
        </w:rPr>
        <w:t>广西政府采购云平台（https://www.gcy.zfcg.gxzf.gov.cn/）</w:t>
      </w:r>
      <w:r>
        <w:rPr>
          <w:rFonts w:hint="eastAsia" w:cs="宋体" w:asciiTheme="minorEastAsia" w:hAnsiTheme="minorEastAsia" w:eastAsiaTheme="minorEastAsia"/>
          <w:szCs w:val="21"/>
        </w:rPr>
        <w:t>。</w:t>
      </w:r>
    </w:p>
    <w:p w14:paraId="762E8E79">
      <w:pPr>
        <w:pStyle w:val="633"/>
        <w:ind w:firstLine="0"/>
        <w:rPr>
          <w:b/>
          <w:sz w:val="21"/>
          <w:szCs w:val="21"/>
        </w:rPr>
      </w:pPr>
      <w:bookmarkStart w:id="31" w:name="_Toc28359094"/>
      <w:bookmarkStart w:id="32" w:name="_Toc35393803"/>
      <w:bookmarkStart w:id="33" w:name="_Toc28359017"/>
      <w:bookmarkStart w:id="34" w:name="_Toc35393634"/>
      <w:r>
        <w:rPr>
          <w:rFonts w:hint="eastAsia"/>
          <w:b/>
          <w:sz w:val="21"/>
          <w:szCs w:val="21"/>
        </w:rPr>
        <w:t>六、公告期限</w:t>
      </w:r>
      <w:bookmarkEnd w:id="31"/>
      <w:bookmarkEnd w:id="32"/>
      <w:bookmarkEnd w:id="33"/>
      <w:bookmarkEnd w:id="34"/>
    </w:p>
    <w:p w14:paraId="731CB2C3">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自本公告发布之日起5个工作日。</w:t>
      </w:r>
    </w:p>
    <w:p w14:paraId="2F02E37E">
      <w:pPr>
        <w:pStyle w:val="633"/>
        <w:ind w:firstLine="0"/>
        <w:rPr>
          <w:b/>
          <w:sz w:val="21"/>
          <w:szCs w:val="21"/>
        </w:rPr>
      </w:pPr>
      <w:bookmarkStart w:id="35" w:name="_Toc35393635"/>
      <w:bookmarkStart w:id="36" w:name="_Toc35393804"/>
      <w:r>
        <w:rPr>
          <w:rFonts w:hint="eastAsia"/>
          <w:b/>
          <w:sz w:val="21"/>
          <w:szCs w:val="21"/>
        </w:rPr>
        <w:t>七、其他补充事宜</w:t>
      </w:r>
      <w:bookmarkEnd w:id="35"/>
      <w:bookmarkEnd w:id="36"/>
    </w:p>
    <w:p w14:paraId="1CDE2DF8">
      <w:pPr>
        <w:wordWrap w:val="0"/>
        <w:spacing w:line="360" w:lineRule="auto"/>
        <w:ind w:firstLine="420" w:firstLineChars="200"/>
        <w:rPr>
          <w:rFonts w:ascii="宋体" w:hAnsi="宋体" w:cs="宋体"/>
          <w:szCs w:val="21"/>
        </w:rPr>
      </w:pPr>
      <w:r>
        <w:rPr>
          <w:rFonts w:hint="eastAsia" w:ascii="宋体" w:hAnsi="宋体" w:cs="宋体"/>
          <w:szCs w:val="21"/>
        </w:rPr>
        <w:t>1.磋商保证金：无。</w:t>
      </w:r>
    </w:p>
    <w:p w14:paraId="12964ABA">
      <w:pPr>
        <w:wordWrap w:val="0"/>
        <w:spacing w:line="360" w:lineRule="auto"/>
        <w:ind w:firstLine="420" w:firstLineChars="200"/>
        <w:rPr>
          <w:rFonts w:ascii="宋体" w:hAnsi="宋体" w:cs="宋体"/>
          <w:szCs w:val="21"/>
        </w:rPr>
      </w:pPr>
      <w:r>
        <w:rPr>
          <w:rFonts w:hint="eastAsia" w:ascii="宋体" w:hAnsi="宋体" w:cs="宋体"/>
          <w:szCs w:val="21"/>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ABD8DED">
      <w:pPr>
        <w:wordWrap w:val="0"/>
        <w:spacing w:line="360" w:lineRule="auto"/>
        <w:ind w:firstLine="420" w:firstLineChars="200"/>
        <w:rPr>
          <w:szCs w:val="21"/>
        </w:rPr>
      </w:pPr>
      <w:r>
        <w:rPr>
          <w:rFonts w:hint="eastAsia" w:ascii="宋体" w:hAnsi="宋体" w:cs="宋体"/>
          <w:snapToGrid w:val="0"/>
          <w:kern w:val="28"/>
          <w:szCs w:val="21"/>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44FA7418">
      <w:pPr>
        <w:wordWrap w:val="0"/>
        <w:spacing w:line="360" w:lineRule="auto"/>
        <w:ind w:firstLine="420" w:firstLineChars="200"/>
        <w:rPr>
          <w:rFonts w:ascii="宋体" w:hAnsi="宋体" w:cs="宋体"/>
          <w:szCs w:val="21"/>
        </w:rPr>
      </w:pPr>
      <w:r>
        <w:rPr>
          <w:rFonts w:hint="eastAsia" w:ascii="宋体" w:hAnsi="宋体" w:cs="宋体"/>
          <w:szCs w:val="21"/>
        </w:rPr>
        <w:t>4.网上公告媒体查询：中国政府采购网（http://www.ccgp.gov.cn）、广西壮族自治区政府采购网（http://zfcg.gxzf.gov.cn）、北海市政府采购监管网（https://bhzfcg.zcygov.cn）。</w:t>
      </w:r>
    </w:p>
    <w:p w14:paraId="5744A2FF">
      <w:pPr>
        <w:wordWrap w:val="0"/>
        <w:spacing w:line="360" w:lineRule="auto"/>
        <w:ind w:firstLine="420" w:firstLineChars="200"/>
        <w:rPr>
          <w:rFonts w:ascii="宋体" w:hAnsi="宋体" w:cs="宋体"/>
          <w:szCs w:val="21"/>
        </w:rPr>
      </w:pPr>
      <w:r>
        <w:rPr>
          <w:rFonts w:hint="eastAsia" w:ascii="宋体" w:hAnsi="宋体" w:cs="宋体"/>
          <w:szCs w:val="21"/>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7F2DE826">
      <w:pPr>
        <w:wordWrap w:val="0"/>
        <w:spacing w:line="360" w:lineRule="auto"/>
        <w:ind w:firstLine="420" w:firstLineChars="200"/>
        <w:rPr>
          <w:rFonts w:ascii="宋体" w:hAnsi="宋体" w:cs="宋体"/>
          <w:szCs w:val="21"/>
        </w:rPr>
      </w:pPr>
      <w:r>
        <w:rPr>
          <w:rFonts w:hint="eastAsia" w:ascii="宋体" w:hAnsi="宋体" w:cs="宋体"/>
          <w:szCs w:val="21"/>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F300001">
      <w:pPr>
        <w:wordWrap w:val="0"/>
        <w:spacing w:line="360" w:lineRule="auto"/>
        <w:ind w:firstLine="422" w:firstLineChars="200"/>
        <w:rPr>
          <w:rFonts w:ascii="宋体" w:hAnsi="宋体" w:cs="宋体"/>
          <w:b/>
          <w:bCs/>
          <w:szCs w:val="21"/>
        </w:rPr>
      </w:pPr>
      <w:r>
        <w:rPr>
          <w:rFonts w:hint="eastAsia" w:ascii="宋体" w:hAnsi="宋体" w:cs="宋体"/>
          <w:b/>
          <w:bCs/>
          <w:szCs w:val="21"/>
        </w:rPr>
        <w:t>7.本项目采用远程异地评审。</w:t>
      </w:r>
    </w:p>
    <w:p w14:paraId="0F7CE621">
      <w:pPr>
        <w:wordWrap w:val="0"/>
        <w:spacing w:line="360" w:lineRule="auto"/>
        <w:ind w:firstLine="420" w:firstLineChars="200"/>
        <w:rPr>
          <w:rFonts w:ascii="宋体" w:hAnsi="宋体" w:cs="宋体"/>
          <w:szCs w:val="21"/>
        </w:rPr>
      </w:pPr>
      <w:r>
        <w:rPr>
          <w:rFonts w:hint="eastAsia" w:ascii="宋体" w:hAnsi="宋体" w:cs="宋体"/>
          <w:szCs w:val="21"/>
        </w:rPr>
        <w:t>8.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954991">
      <w:pPr>
        <w:spacing w:line="360" w:lineRule="auto"/>
        <w:ind w:firstLine="480"/>
        <w:rPr>
          <w:rFonts w:ascii="宋体" w:hAnsi="宋体" w:cs="宋体"/>
          <w:szCs w:val="21"/>
        </w:rPr>
      </w:pPr>
      <w:r>
        <w:rPr>
          <w:rFonts w:hint="eastAsia" w:ascii="宋体" w:hAnsi="宋体" w:cs="宋体"/>
          <w:szCs w:val="21"/>
        </w:rPr>
        <w:t>9.</w:t>
      </w:r>
      <w:r>
        <w:rPr>
          <w:rFonts w:hint="eastAsia" w:cs="宋体" w:asciiTheme="minorEastAsia" w:hAnsiTheme="minorEastAsia" w:eastAsiaTheme="minorEastAsia"/>
          <w:snapToGrid w:val="0"/>
          <w:kern w:val="28"/>
          <w:szCs w:val="21"/>
        </w:rPr>
        <w:t>未被“信用中国”（www.creditchina.gov.cn)、中国政府采购网（www.ccgp.gov.cn）列入失信被执行人、重大税收违法案件当事人名单、政府采购严重违法失信行为记录名单；</w:t>
      </w:r>
    </w:p>
    <w:p w14:paraId="0B3427C1">
      <w:pPr>
        <w:pStyle w:val="633"/>
        <w:ind w:firstLine="0"/>
        <w:rPr>
          <w:b/>
          <w:sz w:val="21"/>
          <w:szCs w:val="21"/>
        </w:rPr>
      </w:pPr>
      <w:bookmarkStart w:id="37" w:name="_Toc35393805"/>
      <w:bookmarkStart w:id="38" w:name="_Toc35393636"/>
      <w:bookmarkStart w:id="39" w:name="_Toc28359018"/>
      <w:bookmarkStart w:id="40" w:name="_Toc28359095"/>
      <w:r>
        <w:rPr>
          <w:rFonts w:hint="eastAsia"/>
          <w:b/>
          <w:sz w:val="21"/>
          <w:szCs w:val="21"/>
        </w:rPr>
        <w:t>八、凡对本次采购提出询问、质疑、投诉，请按以下方式联系</w:t>
      </w:r>
      <w:bookmarkEnd w:id="37"/>
      <w:bookmarkEnd w:id="38"/>
      <w:bookmarkEnd w:id="39"/>
      <w:bookmarkEnd w:id="40"/>
    </w:p>
    <w:p w14:paraId="6AE5D60D">
      <w:pPr>
        <w:spacing w:line="360" w:lineRule="auto"/>
        <w:rPr>
          <w:rFonts w:ascii="宋体" w:hAnsi="宋体" w:cs="宋体"/>
          <w:szCs w:val="21"/>
        </w:rPr>
      </w:pPr>
      <w:r>
        <w:rPr>
          <w:rFonts w:hint="eastAsia" w:ascii="宋体" w:hAnsi="宋体" w:cs="宋体"/>
          <w:szCs w:val="21"/>
        </w:rPr>
        <w:t xml:space="preserve">  1.采购人信息</w:t>
      </w:r>
    </w:p>
    <w:p w14:paraId="0E51A0BE">
      <w:pPr>
        <w:spacing w:line="360" w:lineRule="auto"/>
        <w:ind w:firstLine="420" w:firstLineChars="200"/>
        <w:rPr>
          <w:rFonts w:ascii="宋体" w:hAnsi="宋体" w:cs="宋体"/>
          <w:szCs w:val="21"/>
        </w:rPr>
      </w:pPr>
      <w:r>
        <w:rPr>
          <w:rFonts w:hint="eastAsia" w:ascii="宋体" w:hAnsi="宋体" w:cs="宋体"/>
          <w:szCs w:val="21"/>
        </w:rPr>
        <w:t>名    称：</w:t>
      </w:r>
      <w:r>
        <w:rPr>
          <w:rFonts w:hint="eastAsia" w:hAnsi="宋体" w:cs="宋体"/>
          <w:szCs w:val="21"/>
        </w:rPr>
        <w:t>北海市自然资源局</w:t>
      </w:r>
      <w:r>
        <w:rPr>
          <w:rFonts w:hint="eastAsia" w:ascii="宋体" w:hAnsi="宋体" w:cs="宋体"/>
          <w:szCs w:val="21"/>
        </w:rPr>
        <w:t xml:space="preserve"> </w:t>
      </w:r>
    </w:p>
    <w:p w14:paraId="6C9061C7">
      <w:pPr>
        <w:spacing w:line="360" w:lineRule="auto"/>
        <w:rPr>
          <w:rFonts w:ascii="宋体" w:hAnsi="宋体" w:cs="宋体"/>
          <w:szCs w:val="21"/>
        </w:rPr>
      </w:pPr>
      <w:r>
        <w:rPr>
          <w:rFonts w:hint="eastAsia" w:ascii="宋体" w:hAnsi="宋体" w:cs="宋体"/>
          <w:szCs w:val="21"/>
        </w:rPr>
        <w:t xml:space="preserve">    地    址：北海市海城区四川南路73号       </w:t>
      </w:r>
    </w:p>
    <w:p w14:paraId="7A03F771">
      <w:pPr>
        <w:spacing w:line="360" w:lineRule="auto"/>
        <w:ind w:firstLine="420" w:firstLineChars="200"/>
        <w:rPr>
          <w:rFonts w:ascii="宋体" w:hAnsi="宋体" w:cs="宋体"/>
          <w:szCs w:val="21"/>
        </w:rPr>
      </w:pPr>
      <w:r>
        <w:rPr>
          <w:rFonts w:hint="eastAsia" w:ascii="宋体" w:hAnsi="宋体" w:cs="宋体"/>
          <w:szCs w:val="21"/>
        </w:rPr>
        <w:t>项目联系人：</w:t>
      </w:r>
      <w:r>
        <w:rPr>
          <w:rFonts w:hint="eastAsia" w:ascii="宋体" w:hAnsi="宋体" w:cs="宋体"/>
        </w:rPr>
        <w:t>彭工</w:t>
      </w:r>
      <w:r>
        <w:rPr>
          <w:rFonts w:hint="eastAsia" w:ascii="宋体" w:hAnsi="宋体" w:cs="宋体"/>
          <w:szCs w:val="21"/>
        </w:rPr>
        <w:t xml:space="preserve">  </w:t>
      </w:r>
    </w:p>
    <w:p w14:paraId="0538967A">
      <w:pPr>
        <w:spacing w:line="360" w:lineRule="auto"/>
        <w:rPr>
          <w:rFonts w:ascii="宋体" w:hAnsi="宋体" w:cs="宋体"/>
          <w:szCs w:val="21"/>
        </w:rPr>
      </w:pPr>
      <w:r>
        <w:rPr>
          <w:rFonts w:hint="eastAsia" w:ascii="宋体" w:hAnsi="宋体" w:cs="宋体"/>
          <w:szCs w:val="21"/>
        </w:rPr>
        <w:t xml:space="preserve">    项目联系方式：</w:t>
      </w:r>
      <w:r>
        <w:rPr>
          <w:rFonts w:hint="eastAsia" w:ascii="宋体" w:hAnsi="宋体" w:cs="宋体"/>
          <w:lang w:eastAsia="zh-CN"/>
        </w:rPr>
        <w:t>0779-2050755</w:t>
      </w:r>
      <w:r>
        <w:rPr>
          <w:rFonts w:hint="eastAsia" w:ascii="宋体" w:hAnsi="宋体" w:cs="宋体"/>
          <w:szCs w:val="21"/>
        </w:rPr>
        <w:t xml:space="preserve"> </w:t>
      </w:r>
    </w:p>
    <w:p w14:paraId="66F17380">
      <w:pPr>
        <w:spacing w:line="360" w:lineRule="auto"/>
        <w:rPr>
          <w:rFonts w:ascii="宋体" w:hAnsi="宋体" w:cs="宋体"/>
          <w:szCs w:val="21"/>
        </w:rPr>
      </w:pPr>
      <w:r>
        <w:rPr>
          <w:rFonts w:hint="eastAsia" w:ascii="宋体" w:hAnsi="宋体" w:cs="宋体"/>
          <w:szCs w:val="21"/>
        </w:rPr>
        <w:t xml:space="preserve">  2.采购代理机构信息            </w:t>
      </w:r>
    </w:p>
    <w:p w14:paraId="57E8E3A5">
      <w:pPr>
        <w:spacing w:line="360" w:lineRule="auto"/>
        <w:ind w:firstLine="420" w:firstLineChars="200"/>
        <w:rPr>
          <w:rFonts w:ascii="宋体" w:hAnsi="宋体" w:cs="宋体"/>
          <w:szCs w:val="21"/>
        </w:rPr>
      </w:pPr>
      <w:r>
        <w:rPr>
          <w:rFonts w:hint="eastAsia" w:ascii="宋体" w:hAnsi="宋体" w:cs="宋体"/>
          <w:szCs w:val="21"/>
        </w:rPr>
        <w:t>名    称：</w:t>
      </w:r>
      <w:r>
        <w:rPr>
          <w:rFonts w:hint="eastAsia" w:hAnsi="宋体" w:cs="宋体"/>
          <w:szCs w:val="21"/>
        </w:rPr>
        <w:t>广西亿翔荣工程管理有限责任公司</w:t>
      </w:r>
    </w:p>
    <w:p w14:paraId="1C720B3C">
      <w:pPr>
        <w:spacing w:line="360" w:lineRule="auto"/>
        <w:ind w:firstLine="420" w:firstLineChars="200"/>
        <w:rPr>
          <w:rFonts w:ascii="宋体" w:hAnsi="宋体" w:cs="宋体"/>
          <w:szCs w:val="21"/>
        </w:rPr>
      </w:pPr>
      <w:r>
        <w:rPr>
          <w:rFonts w:hint="eastAsia" w:ascii="宋体" w:hAnsi="宋体" w:cs="宋体"/>
          <w:szCs w:val="21"/>
        </w:rPr>
        <w:t>地    址：</w:t>
      </w:r>
      <w:r>
        <w:rPr>
          <w:rFonts w:hint="eastAsia" w:hAnsi="宋体" w:cs="宋体"/>
          <w:szCs w:val="21"/>
        </w:rPr>
        <w:t>北海市金海岸大道45号北部湾科技创业中心2幢0301号（西海岸·国际工社）</w:t>
      </w:r>
    </w:p>
    <w:p w14:paraId="5E25AB8D">
      <w:pPr>
        <w:spacing w:line="360" w:lineRule="auto"/>
        <w:rPr>
          <w:rFonts w:ascii="宋体" w:hAnsi="宋体" w:cs="宋体"/>
          <w:szCs w:val="21"/>
        </w:rPr>
      </w:pPr>
      <w:r>
        <w:rPr>
          <w:rFonts w:hint="eastAsia" w:ascii="宋体" w:hAnsi="宋体" w:cs="宋体"/>
          <w:szCs w:val="21"/>
        </w:rPr>
        <w:t xml:space="preserve">    项目联系人（询问）：黄杰</w:t>
      </w:r>
    </w:p>
    <w:p w14:paraId="6633273F">
      <w:pPr>
        <w:spacing w:line="360" w:lineRule="auto"/>
        <w:rPr>
          <w:rFonts w:ascii="宋体" w:hAnsi="宋体" w:cs="宋体"/>
          <w:szCs w:val="21"/>
        </w:rPr>
      </w:pPr>
      <w:r>
        <w:rPr>
          <w:rFonts w:hint="eastAsia" w:ascii="宋体" w:hAnsi="宋体" w:cs="宋体"/>
          <w:szCs w:val="21"/>
        </w:rPr>
        <w:t xml:space="preserve">    项目联系方式（询问）：0779-2218733</w:t>
      </w:r>
    </w:p>
    <w:p w14:paraId="537592B9">
      <w:pPr>
        <w:pStyle w:val="633"/>
        <w:rPr>
          <w:sz w:val="21"/>
          <w:szCs w:val="21"/>
        </w:rPr>
      </w:pPr>
    </w:p>
    <w:p w14:paraId="608AA031">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若对项目采购电子交易系统操作有疑问，可登录广西政府采购云平台（https://www.zcygov.cn/），点击右侧咨询小采，获取采小蜜智能服务管家帮助，或拨打广西政府采购云平台服务热线95763获取热线服务帮助。</w:t>
      </w:r>
    </w:p>
    <w:p w14:paraId="4130619A">
      <w:pPr>
        <w:adjustRightInd/>
        <w:spacing w:line="360" w:lineRule="auto"/>
        <w:jc w:val="center"/>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81D16B3">
      <w:pPr>
        <w:adjustRightInd/>
        <w:spacing w:line="360" w:lineRule="auto"/>
        <w:jc w:val="center"/>
        <w:outlineLvl w:val="0"/>
        <w:rPr>
          <w:rFonts w:cs="仿宋_GB2312" w:asciiTheme="minorEastAsia" w:hAnsiTheme="minorEastAsia" w:eastAsiaTheme="minorEastAsia"/>
          <w:b/>
          <w:sz w:val="32"/>
          <w:szCs w:val="20"/>
        </w:rPr>
      </w:pPr>
      <w:bookmarkStart w:id="41" w:name="_Toc2034"/>
      <w:bookmarkStart w:id="42" w:name="_Toc22488"/>
      <w:r>
        <w:rPr>
          <w:rFonts w:hint="eastAsia" w:cs="仿宋_GB2312" w:asciiTheme="minorEastAsia" w:hAnsiTheme="minorEastAsia" w:eastAsiaTheme="minorEastAsia"/>
          <w:b/>
          <w:sz w:val="36"/>
          <w:szCs w:val="20"/>
        </w:rPr>
        <w:t>第二部分 竞争性磋商流程</w:t>
      </w:r>
      <w:bookmarkEnd w:id="41"/>
      <w:bookmarkEnd w:id="42"/>
    </w:p>
    <w:p w14:paraId="0EFCD55B">
      <w:pPr>
        <w:pStyle w:val="394"/>
        <w:spacing w:before="0"/>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1.征集供应商</w:t>
      </w:r>
    </w:p>
    <w:p w14:paraId="1491AF25">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1.1邀请供应商。</w:t>
      </w:r>
    </w:p>
    <w:p w14:paraId="33F8E2ED">
      <w:pPr>
        <w:pStyle w:val="394"/>
        <w:spacing w:before="0"/>
        <w:ind w:firstLine="420"/>
        <w:rPr>
          <w:rFonts w:asciiTheme="minorEastAsia" w:hAnsiTheme="minorEastAsia" w:eastAsiaTheme="minorEastAsia"/>
          <w:sz w:val="21"/>
          <w:szCs w:val="21"/>
        </w:rPr>
      </w:pPr>
      <w:r>
        <w:rPr>
          <w:rFonts w:hint="eastAsia" w:ascii="宋体" w:hAnsi="宋体" w:cs="宋体"/>
          <w:kern w:val="0"/>
          <w:sz w:val="21"/>
          <w:szCs w:val="21"/>
        </w:rPr>
        <w:sym w:font="Wingdings" w:char="F0FE"/>
      </w:r>
      <w:r>
        <w:rPr>
          <w:rFonts w:hint="eastAsia" w:asciiTheme="minorEastAsia" w:hAnsiTheme="minorEastAsia" w:eastAsiaTheme="minorEastAsia"/>
          <w:b/>
          <w:sz w:val="21"/>
          <w:szCs w:val="21"/>
        </w:rPr>
        <w:t>采用公告方式邀请供应商的，</w:t>
      </w:r>
      <w:r>
        <w:rPr>
          <w:rFonts w:hint="eastAsia" w:asciiTheme="minorEastAsia" w:hAnsiTheme="minorEastAsia" w:eastAsiaTheme="minorEastAsia"/>
          <w:sz w:val="21"/>
          <w:szCs w:val="21"/>
        </w:rPr>
        <w:t>由采购人、采购代理机构在省级以上人民政府财政部门指定的政府采购信息发布媒体上发布磋商公告，邀请符合相应资格条件的供应商参与竞争性磋商采购活动。</w:t>
      </w:r>
    </w:p>
    <w:p w14:paraId="6E2678AF">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1.2供应商获取磋商文件。</w:t>
      </w:r>
    </w:p>
    <w:p w14:paraId="54F0C291">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1.3组织现场考察或召开答疑会（如果有）。</w:t>
      </w:r>
    </w:p>
    <w:p w14:paraId="33650B38">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1.4发布更正（延期）公告，澄清或修改磋商文件（如果有）。</w:t>
      </w:r>
    </w:p>
    <w:p w14:paraId="466C3551">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1.5供应商按磋商文件要求编制响应文件。</w:t>
      </w:r>
    </w:p>
    <w:p w14:paraId="40463353">
      <w:pPr>
        <w:pStyle w:val="394"/>
        <w:spacing w:before="0"/>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2.响应文件开启与信用信息查询</w:t>
      </w:r>
    </w:p>
    <w:p w14:paraId="602BDB41">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2.1供应商依据“提交响应文件的截止时间与地点”通过广西政府采购云平台在线提交响应文件。供应商在提交响应文件的截止时间前，可以补充、修改或撤回响应文件。</w:t>
      </w:r>
    </w:p>
    <w:p w14:paraId="0D87403B">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Arial" w:asciiTheme="minorEastAsia" w:hAnsiTheme="minorEastAsia" w:eastAsiaTheme="minorEastAsia"/>
          <w:kern w:val="0"/>
          <w:sz w:val="21"/>
          <w:szCs w:val="21"/>
        </w:rPr>
        <w:t>采购人或者采购代理机构将通过“信用中国”网站(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1"/>
          <w:szCs w:val="21"/>
        </w:rPr>
        <w:t>www.creditchina.gov.cn</w:t>
      </w:r>
      <w:r>
        <w:rPr>
          <w:rStyle w:val="69"/>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)和中国政府采购网(www.ccgp.gov.cn)渠道查询供应商响应截止时间当日的信用记录。</w:t>
      </w:r>
    </w:p>
    <w:p w14:paraId="18B7D554">
      <w:pPr>
        <w:pStyle w:val="394"/>
        <w:spacing w:before="0"/>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3.磋商与评审</w:t>
      </w:r>
    </w:p>
    <w:p w14:paraId="5F7FAC57">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3.1磋商小组签到。</w:t>
      </w:r>
    </w:p>
    <w:p w14:paraId="4003619E">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3.2采购代理机构宣布有关纪律以及磋商、评审工作程序。</w:t>
      </w:r>
    </w:p>
    <w:p w14:paraId="5CC4C656">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3.3磋商小组审查确认磋商文件。磋商文件内容违反国家有关强制性规定的，磋商小组应当停止评审并向采购代理机构说明情况。</w:t>
      </w:r>
    </w:p>
    <w:p w14:paraId="03F9A637">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3.4磋商小组对供应商的资格进行审查。</w:t>
      </w:r>
    </w:p>
    <w:p w14:paraId="1B6A3EB6">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3.5磋商小组审查响应文件。</w:t>
      </w:r>
    </w:p>
    <w:p w14:paraId="55F47E78">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3.6对于未实质性响应磋商文件的响应文件由磋商小组认定响应无效，并告知该供应商。</w:t>
      </w:r>
    </w:p>
    <w:p w14:paraId="1FA49DD5">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947BEDC">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2071C688">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3.9经磋商确定磋商文件的变动情况。对磋商文件作出的实质性变动是磋商文件的有效组成部分，磋商小组应当及时以书面形式同时通知所有参加磋商的供应商。</w:t>
      </w:r>
    </w:p>
    <w:p w14:paraId="47DA0342">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1BBC921">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3.11磋商小组按照下列方式确定提交最后报价的供应商，有特殊规定的从其规定：</w:t>
      </w:r>
    </w:p>
    <w:p w14:paraId="6C1FBBC5">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18736B08">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EDDCC21">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3.12确定进入最后报价的供应商在规定时间内提交最后报价。</w:t>
      </w:r>
    </w:p>
    <w:p w14:paraId="3DECC6A2">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F8D1AFB">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3.14磋商小组应当根据综合评分情况，按照评审得分由高到低顺序推荐3名以上成交候选供应商，并编写评审报告。</w:t>
      </w:r>
    </w:p>
    <w:p w14:paraId="2350D8C4">
      <w:pPr>
        <w:pStyle w:val="394"/>
        <w:spacing w:before="0" w:line="348" w:lineRule="auto"/>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4. 成交</w:t>
      </w:r>
    </w:p>
    <w:p w14:paraId="6F9898EA">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4.1</w:t>
      </w:r>
      <w:r>
        <w:rPr>
          <w:rFonts w:hint="eastAsia" w:ascii="宋体" w:hAnsi="宋体" w:cs="宋体"/>
          <w:sz w:val="21"/>
          <w:szCs w:val="21"/>
        </w:rPr>
        <w:t>政府采购项目实行全流程电子化，评审报告送交、采购结果确定和结果公告均在线完成。</w:t>
      </w:r>
      <w:r>
        <w:rPr>
          <w:rFonts w:hint="eastAsia" w:asciiTheme="minorEastAsia" w:hAnsiTheme="minorEastAsia" w:eastAsiaTheme="minorEastAsia"/>
          <w:sz w:val="21"/>
          <w:szCs w:val="21"/>
        </w:rPr>
        <w:t>采购代理机构应当</w:t>
      </w:r>
      <w:r>
        <w:rPr>
          <w:rFonts w:hint="eastAsia" w:ascii="宋体" w:hAnsi="宋体" w:cs="宋体"/>
          <w:sz w:val="21"/>
          <w:szCs w:val="21"/>
        </w:rPr>
        <w:t>依法及时</w:t>
      </w:r>
      <w:r>
        <w:rPr>
          <w:rFonts w:hint="eastAsia" w:asciiTheme="minorEastAsia" w:hAnsiTheme="minorEastAsia" w:eastAsiaTheme="minorEastAsia"/>
          <w:sz w:val="21"/>
          <w:szCs w:val="21"/>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C2F2E4F">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14:paraId="49107CB7">
      <w:pPr>
        <w:pStyle w:val="394"/>
        <w:spacing w:before="0" w:line="348" w:lineRule="auto"/>
        <w:ind w:firstLine="0" w:firstLineChars="0"/>
        <w:rPr>
          <w:rFonts w:cs="宋体" w:asciiTheme="minorEastAsia" w:hAnsiTheme="minorEastAsia" w:eastAsiaTheme="minorEastAsia"/>
          <w:kern w:val="0"/>
          <w:sz w:val="21"/>
          <w:szCs w:val="21"/>
        </w:rPr>
      </w:pPr>
      <w:r>
        <w:rPr>
          <w:rFonts w:hint="eastAsia" w:asciiTheme="minorEastAsia" w:hAnsiTheme="minorEastAsia" w:eastAsiaTheme="minorEastAsia"/>
          <w:b/>
          <w:sz w:val="21"/>
          <w:szCs w:val="21"/>
        </w:rPr>
        <w:t>5.合同及履约验收</w:t>
      </w:r>
    </w:p>
    <w:p w14:paraId="188D6787">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3C960DE">
      <w:pPr>
        <w:tabs>
          <w:tab w:val="left" w:pos="0"/>
        </w:tabs>
        <w:spacing w:line="348" w:lineRule="auto"/>
        <w:ind w:firstLine="482"/>
        <w:rPr>
          <w:rFonts w:asciiTheme="minorEastAsia" w:hAnsiTheme="minorEastAsia" w:eastAsiaTheme="minorEastAsia"/>
          <w:szCs w:val="21"/>
        </w:rPr>
      </w:pPr>
      <w:r>
        <w:rPr>
          <w:rFonts w:hint="eastAsia" w:asciiTheme="minorEastAsia" w:hAnsiTheme="minorEastAsia" w:eastAsiaTheme="minorEastAsia"/>
          <w:szCs w:val="21"/>
        </w:rPr>
        <w:t>5.2成交供应商按照政策要求及合同约定缴纳履约保证金（如有）。</w:t>
      </w:r>
    </w:p>
    <w:p w14:paraId="5F95C850">
      <w:pPr>
        <w:pStyle w:val="394"/>
        <w:spacing w:before="0" w:line="348"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5.3合同履约。</w:t>
      </w:r>
    </w:p>
    <w:p w14:paraId="10329096">
      <w:pPr>
        <w:pStyle w:val="394"/>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5.4采购人组织验收。</w:t>
      </w:r>
    </w:p>
    <w:p w14:paraId="7EE19711">
      <w:pPr>
        <w:widowControl/>
        <w:adjustRightInd/>
        <w:jc w:val="left"/>
        <w:rPr>
          <w:rFonts w:asciiTheme="minorEastAsia" w:hAnsiTheme="minorEastAsia" w:eastAsiaTheme="minorEastAsia"/>
          <w:b/>
          <w:sz w:val="24"/>
          <w:szCs w:val="20"/>
        </w:rPr>
      </w:pPr>
    </w:p>
    <w:p w14:paraId="2F6D5971">
      <w:pPr>
        <w:pStyle w:val="394"/>
        <w:spacing w:before="0"/>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6.竞争性磋商流程图</w:t>
      </w:r>
    </w:p>
    <w:p w14:paraId="110D1E0B">
      <w:pPr>
        <w:pStyle w:val="394"/>
        <w:spacing w:before="0"/>
        <w:ind w:firstLine="0" w:firstLineChars="0"/>
        <w:rPr>
          <w:rFonts w:asciiTheme="minorEastAsia" w:hAnsiTheme="minorEastAsia" w:eastAsiaTheme="minorEastAsia"/>
          <w:b/>
        </w:rPr>
      </w:pPr>
    </w:p>
    <w:p w14:paraId="3F46453E">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05DB2CAD">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078D0">
                            <w:pPr>
                              <w:rPr>
                                <w:rFonts w:asciiTheme="minorEastAsia" w:hAnsiTheme="minorEastAsia" w:eastAsiaTheme="minorEastAsia"/>
                              </w:rPr>
                            </w:pPr>
                            <w:r>
                              <w:rPr>
                                <w:rFonts w:hint="eastAsia" w:asciiTheme="minorEastAsia" w:hAnsiTheme="minorEastAsia" w:eastAsiaTheme="minorEastAsia"/>
                              </w:rPr>
                              <w:t>验收</w:t>
                            </w:r>
                          </w:p>
                          <w:p w14:paraId="3A178A98">
                            <w:pPr>
                              <w:rPr>
                                <w:rFonts w:ascii="仿宋_GB2312" w:eastAsia="仿宋_GB2312"/>
                              </w:rPr>
                            </w:pPr>
                            <w:r>
                              <w:rPr>
                                <w:rFonts w:hint="eastAsia" w:ascii="仿宋_GB2312" w:eastAsia="仿宋_GB2312"/>
                              </w:rPr>
                              <w:t>立项</w:t>
                            </w:r>
                          </w:p>
                          <w:p w14:paraId="342CCA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1B078D0">
                      <w:pPr>
                        <w:rPr>
                          <w:rFonts w:asciiTheme="minorEastAsia" w:hAnsiTheme="minorEastAsia" w:eastAsiaTheme="minorEastAsia"/>
                        </w:rPr>
                      </w:pPr>
                      <w:r>
                        <w:rPr>
                          <w:rFonts w:hint="eastAsia" w:asciiTheme="minorEastAsia" w:hAnsiTheme="minorEastAsia" w:eastAsiaTheme="minorEastAsia"/>
                        </w:rPr>
                        <w:t>验收</w:t>
                      </w:r>
                    </w:p>
                    <w:p w14:paraId="3A178A98">
                      <w:pPr>
                        <w:rPr>
                          <w:rFonts w:ascii="仿宋_GB2312" w:eastAsia="仿宋_GB2312"/>
                        </w:rPr>
                      </w:pPr>
                      <w:r>
                        <w:rPr>
                          <w:rFonts w:hint="eastAsia" w:ascii="仿宋_GB2312" w:eastAsia="仿宋_GB2312"/>
                        </w:rPr>
                        <w:t>立项</w:t>
                      </w:r>
                    </w:p>
                    <w:p w14:paraId="342CCA8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E23B8">
                            <w:pPr>
                              <w:rPr>
                                <w:rFonts w:asciiTheme="minorEastAsia" w:hAnsiTheme="minorEastAsia" w:eastAsiaTheme="minorEastAsia"/>
                              </w:rPr>
                            </w:pPr>
                            <w:r>
                              <w:rPr>
                                <w:rFonts w:hint="eastAsia" w:asciiTheme="minorEastAsia" w:hAnsiTheme="minorEastAsia" w:eastAsiaTheme="minorEastAsia"/>
                              </w:rPr>
                              <w:t>履约</w:t>
                            </w:r>
                          </w:p>
                          <w:p w14:paraId="169D172C">
                            <w:pPr>
                              <w:rPr>
                                <w:rFonts w:ascii="仿宋_GB2312" w:eastAsia="仿宋_GB2312"/>
                              </w:rPr>
                            </w:pPr>
                            <w:r>
                              <w:rPr>
                                <w:rFonts w:hint="eastAsia" w:ascii="仿宋_GB2312" w:eastAsia="仿宋_GB2312"/>
                              </w:rPr>
                              <w:t>立项</w:t>
                            </w:r>
                          </w:p>
                          <w:p w14:paraId="238EB7D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3FAE23B8">
                      <w:pPr>
                        <w:rPr>
                          <w:rFonts w:asciiTheme="minorEastAsia" w:hAnsiTheme="minorEastAsia" w:eastAsiaTheme="minorEastAsia"/>
                        </w:rPr>
                      </w:pPr>
                      <w:r>
                        <w:rPr>
                          <w:rFonts w:hint="eastAsia" w:asciiTheme="minorEastAsia" w:hAnsiTheme="minorEastAsia" w:eastAsiaTheme="minorEastAsia"/>
                        </w:rPr>
                        <w:t>履约</w:t>
                      </w:r>
                    </w:p>
                    <w:p w14:paraId="169D172C">
                      <w:pPr>
                        <w:rPr>
                          <w:rFonts w:ascii="仿宋_GB2312" w:eastAsia="仿宋_GB2312"/>
                        </w:rPr>
                      </w:pPr>
                      <w:r>
                        <w:rPr>
                          <w:rFonts w:hint="eastAsia" w:ascii="仿宋_GB2312" w:eastAsia="仿宋_GB2312"/>
                        </w:rPr>
                        <w:t>立项</w:t>
                      </w:r>
                    </w:p>
                    <w:p w14:paraId="238EB7D8">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45429">
                            <w:pPr>
                              <w:jc w:val="center"/>
                              <w:rPr>
                                <w:rFonts w:asciiTheme="minorEastAsia" w:hAnsiTheme="minorEastAsia" w:eastAsiaTheme="minorEastAsia"/>
                              </w:rPr>
                            </w:pPr>
                            <w:r>
                              <w:rPr>
                                <w:rFonts w:hint="eastAsia" w:asciiTheme="minorEastAsia" w:hAnsiTheme="minorEastAsia" w:eastAsiaTheme="minorEastAsia"/>
                              </w:rPr>
                              <w:t>签订合同</w:t>
                            </w:r>
                          </w:p>
                          <w:p w14:paraId="326D5AF3">
                            <w:pPr>
                              <w:rPr>
                                <w:rFonts w:ascii="仿宋_GB2312" w:eastAsia="仿宋_GB2312"/>
                              </w:rPr>
                            </w:pPr>
                            <w:r>
                              <w:rPr>
                                <w:rFonts w:hint="eastAsia" w:ascii="仿宋_GB2312" w:eastAsia="仿宋_GB2312"/>
                              </w:rPr>
                              <w:t>立项</w:t>
                            </w:r>
                          </w:p>
                          <w:p w14:paraId="2846DC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1945429">
                      <w:pPr>
                        <w:jc w:val="center"/>
                        <w:rPr>
                          <w:rFonts w:asciiTheme="minorEastAsia" w:hAnsiTheme="minorEastAsia" w:eastAsiaTheme="minorEastAsia"/>
                        </w:rPr>
                      </w:pPr>
                      <w:r>
                        <w:rPr>
                          <w:rFonts w:hint="eastAsia" w:asciiTheme="minorEastAsia" w:hAnsiTheme="minorEastAsia" w:eastAsiaTheme="minorEastAsia"/>
                        </w:rPr>
                        <w:t>签订合同</w:t>
                      </w:r>
                    </w:p>
                    <w:p w14:paraId="326D5AF3">
                      <w:pPr>
                        <w:rPr>
                          <w:rFonts w:ascii="仿宋_GB2312" w:eastAsia="仿宋_GB2312"/>
                        </w:rPr>
                      </w:pPr>
                      <w:r>
                        <w:rPr>
                          <w:rFonts w:hint="eastAsia" w:ascii="仿宋_GB2312" w:eastAsia="仿宋_GB2312"/>
                        </w:rPr>
                        <w:t>立项</w:t>
                      </w:r>
                    </w:p>
                    <w:p w14:paraId="2846DCA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D689C1">
                            <w:pPr>
                              <w:rPr>
                                <w:rFonts w:asciiTheme="minorEastAsia" w:hAnsiTheme="minorEastAsia" w:eastAsiaTheme="minorEastAsia"/>
                              </w:rPr>
                            </w:pPr>
                            <w:r>
                              <w:rPr>
                                <w:rFonts w:hint="eastAsia" w:asciiTheme="minorEastAsia" w:hAnsiTheme="minorEastAsia" w:eastAsiaTheme="minorEastAsia"/>
                              </w:rPr>
                              <w:t>成交公告；成交通知书</w:t>
                            </w:r>
                          </w:p>
                          <w:p w14:paraId="106F7381">
                            <w:pPr>
                              <w:rPr>
                                <w:rFonts w:ascii="仿宋_GB2312" w:eastAsia="仿宋_GB2312"/>
                              </w:rPr>
                            </w:pPr>
                            <w:r>
                              <w:rPr>
                                <w:rFonts w:hint="eastAsia" w:ascii="仿宋_GB2312" w:eastAsia="仿宋_GB2312"/>
                              </w:rPr>
                              <w:t>立项</w:t>
                            </w:r>
                          </w:p>
                          <w:p w14:paraId="1EAECCC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1BD689C1">
                      <w:pPr>
                        <w:rPr>
                          <w:rFonts w:asciiTheme="minorEastAsia" w:hAnsiTheme="minorEastAsia" w:eastAsiaTheme="minorEastAsia"/>
                        </w:rPr>
                      </w:pPr>
                      <w:r>
                        <w:rPr>
                          <w:rFonts w:hint="eastAsia" w:asciiTheme="minorEastAsia" w:hAnsiTheme="minorEastAsia" w:eastAsiaTheme="minorEastAsia"/>
                        </w:rPr>
                        <w:t>成交公告；成交通知书</w:t>
                      </w:r>
                    </w:p>
                    <w:p w14:paraId="106F7381">
                      <w:pPr>
                        <w:rPr>
                          <w:rFonts w:ascii="仿宋_GB2312" w:eastAsia="仿宋_GB2312"/>
                        </w:rPr>
                      </w:pPr>
                      <w:r>
                        <w:rPr>
                          <w:rFonts w:hint="eastAsia" w:ascii="仿宋_GB2312" w:eastAsia="仿宋_GB2312"/>
                        </w:rPr>
                        <w:t>立项</w:t>
                      </w:r>
                    </w:p>
                    <w:p w14:paraId="1EAECCC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782E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259969">
                            <w:pPr>
                              <w:rPr>
                                <w:rFonts w:ascii="仿宋_GB2312" w:eastAsia="仿宋_GB2312"/>
                              </w:rPr>
                            </w:pPr>
                            <w:r>
                              <w:rPr>
                                <w:rFonts w:hint="eastAsia" w:ascii="仿宋_GB2312" w:eastAsia="仿宋_GB2312"/>
                              </w:rPr>
                              <w:t>立项</w:t>
                            </w:r>
                          </w:p>
                          <w:p w14:paraId="5F7AFB2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BB782E7">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A259969">
                      <w:pPr>
                        <w:rPr>
                          <w:rFonts w:ascii="仿宋_GB2312" w:eastAsia="仿宋_GB2312"/>
                        </w:rPr>
                      </w:pPr>
                      <w:r>
                        <w:rPr>
                          <w:rFonts w:hint="eastAsia" w:ascii="仿宋_GB2312" w:eastAsia="仿宋_GB2312"/>
                        </w:rPr>
                        <w:t>立项</w:t>
                      </w:r>
                    </w:p>
                    <w:p w14:paraId="5F7AFB2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D727D">
                            <w:pPr>
                              <w:jc w:val="center"/>
                              <w:rPr>
                                <w:rFonts w:asciiTheme="minorEastAsia" w:hAnsiTheme="minorEastAsia" w:eastAsiaTheme="minorEastAsia"/>
                              </w:rPr>
                            </w:pPr>
                            <w:r>
                              <w:rPr>
                                <w:rFonts w:hint="eastAsia" w:asciiTheme="minorEastAsia" w:hAnsiTheme="minorEastAsia" w:eastAsiaTheme="minorEastAsia"/>
                              </w:rPr>
                              <w:t>评审打分</w:t>
                            </w:r>
                          </w:p>
                          <w:p w14:paraId="72AE1127">
                            <w:pPr>
                              <w:rPr>
                                <w:rFonts w:ascii="仿宋_GB2312" w:eastAsia="仿宋_GB2312"/>
                              </w:rPr>
                            </w:pPr>
                            <w:r>
                              <w:rPr>
                                <w:rFonts w:hint="eastAsia" w:ascii="仿宋_GB2312" w:eastAsia="仿宋_GB2312"/>
                              </w:rPr>
                              <w:t>立项</w:t>
                            </w:r>
                          </w:p>
                          <w:p w14:paraId="1AD50D0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6CD727D">
                      <w:pPr>
                        <w:jc w:val="center"/>
                        <w:rPr>
                          <w:rFonts w:asciiTheme="minorEastAsia" w:hAnsiTheme="minorEastAsia" w:eastAsiaTheme="minorEastAsia"/>
                        </w:rPr>
                      </w:pPr>
                      <w:r>
                        <w:rPr>
                          <w:rFonts w:hint="eastAsia" w:asciiTheme="minorEastAsia" w:hAnsiTheme="minorEastAsia" w:eastAsiaTheme="minorEastAsia"/>
                        </w:rPr>
                        <w:t>评审打分</w:t>
                      </w:r>
                    </w:p>
                    <w:p w14:paraId="72AE1127">
                      <w:pPr>
                        <w:rPr>
                          <w:rFonts w:ascii="仿宋_GB2312" w:eastAsia="仿宋_GB2312"/>
                        </w:rPr>
                      </w:pPr>
                      <w:r>
                        <w:rPr>
                          <w:rFonts w:hint="eastAsia" w:ascii="仿宋_GB2312" w:eastAsia="仿宋_GB2312"/>
                        </w:rPr>
                        <w:t>立项</w:t>
                      </w:r>
                    </w:p>
                    <w:p w14:paraId="1AD50D0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EF82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883ED07">
                            <w:pPr>
                              <w:rPr>
                                <w:rFonts w:ascii="仿宋_GB2312" w:eastAsia="仿宋_GB2312"/>
                              </w:rPr>
                            </w:pPr>
                            <w:r>
                              <w:rPr>
                                <w:rFonts w:hint="eastAsia" w:ascii="仿宋_GB2312" w:eastAsia="仿宋_GB2312"/>
                              </w:rPr>
                              <w:t>立项</w:t>
                            </w:r>
                          </w:p>
                          <w:p w14:paraId="28290A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8FEF82E">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883ED07">
                      <w:pPr>
                        <w:rPr>
                          <w:rFonts w:ascii="仿宋_GB2312" w:eastAsia="仿宋_GB2312"/>
                        </w:rPr>
                      </w:pPr>
                      <w:r>
                        <w:rPr>
                          <w:rFonts w:hint="eastAsia" w:ascii="仿宋_GB2312" w:eastAsia="仿宋_GB2312"/>
                        </w:rPr>
                        <w:t>立项</w:t>
                      </w:r>
                    </w:p>
                    <w:p w14:paraId="28290A2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9FB1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1E49FB1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4660D7">
                            <w:pPr>
                              <w:jc w:val="center"/>
                              <w:rPr>
                                <w:rFonts w:asciiTheme="minorEastAsia" w:hAnsiTheme="minorEastAsia" w:eastAsiaTheme="minorEastAsia"/>
                              </w:rPr>
                            </w:pPr>
                            <w:r>
                              <w:rPr>
                                <w:rFonts w:hint="eastAsia" w:asciiTheme="minorEastAsia" w:hAnsiTheme="minorEastAsia" w:eastAsiaTheme="minorEastAsia"/>
                              </w:rPr>
                              <w:t>资格审查</w:t>
                            </w:r>
                          </w:p>
                          <w:p w14:paraId="56FDFD42">
                            <w:pPr>
                              <w:jc w:val="center"/>
                              <w:rPr>
                                <w:rFonts w:ascii="仿宋_GB2312" w:eastAsia="仿宋_GB2312"/>
                              </w:rPr>
                            </w:pPr>
                          </w:p>
                          <w:p w14:paraId="68E9AF35">
                            <w:pPr>
                              <w:rPr>
                                <w:rFonts w:ascii="仿宋_GB2312" w:eastAsia="仿宋_GB2312"/>
                              </w:rPr>
                            </w:pPr>
                            <w:r>
                              <w:rPr>
                                <w:rFonts w:hint="eastAsia" w:ascii="仿宋_GB2312" w:eastAsia="仿宋_GB2312"/>
                              </w:rPr>
                              <w:t>立项</w:t>
                            </w:r>
                          </w:p>
                          <w:p w14:paraId="67F3631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04660D7">
                      <w:pPr>
                        <w:jc w:val="center"/>
                        <w:rPr>
                          <w:rFonts w:asciiTheme="minorEastAsia" w:hAnsiTheme="minorEastAsia" w:eastAsiaTheme="minorEastAsia"/>
                        </w:rPr>
                      </w:pPr>
                      <w:r>
                        <w:rPr>
                          <w:rFonts w:hint="eastAsia" w:asciiTheme="minorEastAsia" w:hAnsiTheme="minorEastAsia" w:eastAsiaTheme="minorEastAsia"/>
                        </w:rPr>
                        <w:t>资格审查</w:t>
                      </w:r>
                    </w:p>
                    <w:p w14:paraId="56FDFD42">
                      <w:pPr>
                        <w:jc w:val="center"/>
                        <w:rPr>
                          <w:rFonts w:ascii="仿宋_GB2312" w:eastAsia="仿宋_GB2312"/>
                        </w:rPr>
                      </w:pPr>
                    </w:p>
                    <w:p w14:paraId="68E9AF35">
                      <w:pPr>
                        <w:rPr>
                          <w:rFonts w:ascii="仿宋_GB2312" w:eastAsia="仿宋_GB2312"/>
                        </w:rPr>
                      </w:pPr>
                      <w:r>
                        <w:rPr>
                          <w:rFonts w:hint="eastAsia" w:ascii="仿宋_GB2312" w:eastAsia="仿宋_GB2312"/>
                        </w:rPr>
                        <w:t>立项</w:t>
                      </w:r>
                    </w:p>
                    <w:p w14:paraId="67F3631C">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6DC65">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8B6DC65">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82604">
                            <w:pPr>
                              <w:jc w:val="center"/>
                              <w:rPr>
                                <w:rFonts w:asciiTheme="minorEastAsia" w:hAnsiTheme="minorEastAsia" w:eastAsiaTheme="minorEastAsia"/>
                              </w:rPr>
                            </w:pPr>
                            <w:r>
                              <w:rPr>
                                <w:rFonts w:hint="eastAsia" w:asciiTheme="minorEastAsia" w:hAnsiTheme="minorEastAsia" w:eastAsiaTheme="minorEastAsia"/>
                              </w:rPr>
                              <w:t>开启响应文件</w:t>
                            </w:r>
                          </w:p>
                          <w:p w14:paraId="51D733F4">
                            <w:pPr>
                              <w:rPr>
                                <w:rFonts w:ascii="仿宋_GB2312" w:eastAsia="仿宋_GB2312"/>
                              </w:rPr>
                            </w:pPr>
                            <w:r>
                              <w:rPr>
                                <w:rFonts w:hint="eastAsia" w:ascii="仿宋_GB2312" w:eastAsia="仿宋_GB2312"/>
                              </w:rPr>
                              <w:t>立项</w:t>
                            </w:r>
                          </w:p>
                          <w:p w14:paraId="47F102F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3F82604">
                      <w:pPr>
                        <w:jc w:val="center"/>
                        <w:rPr>
                          <w:rFonts w:asciiTheme="minorEastAsia" w:hAnsiTheme="minorEastAsia" w:eastAsiaTheme="minorEastAsia"/>
                        </w:rPr>
                      </w:pPr>
                      <w:r>
                        <w:rPr>
                          <w:rFonts w:hint="eastAsia" w:asciiTheme="minorEastAsia" w:hAnsiTheme="minorEastAsia" w:eastAsiaTheme="minorEastAsia"/>
                        </w:rPr>
                        <w:t>开启响应文件</w:t>
                      </w:r>
                    </w:p>
                    <w:p w14:paraId="51D733F4">
                      <w:pPr>
                        <w:rPr>
                          <w:rFonts w:ascii="仿宋_GB2312" w:eastAsia="仿宋_GB2312"/>
                        </w:rPr>
                      </w:pPr>
                      <w:r>
                        <w:rPr>
                          <w:rFonts w:hint="eastAsia" w:ascii="仿宋_GB2312" w:eastAsia="仿宋_GB2312"/>
                        </w:rPr>
                        <w:t>立项</w:t>
                      </w:r>
                    </w:p>
                    <w:p w14:paraId="47F102F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2555F9">
                            <w:pPr>
                              <w:jc w:val="center"/>
                              <w:rPr>
                                <w:rFonts w:asciiTheme="minorEastAsia" w:hAnsiTheme="minorEastAsia" w:eastAsiaTheme="minorEastAsia"/>
                              </w:rPr>
                            </w:pPr>
                            <w:r>
                              <w:rPr>
                                <w:rFonts w:hint="eastAsia" w:asciiTheme="minorEastAsia" w:hAnsiTheme="minorEastAsia" w:eastAsiaTheme="minorEastAsia"/>
                              </w:rPr>
                              <w:t>邀请供应商</w:t>
                            </w:r>
                          </w:p>
                          <w:p w14:paraId="47600A3F">
                            <w:pPr>
                              <w:rPr>
                                <w:rFonts w:ascii="仿宋_GB2312" w:eastAsia="仿宋_GB2312"/>
                              </w:rPr>
                            </w:pPr>
                            <w:r>
                              <w:rPr>
                                <w:rFonts w:hint="eastAsia" w:ascii="仿宋_GB2312" w:eastAsia="仿宋_GB2312"/>
                              </w:rPr>
                              <w:t>立项</w:t>
                            </w:r>
                          </w:p>
                          <w:p w14:paraId="4A75F6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42555F9">
                      <w:pPr>
                        <w:jc w:val="center"/>
                        <w:rPr>
                          <w:rFonts w:asciiTheme="minorEastAsia" w:hAnsiTheme="minorEastAsia" w:eastAsiaTheme="minorEastAsia"/>
                        </w:rPr>
                      </w:pPr>
                      <w:r>
                        <w:rPr>
                          <w:rFonts w:hint="eastAsia" w:asciiTheme="minorEastAsia" w:hAnsiTheme="minorEastAsia" w:eastAsiaTheme="minorEastAsia"/>
                        </w:rPr>
                        <w:t>邀请供应商</w:t>
                      </w:r>
                    </w:p>
                    <w:p w14:paraId="47600A3F">
                      <w:pPr>
                        <w:rPr>
                          <w:rFonts w:ascii="仿宋_GB2312" w:eastAsia="仿宋_GB2312"/>
                        </w:rPr>
                      </w:pPr>
                      <w:r>
                        <w:rPr>
                          <w:rFonts w:hint="eastAsia" w:ascii="仿宋_GB2312" w:eastAsia="仿宋_GB2312"/>
                        </w:rPr>
                        <w:t>立项</w:t>
                      </w:r>
                    </w:p>
                    <w:p w14:paraId="4A75F61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444D9175">
      <w:pPr>
        <w:adjustRightInd/>
        <w:spacing w:line="360" w:lineRule="auto"/>
        <w:jc w:val="center"/>
        <w:outlineLvl w:val="0"/>
        <w:rPr>
          <w:rFonts w:cs="仿宋_GB2312" w:asciiTheme="minorEastAsia" w:hAnsiTheme="minorEastAsia" w:eastAsiaTheme="minorEastAsia"/>
          <w:b/>
          <w:sz w:val="36"/>
          <w:szCs w:val="20"/>
        </w:rPr>
      </w:pPr>
      <w:bookmarkStart w:id="43" w:name="_Toc24798"/>
      <w:bookmarkStart w:id="44" w:name="_Toc14357"/>
      <w:r>
        <w:rPr>
          <w:rFonts w:hint="eastAsia" w:cs="仿宋_GB2312" w:asciiTheme="minorEastAsia" w:hAnsiTheme="minorEastAsia" w:eastAsiaTheme="minorEastAsia"/>
          <w:b/>
          <w:sz w:val="36"/>
          <w:szCs w:val="20"/>
        </w:rPr>
        <w:t>第三部分</w:t>
      </w:r>
      <w:bookmarkEnd w:id="6"/>
      <w:r>
        <w:rPr>
          <w:rFonts w:hint="eastAsia" w:cs="仿宋_GB2312" w:asciiTheme="minorEastAsia" w:hAnsiTheme="minorEastAsia" w:eastAsiaTheme="minorEastAsia"/>
          <w:b/>
          <w:sz w:val="36"/>
          <w:szCs w:val="20"/>
        </w:rPr>
        <w:t xml:space="preserve"> 供应商须知</w:t>
      </w:r>
      <w:bookmarkEnd w:id="7"/>
      <w:bookmarkEnd w:id="43"/>
      <w:bookmarkEnd w:id="44"/>
    </w:p>
    <w:p w14:paraId="6ED22093">
      <w:pPr>
        <w:adjustRightInd/>
        <w:spacing w:line="360" w:lineRule="auto"/>
        <w:jc w:val="center"/>
        <w:outlineLvl w:val="1"/>
        <w:rPr>
          <w:rFonts w:cs="仿宋_GB2312" w:asciiTheme="minorEastAsia" w:hAnsiTheme="minorEastAsia" w:eastAsiaTheme="minorEastAsia"/>
          <w:b/>
          <w:sz w:val="32"/>
          <w:szCs w:val="32"/>
        </w:rPr>
      </w:pPr>
      <w:bookmarkStart w:id="45" w:name="_Toc20613"/>
      <w:r>
        <w:rPr>
          <w:rFonts w:hint="eastAsia" w:cs="仿宋_GB2312" w:asciiTheme="minorEastAsia" w:hAnsiTheme="minorEastAsia" w:eastAsiaTheme="minorEastAsia"/>
          <w:b/>
          <w:sz w:val="32"/>
          <w:szCs w:val="32"/>
        </w:rPr>
        <w:t>一、前附表</w:t>
      </w:r>
      <w:bookmarkEnd w:id="45"/>
    </w:p>
    <w:tbl>
      <w:tblPr>
        <w:tblStyle w:val="6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43"/>
        <w:gridCol w:w="2038"/>
        <w:gridCol w:w="6381"/>
      </w:tblGrid>
      <w:tr w14:paraId="6980B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0E3896E6">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137" w:type="pct"/>
            <w:tcBorders>
              <w:top w:val="single" w:color="000000" w:sz="8" w:space="0"/>
              <w:left w:val="single" w:color="auto" w:sz="4" w:space="0"/>
              <w:bottom w:val="single" w:color="000000" w:sz="8" w:space="0"/>
              <w:right w:val="single" w:color="000000" w:sz="8" w:space="0"/>
            </w:tcBorders>
            <w:vAlign w:val="center"/>
          </w:tcPr>
          <w:p w14:paraId="2C01B3D2">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事项</w:t>
            </w:r>
          </w:p>
        </w:tc>
        <w:tc>
          <w:tcPr>
            <w:tcW w:w="3560" w:type="pct"/>
            <w:tcBorders>
              <w:top w:val="single" w:color="000000" w:sz="8" w:space="0"/>
              <w:left w:val="single" w:color="000000" w:sz="2" w:space="0"/>
              <w:bottom w:val="single" w:color="000000" w:sz="8" w:space="0"/>
              <w:right w:val="single" w:color="000000" w:sz="8" w:space="0"/>
            </w:tcBorders>
            <w:vAlign w:val="center"/>
          </w:tcPr>
          <w:p w14:paraId="585C56F4">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本项目的特别规定</w:t>
            </w:r>
          </w:p>
        </w:tc>
      </w:tr>
      <w:tr w14:paraId="3E272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0AC8E5F5">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137" w:type="pct"/>
            <w:tcBorders>
              <w:top w:val="single" w:color="000000" w:sz="8" w:space="0"/>
              <w:left w:val="single" w:color="auto" w:sz="4" w:space="0"/>
              <w:bottom w:val="single" w:color="000000" w:sz="8" w:space="0"/>
              <w:right w:val="single" w:color="000000" w:sz="8" w:space="0"/>
            </w:tcBorders>
            <w:vAlign w:val="center"/>
          </w:tcPr>
          <w:p w14:paraId="582AAB5D">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项目属性</w:t>
            </w:r>
          </w:p>
        </w:tc>
        <w:tc>
          <w:tcPr>
            <w:tcW w:w="3560" w:type="pct"/>
            <w:tcBorders>
              <w:top w:val="single" w:color="000000" w:sz="8" w:space="0"/>
              <w:left w:val="single" w:color="000000" w:sz="2" w:space="0"/>
              <w:bottom w:val="single" w:color="000000" w:sz="8" w:space="0"/>
              <w:right w:val="single" w:color="000000" w:sz="8" w:space="0"/>
            </w:tcBorders>
            <w:vAlign w:val="center"/>
          </w:tcPr>
          <w:p w14:paraId="77FCF3EF">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服务类。</w:t>
            </w:r>
          </w:p>
        </w:tc>
      </w:tr>
      <w:tr w14:paraId="21B2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7E0DC80F">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137" w:type="pct"/>
            <w:tcBorders>
              <w:top w:val="single" w:color="000000" w:sz="8" w:space="0"/>
              <w:left w:val="single" w:color="auto" w:sz="4" w:space="0"/>
              <w:bottom w:val="single" w:color="000000" w:sz="8" w:space="0"/>
              <w:right w:val="single" w:color="000000" w:sz="8" w:space="0"/>
            </w:tcBorders>
            <w:vAlign w:val="center"/>
          </w:tcPr>
          <w:p w14:paraId="71C0F536">
            <w:pPr>
              <w:snapToGrid w:val="0"/>
              <w:spacing w:line="360" w:lineRule="auto"/>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采购标的及其对应的中小企业划分标准所属行业</w:t>
            </w:r>
          </w:p>
        </w:tc>
        <w:tc>
          <w:tcPr>
            <w:tcW w:w="3560" w:type="pct"/>
            <w:tcBorders>
              <w:top w:val="single" w:color="000000" w:sz="8" w:space="0"/>
              <w:left w:val="single" w:color="000000" w:sz="2" w:space="0"/>
              <w:bottom w:val="single" w:color="000000" w:sz="8" w:space="0"/>
              <w:right w:val="single" w:color="000000" w:sz="8" w:space="0"/>
            </w:tcBorders>
            <w:vAlign w:val="center"/>
          </w:tcPr>
          <w:p w14:paraId="128C0BEF">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r>
              <w:rPr>
                <w:rFonts w:asciiTheme="minorEastAsia" w:hAnsiTheme="minorEastAsia" w:eastAsiaTheme="minorEastAsia"/>
                <w:spacing w:val="9"/>
              </w:rPr>
              <w:t>（1）标的：</w:t>
            </w:r>
            <w:r>
              <w:rPr>
                <w:rFonts w:hint="eastAsia" w:cs="宋体" w:asciiTheme="minorEastAsia" w:hAnsiTheme="minorEastAsia" w:eastAsiaTheme="minorEastAsia"/>
                <w:color w:val="0000FF"/>
                <w:kern w:val="0"/>
                <w:szCs w:val="21"/>
                <w:u w:val="single"/>
                <w:lang w:eastAsia="zh-CN"/>
              </w:rPr>
              <w:t>《北海市矿产资源总体规划（2026-2030年)》编制项目（重）</w:t>
            </w:r>
            <w:r>
              <w:rPr>
                <w:rFonts w:hint="eastAsia" w:cs="宋体" w:asciiTheme="minorEastAsia" w:hAnsiTheme="minorEastAsia" w:eastAsiaTheme="minorEastAsia"/>
                <w:color w:val="0000FF"/>
                <w:kern w:val="0"/>
                <w:szCs w:val="21"/>
              </w:rPr>
              <w:t>，属于</w:t>
            </w:r>
            <w:r>
              <w:rPr>
                <w:rFonts w:hint="eastAsia" w:cs="宋体" w:asciiTheme="minorEastAsia" w:hAnsiTheme="minorEastAsia" w:eastAsiaTheme="minorEastAsia"/>
                <w:color w:val="0000FF"/>
                <w:kern w:val="0"/>
                <w:szCs w:val="21"/>
                <w:u w:val="single"/>
              </w:rPr>
              <w:t xml:space="preserve"> 其他未列明行业 </w:t>
            </w:r>
            <w:r>
              <w:rPr>
                <w:rFonts w:hint="eastAsia" w:cs="宋体" w:asciiTheme="minorEastAsia" w:hAnsiTheme="minorEastAsia" w:eastAsiaTheme="minorEastAsia"/>
                <w:color w:val="0000FF"/>
                <w:kern w:val="0"/>
                <w:szCs w:val="21"/>
              </w:rPr>
              <w:t>；</w:t>
            </w:r>
          </w:p>
        </w:tc>
      </w:tr>
      <w:tr w14:paraId="7DF10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5B88CE6F">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137" w:type="pct"/>
            <w:tcBorders>
              <w:top w:val="single" w:color="000000" w:sz="8" w:space="0"/>
              <w:left w:val="single" w:color="auto" w:sz="4" w:space="0"/>
              <w:bottom w:val="single" w:color="000000" w:sz="8" w:space="0"/>
              <w:right w:val="single" w:color="000000" w:sz="8" w:space="0"/>
            </w:tcBorders>
            <w:vAlign w:val="center"/>
          </w:tcPr>
          <w:p w14:paraId="2A644EB8">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是否允许采购进口产品</w:t>
            </w:r>
          </w:p>
        </w:tc>
        <w:tc>
          <w:tcPr>
            <w:tcW w:w="3560" w:type="pct"/>
            <w:tcBorders>
              <w:top w:val="single" w:color="000000" w:sz="8" w:space="0"/>
              <w:left w:val="single" w:color="000000" w:sz="2" w:space="0"/>
              <w:bottom w:val="single" w:color="000000" w:sz="8" w:space="0"/>
              <w:right w:val="single" w:color="000000" w:sz="8" w:space="0"/>
            </w:tcBorders>
            <w:vAlign w:val="center"/>
          </w:tcPr>
          <w:p w14:paraId="652CACE0">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本项目不允许采购进口产品。</w:t>
            </w:r>
          </w:p>
        </w:tc>
      </w:tr>
      <w:tr w14:paraId="39057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233B3D18">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1137" w:type="pct"/>
            <w:tcBorders>
              <w:top w:val="single" w:color="000000" w:sz="8" w:space="0"/>
              <w:left w:val="single" w:color="auto" w:sz="4" w:space="0"/>
              <w:bottom w:val="single" w:color="000000" w:sz="8" w:space="0"/>
              <w:right w:val="single" w:color="000000" w:sz="8" w:space="0"/>
            </w:tcBorders>
            <w:vAlign w:val="center"/>
          </w:tcPr>
          <w:p w14:paraId="32A3962A">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分包</w:t>
            </w:r>
          </w:p>
        </w:tc>
        <w:tc>
          <w:tcPr>
            <w:tcW w:w="3560" w:type="pct"/>
            <w:tcBorders>
              <w:top w:val="single" w:color="000000" w:sz="8" w:space="0"/>
              <w:left w:val="single" w:color="000000" w:sz="2" w:space="0"/>
              <w:bottom w:val="single" w:color="000000" w:sz="8" w:space="0"/>
              <w:right w:val="single" w:color="000000" w:sz="8" w:space="0"/>
            </w:tcBorders>
            <w:vAlign w:val="center"/>
          </w:tcPr>
          <w:p w14:paraId="48C497EF">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不同意分包。</w:t>
            </w:r>
          </w:p>
        </w:tc>
      </w:tr>
      <w:tr w14:paraId="33A65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224D6ECC">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1137" w:type="pct"/>
            <w:tcBorders>
              <w:top w:val="single" w:color="000000" w:sz="8" w:space="0"/>
              <w:left w:val="single" w:color="auto" w:sz="4" w:space="0"/>
              <w:bottom w:val="single" w:color="000000" w:sz="8" w:space="0"/>
              <w:right w:val="single" w:color="000000" w:sz="8" w:space="0"/>
            </w:tcBorders>
            <w:vAlign w:val="center"/>
          </w:tcPr>
          <w:p w14:paraId="0FA044E1">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开标前答疑会或现场考察</w:t>
            </w:r>
          </w:p>
        </w:tc>
        <w:tc>
          <w:tcPr>
            <w:tcW w:w="3560" w:type="pct"/>
            <w:tcBorders>
              <w:top w:val="single" w:color="000000" w:sz="8" w:space="0"/>
              <w:left w:val="single" w:color="000000" w:sz="2" w:space="0"/>
              <w:bottom w:val="single" w:color="000000" w:sz="8" w:space="0"/>
              <w:right w:val="single" w:color="000000" w:sz="8" w:space="0"/>
            </w:tcBorders>
            <w:vAlign w:val="center"/>
          </w:tcPr>
          <w:p w14:paraId="127F2B2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不组织。</w:t>
            </w:r>
          </w:p>
        </w:tc>
      </w:tr>
      <w:tr w14:paraId="7DDDC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10746EAD">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1137" w:type="pct"/>
            <w:tcBorders>
              <w:top w:val="single" w:color="000000" w:sz="8" w:space="0"/>
              <w:left w:val="single" w:color="auto" w:sz="4" w:space="0"/>
              <w:bottom w:val="single" w:color="000000" w:sz="8" w:space="0"/>
              <w:right w:val="single" w:color="000000" w:sz="8" w:space="0"/>
            </w:tcBorders>
            <w:vAlign w:val="center"/>
          </w:tcPr>
          <w:p w14:paraId="5DC69FEA">
            <w:pPr>
              <w:snapToGrid w:val="0"/>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样品提供</w:t>
            </w:r>
          </w:p>
        </w:tc>
        <w:tc>
          <w:tcPr>
            <w:tcW w:w="3560" w:type="pct"/>
            <w:tcBorders>
              <w:top w:val="single" w:color="000000" w:sz="8" w:space="0"/>
              <w:left w:val="single" w:color="000000" w:sz="2" w:space="0"/>
              <w:bottom w:val="single" w:color="000000" w:sz="8" w:space="0"/>
              <w:right w:val="single" w:color="000000" w:sz="8" w:space="0"/>
            </w:tcBorders>
            <w:vAlign w:val="center"/>
          </w:tcPr>
          <w:p w14:paraId="27F1AF46">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szCs w:val="21"/>
              </w:rPr>
              <w:t>不要求提供。</w:t>
            </w:r>
          </w:p>
        </w:tc>
      </w:tr>
      <w:tr w14:paraId="75DA3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41101D2D">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1137" w:type="pct"/>
            <w:tcBorders>
              <w:top w:val="single" w:color="000000" w:sz="8" w:space="0"/>
              <w:left w:val="single" w:color="auto" w:sz="4" w:space="0"/>
              <w:bottom w:val="single" w:color="000000" w:sz="8" w:space="0"/>
              <w:right w:val="single" w:color="000000" w:sz="8" w:space="0"/>
            </w:tcBorders>
            <w:vAlign w:val="center"/>
          </w:tcPr>
          <w:p w14:paraId="223C1CB1">
            <w:pPr>
              <w:snapToGrid w:val="0"/>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
                <w:szCs w:val="21"/>
              </w:rPr>
              <w:t>方案讲解演示</w:t>
            </w:r>
          </w:p>
        </w:tc>
        <w:tc>
          <w:tcPr>
            <w:tcW w:w="3560" w:type="pct"/>
            <w:tcBorders>
              <w:top w:val="single" w:color="000000" w:sz="8" w:space="0"/>
              <w:left w:val="single" w:color="000000" w:sz="2" w:space="0"/>
              <w:bottom w:val="single" w:color="000000" w:sz="8" w:space="0"/>
              <w:right w:val="single" w:color="000000" w:sz="8" w:space="0"/>
            </w:tcBorders>
            <w:vAlign w:val="center"/>
          </w:tcPr>
          <w:p w14:paraId="772587DE">
            <w:pPr>
              <w:spacing w:line="360" w:lineRule="auto"/>
              <w:rPr>
                <w:rFonts w:cs="宋体" w:asciiTheme="minorEastAsia" w:hAnsiTheme="minorEastAsia" w:eastAsiaTheme="minorEastAsia"/>
                <w:b/>
                <w:kern w:val="0"/>
                <w:szCs w:val="21"/>
                <w:lang w:val="zh-CN"/>
              </w:rPr>
            </w:pPr>
            <w:r>
              <w:rPr>
                <w:rFonts w:hint="eastAsia" w:cs="宋体" w:asciiTheme="minorEastAsia" w:hAnsiTheme="minorEastAsia" w:eastAsiaTheme="minorEastAsia"/>
                <w:szCs w:val="21"/>
              </w:rPr>
              <w:t>不组织。</w:t>
            </w:r>
          </w:p>
        </w:tc>
      </w:tr>
      <w:tr w14:paraId="715D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vMerge w:val="restart"/>
            <w:tcBorders>
              <w:top w:val="single" w:color="auto" w:sz="4" w:space="0"/>
              <w:left w:val="single" w:color="auto" w:sz="4" w:space="0"/>
              <w:right w:val="single" w:color="auto" w:sz="4" w:space="0"/>
            </w:tcBorders>
            <w:vAlign w:val="center"/>
          </w:tcPr>
          <w:p w14:paraId="4FF49572">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8</w:t>
            </w:r>
          </w:p>
        </w:tc>
        <w:tc>
          <w:tcPr>
            <w:tcW w:w="1137" w:type="pct"/>
            <w:vMerge w:val="restart"/>
            <w:tcBorders>
              <w:top w:val="single" w:color="000000" w:sz="8" w:space="0"/>
              <w:left w:val="single" w:color="auto" w:sz="4" w:space="0"/>
              <w:right w:val="single" w:color="000000" w:sz="8" w:space="0"/>
            </w:tcBorders>
            <w:vAlign w:val="center"/>
          </w:tcPr>
          <w:p w14:paraId="75161CB0">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供应商应当提供的资格、报价、商务技术文件</w:t>
            </w:r>
          </w:p>
        </w:tc>
        <w:tc>
          <w:tcPr>
            <w:tcW w:w="3560" w:type="pct"/>
            <w:tcBorders>
              <w:top w:val="single" w:color="000000" w:sz="8" w:space="0"/>
              <w:left w:val="single" w:color="000000" w:sz="2" w:space="0"/>
              <w:bottom w:val="single" w:color="auto" w:sz="4" w:space="0"/>
              <w:right w:val="single" w:color="000000" w:sz="8" w:space="0"/>
            </w:tcBorders>
            <w:vAlign w:val="center"/>
          </w:tcPr>
          <w:p w14:paraId="6C5789D1">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（1）资格文件：见磋商文件</w:t>
            </w:r>
            <w:r>
              <w:rPr>
                <w:rFonts w:hint="eastAsia" w:ascii="宋体" w:hAnsi="宋体" w:cs="宋体"/>
                <w:szCs w:val="21"/>
              </w:rPr>
              <w:t>第三部分（六、响应文件的编制）</w:t>
            </w:r>
            <w:r>
              <w:rPr>
                <w:rFonts w:hint="eastAsia" w:cs="宋体" w:asciiTheme="minorEastAsia" w:hAnsiTheme="minorEastAsia" w:eastAsiaTheme="minorEastAsia"/>
                <w:szCs w:val="21"/>
              </w:rPr>
              <w:t>。</w:t>
            </w:r>
          </w:p>
          <w:p w14:paraId="754EF6C2">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Cs w:val="21"/>
                <w:lang w:val="zh-CN"/>
              </w:rPr>
              <w:t>供应商未提供有效的资格证明文件的，视为供应商不具备磋商文件中规定的资格要求，响应无效。</w:t>
            </w:r>
          </w:p>
        </w:tc>
      </w:tr>
      <w:tr w14:paraId="71A14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vMerge w:val="continue"/>
            <w:tcBorders>
              <w:left w:val="single" w:color="auto" w:sz="4" w:space="0"/>
              <w:bottom w:val="single" w:color="auto" w:sz="4" w:space="0"/>
              <w:right w:val="single" w:color="auto" w:sz="4" w:space="0"/>
            </w:tcBorders>
            <w:vAlign w:val="center"/>
          </w:tcPr>
          <w:p w14:paraId="24D041F7">
            <w:pPr>
              <w:snapToGrid w:val="0"/>
              <w:spacing w:line="360" w:lineRule="auto"/>
              <w:jc w:val="center"/>
              <w:rPr>
                <w:rFonts w:cs="宋体" w:asciiTheme="minorEastAsia" w:hAnsiTheme="minorEastAsia" w:eastAsiaTheme="minorEastAsia"/>
                <w:szCs w:val="21"/>
              </w:rPr>
            </w:pPr>
          </w:p>
        </w:tc>
        <w:tc>
          <w:tcPr>
            <w:tcW w:w="1137" w:type="pct"/>
            <w:vMerge w:val="continue"/>
            <w:tcBorders>
              <w:left w:val="single" w:color="auto" w:sz="4" w:space="0"/>
              <w:bottom w:val="single" w:color="000000" w:sz="8" w:space="0"/>
              <w:right w:val="single" w:color="000000" w:sz="8" w:space="0"/>
            </w:tcBorders>
            <w:vAlign w:val="center"/>
          </w:tcPr>
          <w:p w14:paraId="647F697C">
            <w:pPr>
              <w:snapToGrid w:val="0"/>
              <w:spacing w:line="360" w:lineRule="auto"/>
              <w:jc w:val="center"/>
              <w:rPr>
                <w:rFonts w:cs="宋体" w:asciiTheme="minorEastAsia" w:hAnsiTheme="minorEastAsia" w:eastAsiaTheme="minorEastAsia"/>
                <w:b/>
                <w:szCs w:val="21"/>
              </w:rPr>
            </w:pPr>
          </w:p>
        </w:tc>
        <w:tc>
          <w:tcPr>
            <w:tcW w:w="3560" w:type="pct"/>
            <w:tcBorders>
              <w:top w:val="single" w:color="auto" w:sz="4" w:space="0"/>
              <w:left w:val="single" w:color="000000" w:sz="2" w:space="0"/>
              <w:bottom w:val="single" w:color="000000" w:sz="8" w:space="0"/>
              <w:right w:val="single" w:color="000000" w:sz="8" w:space="0"/>
            </w:tcBorders>
            <w:vAlign w:val="center"/>
          </w:tcPr>
          <w:p w14:paraId="06FEA233">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（2）报价、商务技术文件：根据磋商文件第</w:t>
            </w:r>
            <w:r>
              <w:rPr>
                <w:rFonts w:hint="eastAsia" w:ascii="宋体" w:hAnsi="宋体" w:cs="宋体"/>
                <w:szCs w:val="21"/>
              </w:rPr>
              <w:t>三部分（六、响应文件的编制）及</w:t>
            </w:r>
            <w:r>
              <w:rPr>
                <w:rFonts w:hint="eastAsia" w:cs="宋体" w:asciiTheme="minorEastAsia" w:hAnsiTheme="minorEastAsia" w:eastAsiaTheme="minorEastAsia"/>
                <w:szCs w:val="21"/>
              </w:rPr>
              <w:t>五部分评审标准提供。</w:t>
            </w:r>
          </w:p>
        </w:tc>
      </w:tr>
      <w:tr w14:paraId="773B7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000000" w:sz="8" w:space="0"/>
              <w:bottom w:val="single" w:color="auto" w:sz="4" w:space="0"/>
              <w:right w:val="single" w:color="000000" w:sz="2" w:space="0"/>
            </w:tcBorders>
            <w:vAlign w:val="center"/>
          </w:tcPr>
          <w:p w14:paraId="52CB4238">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9</w:t>
            </w:r>
          </w:p>
        </w:tc>
        <w:tc>
          <w:tcPr>
            <w:tcW w:w="1137" w:type="pct"/>
            <w:tcBorders>
              <w:top w:val="single" w:color="000000" w:sz="8" w:space="0"/>
              <w:left w:val="single" w:color="000000" w:sz="2" w:space="0"/>
              <w:bottom w:val="single" w:color="000000" w:sz="8" w:space="0"/>
              <w:right w:val="single" w:color="000000" w:sz="8" w:space="0"/>
            </w:tcBorders>
            <w:vAlign w:val="center"/>
          </w:tcPr>
          <w:p w14:paraId="5AB84DC3">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节能产品、环境标志产品</w:t>
            </w:r>
          </w:p>
        </w:tc>
        <w:tc>
          <w:tcPr>
            <w:tcW w:w="3560" w:type="pct"/>
            <w:tcBorders>
              <w:top w:val="single" w:color="000000" w:sz="8" w:space="0"/>
              <w:left w:val="single" w:color="000000" w:sz="2" w:space="0"/>
              <w:bottom w:val="single" w:color="000000" w:sz="8" w:space="0"/>
              <w:right w:val="single" w:color="000000" w:sz="8" w:space="0"/>
            </w:tcBorders>
            <w:vAlign w:val="center"/>
          </w:tcPr>
          <w:p w14:paraId="6B8C0F7F">
            <w:pPr>
              <w:snapToGrid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2CC9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000000" w:sz="8" w:space="0"/>
              <w:bottom w:val="single" w:color="auto" w:sz="4" w:space="0"/>
              <w:right w:val="single" w:color="000000" w:sz="2" w:space="0"/>
            </w:tcBorders>
            <w:vAlign w:val="center"/>
          </w:tcPr>
          <w:p w14:paraId="404246FD">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w:t>
            </w:r>
          </w:p>
        </w:tc>
        <w:tc>
          <w:tcPr>
            <w:tcW w:w="1137" w:type="pct"/>
            <w:tcBorders>
              <w:top w:val="single" w:color="000000" w:sz="8" w:space="0"/>
              <w:left w:val="single" w:color="000000" w:sz="2" w:space="0"/>
              <w:bottom w:val="single" w:color="000000" w:sz="8" w:space="0"/>
              <w:right w:val="single" w:color="000000" w:sz="8" w:space="0"/>
            </w:tcBorders>
            <w:vAlign w:val="center"/>
          </w:tcPr>
          <w:p w14:paraId="49AA4049">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最后报价要求</w:t>
            </w:r>
          </w:p>
        </w:tc>
        <w:tc>
          <w:tcPr>
            <w:tcW w:w="3560" w:type="pct"/>
            <w:tcBorders>
              <w:top w:val="single" w:color="000000" w:sz="8" w:space="0"/>
              <w:left w:val="single" w:color="000000" w:sz="2" w:space="0"/>
              <w:bottom w:val="single" w:color="000000" w:sz="8" w:space="0"/>
              <w:right w:val="single" w:color="000000" w:sz="8" w:space="0"/>
            </w:tcBorders>
            <w:vAlign w:val="center"/>
          </w:tcPr>
          <w:p w14:paraId="23710B56">
            <w:pPr>
              <w:snapToGrid w:val="0"/>
              <w:spacing w:line="360" w:lineRule="auto"/>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有关本项目实施所需的所有费用（含税费）均计入最后报价。《最后报价</w:t>
            </w:r>
            <w:r>
              <w:rPr>
                <w:rFonts w:hint="eastAsia" w:cs="宋体" w:asciiTheme="minorEastAsia" w:hAnsiTheme="minorEastAsia" w:eastAsiaTheme="minorEastAsia"/>
                <w:szCs w:val="21"/>
              </w:rPr>
              <w:t>一览表（报价表）</w:t>
            </w:r>
            <w:r>
              <w:rPr>
                <w:rFonts w:hint="eastAsia" w:cs="宋体" w:asciiTheme="minorEastAsia" w:hAnsiTheme="minorEastAsia" w:eastAsiaTheme="minorEastAsia"/>
                <w:kern w:val="0"/>
                <w:szCs w:val="21"/>
                <w:lang w:val="zh-CN"/>
              </w:rPr>
              <w:t>》</w:t>
            </w:r>
            <w:r>
              <w:rPr>
                <w:rFonts w:hint="eastAsia" w:cs="宋体" w:asciiTheme="minorEastAsia" w:hAnsiTheme="minorEastAsia" w:eastAsiaTheme="minorEastAsia"/>
                <w:szCs w:val="21"/>
              </w:rPr>
              <w:t>是最后报价的唯一载体</w:t>
            </w:r>
            <w:r>
              <w:rPr>
                <w:rFonts w:hint="eastAsia" w:cs="宋体" w:asciiTheme="minorEastAsia" w:hAnsiTheme="minorEastAsia" w:eastAsiaTheme="minorEastAsia"/>
                <w:kern w:val="0"/>
                <w:szCs w:val="21"/>
                <w:lang w:val="zh-CN"/>
              </w:rPr>
              <w:t>。磋商文件中价格全部采用</w:t>
            </w:r>
            <w:r>
              <w:rPr>
                <w:rFonts w:hint="eastAsia" w:cs="宋体" w:asciiTheme="minorEastAsia" w:hAnsiTheme="minorEastAsia" w:eastAsiaTheme="minorEastAsia"/>
                <w:kern w:val="0"/>
                <w:szCs w:val="21"/>
              </w:rPr>
              <w:t>人民币（元）</w:t>
            </w:r>
            <w:r>
              <w:rPr>
                <w:rFonts w:hint="eastAsia" w:cs="宋体" w:asciiTheme="minorEastAsia" w:hAnsiTheme="minorEastAsia" w:eastAsiaTheme="minorEastAsia"/>
                <w:kern w:val="0"/>
                <w:szCs w:val="21"/>
                <w:lang w:val="zh-CN"/>
              </w:rPr>
              <w:t>报价。磋商文件未列明，而供应商认为必需的费用也需列入报价。</w:t>
            </w:r>
          </w:p>
        </w:tc>
      </w:tr>
      <w:tr w14:paraId="6C218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000000" w:sz="8" w:space="0"/>
              <w:right w:val="single" w:color="000000" w:sz="2" w:space="0"/>
            </w:tcBorders>
            <w:vAlign w:val="center"/>
          </w:tcPr>
          <w:p w14:paraId="3E72FBB0">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11</w:t>
            </w:r>
          </w:p>
        </w:tc>
        <w:tc>
          <w:tcPr>
            <w:tcW w:w="1137" w:type="pct"/>
            <w:tcBorders>
              <w:top w:val="single" w:color="000000" w:sz="8" w:space="0"/>
              <w:left w:val="single" w:color="000000" w:sz="2" w:space="0"/>
              <w:right w:val="single" w:color="000000" w:sz="8" w:space="0"/>
            </w:tcBorders>
            <w:vAlign w:val="center"/>
          </w:tcPr>
          <w:p w14:paraId="5C2E6208">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中小企业信用融资</w:t>
            </w:r>
          </w:p>
        </w:tc>
        <w:tc>
          <w:tcPr>
            <w:tcW w:w="3560" w:type="pct"/>
            <w:tcBorders>
              <w:top w:val="single" w:color="000000" w:sz="8" w:space="0"/>
              <w:left w:val="single" w:color="000000" w:sz="2" w:space="0"/>
              <w:right w:val="single" w:color="000000" w:sz="8" w:space="0"/>
            </w:tcBorders>
            <w:vAlign w:val="center"/>
          </w:tcPr>
          <w:p w14:paraId="7A73B79A">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445781F6">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napToGrid w:val="0"/>
                <w:kern w:val="28"/>
                <w:szCs w:val="21"/>
              </w:rPr>
              <w:t>供应商成交后也可在“广西政府采购云”平台申请政采贷：操作路径：登录广西政府采购云平台-金融服务中心-【融资服务】，可在热门申请中选择产品直接申请。</w:t>
            </w:r>
          </w:p>
        </w:tc>
      </w:tr>
      <w:tr w14:paraId="7E3F0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000000" w:sz="8" w:space="0"/>
              <w:bottom w:val="single" w:color="auto" w:sz="4" w:space="0"/>
              <w:right w:val="single" w:color="000000" w:sz="2" w:space="0"/>
            </w:tcBorders>
            <w:vAlign w:val="center"/>
          </w:tcPr>
          <w:p w14:paraId="5E3712D2">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12</w:t>
            </w:r>
          </w:p>
        </w:tc>
        <w:tc>
          <w:tcPr>
            <w:tcW w:w="1137" w:type="pct"/>
            <w:tcBorders>
              <w:top w:val="single" w:color="000000" w:sz="8" w:space="0"/>
              <w:left w:val="single" w:color="000000" w:sz="2" w:space="0"/>
              <w:bottom w:val="single" w:color="000000" w:sz="8" w:space="0"/>
              <w:right w:val="single" w:color="000000" w:sz="8" w:space="0"/>
            </w:tcBorders>
            <w:vAlign w:val="center"/>
          </w:tcPr>
          <w:p w14:paraId="01D9FDB3">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备份响应文件送达地点和签收人员 </w:t>
            </w:r>
          </w:p>
        </w:tc>
        <w:tc>
          <w:tcPr>
            <w:tcW w:w="3560" w:type="pct"/>
            <w:tcBorders>
              <w:top w:val="single" w:color="000000" w:sz="8" w:space="0"/>
              <w:left w:val="single" w:color="000000" w:sz="2" w:space="0"/>
              <w:bottom w:val="single" w:color="000000" w:sz="8" w:space="0"/>
              <w:right w:val="single" w:color="000000" w:sz="8" w:space="0"/>
            </w:tcBorders>
            <w:vAlign w:val="center"/>
          </w:tcPr>
          <w:p w14:paraId="22E675B9">
            <w:pPr>
              <w:pStyle w:val="31"/>
              <w:spacing w:line="360" w:lineRule="auto"/>
              <w:rPr>
                <w:rFonts w:cs="宋体"/>
                <w:kern w:val="28"/>
                <w:szCs w:val="21"/>
              </w:rPr>
            </w:pPr>
            <w:r>
              <w:rPr>
                <w:rFonts w:hint="eastAsia" w:cs="宋体"/>
                <w:kern w:val="28"/>
                <w:szCs w:val="21"/>
              </w:rPr>
              <w:t>接受：备份响应文件送达地点：</w:t>
            </w:r>
            <w:r>
              <w:rPr>
                <w:rFonts w:hint="eastAsia" w:cs="宋体"/>
                <w:szCs w:val="21"/>
              </w:rPr>
              <w:t>广西亿翔荣工程管理有限责任公司</w:t>
            </w:r>
            <w:r>
              <w:rPr>
                <w:rFonts w:hint="eastAsia" w:cs="宋体"/>
                <w:kern w:val="28"/>
                <w:szCs w:val="21"/>
              </w:rPr>
              <w:t>（</w:t>
            </w:r>
            <w:r>
              <w:rPr>
                <w:rFonts w:hint="eastAsia" w:cs="宋体"/>
                <w:szCs w:val="21"/>
              </w:rPr>
              <w:t>北海市金海岸大道45号北部湾科技创业中心2幢0301号（西海岸·国际工社）</w:t>
            </w:r>
            <w:r>
              <w:rPr>
                <w:rFonts w:hint="eastAsia" w:cs="宋体"/>
                <w:kern w:val="28"/>
                <w:szCs w:val="21"/>
              </w:rPr>
              <w:t>）；备份响应文件签收人员联系电话：黄杰0779-2218733。（具体要求见</w:t>
            </w:r>
            <w:r>
              <w:rPr>
                <w:rFonts w:hint="eastAsia" w:cs="宋体" w:asciiTheme="minorEastAsia" w:hAnsiTheme="minorEastAsia" w:eastAsiaTheme="minorEastAsia"/>
                <w:szCs w:val="21"/>
              </w:rPr>
              <w:t>磋商文件第</w:t>
            </w:r>
            <w:r>
              <w:rPr>
                <w:rFonts w:hint="eastAsia" w:cs="宋体"/>
                <w:szCs w:val="21"/>
              </w:rPr>
              <w:t>三部分（七、响应文件的提交和备份）</w:t>
            </w:r>
            <w:r>
              <w:rPr>
                <w:rFonts w:hint="eastAsia" w:cs="宋体"/>
                <w:kern w:val="28"/>
                <w:szCs w:val="21"/>
              </w:rPr>
              <w:t>）</w:t>
            </w:r>
          </w:p>
        </w:tc>
      </w:tr>
      <w:tr w14:paraId="4D343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vMerge w:val="restart"/>
            <w:tcBorders>
              <w:top w:val="single" w:color="auto" w:sz="4" w:space="0"/>
              <w:left w:val="single" w:color="000000" w:sz="8" w:space="0"/>
              <w:right w:val="single" w:color="000000" w:sz="2" w:space="0"/>
            </w:tcBorders>
            <w:vAlign w:val="center"/>
          </w:tcPr>
          <w:p w14:paraId="5427C216">
            <w:pPr>
              <w:snapToGri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13</w:t>
            </w:r>
          </w:p>
        </w:tc>
        <w:tc>
          <w:tcPr>
            <w:tcW w:w="1137" w:type="pct"/>
            <w:vMerge w:val="restart"/>
            <w:tcBorders>
              <w:top w:val="single" w:color="000000" w:sz="8" w:space="0"/>
              <w:left w:val="single" w:color="000000" w:sz="2" w:space="0"/>
              <w:right w:val="single" w:color="000000" w:sz="8" w:space="0"/>
            </w:tcBorders>
            <w:vAlign w:val="center"/>
          </w:tcPr>
          <w:p w14:paraId="144DAA53">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特别说明</w:t>
            </w:r>
          </w:p>
        </w:tc>
        <w:tc>
          <w:tcPr>
            <w:tcW w:w="3560" w:type="pct"/>
            <w:tcBorders>
              <w:top w:val="single" w:color="000000" w:sz="8" w:space="0"/>
              <w:left w:val="single" w:color="000000" w:sz="2" w:space="0"/>
              <w:bottom w:val="single" w:color="000000" w:sz="8" w:space="0"/>
              <w:right w:val="single" w:color="000000" w:sz="8" w:space="0"/>
            </w:tcBorders>
            <w:vAlign w:val="center"/>
          </w:tcPr>
          <w:p w14:paraId="028BEDF3">
            <w:pPr>
              <w:spacing w:line="360" w:lineRule="auto"/>
              <w:rPr>
                <w:rFonts w:ascii="宋体" w:hAnsi="宋体" w:cs="宋体"/>
                <w:snapToGrid w:val="0"/>
                <w:kern w:val="28"/>
                <w:szCs w:val="21"/>
              </w:rPr>
            </w:pPr>
            <w:r>
              <w:rPr>
                <w:rFonts w:hint="eastAsia" w:ascii="宋体" w:hAnsi="宋体" w:cs="宋体"/>
                <w:snapToGrid w:val="0"/>
                <w:kern w:val="28"/>
                <w:szCs w:val="21"/>
              </w:rPr>
              <w:t>联合体响应的，联合体各方分别提供与联合体协议中规定的分工内容相应的业绩证明材料，业绩数量以提供材料较少的一方为准。</w:t>
            </w:r>
          </w:p>
        </w:tc>
      </w:tr>
      <w:tr w14:paraId="013AA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vMerge w:val="continue"/>
            <w:tcBorders>
              <w:left w:val="single" w:color="000000" w:sz="8" w:space="0"/>
              <w:bottom w:val="single" w:color="auto" w:sz="4" w:space="0"/>
              <w:right w:val="single" w:color="000000" w:sz="2" w:space="0"/>
            </w:tcBorders>
            <w:vAlign w:val="center"/>
          </w:tcPr>
          <w:p w14:paraId="66DA9F26">
            <w:pPr>
              <w:snapToGrid w:val="0"/>
              <w:spacing w:line="360" w:lineRule="auto"/>
              <w:jc w:val="center"/>
              <w:rPr>
                <w:rFonts w:cs="宋体" w:asciiTheme="minorEastAsia" w:hAnsiTheme="minorEastAsia" w:eastAsiaTheme="minorEastAsia"/>
                <w:szCs w:val="21"/>
              </w:rPr>
            </w:pPr>
          </w:p>
        </w:tc>
        <w:tc>
          <w:tcPr>
            <w:tcW w:w="1137" w:type="pct"/>
            <w:vMerge w:val="continue"/>
            <w:tcBorders>
              <w:left w:val="single" w:color="000000" w:sz="2" w:space="0"/>
              <w:bottom w:val="single" w:color="auto" w:sz="4" w:space="0"/>
              <w:right w:val="single" w:color="000000" w:sz="8" w:space="0"/>
            </w:tcBorders>
            <w:vAlign w:val="center"/>
          </w:tcPr>
          <w:p w14:paraId="6C185D41">
            <w:pPr>
              <w:snapToGrid w:val="0"/>
              <w:spacing w:line="360" w:lineRule="auto"/>
              <w:jc w:val="center"/>
              <w:rPr>
                <w:rFonts w:cs="宋体" w:asciiTheme="minorEastAsia" w:hAnsiTheme="minorEastAsia" w:eastAsiaTheme="minorEastAsia"/>
                <w:b/>
                <w:szCs w:val="21"/>
              </w:rPr>
            </w:pPr>
          </w:p>
        </w:tc>
        <w:tc>
          <w:tcPr>
            <w:tcW w:w="3560" w:type="pct"/>
            <w:tcBorders>
              <w:top w:val="single" w:color="000000" w:sz="8" w:space="0"/>
              <w:left w:val="single" w:color="000000" w:sz="2" w:space="0"/>
              <w:bottom w:val="single" w:color="auto" w:sz="4" w:space="0"/>
              <w:right w:val="single" w:color="000000" w:sz="8" w:space="0"/>
            </w:tcBorders>
            <w:vAlign w:val="center"/>
          </w:tcPr>
          <w:p w14:paraId="7DBE6864">
            <w:pPr>
              <w:spacing w:line="360"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ascii="宋体" w:hAnsi="宋体" w:cs="宋体"/>
                <w:snapToGrid w:val="0"/>
                <w:kern w:val="28"/>
                <w:szCs w:val="21"/>
              </w:rPr>
              <w:t>联合体响应的，联合体各方均需按磋商文件第五部分评审标准要求提供资信证明文件，否则视为不符合相关要求。</w:t>
            </w:r>
          </w:p>
          <w:p w14:paraId="0CB7C62F">
            <w:pPr>
              <w:spacing w:line="360"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eastAsia="MS Gothic" w:cs="Arial"/>
                    <w:kern w:val="0"/>
                    <w:szCs w:val="21"/>
                  </w:rPr>
                  <w:t>☐</w:t>
                </w:r>
              </w:sdtContent>
            </w:sdt>
            <w:r>
              <w:rPr>
                <w:rFonts w:hint="eastAsia" w:ascii="宋体" w:hAnsi="宋体" w:cs="宋体"/>
                <w:snapToGrid w:val="0"/>
                <w:kern w:val="28"/>
                <w:szCs w:val="21"/>
              </w:rPr>
              <w:t>联合体响应的，联合体中有一方或者联合体成员根据分工按磋商文件第五部分评审标准要求提供资信证明文件的，视为符合了相关要求。</w:t>
            </w:r>
          </w:p>
        </w:tc>
      </w:tr>
      <w:tr w14:paraId="75632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41BE3D1F">
            <w:pPr>
              <w:snapToGrid w:val="0"/>
              <w:spacing w:line="360" w:lineRule="auto"/>
              <w:jc w:val="center"/>
              <w:rPr>
                <w:rFonts w:ascii="宋体" w:hAnsi="宋体" w:cs="宋体"/>
                <w:szCs w:val="21"/>
              </w:rPr>
            </w:pPr>
            <w:r>
              <w:rPr>
                <w:rFonts w:hint="eastAsia" w:ascii="宋体" w:hAnsi="宋体" w:cs="宋体"/>
                <w:szCs w:val="21"/>
              </w:rPr>
              <w:t>14</w:t>
            </w:r>
          </w:p>
        </w:tc>
        <w:tc>
          <w:tcPr>
            <w:tcW w:w="1137" w:type="pct"/>
            <w:tcBorders>
              <w:top w:val="single" w:color="auto" w:sz="4" w:space="0"/>
              <w:left w:val="single" w:color="auto" w:sz="4" w:space="0"/>
              <w:bottom w:val="single" w:color="auto" w:sz="4" w:space="0"/>
              <w:right w:val="single" w:color="auto" w:sz="4" w:space="0"/>
            </w:tcBorders>
            <w:vAlign w:val="center"/>
          </w:tcPr>
          <w:p w14:paraId="3A3BA09C">
            <w:pPr>
              <w:snapToGrid w:val="0"/>
              <w:spacing w:line="360" w:lineRule="auto"/>
              <w:jc w:val="center"/>
              <w:rPr>
                <w:rFonts w:ascii="宋体" w:hAnsi="宋体" w:cs="宋体"/>
                <w:b/>
                <w:szCs w:val="21"/>
              </w:rPr>
            </w:pPr>
            <w:r>
              <w:rPr>
                <w:rFonts w:hint="eastAsia" w:ascii="宋体" w:hAnsi="宋体" w:cs="宋体"/>
                <w:b/>
                <w:szCs w:val="21"/>
              </w:rPr>
              <w:t>解释权</w:t>
            </w:r>
          </w:p>
        </w:tc>
        <w:tc>
          <w:tcPr>
            <w:tcW w:w="3560" w:type="pct"/>
            <w:tcBorders>
              <w:top w:val="single" w:color="auto" w:sz="4" w:space="0"/>
              <w:left w:val="single" w:color="auto" w:sz="4" w:space="0"/>
              <w:bottom w:val="single" w:color="auto" w:sz="4" w:space="0"/>
              <w:right w:val="single" w:color="auto" w:sz="4" w:space="0"/>
            </w:tcBorders>
            <w:vAlign w:val="center"/>
          </w:tcPr>
          <w:p w14:paraId="1C8D5784">
            <w:pPr>
              <w:spacing w:line="360"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本磋商文件解释权属采购人及代理机构。</w:t>
            </w:r>
            <w:r>
              <w:rPr>
                <w:rFonts w:hint="eastAsia" w:ascii="宋体" w:hAnsi="宋体" w:cs="宋体"/>
                <w:kern w:val="0"/>
                <w:szCs w:val="21"/>
              </w:rPr>
              <w:t>（</w:t>
            </w:r>
            <w:r>
              <w:rPr>
                <w:rFonts w:hint="eastAsia" w:ascii="宋体" w:hAnsi="宋体" w:cs="宋体"/>
                <w:szCs w:val="21"/>
              </w:rPr>
              <w:t>构成本磋商文件的各个组成文件应互为解释，互为说明；除磋商文件中有特别规定外，仅适用于竞标阶段的规定，按更正公告（澄清公告）、竞争性磋商公告、供应商须知、采购需求、评审标准、应提交的有关格式范例、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w:t>
            </w:r>
            <w:r>
              <w:rPr>
                <w:rFonts w:hint="eastAsia" w:ascii="宋体" w:hAnsi="宋体" w:cs="宋体"/>
                <w:kern w:val="0"/>
                <w:szCs w:val="21"/>
              </w:rPr>
              <w:t>）</w:t>
            </w:r>
          </w:p>
        </w:tc>
      </w:tr>
      <w:tr w14:paraId="6F8F0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jc w:val="center"/>
        </w:trPr>
        <w:tc>
          <w:tcPr>
            <w:tcW w:w="303" w:type="pct"/>
            <w:tcBorders>
              <w:top w:val="single" w:color="auto" w:sz="4" w:space="0"/>
              <w:left w:val="single" w:color="auto" w:sz="4" w:space="0"/>
              <w:bottom w:val="single" w:color="auto" w:sz="4" w:space="0"/>
              <w:right w:val="single" w:color="auto" w:sz="4" w:space="0"/>
            </w:tcBorders>
            <w:vAlign w:val="center"/>
          </w:tcPr>
          <w:p w14:paraId="785FC91A">
            <w:pPr>
              <w:snapToGrid w:val="0"/>
              <w:jc w:val="center"/>
              <w:rPr>
                <w:rFonts w:ascii="宋体" w:hAnsi="宋体" w:cs="宋体"/>
                <w:szCs w:val="21"/>
              </w:rPr>
            </w:pPr>
            <w:r>
              <w:rPr>
                <w:rFonts w:hint="eastAsia" w:ascii="宋体" w:hAnsi="宋体" w:cs="宋体"/>
                <w:szCs w:val="21"/>
              </w:rPr>
              <w:t>15</w:t>
            </w:r>
          </w:p>
        </w:tc>
        <w:tc>
          <w:tcPr>
            <w:tcW w:w="1137" w:type="pct"/>
            <w:tcBorders>
              <w:top w:val="single" w:color="auto" w:sz="4" w:space="0"/>
              <w:left w:val="single" w:color="auto" w:sz="4" w:space="0"/>
              <w:bottom w:val="single" w:color="auto" w:sz="4" w:space="0"/>
              <w:right w:val="single" w:color="auto" w:sz="4" w:space="0"/>
            </w:tcBorders>
            <w:vAlign w:val="center"/>
          </w:tcPr>
          <w:p w14:paraId="0DB2D020">
            <w:pPr>
              <w:snapToGrid w:val="0"/>
              <w:jc w:val="center"/>
              <w:rPr>
                <w:rFonts w:ascii="宋体" w:hAnsi="宋体" w:cs="宋体"/>
                <w:b/>
                <w:szCs w:val="21"/>
              </w:rPr>
            </w:pPr>
            <w:r>
              <w:rPr>
                <w:rFonts w:hint="eastAsia" w:ascii="宋体" w:hAnsi="宋体" w:cs="宋体"/>
                <w:b/>
                <w:szCs w:val="21"/>
              </w:rPr>
              <w:t>偏离</w:t>
            </w:r>
          </w:p>
        </w:tc>
        <w:tc>
          <w:tcPr>
            <w:tcW w:w="3560" w:type="pct"/>
            <w:tcBorders>
              <w:top w:val="single" w:color="auto" w:sz="4" w:space="0"/>
              <w:left w:val="single" w:color="auto" w:sz="4" w:space="0"/>
              <w:bottom w:val="single" w:color="auto" w:sz="4" w:space="0"/>
              <w:right w:val="single" w:color="auto" w:sz="4" w:space="0"/>
            </w:tcBorders>
            <w:vAlign w:val="center"/>
          </w:tcPr>
          <w:p w14:paraId="1FE721D6">
            <w:pPr>
              <w:snapToGrid w:val="0"/>
              <w:spacing w:line="360" w:lineRule="auto"/>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0109C9CA">
            <w:pPr>
              <w:rPr>
                <w:rFonts w:cs="Arial" w:asciiTheme="minorEastAsia" w:hAnsiTheme="minorEastAsia" w:eastAsiaTheme="minorEastAsia"/>
                <w:kern w:val="0"/>
                <w:szCs w:val="21"/>
              </w:rPr>
            </w:pPr>
            <w:r>
              <w:rPr>
                <w:rFonts w:hint="eastAsia" w:ascii="宋体" w:hAnsi="宋体" w:cs="宋体"/>
                <w:szCs w:val="21"/>
              </w:rPr>
              <w:t>技术需求评审中允许负偏离的条款数为</w:t>
            </w:r>
            <w:r>
              <w:rPr>
                <w:rFonts w:hint="eastAsia" w:ascii="宋体" w:hAnsi="宋体" w:cs="宋体"/>
                <w:szCs w:val="21"/>
                <w:u w:val="single"/>
              </w:rPr>
              <w:t xml:space="preserve">  0  </w:t>
            </w:r>
            <w:r>
              <w:rPr>
                <w:rFonts w:hint="eastAsia" w:ascii="宋体" w:hAnsi="宋体" w:cs="宋体"/>
                <w:szCs w:val="21"/>
              </w:rPr>
              <w:t>项。</w:t>
            </w:r>
          </w:p>
        </w:tc>
      </w:tr>
    </w:tbl>
    <w:p w14:paraId="5C7129CD">
      <w:pPr>
        <w:adjustRightInd/>
        <w:spacing w:line="360" w:lineRule="auto"/>
        <w:rPr>
          <w:rFonts w:cs="仿宋_GB2312" w:asciiTheme="minorEastAsia" w:hAnsiTheme="minorEastAsia" w:eastAsiaTheme="minorEastAsia"/>
          <w:b/>
          <w:sz w:val="32"/>
          <w:szCs w:val="32"/>
        </w:rPr>
      </w:pPr>
    </w:p>
    <w:p w14:paraId="7C5D76B5">
      <w:pPr>
        <w:widowControl/>
        <w:adjustRightInd/>
        <w:jc w:val="left"/>
        <w:rPr>
          <w:rFonts w:cs="仿宋_GB2312" w:asciiTheme="minorEastAsia" w:hAnsiTheme="minorEastAsia" w:eastAsiaTheme="minorEastAsia"/>
          <w:b/>
          <w:sz w:val="32"/>
          <w:szCs w:val="32"/>
        </w:rPr>
      </w:pPr>
      <w:bookmarkStart w:id="46" w:name="_Toc22104"/>
      <w:r>
        <w:rPr>
          <w:rFonts w:cs="仿宋_GB2312" w:asciiTheme="minorEastAsia" w:hAnsiTheme="minorEastAsia" w:eastAsiaTheme="minorEastAsia"/>
          <w:b/>
          <w:sz w:val="32"/>
          <w:szCs w:val="32"/>
        </w:rPr>
        <w:br w:type="page"/>
      </w:r>
    </w:p>
    <w:p w14:paraId="28A00AC5">
      <w:pPr>
        <w:adjustRightInd/>
        <w:spacing w:line="360" w:lineRule="auto"/>
        <w:jc w:val="center"/>
        <w:outlineLvl w:val="1"/>
        <w:rPr>
          <w:rFonts w:cs="仿宋_GB2312" w:asciiTheme="minorEastAsia" w:hAnsiTheme="minorEastAsia" w:eastAsiaTheme="minorEastAsia"/>
          <w:b/>
          <w:szCs w:val="21"/>
        </w:rPr>
      </w:pPr>
      <w:r>
        <w:rPr>
          <w:rFonts w:hint="eastAsia" w:cs="仿宋_GB2312" w:asciiTheme="minorEastAsia" w:hAnsiTheme="minorEastAsia" w:eastAsiaTheme="minorEastAsia"/>
          <w:b/>
          <w:sz w:val="32"/>
          <w:szCs w:val="32"/>
        </w:rPr>
        <w:t>二、总则</w:t>
      </w:r>
      <w:bookmarkEnd w:id="46"/>
    </w:p>
    <w:p w14:paraId="1EC9FBB7">
      <w:pPr>
        <w:snapToGrid w:val="0"/>
        <w:spacing w:line="360" w:lineRule="auto"/>
        <w:jc w:val="left"/>
        <w:rPr>
          <w:rFonts w:asciiTheme="minorEastAsia" w:hAnsiTheme="minorEastAsia" w:eastAsiaTheme="minorEastAsia"/>
          <w:b/>
          <w:szCs w:val="21"/>
        </w:rPr>
      </w:pPr>
      <w:r>
        <w:rPr>
          <w:rFonts w:hint="eastAsia" w:asciiTheme="minorEastAsia" w:hAnsiTheme="minorEastAsia" w:eastAsiaTheme="minorEastAsia"/>
          <w:b/>
          <w:szCs w:val="21"/>
        </w:rPr>
        <w:t>1. 适用范围</w:t>
      </w:r>
    </w:p>
    <w:p w14:paraId="45CA4E48">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本磋商文件适用于该项目的邀请、响应、开启响应文件、信用信息查询、资格性审查、评审、成交、合同、验收等行为（法律、法规另有规定的，从其规定）。</w:t>
      </w:r>
    </w:p>
    <w:p w14:paraId="7D29FFD6">
      <w:pPr>
        <w:adjustRightInd/>
        <w:spacing w:line="360" w:lineRule="auto"/>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2.定义</w:t>
      </w:r>
    </w:p>
    <w:p w14:paraId="4F48B33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 “采购人”系指磋商公告中载明的本项目的采购人。</w:t>
      </w:r>
    </w:p>
    <w:p w14:paraId="33105C9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 “采购代理机构”系指磋商公告中载明的本项目的采购代理机构。</w:t>
      </w:r>
    </w:p>
    <w:p w14:paraId="15BBC56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 “供应商”系指响应磋商、参加本次竞争的法人、其他组织或自然人。</w:t>
      </w:r>
    </w:p>
    <w:p w14:paraId="5F909FA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2.4 “</w:t>
      </w:r>
      <w:r>
        <w:rPr>
          <w:rFonts w:hint="eastAsia" w:ascii="宋体" w:hAnsi="宋体" w:cs="宋体"/>
          <w:szCs w:val="21"/>
        </w:rPr>
        <w:t>法定代表人（负责人）</w:t>
      </w:r>
      <w:r>
        <w:rPr>
          <w:rFonts w:hint="eastAsia" w:asciiTheme="minorEastAsia" w:hAnsiTheme="minorEastAsia" w:eastAsiaTheme="minorEastAsia"/>
          <w:szCs w:val="21"/>
        </w:rPr>
        <w:t>”系指法人企业的法定负责人，或其他组织为法律、行政法规规定代表单位行使职权的主要负责人，或自然人本人。</w:t>
      </w:r>
    </w:p>
    <w:p w14:paraId="4A4A0CC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 “成交人”系指经评审确定的成交供应商。</w:t>
      </w:r>
    </w:p>
    <w:p w14:paraId="15D92E3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2.6“响应文件”系指供应商提交的商务技术文件。供应商提交最后报价后，最后报价是供应商响应文件的有效组成部分。</w:t>
      </w:r>
    </w:p>
    <w:p w14:paraId="47CE105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2.7“电子交易平台”系指本项目政府采购活动所依托的</w:t>
      </w:r>
      <w:r>
        <w:rPr>
          <w:rFonts w:hint="eastAsia" w:ascii="宋体" w:hAnsi="宋体" w:cs="宋体"/>
          <w:szCs w:val="21"/>
        </w:rPr>
        <w:t>广西政府采购云平台（https://www.gcy.zfcg.gxzf.gov.cn/）</w:t>
      </w:r>
      <w:r>
        <w:rPr>
          <w:rFonts w:hint="eastAsia" w:asciiTheme="minorEastAsia" w:hAnsiTheme="minorEastAsia" w:eastAsiaTheme="minorEastAsia"/>
          <w:szCs w:val="21"/>
        </w:rPr>
        <w:t>。</w:t>
      </w:r>
    </w:p>
    <w:p w14:paraId="47552A0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Cs w:val="21"/>
        </w:rPr>
        <w:t>4</w:t>
      </w:r>
      <w:r>
        <w:rPr>
          <w:rFonts w:hint="eastAsia" w:asciiTheme="minorEastAsia" w:hAnsiTheme="minorEastAsia" w:eastAsiaTheme="minorEastAsia"/>
          <w:szCs w:val="21"/>
        </w:rPr>
        <w:t>）。</w:t>
      </w:r>
    </w:p>
    <w:p w14:paraId="293A1B45">
      <w:pPr>
        <w:spacing w:line="360" w:lineRule="auto"/>
        <w:ind w:firstLine="420" w:firstLineChars="200"/>
        <w:rPr>
          <w:rFonts w:asciiTheme="minorEastAsia" w:hAnsiTheme="minorEastAsia" w:eastAsiaTheme="minorEastAsia"/>
          <w:szCs w:val="21"/>
        </w:rPr>
      </w:pPr>
      <w:r>
        <w:rPr>
          <w:rFonts w:hint="eastAsia" w:ascii="宋体" w:hAnsi="宋体" w:cs="宋体"/>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3534FFE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2.9 “书面形式”包括数据电文形式与纸质形式。数据电文形式与纸质形式的采购活动具有同等法律效力。</w:t>
      </w:r>
    </w:p>
    <w:p w14:paraId="4D4A38F4">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szCs w:val="21"/>
        </w:rPr>
        <w:t>2.10 “▲” 系指实质性要求条款， “※”系指磋商过程中可能实质性变动的内容，</w:t>
      </w:r>
      <w:r>
        <w:rPr>
          <w:rFonts w:asciiTheme="minorEastAsia" w:hAnsiTheme="minorEastAsia" w:eastAsiaTheme="minorEastAsia"/>
          <w:szCs w:val="21"/>
        </w:rPr>
        <w:t xml:space="preserve"> </w:t>
      </w:r>
      <w:r>
        <w:rPr>
          <w:rFonts w:hint="eastAsia" w:ascii="宋体" w:hAnsi="宋体" w:cs="宋体"/>
          <w:kern w:val="0"/>
          <w:szCs w:val="21"/>
        </w:rPr>
        <w:t>“</w:t>
      </w:r>
      <w:r>
        <w:rPr>
          <w:rFonts w:hint="eastAsia" w:ascii="宋体" w:hAnsi="宋体" w:cs="宋体"/>
          <w:kern w:val="0"/>
          <w:szCs w:val="21"/>
        </w:rPr>
        <w:sym w:font="Wingdings" w:char="F0FE"/>
      </w:r>
      <w:r>
        <w:rPr>
          <w:rFonts w:hint="eastAsia" w:ascii="宋体" w:hAnsi="宋体" w:cs="宋体"/>
          <w:kern w:val="0"/>
          <w:szCs w:val="21"/>
        </w:rPr>
        <w:t>”</w:t>
      </w:r>
      <w:r>
        <w:rPr>
          <w:rFonts w:hint="eastAsia" w:cs="宋体" w:asciiTheme="minorEastAsia" w:hAnsiTheme="minorEastAsia" w:eastAsiaTheme="minorEastAsia"/>
          <w:szCs w:val="21"/>
        </w:rPr>
        <w:t>系指适用本项目的要求，“□”系指不适用本项目的要求。</w:t>
      </w:r>
    </w:p>
    <w:p w14:paraId="3377C208">
      <w:pPr>
        <w:adjustRightInd/>
        <w:spacing w:line="360" w:lineRule="auto"/>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3. 响应有效期</w:t>
      </w:r>
    </w:p>
    <w:p w14:paraId="145B7B22">
      <w:pPr>
        <w:spacing w:line="360" w:lineRule="auto"/>
        <w:ind w:firstLine="420"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szCs w:val="21"/>
        </w:rPr>
        <w:t>▲3.1</w:t>
      </w:r>
      <w:r>
        <w:rPr>
          <w:rFonts w:hint="eastAsia" w:cs="仿宋_GB2312" w:asciiTheme="minorEastAsia" w:hAnsiTheme="minorEastAsia" w:eastAsiaTheme="minorEastAsia"/>
          <w:b/>
          <w:szCs w:val="21"/>
        </w:rPr>
        <w:t>响应有效期为从提交响应文件的截止之日起60天。供应商的响应文件中承诺的响应有效期少于磋商文件中载明的磋商有效期的，响应无效。</w:t>
      </w:r>
    </w:p>
    <w:p w14:paraId="148F931B">
      <w:pPr>
        <w:pStyle w:val="394"/>
        <w:spacing w:before="0"/>
        <w:ind w:firstLine="42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3.2响应文件合格提交后，自响应截止日期起，在响应有效期内有效。</w:t>
      </w:r>
    </w:p>
    <w:p w14:paraId="630B3EC9">
      <w:pPr>
        <w:pStyle w:val="394"/>
        <w:spacing w:before="0"/>
        <w:ind w:firstLine="42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 w:val="21"/>
          <w:szCs w:val="21"/>
        </w:rPr>
        <w:t>拒绝延长磋商有效期的供应商不得再参与该项目后续采购活动。</w:t>
      </w:r>
    </w:p>
    <w:p w14:paraId="417485E7">
      <w:pPr>
        <w:tabs>
          <w:tab w:val="left" w:pos="378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4．响应费用</w:t>
      </w:r>
    </w:p>
    <w:p w14:paraId="2E41C370">
      <w:pPr>
        <w:pStyle w:val="31"/>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rPr>
        <w:t>供应商需自行承担涉及响应的一切费用</w:t>
      </w:r>
      <w:r>
        <w:rPr>
          <w:rFonts w:hint="eastAsia" w:asciiTheme="minorEastAsia" w:hAnsiTheme="minorEastAsia" w:eastAsiaTheme="minorEastAsia"/>
          <w:szCs w:val="21"/>
          <w:lang w:val="zh-CN"/>
        </w:rPr>
        <w:t>。</w:t>
      </w:r>
    </w:p>
    <w:p w14:paraId="2BF37555">
      <w:pPr>
        <w:spacing w:line="360" w:lineRule="auto"/>
        <w:jc w:val="center"/>
        <w:rPr>
          <w:rFonts w:cs="仿宋_GB2312" w:asciiTheme="minorEastAsia" w:hAnsiTheme="minorEastAsia" w:eastAsiaTheme="minorEastAsia"/>
          <w:b/>
          <w:szCs w:val="21"/>
        </w:rPr>
      </w:pPr>
    </w:p>
    <w:p w14:paraId="35E908F5">
      <w:pPr>
        <w:adjustRightInd/>
        <w:spacing w:line="360" w:lineRule="auto"/>
        <w:jc w:val="center"/>
        <w:outlineLvl w:val="1"/>
        <w:rPr>
          <w:rFonts w:cs="仿宋_GB2312" w:asciiTheme="minorEastAsia" w:hAnsiTheme="minorEastAsia" w:eastAsiaTheme="minorEastAsia"/>
          <w:b/>
          <w:sz w:val="32"/>
          <w:szCs w:val="32"/>
        </w:rPr>
      </w:pPr>
      <w:bookmarkStart w:id="47" w:name="_Toc10171"/>
      <w:r>
        <w:rPr>
          <w:rFonts w:hint="eastAsia" w:cs="仿宋_GB2312" w:asciiTheme="minorEastAsia" w:hAnsiTheme="minorEastAsia" w:eastAsiaTheme="minorEastAsia"/>
          <w:b/>
          <w:sz w:val="32"/>
          <w:szCs w:val="32"/>
        </w:rPr>
        <w:t>三、需要落实的政府采购政策</w:t>
      </w:r>
      <w:bookmarkEnd w:id="47"/>
    </w:p>
    <w:p w14:paraId="480978FE">
      <w:pPr>
        <w:pStyle w:val="394"/>
        <w:spacing w:before="0"/>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1.是否允许采购进口产品要求</w:t>
      </w:r>
    </w:p>
    <w:p w14:paraId="2E7387E2">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szCs w:val="21"/>
        </w:rPr>
        <w:t>；</w:t>
      </w:r>
      <w:r>
        <w:rPr>
          <w:rFonts w:hint="eastAsia" w:cs="宋体" w:asciiTheme="minorEastAsia" w:hAnsiTheme="minorEastAsia" w:eastAsiaTheme="minorEastAsia"/>
          <w:kern w:val="0"/>
          <w:szCs w:val="21"/>
        </w:rPr>
        <w:t>优先采购向我国企业转让技术、与我国企业签订消化吸收再创新方案的供应商的进口产品</w:t>
      </w:r>
      <w:r>
        <w:rPr>
          <w:rFonts w:hint="eastAsia" w:asciiTheme="minorEastAsia" w:hAnsiTheme="minorEastAsia" w:eastAsiaTheme="minorEastAsia"/>
          <w:szCs w:val="21"/>
        </w:rPr>
        <w:t>。</w:t>
      </w:r>
    </w:p>
    <w:p w14:paraId="2130BA4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2.支持绿色发展</w:t>
      </w:r>
    </w:p>
    <w:p w14:paraId="6565F839">
      <w:pPr>
        <w:spacing w:line="360" w:lineRule="auto"/>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Cs w:val="21"/>
        </w:rPr>
        <w:t>▲采购人拟采购的产品属于政府强制采购的节能产品品目清单范围的，供应商相应的响应产品未获得国家确定的认证机构出具的、处于有效期之内的节能产品认证证书的，响应无效。</w:t>
      </w:r>
    </w:p>
    <w:p w14:paraId="13F08DC8">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w:t>
      </w:r>
      <w:r>
        <w:rPr>
          <w:rFonts w:hint="eastAsia" w:ascii="宋体" w:hAnsi="宋体" w:cs="宋体"/>
          <w:szCs w:val="21"/>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Cs w:val="21"/>
        </w:rPr>
        <w:t>。</w:t>
      </w:r>
    </w:p>
    <w:p w14:paraId="0E7BFACA">
      <w:pPr>
        <w:spacing w:line="360" w:lineRule="auto"/>
        <w:ind w:firstLine="420" w:firstLineChars="200"/>
        <w:rPr>
          <w:rFonts w:ascii="宋体" w:hAnsi="宋体" w:cs="宋体"/>
          <w:szCs w:val="21"/>
        </w:rPr>
      </w:pPr>
      <w:r>
        <w:rPr>
          <w:rFonts w:hint="eastAsia" w:cs="宋体" w:asciiTheme="minorEastAsia" w:hAnsiTheme="minorEastAsia" w:eastAsiaTheme="minorEastAsia"/>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Cs w:val="21"/>
        </w:rPr>
        <w:t>鼓励采购单位优先采购秸秆环保板材等资源综合利用产品。鼓励采购单位优先采购绿色物流配送服务、提供新能源交通工具的租赁服务。</w:t>
      </w:r>
    </w:p>
    <w:p w14:paraId="4550D5A6">
      <w:pPr>
        <w:spacing w:line="360" w:lineRule="auto"/>
        <w:ind w:firstLine="420" w:firstLineChars="200"/>
        <w:rPr>
          <w:rFonts w:ascii="宋体" w:hAnsi="宋体" w:cs="宋体"/>
          <w:szCs w:val="21"/>
        </w:rPr>
      </w:pPr>
      <w:r>
        <w:rPr>
          <w:rFonts w:ascii="宋体" w:hAnsi="宋体" w:cs="宋体"/>
          <w:szCs w:val="21"/>
        </w:rPr>
        <w:t xml:space="preserve">2.4 </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92118F8">
      <w:pPr>
        <w:pStyle w:val="31"/>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3.支持中小企业发展。</w:t>
      </w:r>
    </w:p>
    <w:p w14:paraId="15C7CFD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D7E2F1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符合中小企业划分标准的个体工商户，在政府采购活动中视同中小企业。</w:t>
      </w:r>
    </w:p>
    <w:p w14:paraId="5CE19571">
      <w:pPr>
        <w:widowControl/>
        <w:spacing w:line="360" w:lineRule="auto"/>
        <w:ind w:firstLine="420" w:firstLineChars="200"/>
        <w:jc w:val="left"/>
        <w:rPr>
          <w:rFonts w:cs="宋体" w:asciiTheme="minorEastAsia" w:hAnsiTheme="minorEastAsia" w:eastAsiaTheme="minorEastAsia"/>
          <w:kern w:val="0"/>
          <w:szCs w:val="21"/>
        </w:rPr>
      </w:pPr>
      <w:r>
        <w:rPr>
          <w:rFonts w:cs="宋体" w:asciiTheme="minorEastAsia" w:hAnsiTheme="minorEastAsia" w:eastAsiaTheme="minorEastAsia"/>
          <w:bCs/>
          <w:szCs w:val="21"/>
        </w:rPr>
        <w:t>3.2</w:t>
      </w:r>
      <w:r>
        <w:rPr>
          <w:rFonts w:hint="eastAsia" w:cs="宋体" w:asciiTheme="minorEastAsia" w:hAnsiTheme="minorEastAsia" w:eastAsiaTheme="minorEastAsia"/>
          <w:kern w:val="0"/>
          <w:szCs w:val="21"/>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Cs w:val="21"/>
        </w:rPr>
        <w:t>享受中小企业扶持政策。</w:t>
      </w:r>
    </w:p>
    <w:p w14:paraId="552EF534">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以联合体形式参加政府采购活动，联合体各方均为中小企业的，联合体视同中小企业。其中，联合体各方均为小微企业的，联合体视同小微企业。</w:t>
      </w:r>
    </w:p>
    <w:p w14:paraId="0581ADFA">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AFBFA6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3.4符合《关于促进残疾人就业政府采购政策的通知》（财库〔2017〕141号）规定的条件并提供《残疾人福利性单位声明函》（附件</w:t>
      </w:r>
      <w:r>
        <w:rPr>
          <w:rFonts w:cs="宋体" w:asciiTheme="minorEastAsia" w:hAnsiTheme="minorEastAsia" w:eastAsiaTheme="minorEastAsia"/>
          <w:szCs w:val="21"/>
        </w:rPr>
        <w:t>3</w:t>
      </w:r>
      <w:r>
        <w:rPr>
          <w:rFonts w:hint="eastAsia" w:cs="宋体" w:asciiTheme="minorEastAsia" w:hAnsiTheme="minorEastAsia" w:eastAsiaTheme="minorEastAsia"/>
          <w:szCs w:val="21"/>
        </w:rPr>
        <w:t>）的残疾人福利性单位视同小型、微型企业；</w:t>
      </w:r>
    </w:p>
    <w:p w14:paraId="0FC13BA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1B069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ED763F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3.7中小企业享受扶持政策获得政府采购合同的，小微企业不得将合同分包给大中型企业，中型企业不得将合同分包给大型企业。</w:t>
      </w:r>
    </w:p>
    <w:p w14:paraId="682276D6">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4.</w:t>
      </w:r>
      <w:r>
        <w:rPr>
          <w:rFonts w:hint="eastAsia" w:cs="宋体" w:asciiTheme="minorEastAsia" w:hAnsiTheme="minorEastAsia" w:eastAsiaTheme="minorEastAsia"/>
          <w:b/>
          <w:bCs/>
          <w:szCs w:val="21"/>
        </w:rPr>
        <w:t>支持创新发展</w:t>
      </w:r>
    </w:p>
    <w:p w14:paraId="0D35CF8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4.1 采购人优先采购被认定为首台套产品和“制造精品”的自主创新产品。</w:t>
      </w:r>
    </w:p>
    <w:p w14:paraId="64664095">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1C8813A">
      <w:pPr>
        <w:spacing w:line="360" w:lineRule="auto"/>
        <w:rPr>
          <w:rFonts w:ascii="宋体" w:hAnsi="宋体" w:cs="宋体"/>
          <w:b/>
          <w:szCs w:val="21"/>
        </w:rPr>
      </w:pPr>
      <w:r>
        <w:rPr>
          <w:rFonts w:hint="eastAsia" w:cs="宋体" w:asciiTheme="minorEastAsia" w:hAnsiTheme="minorEastAsia" w:eastAsiaTheme="minorEastAsia"/>
          <w:b/>
          <w:szCs w:val="21"/>
        </w:rPr>
        <w:t>5.</w:t>
      </w:r>
      <w:r>
        <w:rPr>
          <w:rFonts w:hint="eastAsia" w:ascii="宋体" w:hAnsi="宋体" w:cs="宋体"/>
          <w:b/>
          <w:szCs w:val="21"/>
        </w:rPr>
        <w:t>平等对待内外资企业</w:t>
      </w:r>
    </w:p>
    <w:p w14:paraId="44125387">
      <w:pPr>
        <w:spacing w:line="360" w:lineRule="auto"/>
        <w:ind w:firstLine="420" w:firstLineChars="200"/>
        <w:rPr>
          <w:rFonts w:ascii="宋体" w:hAnsi="宋体" w:cs="宋体"/>
          <w:szCs w:val="21"/>
        </w:rPr>
      </w:pPr>
      <w:r>
        <w:rPr>
          <w:rFonts w:hint="eastAsia" w:ascii="宋体" w:hAnsi="宋体" w:cs="宋体"/>
          <w:szCs w:val="21"/>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0E1B4A7F">
      <w:pPr>
        <w:pStyle w:val="633"/>
        <w:ind w:firstLine="0"/>
        <w:rPr>
          <w:b/>
          <w:bCs/>
          <w:sz w:val="21"/>
          <w:szCs w:val="21"/>
        </w:rPr>
      </w:pPr>
      <w:r>
        <w:rPr>
          <w:rFonts w:hint="eastAsia" w:cs="宋体" w:asciiTheme="minorEastAsia" w:hAnsiTheme="minorEastAsia" w:eastAsiaTheme="minorEastAsia"/>
          <w:b/>
          <w:sz w:val="21"/>
          <w:szCs w:val="21"/>
        </w:rPr>
        <w:t>6.</w:t>
      </w:r>
      <w:r>
        <w:rPr>
          <w:rFonts w:hint="eastAsia"/>
          <w:b/>
          <w:sz w:val="21"/>
          <w:szCs w:val="21"/>
        </w:rPr>
        <w:t>平等对待符合条件的破产重整企业</w:t>
      </w:r>
    </w:p>
    <w:p w14:paraId="4805A58E">
      <w:pPr>
        <w:pStyle w:val="633"/>
        <w:rPr>
          <w:sz w:val="21"/>
          <w:szCs w:val="21"/>
        </w:rPr>
      </w:pPr>
      <w:r>
        <w:rPr>
          <w:rFonts w:hint="eastAsia" w:cs="宋体"/>
          <w:sz w:val="21"/>
          <w:szCs w:val="21"/>
        </w:rPr>
        <w:t>平等对待符合条件的破产重整企业，切实保障企业公平竞争，平等维护企业的合法利益。</w:t>
      </w:r>
    </w:p>
    <w:p w14:paraId="1BAD1400">
      <w:pPr>
        <w:spacing w:line="360" w:lineRule="auto"/>
        <w:ind w:firstLine="420" w:firstLineChars="200"/>
        <w:rPr>
          <w:rFonts w:asciiTheme="minorEastAsia" w:hAnsiTheme="minorEastAsia" w:eastAsiaTheme="minorEastAsia"/>
          <w:szCs w:val="21"/>
        </w:rPr>
      </w:pPr>
    </w:p>
    <w:p w14:paraId="59E50E8D">
      <w:pPr>
        <w:adjustRightInd/>
        <w:spacing w:line="360" w:lineRule="auto"/>
        <w:jc w:val="center"/>
        <w:outlineLvl w:val="1"/>
        <w:rPr>
          <w:rFonts w:cs="仿宋_GB2312" w:asciiTheme="minorEastAsia" w:hAnsiTheme="minorEastAsia" w:eastAsiaTheme="minorEastAsia"/>
          <w:b/>
          <w:sz w:val="32"/>
          <w:szCs w:val="32"/>
        </w:rPr>
      </w:pPr>
      <w:bookmarkStart w:id="48" w:name="_Toc10092"/>
      <w:r>
        <w:rPr>
          <w:rFonts w:hint="eastAsia" w:cs="仿宋_GB2312" w:asciiTheme="minorEastAsia" w:hAnsiTheme="minorEastAsia" w:eastAsiaTheme="minorEastAsia"/>
          <w:b/>
          <w:sz w:val="32"/>
          <w:szCs w:val="32"/>
        </w:rPr>
        <w:t>四、询问、质疑与投诉</w:t>
      </w:r>
      <w:bookmarkEnd w:id="48"/>
    </w:p>
    <w:p w14:paraId="436C2D29">
      <w:pPr>
        <w:pStyle w:val="31"/>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1.在线询问、质疑、投诉</w:t>
      </w:r>
    </w:p>
    <w:p w14:paraId="280D53FD">
      <w:pPr>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225BDF70">
      <w:pPr>
        <w:pStyle w:val="633"/>
        <w:rPr>
          <w:rFonts w:cs="宋体"/>
          <w:sz w:val="21"/>
          <w:szCs w:val="21"/>
        </w:rPr>
      </w:pPr>
      <w:r>
        <w:rPr>
          <w:rFonts w:hint="eastAsia" w:cs="宋体"/>
          <w:sz w:val="21"/>
          <w:szCs w:val="21"/>
        </w:rPr>
        <w:t xml:space="preserve">询问、质疑联系部门：广西亿翔荣工程管理有限责任公司   </w:t>
      </w:r>
    </w:p>
    <w:p w14:paraId="39978CF3">
      <w:pPr>
        <w:pStyle w:val="633"/>
        <w:rPr>
          <w:rFonts w:cs="宋体"/>
          <w:sz w:val="21"/>
          <w:szCs w:val="21"/>
        </w:rPr>
      </w:pPr>
      <w:r>
        <w:rPr>
          <w:rFonts w:hint="eastAsia" w:cs="宋体"/>
          <w:sz w:val="21"/>
          <w:szCs w:val="21"/>
        </w:rPr>
        <w:t xml:space="preserve">联系电话：0779-2218733   联系人：黄杰     </w:t>
      </w:r>
    </w:p>
    <w:p w14:paraId="06072823">
      <w:pPr>
        <w:pStyle w:val="633"/>
        <w:rPr>
          <w:rFonts w:cs="宋体"/>
          <w:sz w:val="21"/>
          <w:szCs w:val="21"/>
        </w:rPr>
      </w:pPr>
      <w:r>
        <w:rPr>
          <w:rFonts w:hint="eastAsia" w:cs="宋体"/>
          <w:sz w:val="21"/>
          <w:szCs w:val="21"/>
        </w:rPr>
        <w:t>地址：北海市金海岸大道45号北部湾科技创业中心2幢0301号（西海岸·国际工社）</w:t>
      </w:r>
    </w:p>
    <w:p w14:paraId="5B9B82BB">
      <w:pPr>
        <w:pStyle w:val="633"/>
        <w:rPr>
          <w:rFonts w:cs="宋体"/>
          <w:sz w:val="21"/>
          <w:szCs w:val="21"/>
        </w:rPr>
      </w:pPr>
      <w:r>
        <w:rPr>
          <w:rFonts w:hint="eastAsia" w:cs="宋体"/>
          <w:sz w:val="21"/>
          <w:szCs w:val="21"/>
        </w:rPr>
        <w:t xml:space="preserve">投诉联系部门：北海市财政局        </w:t>
      </w:r>
    </w:p>
    <w:p w14:paraId="77F32CBA">
      <w:pPr>
        <w:pStyle w:val="633"/>
        <w:rPr>
          <w:rFonts w:cs="宋体"/>
          <w:sz w:val="21"/>
          <w:szCs w:val="21"/>
        </w:rPr>
      </w:pPr>
      <w:r>
        <w:rPr>
          <w:rFonts w:hint="eastAsia" w:cs="宋体"/>
          <w:sz w:val="21"/>
          <w:szCs w:val="21"/>
        </w:rPr>
        <w:t xml:space="preserve">联系电话：0779-3063975   联系人：肖科长     </w:t>
      </w:r>
    </w:p>
    <w:p w14:paraId="4707D1E2">
      <w:pPr>
        <w:pStyle w:val="633"/>
        <w:rPr>
          <w:rFonts w:cs="宋体"/>
          <w:sz w:val="21"/>
          <w:szCs w:val="21"/>
        </w:rPr>
      </w:pPr>
      <w:r>
        <w:rPr>
          <w:rFonts w:hint="eastAsia" w:cs="宋体"/>
          <w:sz w:val="21"/>
          <w:szCs w:val="21"/>
        </w:rPr>
        <w:t>地址：北海市北部湾西路19号</w:t>
      </w:r>
    </w:p>
    <w:p w14:paraId="120B9DC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 供应商询问</w:t>
      </w:r>
    </w:p>
    <w:p w14:paraId="62AF8FA3">
      <w:pPr>
        <w:autoSpaceDE w:val="0"/>
        <w:autoSpaceDN w:val="0"/>
        <w:spacing w:line="360" w:lineRule="auto"/>
        <w:ind w:firstLine="420" w:firstLineChars="20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264599">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 供应商质疑</w:t>
      </w:r>
    </w:p>
    <w:p w14:paraId="4B48A8D7">
      <w:pPr>
        <w:pStyle w:val="31"/>
        <w:spacing w:line="360" w:lineRule="auto"/>
        <w:ind w:firstLine="422" w:firstLineChars="200"/>
        <w:rPr>
          <w:rFonts w:asciiTheme="minorEastAsia" w:hAnsiTheme="minorEastAsia" w:eastAsiaTheme="minorEastAsia"/>
          <w:b/>
          <w:szCs w:val="21"/>
        </w:rPr>
      </w:pPr>
      <w:r>
        <w:rPr>
          <w:rFonts w:hint="eastAsia" w:cs="微软雅黑" w:asciiTheme="minorEastAsia" w:hAnsiTheme="minorEastAsia" w:eastAsiaTheme="minorEastAsia"/>
          <w:b/>
          <w:kern w:val="0"/>
          <w:szCs w:val="21"/>
          <w:lang w:val="zh-CN"/>
        </w:rPr>
        <w:t>3</w:t>
      </w:r>
      <w:r>
        <w:rPr>
          <w:rFonts w:hint="eastAsia" w:asciiTheme="minorEastAsia" w:hAnsiTheme="minorEastAsia" w:eastAsiaTheme="minorEastAsia"/>
          <w:b/>
          <w:szCs w:val="21"/>
        </w:rPr>
        <w:t>.1质疑提出时效</w:t>
      </w:r>
    </w:p>
    <w:p w14:paraId="3D822B07">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3.1.1提出质疑的供应商应当是参与所质疑项目采购活动的供应商。潜在供应商已依法获取其可质疑的采购文件的，可以对该文件提出质疑。</w:t>
      </w:r>
    </w:p>
    <w:p w14:paraId="45B98D19">
      <w:pPr>
        <w:pStyle w:val="31"/>
        <w:spacing w:line="360" w:lineRule="auto"/>
        <w:ind w:firstLine="420" w:firstLineChars="200"/>
        <w:rPr>
          <w:rFonts w:asciiTheme="minorEastAsia" w:hAnsiTheme="minorEastAsia" w:eastAsiaTheme="minorEastAsia"/>
          <w:szCs w:val="21"/>
        </w:rPr>
      </w:pPr>
      <w:r>
        <w:rPr>
          <w:rFonts w:hint="eastAsia" w:cs="微软雅黑" w:asciiTheme="minorEastAsia" w:hAnsiTheme="minorEastAsia" w:eastAsiaTheme="minorEastAsia"/>
          <w:kern w:val="0"/>
          <w:szCs w:val="21"/>
          <w:lang w:val="zh-CN"/>
        </w:rPr>
        <w:t>3</w:t>
      </w:r>
      <w:r>
        <w:rPr>
          <w:rFonts w:hint="eastAsia" w:asciiTheme="minorEastAsia" w:hAnsiTheme="minorEastAsia" w:eastAsiaTheme="minorEastAsia"/>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A66E4F3">
      <w:pPr>
        <w:pStyle w:val="15"/>
        <w:spacing w:line="360" w:lineRule="auto"/>
        <w:ind w:firstLine="380" w:firstLineChars="181"/>
        <w:rPr>
          <w:rFonts w:asciiTheme="minorEastAsia" w:hAnsiTheme="minorEastAsia" w:eastAsiaTheme="minorEastAsia"/>
          <w:snapToGrid/>
          <w:color w:val="auto"/>
          <w:kern w:val="2"/>
          <w:sz w:val="21"/>
          <w:szCs w:val="21"/>
        </w:rPr>
      </w:pPr>
      <w:r>
        <w:rPr>
          <w:rFonts w:hint="eastAsia" w:asciiTheme="minorEastAsia" w:hAnsiTheme="minorEastAsia" w:eastAsiaTheme="minorEastAsia"/>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586A3B8E">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3.1.2.2对采购过程提出质疑的，质疑期限为各采购程序环节结束之日起计算。</w:t>
      </w:r>
    </w:p>
    <w:p w14:paraId="7E7BAB65">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3.1.2.3对采购结果提出质疑的，质疑期限自采购结果公告期限届满之日起计算。</w:t>
      </w:r>
    </w:p>
    <w:p w14:paraId="696B48B6">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3.1.2.4对同一采购程序环节的质疑，供应商须一次性提出。</w:t>
      </w:r>
    </w:p>
    <w:p w14:paraId="53D1543E">
      <w:pPr>
        <w:pStyle w:val="31"/>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3.2质疑答复</w:t>
      </w:r>
    </w:p>
    <w:p w14:paraId="2099BE78">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3.2.1根据采购人与采购代理机构签订采购委托协议的规定，质疑答复责任主体如下：</w:t>
      </w:r>
    </w:p>
    <w:p w14:paraId="452CC34E">
      <w:pPr>
        <w:widowControl/>
        <w:adjustRightInd/>
        <w:jc w:val="center"/>
        <w:rPr>
          <w:rFonts w:asciiTheme="minorEastAsia" w:hAnsiTheme="minorEastAsia" w:eastAsiaTheme="minorEastAsia"/>
          <w:b/>
          <w:szCs w:val="21"/>
        </w:rPr>
      </w:pPr>
      <w:r>
        <w:rPr>
          <w:rFonts w:hint="eastAsia" w:asciiTheme="minorEastAsia" w:hAnsiTheme="minorEastAsia" w:eastAsiaTheme="minorEastAsia"/>
          <w:b/>
          <w:szCs w:val="21"/>
        </w:rPr>
        <w:t>质疑答复责任主体一览表</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4457"/>
        <w:gridCol w:w="2191"/>
      </w:tblGrid>
      <w:tr w14:paraId="25FC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8" w:type="pct"/>
            <w:gridSpan w:val="2"/>
            <w:vAlign w:val="center"/>
          </w:tcPr>
          <w:p w14:paraId="614D6CA3">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质疑内容</w:t>
            </w:r>
          </w:p>
        </w:tc>
        <w:tc>
          <w:tcPr>
            <w:tcW w:w="1201" w:type="pct"/>
            <w:vAlign w:val="center"/>
          </w:tcPr>
          <w:p w14:paraId="724D993B">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质疑答复责任主体</w:t>
            </w:r>
          </w:p>
        </w:tc>
      </w:tr>
      <w:tr w14:paraId="79B6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restart"/>
            <w:vAlign w:val="center"/>
          </w:tcPr>
          <w:p w14:paraId="5D4E38A7">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对采购文件提出质疑</w:t>
            </w:r>
          </w:p>
        </w:tc>
        <w:tc>
          <w:tcPr>
            <w:tcW w:w="2442" w:type="pct"/>
            <w:vAlign w:val="center"/>
          </w:tcPr>
          <w:p w14:paraId="1CE036A3">
            <w:pPr>
              <w:pStyle w:val="31"/>
              <w:spacing w:before="40" w:after="40"/>
              <w:jc w:val="left"/>
              <w:rPr>
                <w:rFonts w:asciiTheme="minorEastAsia" w:hAnsiTheme="minorEastAsia" w:eastAsiaTheme="minorEastAsia"/>
                <w:szCs w:val="21"/>
              </w:rPr>
            </w:pPr>
            <w:r>
              <w:rPr>
                <w:rFonts w:hint="eastAsia" w:asciiTheme="minorEastAsia" w:hAnsiTheme="minorEastAsia" w:eastAsiaTheme="minorEastAsia"/>
                <w:szCs w:val="21"/>
              </w:rPr>
              <w:t>对采购文件中特定资格条件、采购需求、评审办法、评审标准提出的质疑</w:t>
            </w:r>
          </w:p>
        </w:tc>
        <w:tc>
          <w:tcPr>
            <w:tcW w:w="1201" w:type="pct"/>
            <w:vAlign w:val="center"/>
          </w:tcPr>
          <w:p w14:paraId="609CC821">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采购人</w:t>
            </w:r>
          </w:p>
        </w:tc>
      </w:tr>
      <w:tr w14:paraId="086E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continue"/>
            <w:vAlign w:val="center"/>
          </w:tcPr>
          <w:p w14:paraId="6B661111">
            <w:pPr>
              <w:pStyle w:val="31"/>
              <w:spacing w:before="40" w:after="40"/>
              <w:jc w:val="center"/>
              <w:rPr>
                <w:rFonts w:asciiTheme="minorEastAsia" w:hAnsiTheme="minorEastAsia" w:eastAsiaTheme="minorEastAsia"/>
                <w:szCs w:val="21"/>
              </w:rPr>
            </w:pPr>
          </w:p>
        </w:tc>
        <w:tc>
          <w:tcPr>
            <w:tcW w:w="2442" w:type="pct"/>
            <w:vAlign w:val="center"/>
          </w:tcPr>
          <w:p w14:paraId="45A9B6AE">
            <w:pPr>
              <w:pStyle w:val="31"/>
              <w:spacing w:before="40" w:after="40"/>
              <w:jc w:val="left"/>
              <w:rPr>
                <w:rFonts w:asciiTheme="minorEastAsia" w:hAnsiTheme="minorEastAsia" w:eastAsiaTheme="minorEastAsia"/>
                <w:szCs w:val="21"/>
              </w:rPr>
            </w:pPr>
            <w:r>
              <w:rPr>
                <w:rFonts w:hint="eastAsia" w:asciiTheme="minorEastAsia" w:hAnsiTheme="minorEastAsia" w:eastAsiaTheme="minorEastAsia"/>
                <w:szCs w:val="21"/>
              </w:rPr>
              <w:t>对采购文件中其他内容提出的质疑</w:t>
            </w:r>
          </w:p>
        </w:tc>
        <w:tc>
          <w:tcPr>
            <w:tcW w:w="1201" w:type="pct"/>
            <w:vAlign w:val="center"/>
          </w:tcPr>
          <w:p w14:paraId="1AD214A5">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采购代理机构</w:t>
            </w:r>
          </w:p>
        </w:tc>
      </w:tr>
      <w:tr w14:paraId="74E5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restart"/>
            <w:vAlign w:val="center"/>
          </w:tcPr>
          <w:p w14:paraId="19CFC517">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对采购过程提出质疑</w:t>
            </w:r>
          </w:p>
        </w:tc>
        <w:tc>
          <w:tcPr>
            <w:tcW w:w="2442" w:type="pct"/>
            <w:vAlign w:val="center"/>
          </w:tcPr>
          <w:p w14:paraId="52C8B4CF">
            <w:pPr>
              <w:pStyle w:val="31"/>
              <w:spacing w:before="40" w:after="40"/>
              <w:jc w:val="left"/>
              <w:rPr>
                <w:rFonts w:asciiTheme="minorEastAsia" w:hAnsiTheme="minorEastAsia" w:eastAsiaTheme="minorEastAsia"/>
                <w:szCs w:val="21"/>
              </w:rPr>
            </w:pPr>
            <w:r>
              <w:rPr>
                <w:rFonts w:hint="eastAsia" w:asciiTheme="minorEastAsia" w:hAnsiTheme="minorEastAsia" w:eastAsiaTheme="minorEastAsia"/>
                <w:szCs w:val="21"/>
              </w:rPr>
              <w:t>有关现场考察或开启响应文件前答疑会事项提出的质疑</w:t>
            </w:r>
          </w:p>
        </w:tc>
        <w:tc>
          <w:tcPr>
            <w:tcW w:w="1201" w:type="pct"/>
            <w:vAlign w:val="center"/>
          </w:tcPr>
          <w:p w14:paraId="78CD3E8A">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采购人</w:t>
            </w:r>
          </w:p>
        </w:tc>
      </w:tr>
      <w:tr w14:paraId="085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Merge w:val="continue"/>
            <w:vAlign w:val="center"/>
          </w:tcPr>
          <w:p w14:paraId="1771C070">
            <w:pPr>
              <w:pStyle w:val="31"/>
              <w:spacing w:before="40" w:after="40"/>
              <w:jc w:val="center"/>
              <w:rPr>
                <w:rFonts w:asciiTheme="minorEastAsia" w:hAnsiTheme="minorEastAsia" w:eastAsiaTheme="minorEastAsia"/>
                <w:szCs w:val="21"/>
              </w:rPr>
            </w:pPr>
          </w:p>
        </w:tc>
        <w:tc>
          <w:tcPr>
            <w:tcW w:w="2442" w:type="pct"/>
            <w:vAlign w:val="center"/>
          </w:tcPr>
          <w:p w14:paraId="01F04E73">
            <w:pPr>
              <w:pStyle w:val="31"/>
              <w:spacing w:before="40" w:after="40"/>
              <w:jc w:val="left"/>
              <w:rPr>
                <w:rFonts w:asciiTheme="minorEastAsia" w:hAnsiTheme="minorEastAsia" w:eastAsiaTheme="minorEastAsia"/>
                <w:szCs w:val="21"/>
              </w:rPr>
            </w:pPr>
            <w:r>
              <w:rPr>
                <w:rFonts w:hint="eastAsia" w:asciiTheme="minorEastAsia" w:hAnsiTheme="minorEastAsia" w:eastAsiaTheme="minorEastAsia"/>
                <w:szCs w:val="21"/>
              </w:rPr>
              <w:t>对采购过程中其它事项提出的质疑</w:t>
            </w:r>
          </w:p>
        </w:tc>
        <w:tc>
          <w:tcPr>
            <w:tcW w:w="1201" w:type="pct"/>
            <w:vAlign w:val="center"/>
          </w:tcPr>
          <w:p w14:paraId="7AFE495F">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采购代理机构</w:t>
            </w:r>
          </w:p>
        </w:tc>
      </w:tr>
      <w:tr w14:paraId="0B48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Align w:val="center"/>
          </w:tcPr>
          <w:p w14:paraId="4239C0E6">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对采购结果提出质疑</w:t>
            </w:r>
          </w:p>
        </w:tc>
        <w:tc>
          <w:tcPr>
            <w:tcW w:w="2442" w:type="pct"/>
            <w:vAlign w:val="center"/>
          </w:tcPr>
          <w:p w14:paraId="3CAA1152">
            <w:pPr>
              <w:pStyle w:val="31"/>
              <w:spacing w:before="40" w:after="40"/>
              <w:jc w:val="left"/>
              <w:rPr>
                <w:rFonts w:asciiTheme="minorEastAsia" w:hAnsiTheme="minorEastAsia" w:eastAsiaTheme="minorEastAsia"/>
                <w:szCs w:val="21"/>
              </w:rPr>
            </w:pPr>
            <w:r>
              <w:rPr>
                <w:rFonts w:hint="eastAsia" w:asciiTheme="minorEastAsia" w:hAnsiTheme="minorEastAsia" w:eastAsiaTheme="minorEastAsia"/>
                <w:szCs w:val="21"/>
              </w:rPr>
              <w:t>对采购结果提出的质疑</w:t>
            </w:r>
          </w:p>
        </w:tc>
        <w:tc>
          <w:tcPr>
            <w:tcW w:w="1201" w:type="pct"/>
            <w:vAlign w:val="center"/>
          </w:tcPr>
          <w:p w14:paraId="6367417E">
            <w:pPr>
              <w:pStyle w:val="31"/>
              <w:spacing w:before="40" w:after="40"/>
              <w:jc w:val="center"/>
              <w:rPr>
                <w:rFonts w:asciiTheme="minorEastAsia" w:hAnsiTheme="minorEastAsia" w:eastAsiaTheme="minorEastAsia"/>
                <w:szCs w:val="21"/>
              </w:rPr>
            </w:pPr>
            <w:r>
              <w:rPr>
                <w:rFonts w:hint="eastAsia" w:asciiTheme="minorEastAsia" w:hAnsiTheme="minorEastAsia" w:eastAsiaTheme="minorEastAsia"/>
                <w:szCs w:val="21"/>
              </w:rPr>
              <w:t>采购代理机构</w:t>
            </w:r>
          </w:p>
        </w:tc>
      </w:tr>
    </w:tbl>
    <w:p w14:paraId="72092A5E">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注：采购人或代理机构应当协助质疑答复责任主体及时答复供应商的书面质疑。</w:t>
      </w:r>
    </w:p>
    <w:p w14:paraId="64AB4DC9">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AD3F8C1">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2.3询问或者质疑事项可能影响采购结果的，采购人应当暂停签订合同，已经签订合同的，应当中止履行合同。</w:t>
      </w:r>
    </w:p>
    <w:p w14:paraId="50FACAB2">
      <w:pPr>
        <w:pStyle w:val="31"/>
        <w:spacing w:line="360" w:lineRule="auto"/>
        <w:ind w:firstLine="422" w:firstLineChars="200"/>
        <w:rPr>
          <w:rFonts w:asciiTheme="minorEastAsia" w:hAnsiTheme="minorEastAsia" w:eastAsiaTheme="minorEastAsia"/>
          <w:szCs w:val="21"/>
        </w:rPr>
      </w:pPr>
      <w:r>
        <w:rPr>
          <w:rFonts w:hint="eastAsia" w:cs="微软雅黑" w:asciiTheme="minorEastAsia" w:hAnsiTheme="minorEastAsia" w:eastAsiaTheme="minorEastAsia"/>
          <w:b/>
          <w:kern w:val="0"/>
          <w:szCs w:val="21"/>
          <w:lang w:val="zh-CN"/>
        </w:rPr>
        <w:t>3.3质疑函</w:t>
      </w:r>
    </w:p>
    <w:p w14:paraId="403EEC8D">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3.3.1供应商提出质疑应当提交质疑函和必要的证明材料。质疑函应当包括下列内容：</w:t>
      </w:r>
    </w:p>
    <w:p w14:paraId="4905A78D">
      <w:pPr>
        <w:pStyle w:val="31"/>
        <w:tabs>
          <w:tab w:val="left" w:pos="426"/>
          <w:tab w:val="left" w:pos="8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3.3.1.1供应商的姓名或者名称、地址、邮编、联系人及联系电话；</w:t>
      </w:r>
    </w:p>
    <w:p w14:paraId="78F9AD40">
      <w:pPr>
        <w:pStyle w:val="31"/>
        <w:tabs>
          <w:tab w:val="left" w:pos="426"/>
          <w:tab w:val="left" w:pos="8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3.3.1.2质疑项目的名称、编号；</w:t>
      </w:r>
    </w:p>
    <w:p w14:paraId="1D787912">
      <w:pPr>
        <w:pStyle w:val="31"/>
        <w:tabs>
          <w:tab w:val="left" w:pos="426"/>
          <w:tab w:val="left" w:pos="8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3.3.1.3具体、明确的质疑事项和与质疑事项相关的请求；</w:t>
      </w:r>
    </w:p>
    <w:p w14:paraId="31C97517">
      <w:pPr>
        <w:pStyle w:val="31"/>
        <w:tabs>
          <w:tab w:val="left" w:pos="426"/>
          <w:tab w:val="left" w:pos="8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3.3.1.4事实依据；</w:t>
      </w:r>
    </w:p>
    <w:p w14:paraId="189DCD1F">
      <w:pPr>
        <w:pStyle w:val="31"/>
        <w:tabs>
          <w:tab w:val="left" w:pos="426"/>
          <w:tab w:val="left" w:pos="8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3.3.1.5必要的法律依据；</w:t>
      </w:r>
    </w:p>
    <w:p w14:paraId="78D2E8F6">
      <w:pPr>
        <w:pStyle w:val="31"/>
        <w:tabs>
          <w:tab w:val="left" w:pos="426"/>
          <w:tab w:val="left" w:pos="840"/>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3.3.1.6提出质疑的日期。</w:t>
      </w:r>
    </w:p>
    <w:p w14:paraId="4E40293E">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3.3.1.7供应商提交的质疑函需一式三份。供应商为自然人的，应当由本人签字；供应商为法人或者其他组织的，应当由法定代表人、主要负责人，或者其授权代表签字或者盖章，并加盖公章。</w:t>
      </w:r>
    </w:p>
    <w:p w14:paraId="0E7AFD61">
      <w:pPr>
        <w:pStyle w:val="31"/>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质疑函范本及制作说明详见附件</w:t>
      </w:r>
      <w:r>
        <w:rPr>
          <w:rFonts w:asciiTheme="minorEastAsia" w:hAnsiTheme="minorEastAsia" w:eastAsiaTheme="minorEastAsia"/>
          <w:b/>
          <w:szCs w:val="21"/>
        </w:rPr>
        <w:t>1</w:t>
      </w:r>
      <w:r>
        <w:rPr>
          <w:rFonts w:hint="eastAsia" w:asciiTheme="minorEastAsia" w:hAnsiTheme="minorEastAsia" w:eastAsiaTheme="minorEastAsia"/>
          <w:b/>
          <w:szCs w:val="21"/>
        </w:rPr>
        <w:t>。</w:t>
      </w:r>
    </w:p>
    <w:p w14:paraId="1F571B27">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.供应商投诉</w:t>
      </w:r>
    </w:p>
    <w:p w14:paraId="6BB96163">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.1质疑供应商对采购人、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的答复不满意或者采购人、</w:t>
      </w:r>
      <w:r>
        <w:rPr>
          <w:rFonts w:hint="eastAsia" w:asciiTheme="minorEastAsia" w:hAnsiTheme="minorEastAsia" w:eastAsiaTheme="minorEastAsia"/>
          <w:szCs w:val="21"/>
        </w:rPr>
        <w:t>采购代理机构</w:t>
      </w:r>
      <w:r>
        <w:rPr>
          <w:rFonts w:asciiTheme="minorEastAsia" w:hAnsiTheme="minorEastAsia" w:eastAsiaTheme="minorEastAsia"/>
          <w:szCs w:val="21"/>
        </w:rPr>
        <w:t>未在规定的时间内</w:t>
      </w:r>
      <w:r>
        <w:rPr>
          <w:rFonts w:hint="eastAsia" w:asciiTheme="minorEastAsia" w:hAnsiTheme="minorEastAsia" w:eastAsiaTheme="minorEastAsia"/>
          <w:szCs w:val="21"/>
        </w:rPr>
        <w:t>作出答复的，可以在答复期满后十五个工作日内向同级政府采购监督管理部门提出投诉。</w:t>
      </w:r>
    </w:p>
    <w:p w14:paraId="41D9F1F9">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.2供应</w:t>
      </w:r>
      <w:r>
        <w:rPr>
          <w:rFonts w:hint="eastAsia" w:asciiTheme="minorEastAsia" w:hAnsiTheme="minorEastAsia" w:eastAsiaTheme="minorEastAsia"/>
          <w:szCs w:val="21"/>
        </w:rPr>
        <w:t>商投诉的事项不得超出已质疑事项的范围，基于质疑答复内容提出的投诉事项除外。</w:t>
      </w:r>
    </w:p>
    <w:p w14:paraId="6124C395">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.3供应</w:t>
      </w:r>
      <w:r>
        <w:rPr>
          <w:rFonts w:hint="eastAsia" w:asciiTheme="minorEastAsia" w:hAnsiTheme="minorEastAsia" w:eastAsiaTheme="minorEastAsia"/>
          <w:szCs w:val="21"/>
        </w:rPr>
        <w:t>商投诉应当有明确的请求和必要的证明材料。</w:t>
      </w:r>
    </w:p>
    <w:p w14:paraId="5A701B12">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.4以联合体形</w:t>
      </w:r>
      <w:r>
        <w:rPr>
          <w:rFonts w:hint="eastAsia" w:asciiTheme="minorEastAsia" w:hAnsiTheme="minorEastAsia" w:eastAsiaTheme="minorEastAsia"/>
          <w:szCs w:val="21"/>
        </w:rPr>
        <w:t>式参加政府采购活动的，其投诉应当由组成联合体的所有供应商共同提出。</w:t>
      </w:r>
    </w:p>
    <w:p w14:paraId="19CB699E">
      <w:pPr>
        <w:pStyle w:val="31"/>
        <w:spacing w:line="360" w:lineRule="auto"/>
        <w:ind w:firstLine="422" w:firstLineChars="200"/>
        <w:rPr>
          <w:rFonts w:asciiTheme="minorEastAsia" w:hAnsiTheme="minorEastAsia" w:eastAsiaTheme="minorEastAsia"/>
          <w:b/>
          <w:szCs w:val="21"/>
        </w:rPr>
      </w:pPr>
    </w:p>
    <w:p w14:paraId="2B9F9157">
      <w:pPr>
        <w:adjustRightInd/>
        <w:spacing w:line="360" w:lineRule="auto"/>
        <w:jc w:val="center"/>
        <w:outlineLvl w:val="1"/>
        <w:rPr>
          <w:rFonts w:cs="仿宋_GB2312" w:asciiTheme="minorEastAsia" w:hAnsiTheme="minorEastAsia" w:eastAsiaTheme="minorEastAsia"/>
          <w:b/>
          <w:sz w:val="32"/>
          <w:szCs w:val="32"/>
        </w:rPr>
      </w:pPr>
      <w:bookmarkStart w:id="49" w:name="_Toc14202"/>
      <w:r>
        <w:rPr>
          <w:rFonts w:hint="eastAsia" w:cs="仿宋_GB2312" w:asciiTheme="minorEastAsia" w:hAnsiTheme="minorEastAsia" w:eastAsiaTheme="minorEastAsia"/>
          <w:b/>
          <w:sz w:val="32"/>
          <w:szCs w:val="32"/>
        </w:rPr>
        <w:t>五、磋商文件构成、修改、解释</w:t>
      </w:r>
      <w:bookmarkEnd w:id="49"/>
    </w:p>
    <w:p w14:paraId="23978043">
      <w:pPr>
        <w:autoSpaceDE w:val="0"/>
        <w:autoSpaceDN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1．磋商文件的构成</w:t>
      </w:r>
    </w:p>
    <w:p w14:paraId="06205306">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 磋商文件包括下列文件及附件</w:t>
      </w:r>
    </w:p>
    <w:p w14:paraId="211DC800">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第一部分  邀请供应商</w:t>
      </w:r>
    </w:p>
    <w:p w14:paraId="0E8E7208">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第二部分  竞争性磋商流程</w:t>
      </w:r>
    </w:p>
    <w:p w14:paraId="09B96212">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第三部分  供应商须知</w:t>
      </w:r>
    </w:p>
    <w:p w14:paraId="27F3F2C1">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第四部分  采购需求</w:t>
      </w:r>
    </w:p>
    <w:p w14:paraId="54B4A204">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第五部分  评审方法及评审标准</w:t>
      </w:r>
    </w:p>
    <w:p w14:paraId="30B84D5E">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第六部分  拟签订的合同文本</w:t>
      </w:r>
    </w:p>
    <w:p w14:paraId="297CE7CA">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第七部分  应提交的有关格式范例</w:t>
      </w:r>
    </w:p>
    <w:p w14:paraId="37D505A7">
      <w:pPr>
        <w:pStyle w:val="31"/>
        <w:tabs>
          <w:tab w:val="left" w:pos="840"/>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第八部分  最后报价格式</w:t>
      </w:r>
    </w:p>
    <w:p w14:paraId="0246A646">
      <w:pPr>
        <w:pStyle w:val="31"/>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 与本项目有关的</w:t>
      </w:r>
      <w:r>
        <w:rPr>
          <w:rFonts w:hint="eastAsia" w:asciiTheme="minorEastAsia" w:hAnsiTheme="minorEastAsia" w:eastAsiaTheme="minorEastAsia"/>
          <w:bCs/>
          <w:szCs w:val="21"/>
        </w:rPr>
        <w:t>澄清或者修改的内容为磋商文件的组成部分</w:t>
      </w:r>
      <w:r>
        <w:rPr>
          <w:rFonts w:hint="eastAsia" w:cs="仿宋_GB2312" w:asciiTheme="minorEastAsia" w:hAnsiTheme="minorEastAsia" w:eastAsiaTheme="minorEastAsia"/>
          <w:szCs w:val="21"/>
        </w:rPr>
        <w:t>。</w:t>
      </w:r>
    </w:p>
    <w:p w14:paraId="6B656D4C">
      <w:pPr>
        <w:pStyle w:val="31"/>
        <w:spacing w:line="360" w:lineRule="auto"/>
        <w:rPr>
          <w:rFonts w:cs="仿宋_GB2312" w:asciiTheme="minorEastAsia" w:hAnsiTheme="minorEastAsia" w:eastAsiaTheme="minorEastAsia"/>
          <w:b/>
          <w:szCs w:val="21"/>
        </w:rPr>
      </w:pPr>
      <w:r>
        <w:rPr>
          <w:rFonts w:hint="eastAsia" w:asciiTheme="minorEastAsia" w:hAnsiTheme="minorEastAsia" w:eastAsiaTheme="minorEastAsia"/>
          <w:b/>
          <w:szCs w:val="21"/>
        </w:rPr>
        <w:t>2. 磋商文件的</w:t>
      </w:r>
      <w:r>
        <w:rPr>
          <w:rFonts w:hint="eastAsia" w:cs="仿宋_GB2312" w:asciiTheme="minorEastAsia" w:hAnsiTheme="minorEastAsia" w:eastAsiaTheme="minorEastAsia"/>
          <w:b/>
          <w:szCs w:val="21"/>
        </w:rPr>
        <w:t>澄清、修改</w:t>
      </w:r>
    </w:p>
    <w:p w14:paraId="2D1EDA59">
      <w:pPr>
        <w:pStyle w:val="394"/>
        <w:snapToGrid w:val="0"/>
        <w:spacing w:before="0"/>
        <w:ind w:firstLine="42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2.1已获取磋商文件的潜在供应商，若有问题需要澄清，应于提交首次响应文件截止时间前，以书面形式向采购代理机构提出。</w:t>
      </w:r>
    </w:p>
    <w:p w14:paraId="13AB5BBB">
      <w:pPr>
        <w:pStyle w:val="394"/>
        <w:snapToGrid w:val="0"/>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2.2</w:t>
      </w:r>
      <w:r>
        <w:rPr>
          <w:rFonts w:hint="eastAsia" w:cs="宋体" w:asciiTheme="minorEastAsia" w:hAnsiTheme="minorEastAsia" w:eastAsiaTheme="minorEastAsia"/>
          <w:sz w:val="21"/>
          <w:szCs w:val="21"/>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sz w:val="21"/>
          <w:szCs w:val="21"/>
        </w:rPr>
        <w:t>提交首次</w:t>
      </w:r>
      <w:r>
        <w:rPr>
          <w:rFonts w:hint="eastAsia" w:cs="宋体" w:asciiTheme="minorEastAsia" w:hAnsiTheme="minorEastAsia" w:eastAsiaTheme="minorEastAsia"/>
          <w:sz w:val="21"/>
          <w:szCs w:val="21"/>
        </w:rPr>
        <w:t>响应文件截止时间和响应文件开启时间。该澄清或者修改的内容为磋商文件的组成部分。</w:t>
      </w:r>
    </w:p>
    <w:p w14:paraId="2FEACEC8">
      <w:pPr>
        <w:pStyle w:val="394"/>
        <w:snapToGrid w:val="0"/>
        <w:spacing w:before="0"/>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sz w:val="21"/>
          <w:szCs w:val="21"/>
        </w:rPr>
        <w:t>通过电子交易平台</w:t>
      </w:r>
      <w:r>
        <w:rPr>
          <w:rFonts w:hint="eastAsia" w:asciiTheme="minorEastAsia" w:hAnsiTheme="minorEastAsia" w:eastAsiaTheme="minorEastAsia"/>
          <w:sz w:val="21"/>
          <w:szCs w:val="21"/>
        </w:rPr>
        <w:t>通知所有获取磋商文件的供应商；不足5日的，采购人、采购代理机构应当顺延提交首次响应文件截止时间。</w:t>
      </w:r>
    </w:p>
    <w:p w14:paraId="5E0B8AD2">
      <w:pPr>
        <w:pStyle w:val="394"/>
        <w:snapToGrid w:val="0"/>
        <w:spacing w:before="0"/>
        <w:ind w:firstLine="422"/>
        <w:rPr>
          <w:rFonts w:asciiTheme="minorEastAsia" w:hAnsiTheme="minorEastAsia" w:eastAsiaTheme="minorEastAsia"/>
          <w:sz w:val="21"/>
          <w:szCs w:val="21"/>
        </w:rPr>
      </w:pP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响应文件未按磋商文件的澄清、修改的内容编制，又不符合实质性要求的，响应无效。</w:t>
      </w:r>
    </w:p>
    <w:p w14:paraId="7BD99505">
      <w:pPr>
        <w:pStyle w:val="22"/>
        <w:rPr>
          <w:rFonts w:cs="仿宋_GB2312" w:asciiTheme="minorEastAsia" w:hAnsiTheme="minorEastAsia" w:eastAsiaTheme="minorEastAsia"/>
          <w:sz w:val="21"/>
          <w:lang w:val="en-US"/>
        </w:rPr>
      </w:pPr>
      <w:r>
        <w:rPr>
          <w:rFonts w:hint="eastAsia" w:cs="仿宋_GB2312" w:asciiTheme="minorEastAsia" w:hAnsiTheme="minorEastAsia" w:eastAsiaTheme="minorEastAsia"/>
          <w:sz w:val="21"/>
          <w:lang w:val="en-US"/>
        </w:rPr>
        <w:t xml:space="preserve">    </w:t>
      </w:r>
    </w:p>
    <w:p w14:paraId="6536CEE2">
      <w:pPr>
        <w:adjustRightInd/>
        <w:spacing w:line="360" w:lineRule="auto"/>
        <w:jc w:val="center"/>
        <w:outlineLvl w:val="1"/>
        <w:rPr>
          <w:rFonts w:cs="仿宋_GB2312" w:asciiTheme="minorEastAsia" w:hAnsiTheme="minorEastAsia" w:eastAsiaTheme="minorEastAsia"/>
          <w:b/>
          <w:sz w:val="32"/>
          <w:szCs w:val="32"/>
        </w:rPr>
      </w:pPr>
      <w:bookmarkStart w:id="50" w:name="_Toc23010"/>
      <w:r>
        <w:rPr>
          <w:rFonts w:hint="eastAsia" w:cs="仿宋_GB2312" w:asciiTheme="minorEastAsia" w:hAnsiTheme="minorEastAsia" w:eastAsiaTheme="minorEastAsia"/>
          <w:b/>
          <w:sz w:val="32"/>
          <w:szCs w:val="32"/>
        </w:rPr>
        <w:t>六、响应文件的编制</w:t>
      </w:r>
      <w:bookmarkEnd w:id="50"/>
    </w:p>
    <w:p w14:paraId="02ABADDD">
      <w:pPr>
        <w:pStyle w:val="31"/>
        <w:spacing w:line="360" w:lineRule="auto"/>
        <w:rPr>
          <w:rFonts w:cs="仿宋_GB2312" w:asciiTheme="minorEastAsia" w:hAnsiTheme="minorEastAsia" w:eastAsiaTheme="minorEastAsia"/>
          <w:b/>
          <w:szCs w:val="21"/>
        </w:rPr>
      </w:pPr>
      <w:r>
        <w:rPr>
          <w:rFonts w:hint="eastAsia" w:asciiTheme="minorEastAsia" w:hAnsiTheme="minorEastAsia" w:eastAsiaTheme="minorEastAsia"/>
          <w:b/>
          <w:szCs w:val="21"/>
        </w:rPr>
        <w:t>1. 响应文件的语言</w:t>
      </w:r>
    </w:p>
    <w:p w14:paraId="0F39B122">
      <w:pPr>
        <w:pStyle w:val="31"/>
        <w:spacing w:line="360" w:lineRule="auto"/>
        <w:ind w:firstLine="420" w:firstLineChars="200"/>
        <w:rPr>
          <w:rFonts w:cs="仿宋_GB2312" w:asciiTheme="minorEastAsia" w:hAnsiTheme="minorEastAsia" w:eastAsiaTheme="minorEastAsia"/>
          <w:b/>
          <w:szCs w:val="21"/>
        </w:rPr>
      </w:pPr>
      <w:r>
        <w:rPr>
          <w:rFonts w:hint="eastAsia" w:asciiTheme="minorEastAsia" w:hAnsiTheme="minorEastAsia" w:eastAsiaTheme="minorEastAsia"/>
          <w:szCs w:val="21"/>
        </w:rPr>
        <w:t>响应文件及供应商与采购有关的来往通知、函件和文件均应使用中文。</w:t>
      </w:r>
    </w:p>
    <w:p w14:paraId="334D2186">
      <w:pPr>
        <w:pStyle w:val="31"/>
        <w:spacing w:line="360" w:lineRule="auto"/>
        <w:rPr>
          <w:rFonts w:cs="仿宋_GB2312" w:asciiTheme="minorEastAsia" w:hAnsiTheme="minorEastAsia" w:eastAsiaTheme="minorEastAsia"/>
          <w:b/>
          <w:szCs w:val="21"/>
        </w:rPr>
      </w:pPr>
      <w:r>
        <w:rPr>
          <w:rFonts w:hint="eastAsia" w:asciiTheme="minorEastAsia" w:hAnsiTheme="minorEastAsia" w:eastAsiaTheme="minorEastAsia"/>
          <w:b/>
          <w:szCs w:val="21"/>
        </w:rPr>
        <w:t>2. 响应文件的组成</w:t>
      </w:r>
    </w:p>
    <w:p w14:paraId="310BD6B1">
      <w:pPr>
        <w:pStyle w:val="31"/>
        <w:spacing w:line="360" w:lineRule="auto"/>
        <w:ind w:firstLine="420" w:firstLineChars="200"/>
        <w:rPr>
          <w:rFonts w:cs="仿宋_GB2312" w:asciiTheme="minorEastAsia" w:hAnsiTheme="minorEastAsia" w:eastAsiaTheme="minorEastAsia"/>
          <w:b/>
          <w:szCs w:val="21"/>
        </w:rPr>
      </w:pPr>
      <w:r>
        <w:rPr>
          <w:rFonts w:hint="eastAsia" w:asciiTheme="minorEastAsia" w:hAnsiTheme="minorEastAsia" w:eastAsiaTheme="minorEastAsia"/>
          <w:szCs w:val="21"/>
        </w:rPr>
        <w:t>响应文件应当包括以下主要内容：</w:t>
      </w:r>
    </w:p>
    <w:p w14:paraId="2E3802F1">
      <w:pPr>
        <w:pStyle w:val="31"/>
        <w:spacing w:line="360" w:lineRule="auto"/>
        <w:ind w:firstLine="422" w:firstLineChars="200"/>
        <w:rPr>
          <w:rFonts w:cs="宋体"/>
          <w:b/>
          <w:bCs/>
          <w:szCs w:val="21"/>
        </w:rPr>
      </w:pPr>
      <w:r>
        <w:rPr>
          <w:rFonts w:hint="eastAsia" w:cs="宋体"/>
          <w:b/>
          <w:bCs/>
          <w:szCs w:val="21"/>
        </w:rPr>
        <w:t>（一）资格文件</w:t>
      </w:r>
    </w:p>
    <w:p w14:paraId="35D5ABB2">
      <w:pPr>
        <w:pStyle w:val="31"/>
        <w:spacing w:line="360" w:lineRule="auto"/>
        <w:ind w:firstLine="420" w:firstLineChars="200"/>
        <w:rPr>
          <w:rFonts w:cs="宋体"/>
          <w:szCs w:val="21"/>
        </w:rPr>
      </w:pPr>
      <w:r>
        <w:rPr>
          <w:rFonts w:hint="eastAsia" w:cs="宋体"/>
          <w:szCs w:val="21"/>
        </w:rPr>
        <w:t>1、北海市政府采购供应商信用承诺函（格式后附）；</w:t>
      </w:r>
      <w:r>
        <w:rPr>
          <w:rFonts w:hint="eastAsia" w:cs="宋体"/>
          <w:b/>
          <w:bCs/>
          <w:szCs w:val="21"/>
        </w:rPr>
        <w:t>（必须提供，否则响应文件按无效响应处理）</w:t>
      </w:r>
    </w:p>
    <w:p w14:paraId="6128A4D4">
      <w:pPr>
        <w:pStyle w:val="31"/>
        <w:spacing w:line="360" w:lineRule="auto"/>
        <w:ind w:firstLine="420" w:firstLineChars="200"/>
        <w:rPr>
          <w:rFonts w:cs="宋体"/>
          <w:b/>
          <w:bCs/>
          <w:szCs w:val="21"/>
        </w:rPr>
      </w:pPr>
      <w:r>
        <w:rPr>
          <w:rFonts w:hint="eastAsia" w:cs="宋体"/>
          <w:szCs w:val="21"/>
        </w:rPr>
        <w:t>2、具备有效的测绘乙级（含乙级）以上资质证书复印件；</w:t>
      </w:r>
      <w:r>
        <w:rPr>
          <w:rFonts w:hint="eastAsia" w:cs="宋体"/>
          <w:b/>
          <w:bCs/>
          <w:szCs w:val="21"/>
        </w:rPr>
        <w:t>（必须提供，否则响应文件按无效响应处理）</w:t>
      </w:r>
    </w:p>
    <w:p w14:paraId="40B40325">
      <w:pPr>
        <w:pStyle w:val="31"/>
        <w:spacing w:line="360" w:lineRule="auto"/>
        <w:ind w:firstLine="420" w:firstLineChars="200"/>
        <w:rPr>
          <w:rFonts w:cs="宋体"/>
          <w:szCs w:val="21"/>
        </w:rPr>
      </w:pPr>
      <w:r>
        <w:rPr>
          <w:rFonts w:hint="eastAsia" w:cs="宋体"/>
          <w:szCs w:val="21"/>
          <w:lang w:val="en-US" w:eastAsia="zh-CN"/>
        </w:rPr>
        <w:t>3</w:t>
      </w:r>
      <w:r>
        <w:rPr>
          <w:rFonts w:hint="eastAsia" w:cs="宋体"/>
          <w:szCs w:val="21"/>
        </w:rPr>
        <w:t xml:space="preserve">、除磋商文件规定必须提供以外，供应商认为需要提供的其他证明材料。 </w:t>
      </w:r>
    </w:p>
    <w:p w14:paraId="54E96D4B">
      <w:pPr>
        <w:pStyle w:val="31"/>
        <w:spacing w:line="360" w:lineRule="auto"/>
        <w:ind w:firstLine="422" w:firstLineChars="200"/>
        <w:rPr>
          <w:rFonts w:cs="宋体"/>
          <w:b/>
          <w:bCs/>
          <w:szCs w:val="21"/>
        </w:rPr>
      </w:pPr>
      <w:r>
        <w:rPr>
          <w:rFonts w:hint="eastAsia" w:cs="宋体"/>
          <w:b/>
          <w:bCs/>
          <w:szCs w:val="21"/>
        </w:rPr>
        <w:t>（二）报价文件</w:t>
      </w:r>
    </w:p>
    <w:p w14:paraId="1A12C1B2">
      <w:pPr>
        <w:pStyle w:val="31"/>
        <w:spacing w:line="360" w:lineRule="auto"/>
        <w:ind w:firstLine="420" w:firstLineChars="200"/>
        <w:rPr>
          <w:rFonts w:cs="宋体"/>
          <w:b/>
          <w:bCs/>
          <w:szCs w:val="21"/>
        </w:rPr>
      </w:pPr>
      <w:r>
        <w:rPr>
          <w:rFonts w:hint="eastAsia" w:cs="宋体"/>
          <w:szCs w:val="21"/>
        </w:rPr>
        <w:t>1、报价一览表（格式后附）；</w:t>
      </w:r>
      <w:r>
        <w:rPr>
          <w:rFonts w:hint="eastAsia" w:cs="宋体"/>
          <w:b/>
          <w:bCs/>
          <w:szCs w:val="21"/>
        </w:rPr>
        <w:t>（必须提供，否则响应文件按无效响应处理）</w:t>
      </w:r>
    </w:p>
    <w:p w14:paraId="5C9D8F45">
      <w:pPr>
        <w:pStyle w:val="31"/>
        <w:spacing w:line="360" w:lineRule="auto"/>
        <w:ind w:firstLine="420" w:firstLineChars="200"/>
        <w:rPr>
          <w:rFonts w:cs="宋体"/>
          <w:szCs w:val="21"/>
        </w:rPr>
      </w:pPr>
      <w:r>
        <w:rPr>
          <w:rFonts w:hint="eastAsia" w:cs="宋体"/>
          <w:szCs w:val="21"/>
        </w:rPr>
        <w:t>2、供应商认为需要提供的其他有关资料。</w:t>
      </w:r>
    </w:p>
    <w:p w14:paraId="238E4075">
      <w:pPr>
        <w:pStyle w:val="31"/>
        <w:spacing w:line="360" w:lineRule="auto"/>
        <w:ind w:firstLine="422" w:firstLineChars="200"/>
        <w:rPr>
          <w:rFonts w:cs="宋体"/>
          <w:szCs w:val="21"/>
        </w:rPr>
      </w:pPr>
      <w:r>
        <w:rPr>
          <w:rFonts w:hint="eastAsia" w:cs="宋体"/>
          <w:b/>
          <w:bCs/>
          <w:szCs w:val="21"/>
        </w:rPr>
        <w:t>（三）商务技术文件</w:t>
      </w:r>
    </w:p>
    <w:p w14:paraId="234B7BAF">
      <w:pPr>
        <w:pStyle w:val="31"/>
        <w:spacing w:line="360" w:lineRule="auto"/>
        <w:ind w:firstLine="420" w:firstLineChars="200"/>
        <w:rPr>
          <w:rFonts w:cs="宋体"/>
          <w:szCs w:val="21"/>
        </w:rPr>
      </w:pPr>
      <w:r>
        <w:rPr>
          <w:rFonts w:hint="eastAsia" w:cs="宋体"/>
          <w:szCs w:val="21"/>
        </w:rPr>
        <w:t>1、响应函（格式后附）；</w:t>
      </w:r>
      <w:r>
        <w:rPr>
          <w:rFonts w:hint="eastAsia" w:cs="宋体"/>
          <w:b/>
          <w:bCs/>
          <w:szCs w:val="21"/>
        </w:rPr>
        <w:t>（必须提供，否则响应文件按无效响应处理）</w:t>
      </w:r>
    </w:p>
    <w:p w14:paraId="21D49E60">
      <w:pPr>
        <w:pStyle w:val="31"/>
        <w:spacing w:line="360" w:lineRule="auto"/>
        <w:ind w:firstLine="420" w:firstLineChars="200"/>
        <w:rPr>
          <w:rFonts w:cs="宋体"/>
          <w:szCs w:val="21"/>
        </w:rPr>
      </w:pPr>
      <w:r>
        <w:rPr>
          <w:rFonts w:hint="eastAsia" w:cs="宋体"/>
          <w:szCs w:val="21"/>
        </w:rPr>
        <w:t>2、政府采购供应商廉洁自律承诺书（格式后附）；</w:t>
      </w:r>
      <w:r>
        <w:rPr>
          <w:rFonts w:hint="eastAsia" w:cs="宋体"/>
          <w:b/>
          <w:bCs/>
          <w:szCs w:val="21"/>
        </w:rPr>
        <w:t>（必须提供，否则响应文件按无效响应处理）</w:t>
      </w:r>
    </w:p>
    <w:p w14:paraId="74CC8C62">
      <w:pPr>
        <w:pStyle w:val="31"/>
        <w:spacing w:line="360" w:lineRule="auto"/>
        <w:ind w:firstLine="420" w:firstLineChars="200"/>
        <w:rPr>
          <w:rFonts w:cs="宋体"/>
          <w:szCs w:val="21"/>
        </w:rPr>
      </w:pPr>
      <w:r>
        <w:rPr>
          <w:rFonts w:hint="eastAsia"/>
        </w:rPr>
        <w:t>3、</w:t>
      </w:r>
      <w:r>
        <w:rPr>
          <w:rFonts w:hint="eastAsia" w:cs="宋体"/>
          <w:kern w:val="0"/>
          <w:szCs w:val="21"/>
          <w:lang w:val="zh-CN"/>
        </w:rPr>
        <w:t>承诺函</w:t>
      </w:r>
      <w:r>
        <w:rPr>
          <w:rFonts w:hint="eastAsia" w:cs="宋体"/>
          <w:szCs w:val="21"/>
        </w:rPr>
        <w:t>（格式后附）；</w:t>
      </w:r>
      <w:r>
        <w:rPr>
          <w:rFonts w:hint="eastAsia" w:cs="宋体"/>
          <w:b/>
          <w:bCs/>
          <w:szCs w:val="21"/>
        </w:rPr>
        <w:t>（必须提供，否则响应文件按无效响应处理）</w:t>
      </w:r>
    </w:p>
    <w:p w14:paraId="66327EB0">
      <w:pPr>
        <w:pStyle w:val="31"/>
        <w:spacing w:line="360" w:lineRule="auto"/>
        <w:ind w:firstLine="420" w:firstLineChars="200"/>
        <w:rPr>
          <w:rFonts w:cs="宋体"/>
          <w:szCs w:val="21"/>
        </w:rPr>
      </w:pPr>
      <w:r>
        <w:rPr>
          <w:rFonts w:hint="eastAsia" w:cs="宋体"/>
          <w:szCs w:val="21"/>
        </w:rPr>
        <w:t>4、无串通竞标行为的承诺函（格式后附）；</w:t>
      </w:r>
      <w:r>
        <w:rPr>
          <w:rFonts w:hint="eastAsia" w:cs="宋体"/>
          <w:b/>
          <w:bCs/>
          <w:szCs w:val="21"/>
        </w:rPr>
        <w:t>（必须提供，否则响应文件按无效响应处理）</w:t>
      </w:r>
    </w:p>
    <w:p w14:paraId="3A332624">
      <w:pPr>
        <w:pStyle w:val="31"/>
        <w:spacing w:line="360" w:lineRule="auto"/>
        <w:ind w:firstLine="420" w:firstLineChars="200"/>
        <w:rPr>
          <w:rFonts w:cs="宋体"/>
          <w:szCs w:val="21"/>
        </w:rPr>
      </w:pPr>
      <w:r>
        <w:rPr>
          <w:rFonts w:hint="eastAsia" w:cs="宋体"/>
          <w:szCs w:val="21"/>
        </w:rPr>
        <w:t>5、授权委托书或法定代表人（单位负责人、自然人本人）身份证明（格式后附）；</w:t>
      </w:r>
      <w:r>
        <w:rPr>
          <w:rFonts w:hint="eastAsia" w:cs="宋体"/>
          <w:b/>
          <w:bCs/>
          <w:szCs w:val="21"/>
        </w:rPr>
        <w:t>（必须提供，否则响应文件按无效响应处理）</w:t>
      </w:r>
    </w:p>
    <w:p w14:paraId="574B04C0">
      <w:pPr>
        <w:pStyle w:val="31"/>
        <w:spacing w:line="360" w:lineRule="auto"/>
        <w:ind w:firstLine="420" w:firstLineChars="200"/>
        <w:rPr>
          <w:rFonts w:cs="宋体"/>
          <w:szCs w:val="21"/>
        </w:rPr>
      </w:pPr>
      <w:r>
        <w:rPr>
          <w:rFonts w:hint="eastAsia" w:cs="宋体"/>
          <w:szCs w:val="21"/>
        </w:rPr>
        <w:t>6、商务条款偏离表（格式后附）；</w:t>
      </w:r>
      <w:r>
        <w:rPr>
          <w:rFonts w:hint="eastAsia" w:cs="宋体"/>
          <w:b/>
          <w:bCs/>
          <w:szCs w:val="21"/>
        </w:rPr>
        <w:t>（必须提供，否则响应文件按无效响应处理）</w:t>
      </w:r>
    </w:p>
    <w:p w14:paraId="74021323">
      <w:pPr>
        <w:pStyle w:val="31"/>
        <w:spacing w:line="360" w:lineRule="auto"/>
        <w:ind w:firstLine="420" w:firstLineChars="200"/>
        <w:rPr>
          <w:rFonts w:cs="宋体"/>
          <w:szCs w:val="21"/>
        </w:rPr>
      </w:pPr>
      <w:r>
        <w:rPr>
          <w:rFonts w:hint="eastAsia" w:cs="宋体"/>
          <w:szCs w:val="21"/>
        </w:rPr>
        <w:t>7、技术需求偏离表（格式后附）；</w:t>
      </w:r>
      <w:r>
        <w:rPr>
          <w:rFonts w:hint="eastAsia" w:cs="宋体"/>
          <w:b/>
          <w:bCs/>
          <w:szCs w:val="21"/>
        </w:rPr>
        <w:t>（必须提供，否则响应文件按无效响应处理）</w:t>
      </w:r>
    </w:p>
    <w:p w14:paraId="0EA51A4E">
      <w:pPr>
        <w:pStyle w:val="31"/>
        <w:spacing w:line="360" w:lineRule="auto"/>
        <w:ind w:firstLine="420" w:firstLineChars="200"/>
        <w:rPr>
          <w:rFonts w:cs="宋体"/>
          <w:kern w:val="0"/>
          <w:szCs w:val="21"/>
          <w:lang w:val="zh-CN"/>
        </w:rPr>
      </w:pPr>
      <w:r>
        <w:rPr>
          <w:rFonts w:hint="eastAsia" w:cs="宋体"/>
          <w:kern w:val="0"/>
          <w:szCs w:val="21"/>
        </w:rPr>
        <w:t>8、</w:t>
      </w:r>
      <w:r>
        <w:rPr>
          <w:rFonts w:hint="eastAsia" w:cs="宋体"/>
          <w:kern w:val="0"/>
          <w:szCs w:val="21"/>
          <w:lang w:val="zh-CN"/>
        </w:rPr>
        <w:t>实施方案</w:t>
      </w:r>
      <w:r>
        <w:rPr>
          <w:rFonts w:hint="eastAsia" w:cs="宋体"/>
          <w:szCs w:val="21"/>
        </w:rPr>
        <w:t>（格式自拟）；</w:t>
      </w:r>
      <w:r>
        <w:rPr>
          <w:rFonts w:hint="eastAsia" w:cs="宋体"/>
          <w:b/>
          <w:bCs/>
          <w:szCs w:val="21"/>
        </w:rPr>
        <w:t>（必须提供，否则响应文件按无效响应处理）</w:t>
      </w:r>
    </w:p>
    <w:p w14:paraId="6EEEEE16">
      <w:pPr>
        <w:pStyle w:val="31"/>
        <w:spacing w:line="360" w:lineRule="auto"/>
        <w:ind w:firstLine="420" w:firstLineChars="200"/>
        <w:rPr>
          <w:rFonts w:cs="宋体"/>
          <w:kern w:val="0"/>
          <w:szCs w:val="21"/>
        </w:rPr>
      </w:pPr>
      <w:r>
        <w:rPr>
          <w:rFonts w:hint="eastAsia" w:cs="宋体"/>
          <w:kern w:val="0"/>
          <w:szCs w:val="21"/>
        </w:rPr>
        <w:t>9、项目小组人员名单</w:t>
      </w:r>
      <w:r>
        <w:rPr>
          <w:rFonts w:hint="eastAsia" w:cs="宋体"/>
          <w:szCs w:val="21"/>
        </w:rPr>
        <w:t>（格式后附）；</w:t>
      </w:r>
      <w:r>
        <w:rPr>
          <w:rFonts w:hint="eastAsia" w:cs="宋体"/>
          <w:b/>
          <w:bCs/>
          <w:szCs w:val="21"/>
        </w:rPr>
        <w:t>（必须提供，否则响应文件按无效响应处理）</w:t>
      </w:r>
    </w:p>
    <w:p w14:paraId="5F30B455">
      <w:pPr>
        <w:pStyle w:val="31"/>
        <w:spacing w:line="360" w:lineRule="auto"/>
        <w:ind w:firstLine="420" w:firstLineChars="200"/>
        <w:rPr>
          <w:rFonts w:cs="宋体"/>
          <w:kern w:val="0"/>
          <w:szCs w:val="21"/>
        </w:rPr>
      </w:pPr>
      <w:r>
        <w:rPr>
          <w:rFonts w:hint="eastAsia" w:cs="宋体"/>
          <w:kern w:val="0"/>
          <w:szCs w:val="21"/>
        </w:rPr>
        <w:t>10、培训计划（如果有）；</w:t>
      </w:r>
    </w:p>
    <w:p w14:paraId="6A8301E9">
      <w:pPr>
        <w:pStyle w:val="31"/>
        <w:spacing w:line="360" w:lineRule="auto"/>
        <w:ind w:firstLine="420" w:firstLineChars="200"/>
        <w:rPr>
          <w:rFonts w:cs="宋体"/>
          <w:kern w:val="0"/>
          <w:szCs w:val="21"/>
        </w:rPr>
      </w:pPr>
      <w:r>
        <w:rPr>
          <w:rFonts w:hint="eastAsia" w:cs="宋体"/>
          <w:kern w:val="0"/>
          <w:szCs w:val="21"/>
        </w:rPr>
        <w:t>11、</w:t>
      </w:r>
      <w:r>
        <w:rPr>
          <w:rFonts w:hint="eastAsia" w:cs="宋体"/>
          <w:szCs w:val="21"/>
        </w:rPr>
        <w:t>供应商认为需要提供的其他有关资料。</w:t>
      </w:r>
    </w:p>
    <w:p w14:paraId="3EED2A1A">
      <w:pPr>
        <w:pStyle w:val="31"/>
        <w:spacing w:line="360" w:lineRule="auto"/>
        <w:ind w:firstLine="422" w:firstLineChars="200"/>
        <w:rPr>
          <w:rFonts w:cs="仿宋_GB2312" w:asciiTheme="minorEastAsia" w:hAnsiTheme="minorEastAsia" w:eastAsiaTheme="minorEastAsia"/>
          <w:b/>
          <w:szCs w:val="21"/>
        </w:rPr>
      </w:pPr>
      <w:r>
        <w:rPr>
          <w:rFonts w:hint="eastAsia" w:asciiTheme="minorEastAsia" w:hAnsiTheme="minorEastAsia" w:eastAsiaTheme="minorEastAsia"/>
          <w:b/>
          <w:szCs w:val="21"/>
        </w:rPr>
        <w:t>3. 响应文件的编制和签署</w:t>
      </w:r>
    </w:p>
    <w:p w14:paraId="2B74F4D9">
      <w:pPr>
        <w:spacing w:line="360" w:lineRule="auto"/>
        <w:ind w:firstLine="420"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kern w:val="0"/>
          <w:szCs w:val="21"/>
          <w:lang w:val="zh-CN"/>
        </w:rPr>
        <w:t>3.1各供应商在编制响应文件时请按照磋商文件第七部分规定的格式进行，混乱的编排导致响应文件被误读或磋商小组查找不到有效文件是供应商的风险。</w:t>
      </w:r>
    </w:p>
    <w:p w14:paraId="40E1F4A9">
      <w:pPr>
        <w:spacing w:line="360" w:lineRule="auto"/>
        <w:ind w:firstLine="420" w:firstLineChars="200"/>
        <w:rPr>
          <w:rFonts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3773CA57">
      <w:pPr>
        <w:spacing w:line="360" w:lineRule="auto"/>
        <w:ind w:firstLine="420" w:firstLineChars="200"/>
        <w:rPr>
          <w:rFonts w:cs="仿宋_GB2312" w:asciiTheme="minorEastAsia" w:hAnsiTheme="minorEastAsia" w:eastAsiaTheme="minorEastAsia"/>
          <w:kern w:val="0"/>
          <w:szCs w:val="21"/>
          <w:lang w:val="zh-CN"/>
        </w:rPr>
      </w:pPr>
      <w:r>
        <w:rPr>
          <w:rFonts w:hint="eastAsia" w:cs="仿宋_GB2312" w:asciiTheme="minorEastAsia" w:hAnsiTheme="minorEastAsia" w:eastAsiaTheme="minorEastAsia"/>
          <w:kern w:val="0"/>
          <w:szCs w:val="21"/>
          <w:lang w:val="zh-CN"/>
        </w:rPr>
        <w:t>3.3使用“广西政府采购云平台电子交易客户端”需要提前申领CA数字证书，申领流程请自行前往“</w:t>
      </w:r>
      <w:r>
        <w:rPr>
          <w:rFonts w:hint="eastAsia" w:ascii="宋体" w:hAnsi="宋体" w:cs="宋体"/>
          <w:szCs w:val="21"/>
        </w:rPr>
        <w:t>广西政府采购网（http://zfcg.gxzf.gov.cn/）—办事服务—下载专区</w:t>
      </w:r>
      <w:r>
        <w:rPr>
          <w:rFonts w:hint="eastAsia" w:ascii="宋体" w:hAnsi="宋体" w:cs="宋体"/>
          <w:kern w:val="0"/>
          <w:szCs w:val="21"/>
          <w:lang w:val="zh-CN"/>
        </w:rPr>
        <w:t>”进行查阅</w:t>
      </w:r>
    </w:p>
    <w:p w14:paraId="7026485D">
      <w:pPr>
        <w:pStyle w:val="394"/>
        <w:snapToGrid w:val="0"/>
        <w:spacing w:before="0"/>
        <w:ind w:firstLine="420"/>
        <w:rPr>
          <w:rFonts w:cs="仿宋_GB2312" w:asciiTheme="minorEastAsia" w:hAnsiTheme="minorEastAsia" w:eastAsiaTheme="minorEastAsia"/>
          <w:b/>
          <w:sz w:val="21"/>
          <w:szCs w:val="21"/>
        </w:rPr>
      </w:pPr>
      <w:r>
        <w:rPr>
          <w:rFonts w:hint="eastAsia" w:cs="仿宋_GB2312" w:asciiTheme="minorEastAsia" w:hAnsiTheme="minorEastAsia" w:eastAsiaTheme="minorEastAsia"/>
          <w:sz w:val="21"/>
          <w:szCs w:val="21"/>
        </w:rPr>
        <w:t>3.4响应文件按照磋商文件第七部分格式要求进行签署、盖章。</w:t>
      </w:r>
      <w:r>
        <w:rPr>
          <w:rFonts w:hint="eastAsia" w:asciiTheme="minorEastAsia" w:hAnsiTheme="minorEastAsia" w:eastAsiaTheme="minorEastAsia"/>
          <w:b/>
          <w:sz w:val="21"/>
          <w:szCs w:val="21"/>
        </w:rPr>
        <w:t>▲</w:t>
      </w:r>
      <w:r>
        <w:rPr>
          <w:rFonts w:hint="eastAsia" w:cs="仿宋_GB2312" w:asciiTheme="minorEastAsia" w:hAnsiTheme="minorEastAsia" w:eastAsiaTheme="minorEastAsia"/>
          <w:b/>
          <w:sz w:val="21"/>
          <w:szCs w:val="21"/>
        </w:rPr>
        <w:t>供应商的响应文件未按照磋商文件要求签署、盖章的，其响应无效</w:t>
      </w:r>
      <w:r>
        <w:rPr>
          <w:rFonts w:hint="eastAsia" w:cs="仿宋_GB2312" w:asciiTheme="minorEastAsia" w:hAnsiTheme="minorEastAsia" w:eastAsiaTheme="minorEastAsia"/>
          <w:sz w:val="21"/>
          <w:szCs w:val="21"/>
        </w:rPr>
        <w:t>。</w:t>
      </w:r>
    </w:p>
    <w:p w14:paraId="07B3130C">
      <w:pPr>
        <w:pStyle w:val="394"/>
        <w:snapToGrid w:val="0"/>
        <w:spacing w:before="0"/>
        <w:ind w:firstLine="420"/>
        <w:rPr>
          <w:rFonts w:cs="宋体" w:asciiTheme="minorEastAsia" w:hAnsiTheme="minorEastAsia" w:eastAsiaTheme="minorEastAsia"/>
          <w:sz w:val="21"/>
          <w:szCs w:val="21"/>
        </w:rPr>
      </w:pPr>
      <w:r>
        <w:rPr>
          <w:rFonts w:hint="eastAsia" w:cs="仿宋_GB2312" w:asciiTheme="minorEastAsia" w:hAnsiTheme="minorEastAsia" w:eastAsiaTheme="minorEastAsia"/>
          <w:sz w:val="21"/>
          <w:szCs w:val="21"/>
        </w:rPr>
        <w:t>3.5为确保网上操作合法、有效和安全，供应商应当在响应截止时间前完成在“广西政府采购云平台”的身份认证，确保在电子交易过程中能够对相关数据电文进行加密和使用电子签名。</w:t>
      </w:r>
    </w:p>
    <w:p w14:paraId="7BEE5F30">
      <w:pPr>
        <w:pStyle w:val="394"/>
        <w:snapToGrid w:val="0"/>
        <w:spacing w:before="0"/>
        <w:ind w:firstLine="4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3.6磋商文件对响应文件签</w:t>
      </w:r>
      <w:r>
        <w:rPr>
          <w:rFonts w:hint="eastAsia" w:ascii="宋体" w:hAnsi="宋体" w:cs="宋体"/>
          <w:sz w:val="21"/>
          <w:szCs w:val="21"/>
        </w:rPr>
        <w:t>署、盖章的要求适用于电子签名、CA签章以及</w:t>
      </w:r>
      <w:r>
        <w:rPr>
          <w:rFonts w:hint="eastAsia" w:cs="宋体" w:asciiTheme="minorEastAsia" w:hAnsiTheme="minorEastAsia" w:eastAsiaTheme="minorEastAsia"/>
          <w:sz w:val="21"/>
          <w:szCs w:val="21"/>
        </w:rPr>
        <w:t>磋商</w:t>
      </w:r>
      <w:r>
        <w:rPr>
          <w:rFonts w:hint="eastAsia" w:ascii="宋体" w:hAnsi="宋体" w:cs="宋体"/>
          <w:sz w:val="21"/>
          <w:szCs w:val="21"/>
        </w:rPr>
        <w:t>文件明确允许的其他方式。</w:t>
      </w:r>
    </w:p>
    <w:p w14:paraId="02C6BE9C">
      <w:pPr>
        <w:adjustRightInd/>
        <w:spacing w:line="360" w:lineRule="auto"/>
        <w:jc w:val="center"/>
        <w:outlineLvl w:val="1"/>
        <w:rPr>
          <w:rFonts w:cs="仿宋_GB2312" w:asciiTheme="minorEastAsia" w:hAnsiTheme="minorEastAsia" w:eastAsiaTheme="minorEastAsia"/>
          <w:b/>
          <w:sz w:val="32"/>
          <w:szCs w:val="32"/>
        </w:rPr>
      </w:pPr>
      <w:bookmarkStart w:id="51" w:name="_Toc15139"/>
      <w:r>
        <w:rPr>
          <w:rFonts w:hint="eastAsia" w:cs="仿宋_GB2312" w:asciiTheme="minorEastAsia" w:hAnsiTheme="minorEastAsia" w:eastAsiaTheme="minorEastAsia"/>
          <w:b/>
          <w:sz w:val="32"/>
          <w:szCs w:val="32"/>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32"/>
        </w:rPr>
        <w:t>文件的提交和备份</w:t>
      </w:r>
      <w:bookmarkEnd w:id="51"/>
    </w:p>
    <w:p w14:paraId="1D8B180D">
      <w:pPr>
        <w:pStyle w:val="394"/>
        <w:spacing w:before="0"/>
        <w:ind w:firstLine="0" w:firstLineChars="0"/>
        <w:rPr>
          <w:rFonts w:cs="仿宋_GB2312" w:asciiTheme="minorEastAsia" w:hAnsiTheme="minorEastAsia" w:eastAsiaTheme="minorEastAsia"/>
          <w:b/>
          <w:sz w:val="21"/>
          <w:szCs w:val="21"/>
        </w:rPr>
      </w:pPr>
    </w:p>
    <w:p w14:paraId="7C267919">
      <w:pPr>
        <w:pStyle w:val="394"/>
        <w:spacing w:before="0"/>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1.响应文件的提交、补充、修改、撤回</w:t>
      </w:r>
    </w:p>
    <w:p w14:paraId="6B00A4C6">
      <w:pPr>
        <w:pStyle w:val="394"/>
        <w:ind w:firstLine="42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2BE20F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 在响应截止时间以后，不能补充、修改响应文件。</w:t>
      </w:r>
    </w:p>
    <w:p w14:paraId="23035FE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 在提交“最后报价”后，供应商不能退出磋商。</w:t>
      </w:r>
    </w:p>
    <w:p w14:paraId="5382CEE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 电子交易平台收到响应文件，将妥善保存并即时向供应商发出确认回执通知。在响应截止时间前，除供应商补充、修改或者撤回响应文件外，任何单位和个人不得解密或提取响应文件。</w:t>
      </w:r>
    </w:p>
    <w:p w14:paraId="5C4921C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1.5 采购代理机构可以视情况延长提交响应文件的截止时间。在上述情况下，采购代理机构与供应商以前在响应截止期方面的全部权利、责任和义务，将适用于延长至新的响应截止期。</w:t>
      </w:r>
    </w:p>
    <w:p w14:paraId="7CA2AF27">
      <w:pPr>
        <w:pStyle w:val="31"/>
        <w:spacing w:line="360" w:lineRule="auto"/>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2.备份响应文件</w:t>
      </w:r>
    </w:p>
    <w:p w14:paraId="08266AC6">
      <w:pPr>
        <w:pStyle w:val="31"/>
        <w:spacing w:line="360" w:lineRule="auto"/>
        <w:ind w:firstLine="420"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szCs w:val="21"/>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Cs w:val="21"/>
        </w:rPr>
        <w:t>但采购人、采购代理机构不强制或变相强制供应商提交备份响应文件。</w:t>
      </w:r>
    </w:p>
    <w:p w14:paraId="44DAEE4B">
      <w:pPr>
        <w:pStyle w:val="31"/>
        <w:spacing w:line="360" w:lineRule="auto"/>
        <w:ind w:firstLine="420"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szCs w:val="21"/>
        </w:rPr>
        <w:t>2.2 备份响应文件须在“广西政府采购云平台投标客户端”制作生成，并储存在不可修改的</w:t>
      </w:r>
      <w:r>
        <w:rPr>
          <w:rFonts w:hint="eastAsia" w:asciiTheme="minorEastAsia" w:hAnsiTheme="minorEastAsia" w:eastAsiaTheme="minorEastAsia"/>
          <w:b/>
          <w:szCs w:val="21"/>
        </w:rPr>
        <w:t>电子光盘等存储介质</w:t>
      </w:r>
      <w:r>
        <w:rPr>
          <w:rFonts w:hint="eastAsia" w:cs="仿宋_GB2312" w:asciiTheme="minorEastAsia" w:hAnsiTheme="minorEastAsia" w:eastAsiaTheme="minorEastAsia"/>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Cs w:val="21"/>
        </w:rPr>
        <w:t>▲不符合上述制作、</w:t>
      </w:r>
      <w:r>
        <w:rPr>
          <w:rFonts w:hint="eastAsia" w:cs="仿宋_GB2312" w:asciiTheme="minorEastAsia" w:hAnsiTheme="minorEastAsia" w:eastAsiaTheme="minorEastAsia"/>
          <w:b/>
          <w:szCs w:val="21"/>
        </w:rPr>
        <w:t>存储、密封规定的备份响应文件将被视为无效或者被拒绝接收。</w:t>
      </w:r>
    </w:p>
    <w:p w14:paraId="1DF48E36">
      <w:pPr>
        <w:pStyle w:val="31"/>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4A0074B9">
      <w:pPr>
        <w:pStyle w:val="31"/>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Cs w:val="21"/>
        </w:rPr>
        <w:t>磋商文件第三部分供应商须知前附表规定的备份响应文件送达地点</w:t>
      </w:r>
      <w:r>
        <w:rPr>
          <w:rFonts w:hint="eastAsia" w:cs="仿宋_GB2312" w:asciiTheme="minorEastAsia" w:hAnsiTheme="minorEastAsia" w:eastAsiaTheme="minorEastAsia"/>
          <w:szCs w:val="21"/>
        </w:rPr>
        <w:t>；送达时间以签收人签收时间为准。采购代理机构将拒绝接受逾期送达的备份响应文件。邮寄过程中，电子备份响应文件发生泄露、遗失、损坏或延期送达等情况的，由供应商自行负责。</w:t>
      </w:r>
    </w:p>
    <w:p w14:paraId="0E8AC583">
      <w:pPr>
        <w:pStyle w:val="31"/>
        <w:spacing w:line="360" w:lineRule="auto"/>
        <w:ind w:firstLine="422"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 xml:space="preserve">2.5 </w:t>
      </w:r>
      <w:r>
        <w:rPr>
          <w:rFonts w:hint="eastAsia" w:asciiTheme="minorEastAsia" w:hAnsiTheme="minorEastAsia" w:eastAsiaTheme="minorEastAsia"/>
          <w:b/>
          <w:szCs w:val="21"/>
        </w:rPr>
        <w:t>▲</w:t>
      </w:r>
      <w:r>
        <w:rPr>
          <w:rFonts w:hint="eastAsia" w:cs="仿宋_GB2312" w:asciiTheme="minorEastAsia" w:hAnsiTheme="minorEastAsia" w:eastAsiaTheme="minorEastAsia"/>
          <w:b/>
          <w:szCs w:val="21"/>
        </w:rPr>
        <w:t>供应商仅提交备份响应文件，未在电子交易平台传输提交响应文件的，响应无效。</w:t>
      </w:r>
    </w:p>
    <w:p w14:paraId="7CC7E011">
      <w:pPr>
        <w:spacing w:line="360" w:lineRule="auto"/>
        <w:rPr>
          <w:rFonts w:ascii="宋体" w:hAnsi="宋体" w:cs="宋体"/>
          <w:b/>
          <w:snapToGrid w:val="0"/>
          <w:szCs w:val="21"/>
        </w:rPr>
      </w:pPr>
      <w:r>
        <w:rPr>
          <w:rFonts w:hint="eastAsia" w:cs="仿宋_GB2312" w:asciiTheme="minorEastAsia" w:hAnsiTheme="minorEastAsia" w:eastAsiaTheme="minorEastAsia"/>
          <w:b/>
          <w:szCs w:val="21"/>
        </w:rPr>
        <w:t>3.</w:t>
      </w:r>
      <w:r>
        <w:rPr>
          <w:rFonts w:hint="eastAsia" w:ascii="宋体" w:hAnsi="宋体" w:cs="宋体"/>
          <w:b/>
          <w:snapToGrid w:val="0"/>
          <w:kern w:val="28"/>
          <w:szCs w:val="21"/>
        </w:rPr>
        <w:t>磋商保证金（本项目不收取磋商保证金）</w:t>
      </w:r>
    </w:p>
    <w:p w14:paraId="1AEBF632">
      <w:pPr>
        <w:widowControl/>
        <w:snapToGrid w:val="0"/>
        <w:spacing w:line="360" w:lineRule="auto"/>
        <w:ind w:firstLine="411" w:firstLineChars="196"/>
        <w:rPr>
          <w:rFonts w:ascii="宋体" w:hAnsi="宋体" w:cs="宋体"/>
          <w:snapToGrid w:val="0"/>
          <w:kern w:val="28"/>
          <w:szCs w:val="21"/>
        </w:rPr>
      </w:pPr>
      <w:r>
        <w:rPr>
          <w:rFonts w:hint="eastAsia" w:ascii="宋体" w:hAnsi="宋体" w:cs="宋体"/>
          <w:snapToGrid w:val="0"/>
          <w:kern w:val="28"/>
          <w:szCs w:val="21"/>
        </w:rPr>
        <w:t>3.1</w:t>
      </w:r>
      <w:r>
        <w:rPr>
          <w:rFonts w:hint="eastAsia" w:hAnsi="宋体" w:cs="宋体"/>
          <w:szCs w:val="21"/>
        </w:rPr>
        <w:t>采购人在采购文件中要求提交</w:t>
      </w:r>
      <w:r>
        <w:rPr>
          <w:rFonts w:hint="eastAsia" w:ascii="宋体" w:hAnsi="宋体" w:cs="宋体"/>
          <w:szCs w:val="21"/>
        </w:rPr>
        <w:t>磋商</w:t>
      </w:r>
      <w:r>
        <w:rPr>
          <w:rFonts w:hint="eastAsia" w:hAnsi="宋体" w:cs="宋体"/>
          <w:szCs w:val="21"/>
        </w:rPr>
        <w:t>保证金的，</w:t>
      </w:r>
      <w:r>
        <w:rPr>
          <w:rFonts w:hint="eastAsia" w:ascii="宋体" w:hAnsi="宋体" w:cs="宋体"/>
          <w:szCs w:val="21"/>
        </w:rPr>
        <w:t>磋商</w:t>
      </w:r>
      <w:r>
        <w:rPr>
          <w:rFonts w:hint="eastAsia" w:hAnsi="宋体" w:cs="宋体"/>
          <w:szCs w:val="21"/>
        </w:rPr>
        <w:t>保证金的数额不得超过采购项目预算金额的1%，鼓励对诚信记录良好的供应商免收或者减少收取</w:t>
      </w:r>
      <w:r>
        <w:rPr>
          <w:rFonts w:hint="eastAsia" w:ascii="宋体" w:hAnsi="宋体" w:cs="宋体"/>
          <w:szCs w:val="21"/>
        </w:rPr>
        <w:t>磋商</w:t>
      </w:r>
      <w:r>
        <w:rPr>
          <w:rFonts w:hint="eastAsia" w:hAnsi="宋体" w:cs="宋体"/>
          <w:szCs w:val="21"/>
        </w:rPr>
        <w:t>保证金，对于需要收取保证金的政府采购项目，政府采购信用白名单供应商可以免于缴纳保证金，降低信用白名单供应商参与政府采购活动成本。</w:t>
      </w:r>
      <w:r>
        <w:rPr>
          <w:rFonts w:hint="eastAsia" w:ascii="宋体" w:hAnsi="宋体" w:cs="宋体"/>
          <w:szCs w:val="21"/>
        </w:rPr>
        <w:t>磋商</w:t>
      </w:r>
      <w:r>
        <w:rPr>
          <w:rFonts w:hint="eastAsia" w:ascii="宋体" w:hAnsi="宋体" w:cs="宋体"/>
          <w:snapToGrid w:val="0"/>
          <w:kern w:val="28"/>
          <w:szCs w:val="21"/>
        </w:rPr>
        <w:t>保证金应当以支票、汇票、本票或者金融机构、担保机构出具的保函等非现金形式提交。</w:t>
      </w:r>
    </w:p>
    <w:p w14:paraId="6950A61E">
      <w:pPr>
        <w:snapToGrid w:val="0"/>
        <w:spacing w:line="360" w:lineRule="auto"/>
        <w:ind w:firstLine="420" w:firstLineChars="200"/>
        <w:jc w:val="left"/>
        <w:rPr>
          <w:rFonts w:ascii="宋体" w:hAnsi="宋体" w:cs="宋体"/>
          <w:szCs w:val="21"/>
        </w:rPr>
      </w:pPr>
      <w:r>
        <w:rPr>
          <w:rFonts w:hint="eastAsia" w:ascii="宋体" w:hAnsi="宋体" w:cs="宋体"/>
          <w:szCs w:val="21"/>
        </w:rPr>
        <w:t>磋商保证金收取银行账户</w:t>
      </w:r>
    </w:p>
    <w:p w14:paraId="5601B174">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开户名称： </w:t>
      </w:r>
    </w:p>
    <w:p w14:paraId="1A017FD7">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开户银行： </w:t>
      </w:r>
    </w:p>
    <w:p w14:paraId="469226A2">
      <w:pPr>
        <w:snapToGrid w:val="0"/>
        <w:spacing w:line="360" w:lineRule="auto"/>
        <w:ind w:firstLine="420" w:firstLineChars="200"/>
        <w:jc w:val="left"/>
        <w:rPr>
          <w:rFonts w:ascii="宋体" w:hAnsi="宋体" w:cs="宋体"/>
          <w:szCs w:val="21"/>
        </w:rPr>
      </w:pPr>
      <w:r>
        <w:rPr>
          <w:rFonts w:hint="eastAsia" w:ascii="宋体" w:hAnsi="宋体" w:cs="宋体"/>
          <w:szCs w:val="21"/>
        </w:rPr>
        <w:t>银行账号：</w:t>
      </w:r>
    </w:p>
    <w:p w14:paraId="6FE0F249">
      <w:pPr>
        <w:widowControl/>
        <w:snapToGrid w:val="0"/>
        <w:spacing w:line="360" w:lineRule="auto"/>
        <w:ind w:firstLine="411" w:firstLineChars="196"/>
        <w:rPr>
          <w:rFonts w:ascii="宋体" w:hAnsi="宋体" w:cs="宋体"/>
          <w:snapToGrid w:val="0"/>
          <w:kern w:val="28"/>
          <w:szCs w:val="21"/>
        </w:rPr>
      </w:pPr>
      <w:r>
        <w:rPr>
          <w:rFonts w:hint="eastAsia" w:ascii="宋体" w:hAnsi="宋体" w:cs="宋体"/>
          <w:snapToGrid w:val="0"/>
          <w:kern w:val="28"/>
          <w:szCs w:val="21"/>
        </w:rPr>
        <w:t>3.2</w:t>
      </w:r>
      <w:r>
        <w:rPr>
          <w:rFonts w:hint="eastAsia" w:ascii="宋体" w:hAnsi="宋体" w:cs="宋体"/>
          <w:szCs w:val="21"/>
        </w:rPr>
        <w:t>磋商供应商</w:t>
      </w:r>
      <w:r>
        <w:rPr>
          <w:rFonts w:hint="eastAsia" w:ascii="宋体" w:hAnsi="宋体" w:cs="宋体"/>
          <w:snapToGrid w:val="0"/>
          <w:kern w:val="28"/>
          <w:szCs w:val="21"/>
        </w:rPr>
        <w:t>在响应文件提交截止时间前撤回已提交的响应文件的，采购人或者采购代理机构应当自收到</w:t>
      </w:r>
      <w:r>
        <w:rPr>
          <w:rFonts w:hint="eastAsia" w:ascii="宋体" w:hAnsi="宋体" w:cs="宋体"/>
          <w:szCs w:val="21"/>
        </w:rPr>
        <w:t>磋商供应商</w:t>
      </w:r>
      <w:r>
        <w:rPr>
          <w:rFonts w:hint="eastAsia" w:ascii="宋体" w:hAnsi="宋体" w:cs="宋体"/>
          <w:snapToGrid w:val="0"/>
          <w:kern w:val="28"/>
          <w:szCs w:val="21"/>
        </w:rPr>
        <w:t>书面撤回通知之日起５个工作日内，退还已收取的</w:t>
      </w:r>
      <w:r>
        <w:rPr>
          <w:rFonts w:hint="eastAsia" w:ascii="宋体" w:hAnsi="宋体" w:cs="宋体"/>
          <w:szCs w:val="21"/>
        </w:rPr>
        <w:t>磋商</w:t>
      </w:r>
      <w:r>
        <w:rPr>
          <w:rFonts w:hint="eastAsia" w:ascii="宋体" w:hAnsi="宋体" w:cs="宋体"/>
          <w:snapToGrid w:val="0"/>
          <w:kern w:val="28"/>
          <w:szCs w:val="21"/>
        </w:rPr>
        <w:t>保证金，但因</w:t>
      </w:r>
      <w:r>
        <w:rPr>
          <w:rFonts w:hint="eastAsia" w:ascii="宋体" w:hAnsi="宋体" w:cs="宋体"/>
          <w:szCs w:val="21"/>
        </w:rPr>
        <w:t>磋商供应商</w:t>
      </w:r>
      <w:r>
        <w:rPr>
          <w:rFonts w:hint="eastAsia" w:ascii="宋体" w:hAnsi="宋体" w:cs="宋体"/>
          <w:snapToGrid w:val="0"/>
          <w:kern w:val="28"/>
          <w:szCs w:val="21"/>
        </w:rPr>
        <w:t>自身原因导致无法及时退还的除外。</w:t>
      </w:r>
    </w:p>
    <w:p w14:paraId="23BBC7C4">
      <w:pPr>
        <w:widowControl/>
        <w:snapToGrid w:val="0"/>
        <w:spacing w:line="360" w:lineRule="auto"/>
        <w:ind w:firstLine="411" w:firstLineChars="196"/>
        <w:rPr>
          <w:rFonts w:ascii="宋体" w:hAnsi="宋体" w:cs="宋体"/>
          <w:snapToGrid w:val="0"/>
          <w:kern w:val="28"/>
          <w:szCs w:val="21"/>
        </w:rPr>
      </w:pPr>
      <w:r>
        <w:rPr>
          <w:rFonts w:hint="eastAsia" w:ascii="宋体" w:hAnsi="宋体" w:cs="宋体"/>
          <w:snapToGrid w:val="0"/>
          <w:kern w:val="28"/>
          <w:szCs w:val="21"/>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75EB7DBF">
      <w:pPr>
        <w:widowControl/>
        <w:snapToGrid w:val="0"/>
        <w:spacing w:line="360" w:lineRule="auto"/>
        <w:ind w:firstLine="411" w:firstLineChars="196"/>
        <w:rPr>
          <w:rFonts w:ascii="宋体" w:hAnsi="宋体" w:cs="宋体"/>
          <w:snapToGrid w:val="0"/>
          <w:kern w:val="28"/>
          <w:szCs w:val="21"/>
        </w:rPr>
      </w:pPr>
      <w:r>
        <w:rPr>
          <w:rFonts w:hint="eastAsia" w:ascii="宋体" w:hAnsi="宋体" w:cs="宋体"/>
          <w:snapToGrid w:val="0"/>
          <w:kern w:val="28"/>
          <w:szCs w:val="21"/>
        </w:rPr>
        <w:t>采购人或者采购代理机构逾期退还磋商保证金的，除应当退还磋商保证金本金外，还应当按中国人民银行同期贷款基准利率上浮20％后的利率支付超期资金占用费，但因供应商自身原因导致无法及时退还的除外。</w:t>
      </w:r>
    </w:p>
    <w:p w14:paraId="6643F688">
      <w:pPr>
        <w:widowControl/>
        <w:snapToGrid w:val="0"/>
        <w:spacing w:line="360" w:lineRule="auto"/>
        <w:ind w:firstLine="411" w:firstLineChars="196"/>
        <w:rPr>
          <w:rFonts w:ascii="宋体" w:hAnsi="宋体" w:cs="宋体"/>
          <w:snapToGrid w:val="0"/>
          <w:kern w:val="28"/>
          <w:szCs w:val="21"/>
        </w:rPr>
      </w:pPr>
      <w:r>
        <w:rPr>
          <w:rFonts w:hint="eastAsia" w:ascii="宋体" w:hAnsi="宋体" w:cs="宋体"/>
          <w:snapToGrid w:val="0"/>
          <w:kern w:val="28"/>
          <w:szCs w:val="21"/>
        </w:rPr>
        <w:t>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585599D8">
      <w:pPr>
        <w:pStyle w:val="31"/>
        <w:spacing w:line="360" w:lineRule="auto"/>
        <w:ind w:firstLine="315" w:firstLineChars="150"/>
        <w:rPr>
          <w:rFonts w:cs="仿宋_GB2312" w:asciiTheme="minorEastAsia" w:hAnsiTheme="minorEastAsia" w:eastAsiaTheme="minorEastAsia"/>
          <w:szCs w:val="21"/>
        </w:rPr>
      </w:pPr>
    </w:p>
    <w:p w14:paraId="66FBD686">
      <w:pPr>
        <w:adjustRightInd/>
        <w:spacing w:line="360" w:lineRule="auto"/>
        <w:jc w:val="center"/>
        <w:outlineLvl w:val="1"/>
        <w:rPr>
          <w:rFonts w:cs="仿宋_GB2312" w:asciiTheme="minorEastAsia" w:hAnsiTheme="minorEastAsia" w:eastAsiaTheme="minorEastAsia"/>
          <w:b/>
          <w:sz w:val="32"/>
          <w:szCs w:val="32"/>
        </w:rPr>
      </w:pPr>
      <w:bookmarkStart w:id="52" w:name="_Toc15718"/>
      <w:r>
        <w:rPr>
          <w:rFonts w:hint="eastAsia" w:cs="仿宋_GB2312" w:asciiTheme="minorEastAsia" w:hAnsiTheme="minorEastAsia" w:eastAsiaTheme="minorEastAsia"/>
          <w:b/>
          <w:sz w:val="32"/>
          <w:szCs w:val="32"/>
        </w:rPr>
        <w:t>八、</w:t>
      </w:r>
      <w:r>
        <w:rPr>
          <w:rFonts w:hint="eastAsia" w:asciiTheme="minorEastAsia" w:hAnsiTheme="minorEastAsia" w:eastAsiaTheme="minorEastAsia"/>
          <w:b/>
          <w:sz w:val="32"/>
          <w:szCs w:val="32"/>
        </w:rPr>
        <w:t>开启响应文件与信用信息查询</w:t>
      </w:r>
      <w:bookmarkEnd w:id="52"/>
    </w:p>
    <w:p w14:paraId="6661B176">
      <w:pPr>
        <w:pStyle w:val="31"/>
        <w:spacing w:line="360" w:lineRule="auto"/>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1. 开启响应文件</w:t>
      </w:r>
    </w:p>
    <w:p w14:paraId="4CE1F374">
      <w:pPr>
        <w:pStyle w:val="31"/>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Cs w:val="21"/>
        </w:rPr>
        <w:t>供应商数量不符合规定的，不得开启响应文件。</w:t>
      </w:r>
    </w:p>
    <w:p w14:paraId="13457F16">
      <w:pPr>
        <w:pStyle w:val="31"/>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6C292F94">
      <w:pPr>
        <w:pStyle w:val="31"/>
        <w:spacing w:line="360" w:lineRule="auto"/>
        <w:ind w:firstLine="422"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b/>
          <w:szCs w:val="21"/>
        </w:rPr>
        <w:t>1.3响应文件未在规定时间内成功解密的供应商，如提交了备份响应文件的，以备份响应文件作为依据，否则视为响应文件撤回。响应文件解密成功的供应商，其备份响应文件自动失效。</w:t>
      </w:r>
    </w:p>
    <w:p w14:paraId="031330A3">
      <w:pPr>
        <w:pStyle w:val="394"/>
        <w:spacing w:before="0"/>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2.信用信息查询</w:t>
      </w:r>
    </w:p>
    <w:p w14:paraId="123D9809">
      <w:pPr>
        <w:pStyle w:val="394"/>
        <w:spacing w:before="0"/>
        <w:ind w:firstLine="42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2.1信用信息查询渠道及截止时间：采购人或采购代理机构将通过“信用中国”网站(</w:t>
      </w:r>
      <w:r>
        <w:fldChar w:fldCharType="begin"/>
      </w:r>
      <w:r>
        <w:instrText xml:space="preserve"> HYPERLINK "http://www.creditchina.gov.cn" </w:instrText>
      </w:r>
      <w:r>
        <w:fldChar w:fldCharType="separate"/>
      </w:r>
      <w:r>
        <w:rPr>
          <w:rStyle w:val="69"/>
          <w:rFonts w:hint="eastAsia" w:asciiTheme="minorEastAsia" w:hAnsiTheme="minorEastAsia" w:eastAsiaTheme="minorEastAsia"/>
          <w:snapToGrid/>
          <w:color w:val="auto"/>
          <w:sz w:val="21"/>
          <w:szCs w:val="21"/>
        </w:rPr>
        <w:t>www.creditchina.gov.cn</w:t>
      </w:r>
      <w:r>
        <w:rPr>
          <w:rStyle w:val="69"/>
          <w:rFonts w:hint="eastAsia" w:asciiTheme="minorEastAsia" w:hAnsiTheme="minorEastAsia" w:eastAsiaTheme="minorEastAsia"/>
          <w:snapToGrid/>
          <w:color w:val="auto"/>
          <w:sz w:val="21"/>
          <w:szCs w:val="21"/>
        </w:rPr>
        <w:fldChar w:fldCharType="end"/>
      </w:r>
      <w:r>
        <w:rPr>
          <w:rFonts w:hint="eastAsia" w:cs="Arial" w:asciiTheme="minorEastAsia" w:hAnsiTheme="minorEastAsia" w:eastAsiaTheme="minorEastAsia"/>
          <w:kern w:val="0"/>
          <w:sz w:val="21"/>
          <w:szCs w:val="21"/>
        </w:rPr>
        <w:t>)、中国政府采购网(www.ccgp.gov.cn)渠道查询供应商响应截止时间前的信用记录。</w:t>
      </w:r>
    </w:p>
    <w:p w14:paraId="5FFE5B4D">
      <w:pPr>
        <w:pStyle w:val="394"/>
        <w:spacing w:before="0"/>
        <w:ind w:firstLine="42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2.2信用信息查询记录和证据留存的具体方式：现场查询的供应商的信用记录、查询结果经确认后存档。</w:t>
      </w:r>
    </w:p>
    <w:p w14:paraId="3C017523">
      <w:pPr>
        <w:pStyle w:val="394"/>
        <w:spacing w:before="0"/>
        <w:ind w:firstLine="42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2.3信用信息的使用规则：经查询列入失信被执行人名单、重大税收违法案件当事人名单、政府采购严重违法失信行为记录名单的供应商将被拒绝参与政府采购活动。</w:t>
      </w:r>
    </w:p>
    <w:p w14:paraId="1EF7833A">
      <w:pPr>
        <w:pStyle w:val="394"/>
        <w:spacing w:before="0"/>
        <w:ind w:firstLine="420"/>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87214CD">
      <w:pPr>
        <w:pStyle w:val="31"/>
        <w:spacing w:line="360" w:lineRule="auto"/>
        <w:rPr>
          <w:rFonts w:cs="仿宋_GB2312" w:asciiTheme="minorEastAsia" w:hAnsiTheme="minorEastAsia" w:eastAsiaTheme="minorEastAsia"/>
          <w:b/>
          <w:szCs w:val="21"/>
        </w:rPr>
      </w:pPr>
    </w:p>
    <w:p w14:paraId="6B94AFF2">
      <w:pPr>
        <w:adjustRightInd/>
        <w:spacing w:line="360" w:lineRule="auto"/>
        <w:jc w:val="center"/>
        <w:outlineLvl w:val="1"/>
        <w:rPr>
          <w:rFonts w:asciiTheme="minorEastAsia" w:hAnsiTheme="minorEastAsia" w:eastAsiaTheme="minorEastAsia"/>
          <w:b/>
          <w:sz w:val="32"/>
          <w:szCs w:val="32"/>
        </w:rPr>
      </w:pPr>
      <w:bookmarkStart w:id="53" w:name="_Toc1598"/>
      <w:r>
        <w:rPr>
          <w:rFonts w:hint="eastAsia" w:cs="仿宋_GB2312" w:asciiTheme="minorEastAsia" w:hAnsiTheme="minorEastAsia" w:eastAsiaTheme="minorEastAsia"/>
          <w:b/>
          <w:sz w:val="32"/>
          <w:szCs w:val="32"/>
        </w:rPr>
        <w:t>九、提交</w:t>
      </w:r>
      <w:r>
        <w:rPr>
          <w:rFonts w:hint="eastAsia" w:asciiTheme="minorEastAsia" w:hAnsiTheme="minorEastAsia" w:eastAsiaTheme="minorEastAsia"/>
          <w:b/>
          <w:sz w:val="32"/>
          <w:szCs w:val="32"/>
        </w:rPr>
        <w:t>最后报价</w:t>
      </w:r>
      <w:bookmarkEnd w:id="53"/>
    </w:p>
    <w:p w14:paraId="422ECEF3">
      <w:pPr>
        <w:snapToGrid w:val="0"/>
        <w:spacing w:line="360" w:lineRule="auto"/>
        <w:rPr>
          <w:rFonts w:cs="仿宋_GB2312" w:asciiTheme="minorEastAsia" w:hAnsiTheme="minorEastAsia" w:eastAsiaTheme="minorEastAsia"/>
          <w:szCs w:val="21"/>
          <w:u w:val="single"/>
          <w:lang w:val="zh-CN"/>
        </w:rPr>
      </w:pPr>
      <w:r>
        <w:rPr>
          <w:rFonts w:hint="eastAsia" w:asciiTheme="minorEastAsia" w:hAnsiTheme="minorEastAsia" w:eastAsiaTheme="minorEastAsia"/>
          <w:b/>
          <w:szCs w:val="21"/>
        </w:rPr>
        <w:t>1.</w:t>
      </w:r>
      <w:r>
        <w:rPr>
          <w:rFonts w:hint="eastAsia" w:cs="仿宋_GB2312" w:asciiTheme="minorEastAsia" w:hAnsiTheme="minorEastAsia" w:eastAsiaTheme="minorEastAsia"/>
          <w:szCs w:val="21"/>
        </w:rPr>
        <w:t>供应商的</w:t>
      </w:r>
      <w:r>
        <w:rPr>
          <w:rFonts w:hint="eastAsia" w:cs="仿宋_GB2312" w:asciiTheme="minorEastAsia" w:hAnsiTheme="minorEastAsia" w:eastAsiaTheme="minorEastAsia"/>
          <w:b/>
          <w:szCs w:val="21"/>
        </w:rPr>
        <w:t>最后报价文件</w:t>
      </w:r>
      <w:r>
        <w:rPr>
          <w:rFonts w:hint="eastAsia" w:cs="仿宋_GB2312" w:asciiTheme="minorEastAsia" w:hAnsiTheme="minorEastAsia" w:eastAsiaTheme="minorEastAsia"/>
          <w:szCs w:val="21"/>
        </w:rPr>
        <w:t>应包括以下内容：</w:t>
      </w:r>
    </w:p>
    <w:p w14:paraId="18C619D2">
      <w:pPr>
        <w:pStyle w:val="31"/>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1.1最后报价一览表；</w:t>
      </w:r>
    </w:p>
    <w:p w14:paraId="02D94317">
      <w:pPr>
        <w:pStyle w:val="31"/>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1.2中小企业声明函（如果有）。</w:t>
      </w:r>
    </w:p>
    <w:p w14:paraId="63EF8CDD">
      <w:pPr>
        <w:adjustRightInd/>
        <w:spacing w:line="360" w:lineRule="auto"/>
        <w:jc w:val="center"/>
        <w:rPr>
          <w:rFonts w:cs="仿宋_GB2312" w:asciiTheme="minorEastAsia" w:hAnsiTheme="minorEastAsia" w:eastAsiaTheme="minorEastAsia"/>
          <w:b/>
          <w:szCs w:val="21"/>
        </w:rPr>
      </w:pPr>
    </w:p>
    <w:p w14:paraId="77FBED60">
      <w:pPr>
        <w:adjustRightInd/>
        <w:spacing w:line="360" w:lineRule="auto"/>
        <w:jc w:val="center"/>
        <w:outlineLvl w:val="1"/>
        <w:rPr>
          <w:rFonts w:cs="仿宋_GB2312" w:asciiTheme="minorEastAsia" w:hAnsiTheme="minorEastAsia" w:eastAsiaTheme="minorEastAsia"/>
          <w:b/>
          <w:szCs w:val="21"/>
        </w:rPr>
      </w:pPr>
      <w:bookmarkStart w:id="54" w:name="_Toc14271"/>
      <w:r>
        <w:rPr>
          <w:rFonts w:hint="eastAsia" w:cs="仿宋_GB2312" w:asciiTheme="minorEastAsia" w:hAnsiTheme="minorEastAsia" w:eastAsiaTheme="minorEastAsia"/>
          <w:b/>
          <w:sz w:val="32"/>
          <w:szCs w:val="32"/>
        </w:rPr>
        <w:t>十、</w:t>
      </w:r>
      <w:r>
        <w:rPr>
          <w:rFonts w:hint="eastAsia" w:asciiTheme="minorEastAsia" w:hAnsiTheme="minorEastAsia" w:eastAsiaTheme="minorEastAsia"/>
          <w:b/>
          <w:sz w:val="32"/>
          <w:szCs w:val="32"/>
        </w:rPr>
        <w:t>评审</w:t>
      </w:r>
      <w:bookmarkEnd w:id="54"/>
    </w:p>
    <w:p w14:paraId="16CE6CB8">
      <w:pPr>
        <w:pStyle w:val="394"/>
        <w:spacing w:before="0"/>
        <w:ind w:firstLine="0" w:firstLineChars="0"/>
        <w:rPr>
          <w:rFonts w:cs="仿宋_GB2312" w:asciiTheme="minorEastAsia" w:hAnsiTheme="minorEastAsia" w:eastAsiaTheme="minorEastAsia"/>
          <w:b/>
          <w:sz w:val="21"/>
          <w:szCs w:val="21"/>
        </w:rPr>
      </w:pPr>
      <w:r>
        <w:rPr>
          <w:rFonts w:hint="eastAsia" w:asciiTheme="minorEastAsia" w:hAnsiTheme="minorEastAsia" w:eastAsiaTheme="minorEastAsia"/>
          <w:b/>
          <w:sz w:val="21"/>
          <w:szCs w:val="21"/>
        </w:rPr>
        <w:t>1.</w:t>
      </w:r>
      <w:r>
        <w:rPr>
          <w:rFonts w:hint="eastAsia" w:cs="仿宋_GB2312" w:asciiTheme="minorEastAsia" w:hAnsiTheme="minorEastAsia" w:eastAsiaTheme="minorEastAsia"/>
          <w:b/>
          <w:sz w:val="21"/>
          <w:szCs w:val="21"/>
        </w:rPr>
        <w:t xml:space="preserve"> 评审方法：</w:t>
      </w:r>
      <w:r>
        <w:rPr>
          <w:rFonts w:hint="eastAsia" w:cs="仿宋_GB2312" w:asciiTheme="minorEastAsia" w:hAnsiTheme="minorEastAsia" w:eastAsiaTheme="minorEastAsia"/>
          <w:sz w:val="21"/>
          <w:szCs w:val="21"/>
        </w:rPr>
        <w:t>综合评分法。</w:t>
      </w:r>
    </w:p>
    <w:p w14:paraId="082D979A">
      <w:pPr>
        <w:pStyle w:val="394"/>
        <w:spacing w:before="0"/>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2. 价格分计算方法：</w:t>
      </w:r>
      <w:r>
        <w:rPr>
          <w:rFonts w:hint="eastAsia" w:cs="仿宋_GB2312" w:asciiTheme="minorEastAsia" w:hAnsiTheme="minorEastAsia" w:eastAsiaTheme="minorEastAsia"/>
          <w:sz w:val="21"/>
          <w:szCs w:val="21"/>
        </w:rPr>
        <w:t>低价优先法。</w:t>
      </w:r>
    </w:p>
    <w:p w14:paraId="581DB0BB">
      <w:pPr>
        <w:pStyle w:val="394"/>
        <w:spacing w:before="0"/>
        <w:ind w:firstLine="0" w:firstLineChars="0"/>
        <w:rPr>
          <w:rFonts w:asciiTheme="minorEastAsia" w:hAnsiTheme="minorEastAsia" w:eastAsiaTheme="minorEastAsia"/>
          <w:sz w:val="21"/>
          <w:szCs w:val="21"/>
        </w:rPr>
      </w:pPr>
      <w:r>
        <w:rPr>
          <w:rFonts w:hint="eastAsia" w:cs="仿宋_GB2312" w:asciiTheme="minorEastAsia" w:hAnsiTheme="minorEastAsia" w:eastAsiaTheme="minorEastAsia"/>
          <w:b/>
          <w:sz w:val="21"/>
          <w:szCs w:val="21"/>
        </w:rPr>
        <w:t>3. 评审要求：</w:t>
      </w:r>
      <w:r>
        <w:rPr>
          <w:rFonts w:hint="eastAsia" w:cs="仿宋_GB2312" w:asciiTheme="minorEastAsia" w:hAnsiTheme="minorEastAsia" w:eastAsiaTheme="minorEastAsia"/>
          <w:sz w:val="21"/>
          <w:szCs w:val="21"/>
        </w:rPr>
        <w:t>详见磋商文件第五部分“评审方法及评审标准”。</w:t>
      </w:r>
    </w:p>
    <w:p w14:paraId="0611E235">
      <w:pPr>
        <w:adjustRightInd/>
        <w:spacing w:line="360" w:lineRule="auto"/>
        <w:jc w:val="center"/>
        <w:rPr>
          <w:rFonts w:cs="仿宋_GB2312" w:asciiTheme="minorEastAsia" w:hAnsiTheme="minorEastAsia" w:eastAsiaTheme="minorEastAsia"/>
          <w:szCs w:val="21"/>
        </w:rPr>
      </w:pPr>
    </w:p>
    <w:p w14:paraId="771FD0C9">
      <w:pPr>
        <w:adjustRightInd/>
        <w:spacing w:line="360" w:lineRule="auto"/>
        <w:jc w:val="center"/>
        <w:outlineLvl w:val="1"/>
        <w:rPr>
          <w:rFonts w:cs="仿宋_GB2312" w:asciiTheme="minorEastAsia" w:hAnsiTheme="minorEastAsia" w:eastAsiaTheme="minorEastAsia"/>
          <w:b/>
          <w:sz w:val="32"/>
          <w:szCs w:val="32"/>
        </w:rPr>
      </w:pPr>
      <w:bookmarkStart w:id="55" w:name="_Toc20047"/>
      <w:r>
        <w:rPr>
          <w:rFonts w:hint="eastAsia" w:cs="仿宋_GB2312" w:asciiTheme="minorEastAsia" w:hAnsiTheme="minorEastAsia" w:eastAsiaTheme="minorEastAsia"/>
          <w:b/>
          <w:sz w:val="32"/>
          <w:szCs w:val="32"/>
        </w:rPr>
        <w:t>十一、</w:t>
      </w:r>
      <w:r>
        <w:rPr>
          <w:rFonts w:hint="eastAsia" w:asciiTheme="minorEastAsia" w:hAnsiTheme="minorEastAsia" w:eastAsiaTheme="minorEastAsia"/>
          <w:b/>
          <w:sz w:val="32"/>
          <w:szCs w:val="32"/>
        </w:rPr>
        <w:t>成交</w:t>
      </w:r>
      <w:bookmarkEnd w:id="55"/>
    </w:p>
    <w:p w14:paraId="1A999E71">
      <w:pPr>
        <w:pStyle w:val="31"/>
        <w:spacing w:line="360" w:lineRule="auto"/>
        <w:rPr>
          <w:rFonts w:cs="仿宋_GB2312" w:asciiTheme="minorEastAsia" w:hAnsiTheme="minorEastAsia" w:eastAsiaTheme="minorEastAsia"/>
          <w:b/>
          <w:szCs w:val="21"/>
        </w:rPr>
      </w:pPr>
      <w:r>
        <w:rPr>
          <w:rFonts w:hint="eastAsia" w:asciiTheme="minorEastAsia" w:hAnsiTheme="minorEastAsia" w:eastAsiaTheme="minorEastAsia"/>
          <w:b/>
          <w:szCs w:val="21"/>
        </w:rPr>
        <w:t>1. 推荐成交候选供应商</w:t>
      </w:r>
    </w:p>
    <w:p w14:paraId="12600C6D">
      <w:pPr>
        <w:spacing w:line="360" w:lineRule="auto"/>
        <w:ind w:firstLine="407" w:firstLineChars="194"/>
        <w:rPr>
          <w:rFonts w:asciiTheme="minorEastAsia" w:hAnsiTheme="minorEastAsia" w:eastAsiaTheme="minorEastAsia"/>
          <w:szCs w:val="21"/>
        </w:rPr>
      </w:pPr>
      <w:r>
        <w:rPr>
          <w:rFonts w:hint="eastAsia" w:asciiTheme="minorEastAsia" w:hAnsiTheme="minorEastAsia" w:eastAsiaTheme="minorEastAsia"/>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9C96DFE">
      <w:pPr>
        <w:pStyle w:val="31"/>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 确定成交供应商</w:t>
      </w:r>
    </w:p>
    <w:p w14:paraId="0F8D6C3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F7C28C8">
      <w:pPr>
        <w:tabs>
          <w:tab w:val="left" w:pos="0"/>
        </w:tabs>
        <w:spacing w:line="360" w:lineRule="auto"/>
        <w:rPr>
          <w:rFonts w:cs="Helvetica" w:asciiTheme="minorEastAsia" w:hAnsiTheme="minorEastAsia" w:eastAsiaTheme="minorEastAsia"/>
          <w:kern w:val="0"/>
          <w:szCs w:val="21"/>
        </w:rPr>
      </w:pPr>
      <w:r>
        <w:rPr>
          <w:rFonts w:hint="eastAsia" w:asciiTheme="minorEastAsia" w:hAnsiTheme="minorEastAsia" w:eastAsiaTheme="minorEastAsia"/>
          <w:b/>
          <w:szCs w:val="21"/>
        </w:rPr>
        <w:t>3．成交通知及成交结果公告</w:t>
      </w:r>
    </w:p>
    <w:p w14:paraId="1935551A">
      <w:pPr>
        <w:spacing w:line="360" w:lineRule="auto"/>
        <w:ind w:firstLine="420" w:firstLineChars="200"/>
        <w:rPr>
          <w:rFonts w:ascii="宋体" w:hAnsi="宋体" w:cs="宋体"/>
          <w:szCs w:val="21"/>
        </w:rPr>
      </w:pPr>
      <w:r>
        <w:rPr>
          <w:rFonts w:hint="eastAsia" w:asciiTheme="minorEastAsia" w:hAnsiTheme="minorEastAsia" w:eastAsiaTheme="minorEastAsia"/>
          <w:szCs w:val="21"/>
        </w:rPr>
        <w:t>3.1自成交人确定之日起2个工作日内，采购代理机构通过电子交易平台向成交人发出成交通知书，</w:t>
      </w:r>
      <w:r>
        <w:rPr>
          <w:rFonts w:hint="eastAsia" w:cs="宋体" w:asciiTheme="minorEastAsia" w:hAnsiTheme="minorEastAsia" w:eastAsiaTheme="minorEastAsia"/>
          <w:szCs w:val="21"/>
        </w:rPr>
        <w:t>同时编制发布采购</w:t>
      </w:r>
      <w:r>
        <w:rPr>
          <w:rFonts w:hint="eastAsia" w:asciiTheme="minorEastAsia" w:hAnsiTheme="minorEastAsia" w:eastAsiaTheme="minorEastAsia"/>
          <w:szCs w:val="21"/>
        </w:rPr>
        <w:t>成交结果公告。</w:t>
      </w:r>
    </w:p>
    <w:p w14:paraId="2E0E951F">
      <w:pPr>
        <w:spacing w:line="360" w:lineRule="auto"/>
        <w:ind w:firstLine="420" w:firstLineChars="200"/>
        <w:rPr>
          <w:rFonts w:asciiTheme="minorEastAsia" w:hAnsiTheme="minorEastAsia" w:eastAsiaTheme="minorEastAsia"/>
          <w:szCs w:val="21"/>
        </w:rPr>
      </w:pPr>
      <w:r>
        <w:rPr>
          <w:rFonts w:hint="eastAsia" w:ascii="宋体" w:hAnsi="宋体" w:cs="宋体"/>
          <w:szCs w:val="21"/>
        </w:rPr>
        <w:t>3.2</w:t>
      </w:r>
      <w:r>
        <w:rPr>
          <w:rFonts w:hint="eastAsia" w:asciiTheme="minorEastAsia" w:hAnsiTheme="minorEastAsia" w:eastAsiaTheme="minorEastAsia"/>
          <w:szCs w:val="21"/>
        </w:rPr>
        <w:t>成交</w:t>
      </w:r>
      <w:r>
        <w:rPr>
          <w:rFonts w:hint="eastAsia" w:cs="仿宋_GB2312" w:asciiTheme="minorEastAsia" w:hAnsiTheme="minorEastAsia" w:eastAsiaTheme="minorEastAsia"/>
          <w:szCs w:val="21"/>
        </w:rPr>
        <w:t>结果公告内容包括</w:t>
      </w:r>
      <w:r>
        <w:rPr>
          <w:rFonts w:hint="eastAsia" w:cs="宋体" w:asciiTheme="minorEastAsia" w:hAnsiTheme="minorEastAsia" w:eastAsiaTheme="minorEastAsia"/>
          <w:szCs w:val="21"/>
        </w:rPr>
        <w:t>采购人及其委托的采购代理机构的名称、地址、联系方式，项目名称和项目编号，成交人名称、地址和成交金额，主要成交标的的名称、规格型号、数量、单价、服务要求，</w:t>
      </w:r>
      <w:bookmarkStart w:id="56" w:name="_Hlk101184471"/>
      <w:r>
        <w:rPr>
          <w:rFonts w:hint="eastAsia" w:cs="宋体" w:asciiTheme="minorEastAsia" w:hAnsiTheme="minorEastAsia" w:eastAsiaTheme="minorEastAsia"/>
          <w:szCs w:val="21"/>
        </w:rPr>
        <w:t>评审专家抽取规则、</w:t>
      </w:r>
      <w:bookmarkEnd w:id="56"/>
      <w:r>
        <w:rPr>
          <w:rFonts w:hint="eastAsia" w:cs="宋体" w:asciiTheme="minorEastAsia" w:hAnsiTheme="minorEastAsia" w:eastAsiaTheme="minorEastAsia"/>
          <w:szCs w:val="21"/>
        </w:rPr>
        <w:t>未成交情况说明、成交公告期限以及评审专家名单、成交供应商和未成交供应商的评审总得分及排名。</w:t>
      </w:r>
    </w:p>
    <w:p w14:paraId="007B957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3.3公告期限为1个工作日。</w:t>
      </w:r>
    </w:p>
    <w:p w14:paraId="2021A97C">
      <w:pPr>
        <w:snapToGrid w:val="0"/>
        <w:spacing w:line="360" w:lineRule="auto"/>
        <w:jc w:val="center"/>
        <w:rPr>
          <w:rFonts w:cs="仿宋_GB2312" w:asciiTheme="minorEastAsia" w:hAnsiTheme="minorEastAsia" w:eastAsiaTheme="minorEastAsia"/>
          <w:b/>
          <w:szCs w:val="21"/>
        </w:rPr>
      </w:pPr>
    </w:p>
    <w:p w14:paraId="466FB6D1">
      <w:pPr>
        <w:snapToGrid w:val="0"/>
        <w:spacing w:line="360" w:lineRule="auto"/>
        <w:jc w:val="center"/>
        <w:outlineLvl w:val="1"/>
        <w:rPr>
          <w:rFonts w:cs="仿宋_GB2312" w:asciiTheme="minorEastAsia" w:hAnsiTheme="minorEastAsia" w:eastAsiaTheme="minorEastAsia"/>
          <w:b/>
          <w:szCs w:val="21"/>
        </w:rPr>
      </w:pPr>
      <w:bookmarkStart w:id="57" w:name="_Toc23512"/>
      <w:r>
        <w:rPr>
          <w:rFonts w:hint="eastAsia" w:cs="仿宋_GB2312" w:asciiTheme="minorEastAsia" w:hAnsiTheme="minorEastAsia" w:eastAsiaTheme="minorEastAsia"/>
          <w:b/>
          <w:sz w:val="32"/>
          <w:szCs w:val="32"/>
        </w:rPr>
        <w:t>十二、合同</w:t>
      </w:r>
      <w:bookmarkEnd w:id="57"/>
    </w:p>
    <w:p w14:paraId="46C53AD1">
      <w:pPr>
        <w:tabs>
          <w:tab w:val="left" w:pos="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1.合同主要条款：</w:t>
      </w:r>
      <w:r>
        <w:rPr>
          <w:rFonts w:hint="eastAsia" w:asciiTheme="minorEastAsia" w:hAnsiTheme="minorEastAsia" w:eastAsiaTheme="minorEastAsia"/>
          <w:szCs w:val="21"/>
        </w:rPr>
        <w:t>详见“第六部分拟签订的合同文本”。</w:t>
      </w:r>
    </w:p>
    <w:p w14:paraId="176E3FA4">
      <w:pPr>
        <w:tabs>
          <w:tab w:val="left" w:pos="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2.合同的签订</w:t>
      </w:r>
    </w:p>
    <w:p w14:paraId="7B8C36A3">
      <w:pPr>
        <w:widowControl/>
        <w:spacing w:line="360" w:lineRule="auto"/>
        <w:ind w:firstLine="480"/>
        <w:jc w:val="left"/>
        <w:rPr>
          <w:rFonts w:cs="宋体" w:asciiTheme="minorEastAsia" w:hAnsiTheme="minorEastAsia" w:eastAsiaTheme="minorEastAsia"/>
          <w:kern w:val="0"/>
          <w:szCs w:val="21"/>
        </w:rPr>
      </w:pPr>
      <w:r>
        <w:rPr>
          <w:rFonts w:hint="eastAsia" w:asciiTheme="minorEastAsia" w:hAnsiTheme="minorEastAsia" w:eastAsiaTheme="minorEastAsia"/>
          <w:szCs w:val="21"/>
        </w:rPr>
        <w:t>2.1</w:t>
      </w:r>
      <w:r>
        <w:rPr>
          <w:rFonts w:hint="eastAsia" w:ascii="宋体" w:hAnsi="宋体" w:cs="宋体"/>
          <w:kern w:val="0"/>
          <w:szCs w:val="21"/>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4D191708">
      <w:pPr>
        <w:pStyle w:val="394"/>
        <w:snapToGrid w:val="0"/>
        <w:spacing w:before="0"/>
        <w:ind w:firstLine="42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569565A5">
      <w:pPr>
        <w:spacing w:line="360" w:lineRule="auto"/>
        <w:ind w:firstLine="407" w:firstLineChars="194"/>
        <w:rPr>
          <w:rFonts w:asciiTheme="minorEastAsia" w:hAnsiTheme="minorEastAsia" w:eastAsiaTheme="minorEastAsia"/>
          <w:szCs w:val="21"/>
        </w:rPr>
      </w:pPr>
      <w:r>
        <w:rPr>
          <w:rFonts w:hint="eastAsia" w:asciiTheme="minorEastAsia" w:hAnsiTheme="minorEastAsia" w:eastAsiaTheme="minorEastAsia"/>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695FAE">
      <w:pPr>
        <w:spacing w:line="360" w:lineRule="auto"/>
        <w:ind w:firstLine="407" w:firstLineChars="194"/>
        <w:rPr>
          <w:rFonts w:asciiTheme="minorEastAsia" w:hAnsiTheme="minorEastAsia" w:eastAsiaTheme="minorEastAsia"/>
          <w:szCs w:val="21"/>
        </w:rPr>
      </w:pPr>
      <w:r>
        <w:rPr>
          <w:rFonts w:hint="eastAsia" w:asciiTheme="minorEastAsia" w:hAnsiTheme="minorEastAsia" w:eastAsiaTheme="minorEastAsia"/>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1886FE7">
      <w:pPr>
        <w:spacing w:line="360" w:lineRule="auto"/>
        <w:ind w:firstLine="407" w:firstLineChars="194"/>
        <w:rPr>
          <w:rFonts w:asciiTheme="minorEastAsia" w:hAnsiTheme="minorEastAsia" w:eastAsiaTheme="minorEastAsia"/>
          <w:szCs w:val="21"/>
        </w:rPr>
      </w:pPr>
      <w:r>
        <w:rPr>
          <w:rFonts w:hint="eastAsia" w:asciiTheme="minorEastAsia" w:hAnsiTheme="minorEastAsia" w:eastAsiaTheme="minorEastAsia"/>
          <w:szCs w:val="21"/>
        </w:rPr>
        <w:t>2.5如签订合同并生效后，供应商无故拒绝或延期，除按照合同条款处理外，列入不良行为记录一次，并给予通报。</w:t>
      </w:r>
    </w:p>
    <w:p w14:paraId="5A39B4A7">
      <w:pPr>
        <w:pStyle w:val="394"/>
        <w:snapToGrid w:val="0"/>
        <w:spacing w:before="0" w:after="120"/>
        <w:ind w:firstLine="42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6</w:t>
      </w:r>
      <w:r>
        <w:rPr>
          <w:rFonts w:cs="仿宋_GB2312" w:asciiTheme="minorEastAsia" w:hAnsiTheme="minorEastAsia" w:eastAsiaTheme="minorEastAsia"/>
          <w:sz w:val="21"/>
          <w:szCs w:val="21"/>
        </w:rPr>
        <w:t>采购合同由采购人与</w:t>
      </w:r>
      <w:r>
        <w:rPr>
          <w:rFonts w:hint="eastAsia" w:cs="仿宋_GB2312" w:asciiTheme="minorEastAsia" w:hAnsiTheme="minorEastAsia" w:eastAsiaTheme="minorEastAsia"/>
          <w:sz w:val="21"/>
          <w:szCs w:val="21"/>
        </w:rPr>
        <w:t>成交</w:t>
      </w:r>
      <w:r>
        <w:rPr>
          <w:rFonts w:cs="仿宋_GB2312" w:asciiTheme="minorEastAsia" w:hAnsiTheme="minorEastAsia" w:eastAsiaTheme="minorEastAsia"/>
          <w:sz w:val="21"/>
          <w:szCs w:val="21"/>
        </w:rPr>
        <w:t>供应商根据</w:t>
      </w:r>
      <w:r>
        <w:rPr>
          <w:rFonts w:hint="eastAsia" w:cs="仿宋_GB2312" w:asciiTheme="minorEastAsia" w:hAnsiTheme="minorEastAsia" w:eastAsiaTheme="minorEastAsia"/>
          <w:sz w:val="21"/>
          <w:szCs w:val="21"/>
        </w:rPr>
        <w:t>磋商文件、响应文件等内容通过政府采购电子交易平台在线签订，自动备案。</w:t>
      </w:r>
    </w:p>
    <w:p w14:paraId="72D44C4C">
      <w:pPr>
        <w:pStyle w:val="394"/>
        <w:snapToGrid w:val="0"/>
        <w:spacing w:before="0"/>
        <w:ind w:firstLine="420"/>
        <w:rPr>
          <w:rFonts w:ascii="宋体" w:hAnsi="宋体" w:cs="宋体"/>
          <w:sz w:val="21"/>
          <w:szCs w:val="21"/>
        </w:rPr>
      </w:pPr>
      <w:r>
        <w:rPr>
          <w:rFonts w:hint="eastAsia" w:ascii="宋体" w:hAnsi="宋体" w:cs="宋体"/>
          <w:sz w:val="21"/>
          <w:szCs w:val="21"/>
        </w:rPr>
        <w:t>2.7政采贷</w:t>
      </w:r>
    </w:p>
    <w:p w14:paraId="557FF373">
      <w:pPr>
        <w:snapToGrid w:val="0"/>
        <w:spacing w:line="360" w:lineRule="auto"/>
        <w:ind w:firstLine="420" w:firstLineChars="200"/>
        <w:rPr>
          <w:rFonts w:ascii="宋体" w:hAnsi="宋体" w:cs="宋体"/>
          <w:szCs w:val="21"/>
        </w:rPr>
      </w:pPr>
      <w:r>
        <w:rPr>
          <w:rFonts w:hint="eastAsia" w:ascii="宋体" w:hAnsi="宋体" w:cs="宋体"/>
          <w:szCs w:val="21"/>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8AB55BA">
      <w:pPr>
        <w:snapToGrid w:val="0"/>
        <w:spacing w:line="360" w:lineRule="auto"/>
        <w:ind w:firstLine="420" w:firstLineChars="200"/>
        <w:rPr>
          <w:rFonts w:ascii="宋体" w:hAnsi="宋体" w:cs="宋体"/>
          <w:szCs w:val="21"/>
        </w:rPr>
      </w:pPr>
      <w:r>
        <w:rPr>
          <w:rFonts w:hint="eastAsia" w:ascii="宋体" w:hAnsi="宋体" w:cs="宋体"/>
          <w:szCs w:val="21"/>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500476F8">
      <w:pPr>
        <w:snapToGrid w:val="0"/>
        <w:spacing w:line="360" w:lineRule="auto"/>
        <w:ind w:firstLine="420" w:firstLineChars="200"/>
        <w:rPr>
          <w:rFonts w:ascii="宋体" w:hAnsi="宋体" w:cs="宋体"/>
          <w:szCs w:val="21"/>
        </w:rPr>
      </w:pPr>
      <w:r>
        <w:rPr>
          <w:rFonts w:hint="eastAsia" w:ascii="宋体" w:hAnsi="宋体" w:cs="宋体"/>
          <w:szCs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654DCFD">
      <w:pPr>
        <w:snapToGrid w:val="0"/>
        <w:spacing w:line="360" w:lineRule="auto"/>
        <w:ind w:firstLine="420" w:firstLineChars="200"/>
        <w:rPr>
          <w:rFonts w:ascii="宋体" w:hAnsi="宋体" w:cs="宋体"/>
          <w:szCs w:val="21"/>
        </w:rPr>
      </w:pPr>
      <w:r>
        <w:rPr>
          <w:rFonts w:hint="eastAsia" w:ascii="宋体" w:hAnsi="宋体" w:cs="宋体"/>
          <w:szCs w:val="21"/>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10AEA809">
      <w:pPr>
        <w:snapToGrid w:val="0"/>
        <w:spacing w:line="360" w:lineRule="auto"/>
        <w:ind w:firstLine="420" w:firstLineChars="200"/>
        <w:rPr>
          <w:rFonts w:ascii="宋体" w:hAnsi="宋体" w:cs="宋体"/>
          <w:szCs w:val="21"/>
        </w:rPr>
      </w:pPr>
      <w:r>
        <w:rPr>
          <w:rFonts w:hint="eastAsia" w:ascii="宋体" w:hAnsi="宋体" w:cs="宋体"/>
          <w:szCs w:val="21"/>
        </w:rPr>
        <w:t>（四）贷款发放。贷款金融机构根据贷款协议向供应商发放贷款。</w:t>
      </w:r>
    </w:p>
    <w:p w14:paraId="177117BF">
      <w:pPr>
        <w:snapToGrid w:val="0"/>
        <w:spacing w:line="360" w:lineRule="auto"/>
        <w:ind w:firstLine="420" w:firstLineChars="200"/>
        <w:rPr>
          <w:rFonts w:ascii="宋体" w:hAnsi="宋体" w:cs="宋体"/>
          <w:szCs w:val="21"/>
        </w:rPr>
      </w:pPr>
      <w:r>
        <w:rPr>
          <w:rFonts w:hint="eastAsia" w:ascii="宋体" w:hAnsi="宋体" w:cs="宋体"/>
          <w:szCs w:val="21"/>
        </w:rPr>
        <w:t>（五）按期还款。供应商获得贷款后应自觉履行政府采购合同，合同履行完毕后，采购单位根据合同约定时间和账户信息，严格按照财政资金管理的相关规定，及时将资金支付到采购合同收款账户。</w:t>
      </w:r>
    </w:p>
    <w:p w14:paraId="68A8AFE2">
      <w:pPr>
        <w:snapToGrid w:val="0"/>
        <w:spacing w:line="360" w:lineRule="auto"/>
        <w:ind w:firstLine="420" w:firstLineChars="200"/>
        <w:rPr>
          <w:rFonts w:ascii="宋体" w:hAnsi="宋体" w:cs="宋体"/>
          <w:szCs w:val="21"/>
        </w:rPr>
      </w:pPr>
      <w:r>
        <w:rPr>
          <w:rFonts w:hint="eastAsia" w:ascii="宋体" w:hAnsi="宋体" w:cs="宋体"/>
          <w:szCs w:val="21"/>
        </w:rPr>
        <w:t>（六）业务终止。贷款偿清后，贷款金融机构或北海市小微企业融资担保有限公司及时办理应收账款质押注销登记，业务终止。</w:t>
      </w:r>
    </w:p>
    <w:p w14:paraId="2A706578">
      <w:pPr>
        <w:snapToGrid w:val="0"/>
        <w:spacing w:line="360" w:lineRule="auto"/>
        <w:ind w:firstLine="420" w:firstLineChars="200"/>
        <w:rPr>
          <w:rFonts w:ascii="宋体" w:hAnsi="宋体" w:cs="宋体"/>
          <w:szCs w:val="21"/>
        </w:rPr>
      </w:pPr>
      <w:r>
        <w:rPr>
          <w:rFonts w:hint="eastAsia" w:ascii="宋体" w:hAnsi="宋体" w:cs="宋体"/>
          <w:szCs w:val="21"/>
        </w:rPr>
        <w:t>注：相关合作银行的具体操作流程详见北海市政府采购中心首页“政采贷”板块。</w:t>
      </w:r>
    </w:p>
    <w:p w14:paraId="34F16371">
      <w:pPr>
        <w:pStyle w:val="633"/>
        <w:rPr>
          <w:sz w:val="21"/>
          <w:szCs w:val="21"/>
        </w:rPr>
      </w:pPr>
      <w:r>
        <w:rPr>
          <w:rFonts w:hint="eastAsia" w:cs="宋体"/>
          <w:sz w:val="21"/>
          <w:szCs w:val="21"/>
        </w:rPr>
        <w:t>对于列入《政府采购信用白名单》的供应商，在获取“政采贷”流水贷产品时给予更高的授信额度，在申请“政采贷”合同贷产品时，可享受较低的贷款利率，同时信用白名单供应商获得信贷时长进一步缩短。</w:t>
      </w:r>
    </w:p>
    <w:p w14:paraId="2B80BE65">
      <w:pPr>
        <w:autoSpaceDE w:val="0"/>
        <w:autoSpaceDN w:val="0"/>
        <w:adjustRightInd/>
        <w:snapToGrid w:val="0"/>
        <w:spacing w:line="360" w:lineRule="auto"/>
        <w:ind w:firstLine="420" w:firstLineChars="200"/>
        <w:textAlignment w:val="bottom"/>
        <w:rPr>
          <w:rFonts w:ascii="宋体" w:hAnsi="宋体" w:cs="宋体"/>
          <w:szCs w:val="21"/>
        </w:rPr>
      </w:pPr>
      <w:r>
        <w:rPr>
          <w:rFonts w:hint="eastAsia" w:ascii="宋体" w:hAnsi="宋体" w:cs="宋体"/>
          <w:szCs w:val="21"/>
        </w:rPr>
        <w:t>供应商成交后可在“广西政府采购云”平台申请政采贷：操作路径：登录广西政府采购云平台-金融服务中心-【融资服务】，可在热门申请中选择产品直接申请。详见如下：</w:t>
      </w:r>
    </w:p>
    <w:p w14:paraId="0514E217">
      <w:pPr>
        <w:snapToGrid w:val="0"/>
        <w:spacing w:line="360" w:lineRule="auto"/>
        <w:ind w:firstLine="482"/>
        <w:jc w:val="left"/>
        <w:rPr>
          <w:rFonts w:ascii="宋体" w:hAnsi="宋体"/>
          <w:kern w:val="0"/>
          <w:szCs w:val="21"/>
        </w:rPr>
      </w:pPr>
      <w:r>
        <w:rPr>
          <w:rFonts w:hint="eastAsia" w:ascii="宋体" w:hAnsi="宋体"/>
          <w:kern w:val="0"/>
          <w:szCs w:val="21"/>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Fonts w:ascii="宋体" w:hAnsi="宋体"/>
          <w:kern w:val="0"/>
          <w:szCs w:val="21"/>
        </w:rPr>
        <w:t>https://jinrong.gcy.zfcg.gxzf.gov.cn/finance/loan/gx</w:t>
      </w:r>
      <w:r>
        <w:rPr>
          <w:rFonts w:ascii="宋体" w:hAnsi="宋体"/>
          <w:kern w:val="0"/>
          <w:szCs w:val="21"/>
        </w:rPr>
        <w:fldChar w:fldCharType="end"/>
      </w:r>
      <w:r>
        <w:rPr>
          <w:rFonts w:hint="eastAsia" w:ascii="宋体" w:hAnsi="宋体"/>
          <w:kern w:val="0"/>
          <w:szCs w:val="21"/>
        </w:rPr>
        <w:t>）</w:t>
      </w:r>
    </w:p>
    <w:p w14:paraId="0D324514">
      <w:pPr>
        <w:snapToGrid w:val="0"/>
        <w:spacing w:line="360" w:lineRule="auto"/>
        <w:ind w:firstLine="482"/>
        <w:jc w:val="left"/>
        <w:rPr>
          <w:rFonts w:ascii="宋体" w:hAnsi="宋体"/>
          <w:kern w:val="0"/>
          <w:szCs w:val="21"/>
        </w:rPr>
      </w:pPr>
      <w:r>
        <w:rPr>
          <w:rFonts w:hint="eastAsia" w:ascii="宋体" w:hAnsi="宋体"/>
          <w:kern w:val="0"/>
          <w:szCs w:val="21"/>
        </w:rPr>
        <w:t>2.合作银行咨询办理</w:t>
      </w:r>
    </w:p>
    <w:tbl>
      <w:tblPr>
        <w:tblStyle w:val="635"/>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436"/>
        <w:gridCol w:w="1174"/>
        <w:gridCol w:w="1214"/>
        <w:gridCol w:w="696"/>
        <w:gridCol w:w="3349"/>
      </w:tblGrid>
      <w:tr w14:paraId="7E8B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5C90D6FF">
            <w:pPr>
              <w:snapToGrid w:val="0"/>
              <w:jc w:val="center"/>
              <w:rPr>
                <w:rFonts w:ascii="宋体" w:hAnsi="宋体"/>
                <w:kern w:val="0"/>
                <w:szCs w:val="21"/>
              </w:rPr>
            </w:pPr>
            <w:r>
              <w:rPr>
                <w:rFonts w:hint="eastAsia" w:ascii="宋体" w:hAnsi="宋体"/>
                <w:kern w:val="0"/>
                <w:szCs w:val="21"/>
              </w:rPr>
              <w:t>银行名称</w:t>
            </w:r>
          </w:p>
        </w:tc>
        <w:tc>
          <w:tcPr>
            <w:tcW w:w="788" w:type="pct"/>
            <w:vAlign w:val="center"/>
          </w:tcPr>
          <w:p w14:paraId="3B94E076">
            <w:pPr>
              <w:snapToGrid w:val="0"/>
              <w:jc w:val="center"/>
              <w:rPr>
                <w:rFonts w:ascii="宋体" w:hAnsi="宋体"/>
                <w:kern w:val="0"/>
                <w:szCs w:val="21"/>
              </w:rPr>
            </w:pPr>
            <w:r>
              <w:rPr>
                <w:rFonts w:hint="eastAsia" w:ascii="宋体" w:hAnsi="宋体"/>
                <w:kern w:val="0"/>
                <w:szCs w:val="21"/>
              </w:rPr>
              <w:t>联系电话</w:t>
            </w:r>
          </w:p>
        </w:tc>
        <w:tc>
          <w:tcPr>
            <w:tcW w:w="644" w:type="pct"/>
            <w:vAlign w:val="center"/>
          </w:tcPr>
          <w:p w14:paraId="5973D0F4">
            <w:pPr>
              <w:snapToGrid w:val="0"/>
              <w:jc w:val="center"/>
              <w:rPr>
                <w:rFonts w:ascii="宋体" w:hAnsi="宋体"/>
                <w:kern w:val="0"/>
                <w:szCs w:val="21"/>
              </w:rPr>
            </w:pPr>
            <w:r>
              <w:rPr>
                <w:rFonts w:hint="eastAsia" w:ascii="宋体" w:hAnsi="宋体"/>
                <w:kern w:val="0"/>
                <w:szCs w:val="21"/>
              </w:rPr>
              <w:t>最高授信金额</w:t>
            </w:r>
          </w:p>
        </w:tc>
        <w:tc>
          <w:tcPr>
            <w:tcW w:w="666" w:type="pct"/>
            <w:vAlign w:val="center"/>
          </w:tcPr>
          <w:p w14:paraId="4B24026C">
            <w:pPr>
              <w:snapToGrid w:val="0"/>
              <w:jc w:val="center"/>
              <w:rPr>
                <w:rFonts w:ascii="宋体" w:hAnsi="宋体"/>
                <w:kern w:val="0"/>
                <w:szCs w:val="21"/>
              </w:rPr>
            </w:pPr>
            <w:r>
              <w:rPr>
                <w:rFonts w:hint="eastAsia" w:ascii="宋体" w:hAnsi="宋体"/>
                <w:kern w:val="0"/>
                <w:szCs w:val="21"/>
              </w:rPr>
              <w:t>最长授信期限</w:t>
            </w:r>
          </w:p>
        </w:tc>
        <w:tc>
          <w:tcPr>
            <w:tcW w:w="382" w:type="pct"/>
            <w:vAlign w:val="center"/>
          </w:tcPr>
          <w:p w14:paraId="3F7DC4A6">
            <w:pPr>
              <w:snapToGrid w:val="0"/>
              <w:jc w:val="center"/>
              <w:rPr>
                <w:rFonts w:ascii="宋体" w:hAnsi="宋体"/>
                <w:kern w:val="0"/>
                <w:szCs w:val="21"/>
              </w:rPr>
            </w:pPr>
            <w:r>
              <w:rPr>
                <w:rFonts w:hint="eastAsia" w:ascii="宋体" w:hAnsi="宋体"/>
                <w:kern w:val="0"/>
                <w:szCs w:val="21"/>
              </w:rPr>
              <w:t>最低利率</w:t>
            </w:r>
          </w:p>
        </w:tc>
        <w:tc>
          <w:tcPr>
            <w:tcW w:w="1838" w:type="pct"/>
            <w:vAlign w:val="center"/>
          </w:tcPr>
          <w:p w14:paraId="56EDDEDB">
            <w:pPr>
              <w:snapToGrid w:val="0"/>
              <w:jc w:val="center"/>
              <w:rPr>
                <w:rFonts w:ascii="宋体" w:hAnsi="宋体"/>
                <w:kern w:val="0"/>
                <w:szCs w:val="21"/>
              </w:rPr>
            </w:pPr>
            <w:r>
              <w:rPr>
                <w:rFonts w:hint="eastAsia" w:ascii="宋体" w:hAnsi="宋体"/>
                <w:kern w:val="0"/>
                <w:szCs w:val="21"/>
              </w:rPr>
              <w:t>流程简介</w:t>
            </w:r>
          </w:p>
        </w:tc>
      </w:tr>
      <w:tr w14:paraId="7ED8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45F4773B">
            <w:pPr>
              <w:snapToGrid w:val="0"/>
              <w:jc w:val="center"/>
              <w:rPr>
                <w:rFonts w:ascii="宋体" w:hAnsi="宋体"/>
                <w:kern w:val="0"/>
                <w:szCs w:val="21"/>
              </w:rPr>
            </w:pPr>
            <w:r>
              <w:rPr>
                <w:rFonts w:hint="eastAsia" w:ascii="宋体" w:hAnsi="宋体"/>
                <w:kern w:val="0"/>
                <w:szCs w:val="21"/>
              </w:rPr>
              <w:t>建设银行</w:t>
            </w:r>
          </w:p>
        </w:tc>
        <w:tc>
          <w:tcPr>
            <w:tcW w:w="788" w:type="pct"/>
            <w:vAlign w:val="center"/>
          </w:tcPr>
          <w:p w14:paraId="4E8EE108">
            <w:pPr>
              <w:snapToGrid w:val="0"/>
              <w:jc w:val="center"/>
              <w:rPr>
                <w:rFonts w:ascii="宋体" w:hAnsi="宋体"/>
                <w:kern w:val="0"/>
                <w:szCs w:val="21"/>
              </w:rPr>
            </w:pPr>
            <w:r>
              <w:rPr>
                <w:rFonts w:hint="eastAsia" w:ascii="宋体" w:hAnsi="宋体"/>
                <w:kern w:val="0"/>
                <w:szCs w:val="21"/>
              </w:rPr>
              <w:t>13077729988</w:t>
            </w:r>
          </w:p>
        </w:tc>
        <w:tc>
          <w:tcPr>
            <w:tcW w:w="644" w:type="pct"/>
            <w:vAlign w:val="center"/>
          </w:tcPr>
          <w:p w14:paraId="5A5BDE80">
            <w:pPr>
              <w:snapToGrid w:val="0"/>
              <w:jc w:val="center"/>
              <w:rPr>
                <w:rFonts w:ascii="宋体" w:hAnsi="宋体"/>
                <w:kern w:val="0"/>
                <w:szCs w:val="21"/>
              </w:rPr>
            </w:pPr>
            <w:r>
              <w:rPr>
                <w:rFonts w:hint="eastAsia" w:ascii="宋体" w:hAnsi="宋体"/>
                <w:kern w:val="0"/>
                <w:szCs w:val="21"/>
              </w:rPr>
              <w:t>最高3千万</w:t>
            </w:r>
          </w:p>
        </w:tc>
        <w:tc>
          <w:tcPr>
            <w:tcW w:w="666" w:type="pct"/>
            <w:vAlign w:val="center"/>
          </w:tcPr>
          <w:p w14:paraId="1173B23D">
            <w:pPr>
              <w:snapToGrid w:val="0"/>
              <w:jc w:val="center"/>
              <w:rPr>
                <w:rFonts w:ascii="宋体" w:hAnsi="宋体"/>
                <w:kern w:val="0"/>
                <w:szCs w:val="21"/>
              </w:rPr>
            </w:pPr>
            <w:r>
              <w:rPr>
                <w:rFonts w:hint="eastAsia" w:ascii="宋体" w:hAnsi="宋体"/>
                <w:kern w:val="0"/>
                <w:szCs w:val="21"/>
              </w:rPr>
              <w:t>1年</w:t>
            </w:r>
          </w:p>
        </w:tc>
        <w:tc>
          <w:tcPr>
            <w:tcW w:w="382" w:type="pct"/>
            <w:vAlign w:val="center"/>
          </w:tcPr>
          <w:p w14:paraId="1E898A8E">
            <w:pPr>
              <w:snapToGrid w:val="0"/>
              <w:jc w:val="center"/>
              <w:rPr>
                <w:rFonts w:ascii="宋体" w:hAnsi="宋体"/>
                <w:kern w:val="0"/>
                <w:szCs w:val="21"/>
              </w:rPr>
            </w:pPr>
            <w:r>
              <w:rPr>
                <w:rFonts w:hint="eastAsia" w:ascii="宋体" w:hAnsi="宋体"/>
                <w:kern w:val="0"/>
                <w:szCs w:val="21"/>
              </w:rPr>
              <w:t>4%</w:t>
            </w:r>
          </w:p>
        </w:tc>
        <w:tc>
          <w:tcPr>
            <w:tcW w:w="1838" w:type="pct"/>
            <w:vAlign w:val="center"/>
          </w:tcPr>
          <w:p w14:paraId="1D952C80">
            <w:pPr>
              <w:snapToGrid w:val="0"/>
              <w:jc w:val="left"/>
              <w:rPr>
                <w:rFonts w:ascii="宋体" w:hAnsi="宋体"/>
                <w:kern w:val="0"/>
                <w:szCs w:val="21"/>
              </w:rPr>
            </w:pPr>
            <w:r>
              <w:rPr>
                <w:rFonts w:hint="eastAsia" w:ascii="宋体" w:hAnsi="宋体"/>
                <w:kern w:val="0"/>
                <w:szCs w:val="21"/>
              </w:rPr>
              <w:t>开设账号，线下提供申请材料，进入贷款审批流程，贷款审批通过后可自主用款，银行官方网银可自主还款。</w:t>
            </w:r>
          </w:p>
        </w:tc>
      </w:tr>
      <w:tr w14:paraId="470E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61F663E9">
            <w:pPr>
              <w:snapToGrid w:val="0"/>
              <w:jc w:val="center"/>
              <w:rPr>
                <w:rFonts w:ascii="宋体" w:hAnsi="宋体"/>
                <w:kern w:val="0"/>
                <w:szCs w:val="21"/>
              </w:rPr>
            </w:pPr>
            <w:r>
              <w:rPr>
                <w:rFonts w:hint="eastAsia" w:ascii="宋体" w:hAnsi="宋体"/>
                <w:kern w:val="0"/>
                <w:szCs w:val="21"/>
              </w:rPr>
              <w:t>中国银行</w:t>
            </w:r>
          </w:p>
        </w:tc>
        <w:tc>
          <w:tcPr>
            <w:tcW w:w="788" w:type="pct"/>
            <w:vAlign w:val="center"/>
          </w:tcPr>
          <w:p w14:paraId="4463D6C2">
            <w:pPr>
              <w:snapToGrid w:val="0"/>
              <w:jc w:val="center"/>
              <w:rPr>
                <w:rFonts w:ascii="宋体" w:hAnsi="宋体"/>
                <w:kern w:val="0"/>
                <w:szCs w:val="21"/>
              </w:rPr>
            </w:pPr>
            <w:r>
              <w:rPr>
                <w:rFonts w:hint="eastAsia" w:ascii="宋体" w:hAnsi="宋体"/>
                <w:kern w:val="0"/>
                <w:szCs w:val="21"/>
              </w:rPr>
              <w:t>0779-3997084</w:t>
            </w:r>
          </w:p>
        </w:tc>
        <w:tc>
          <w:tcPr>
            <w:tcW w:w="644" w:type="pct"/>
            <w:vAlign w:val="center"/>
          </w:tcPr>
          <w:p w14:paraId="4532A6A5">
            <w:pPr>
              <w:snapToGrid w:val="0"/>
              <w:jc w:val="center"/>
              <w:rPr>
                <w:rFonts w:ascii="宋体" w:hAnsi="宋体"/>
                <w:kern w:val="0"/>
                <w:szCs w:val="21"/>
              </w:rPr>
            </w:pPr>
            <w:r>
              <w:rPr>
                <w:rFonts w:hint="eastAsia" w:ascii="宋体" w:hAnsi="宋体"/>
                <w:kern w:val="0"/>
                <w:szCs w:val="21"/>
              </w:rPr>
              <w:t>最高1千万</w:t>
            </w:r>
          </w:p>
        </w:tc>
        <w:tc>
          <w:tcPr>
            <w:tcW w:w="666" w:type="pct"/>
            <w:vAlign w:val="center"/>
          </w:tcPr>
          <w:p w14:paraId="432FDD6F">
            <w:pPr>
              <w:snapToGrid w:val="0"/>
              <w:jc w:val="center"/>
              <w:rPr>
                <w:rFonts w:ascii="宋体" w:hAnsi="宋体"/>
                <w:kern w:val="0"/>
                <w:szCs w:val="21"/>
              </w:rPr>
            </w:pPr>
            <w:r>
              <w:rPr>
                <w:rFonts w:hint="eastAsia" w:ascii="宋体" w:hAnsi="宋体"/>
                <w:kern w:val="0"/>
                <w:szCs w:val="21"/>
              </w:rPr>
              <w:t>3年</w:t>
            </w:r>
          </w:p>
        </w:tc>
        <w:tc>
          <w:tcPr>
            <w:tcW w:w="382" w:type="pct"/>
            <w:vAlign w:val="center"/>
          </w:tcPr>
          <w:p w14:paraId="1E4ECED5">
            <w:pPr>
              <w:snapToGrid w:val="0"/>
              <w:jc w:val="center"/>
              <w:rPr>
                <w:rFonts w:ascii="宋体" w:hAnsi="宋体"/>
                <w:kern w:val="0"/>
                <w:szCs w:val="21"/>
              </w:rPr>
            </w:pPr>
            <w:r>
              <w:rPr>
                <w:rFonts w:hint="eastAsia" w:ascii="宋体" w:hAnsi="宋体"/>
                <w:kern w:val="0"/>
                <w:szCs w:val="21"/>
              </w:rPr>
              <w:t>1.93%</w:t>
            </w:r>
          </w:p>
        </w:tc>
        <w:tc>
          <w:tcPr>
            <w:tcW w:w="1838" w:type="pct"/>
            <w:vAlign w:val="center"/>
          </w:tcPr>
          <w:p w14:paraId="50617D3F">
            <w:pPr>
              <w:snapToGrid w:val="0"/>
              <w:jc w:val="left"/>
              <w:rPr>
                <w:rFonts w:ascii="宋体" w:hAnsi="宋体"/>
                <w:kern w:val="0"/>
                <w:szCs w:val="21"/>
              </w:rPr>
            </w:pPr>
            <w:r>
              <w:rPr>
                <w:rFonts w:hint="eastAsia" w:ascii="宋体" w:hAnsi="宋体"/>
                <w:kern w:val="0"/>
                <w:szCs w:val="21"/>
              </w:rPr>
              <w:t>在银行开户，线上申请，上传所需材料，等待审批，审批通过后可直接在手机银行提款。</w:t>
            </w:r>
          </w:p>
        </w:tc>
      </w:tr>
      <w:tr w14:paraId="6042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1AD24F94">
            <w:pPr>
              <w:snapToGrid w:val="0"/>
              <w:jc w:val="center"/>
              <w:rPr>
                <w:rFonts w:ascii="宋体" w:hAnsi="宋体"/>
                <w:kern w:val="0"/>
                <w:szCs w:val="21"/>
              </w:rPr>
            </w:pPr>
            <w:r>
              <w:rPr>
                <w:rFonts w:hint="eastAsia" w:ascii="宋体" w:hAnsi="宋体"/>
                <w:kern w:val="0"/>
                <w:szCs w:val="21"/>
              </w:rPr>
              <w:t>兴业银行</w:t>
            </w:r>
          </w:p>
        </w:tc>
        <w:tc>
          <w:tcPr>
            <w:tcW w:w="788" w:type="pct"/>
            <w:vAlign w:val="center"/>
          </w:tcPr>
          <w:p w14:paraId="1143B297">
            <w:pPr>
              <w:snapToGrid w:val="0"/>
              <w:jc w:val="center"/>
              <w:rPr>
                <w:rFonts w:ascii="宋体" w:hAnsi="宋体"/>
                <w:kern w:val="0"/>
                <w:szCs w:val="21"/>
              </w:rPr>
            </w:pPr>
            <w:r>
              <w:rPr>
                <w:rFonts w:hint="eastAsia" w:ascii="宋体" w:hAnsi="宋体"/>
                <w:kern w:val="0"/>
                <w:szCs w:val="21"/>
              </w:rPr>
              <w:t>0779-3158330</w:t>
            </w:r>
          </w:p>
        </w:tc>
        <w:tc>
          <w:tcPr>
            <w:tcW w:w="644" w:type="pct"/>
            <w:vAlign w:val="center"/>
          </w:tcPr>
          <w:p w14:paraId="6D270BD1">
            <w:pPr>
              <w:snapToGrid w:val="0"/>
              <w:jc w:val="center"/>
              <w:rPr>
                <w:rFonts w:ascii="宋体" w:hAnsi="宋体"/>
                <w:kern w:val="0"/>
                <w:szCs w:val="21"/>
              </w:rPr>
            </w:pPr>
            <w:r>
              <w:rPr>
                <w:rFonts w:hint="eastAsia" w:ascii="宋体" w:hAnsi="宋体"/>
                <w:kern w:val="0"/>
                <w:szCs w:val="21"/>
              </w:rPr>
              <w:t>最高1千万（单笔提款金额达合同金额70%）</w:t>
            </w:r>
          </w:p>
        </w:tc>
        <w:tc>
          <w:tcPr>
            <w:tcW w:w="666" w:type="pct"/>
            <w:vAlign w:val="center"/>
          </w:tcPr>
          <w:p w14:paraId="0DFD3D47">
            <w:pPr>
              <w:snapToGrid w:val="0"/>
              <w:jc w:val="center"/>
              <w:rPr>
                <w:rFonts w:ascii="宋体" w:hAnsi="宋体"/>
                <w:kern w:val="0"/>
                <w:szCs w:val="21"/>
              </w:rPr>
            </w:pPr>
            <w:r>
              <w:rPr>
                <w:rFonts w:hint="eastAsia" w:ascii="宋体" w:hAnsi="宋体"/>
                <w:kern w:val="0"/>
                <w:szCs w:val="21"/>
              </w:rPr>
              <w:t>1年</w:t>
            </w:r>
          </w:p>
        </w:tc>
        <w:tc>
          <w:tcPr>
            <w:tcW w:w="382" w:type="pct"/>
            <w:vAlign w:val="center"/>
          </w:tcPr>
          <w:p w14:paraId="47247315">
            <w:pPr>
              <w:snapToGrid w:val="0"/>
              <w:jc w:val="center"/>
              <w:rPr>
                <w:rFonts w:ascii="宋体" w:hAnsi="宋体"/>
                <w:kern w:val="0"/>
                <w:szCs w:val="21"/>
              </w:rPr>
            </w:pPr>
            <w:r>
              <w:rPr>
                <w:rFonts w:hint="eastAsia" w:ascii="宋体" w:hAnsi="宋体"/>
                <w:kern w:val="0"/>
                <w:szCs w:val="21"/>
              </w:rPr>
              <w:t>3.70%</w:t>
            </w:r>
          </w:p>
        </w:tc>
        <w:tc>
          <w:tcPr>
            <w:tcW w:w="1838" w:type="pct"/>
            <w:vAlign w:val="center"/>
          </w:tcPr>
          <w:p w14:paraId="5C5FBF80">
            <w:pPr>
              <w:snapToGrid w:val="0"/>
              <w:jc w:val="left"/>
              <w:rPr>
                <w:rFonts w:ascii="宋体" w:hAnsi="宋体"/>
                <w:kern w:val="0"/>
                <w:szCs w:val="21"/>
              </w:rPr>
            </w:pPr>
            <w:r>
              <w:rPr>
                <w:rFonts w:hint="eastAsia" w:ascii="宋体" w:hAnsi="宋体"/>
                <w:kern w:val="0"/>
                <w:szCs w:val="21"/>
              </w:rPr>
              <w:t>全流程线上，初次申请开立账户，提供营业执照、采购合同、信用材料等，申请复审，签订合同，提交单笔贷款使用需求，贷款到账后受托使用。</w:t>
            </w:r>
          </w:p>
        </w:tc>
      </w:tr>
      <w:tr w14:paraId="3190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6E818142">
            <w:pPr>
              <w:snapToGrid w:val="0"/>
              <w:jc w:val="center"/>
              <w:rPr>
                <w:rFonts w:ascii="宋体" w:hAnsi="宋体"/>
                <w:kern w:val="0"/>
                <w:szCs w:val="21"/>
              </w:rPr>
            </w:pPr>
            <w:r>
              <w:rPr>
                <w:rFonts w:hint="eastAsia" w:ascii="宋体" w:hAnsi="宋体"/>
                <w:kern w:val="0"/>
                <w:szCs w:val="21"/>
              </w:rPr>
              <w:t>工商银行</w:t>
            </w:r>
          </w:p>
        </w:tc>
        <w:tc>
          <w:tcPr>
            <w:tcW w:w="788" w:type="pct"/>
            <w:vAlign w:val="center"/>
          </w:tcPr>
          <w:p w14:paraId="7948B915">
            <w:pPr>
              <w:snapToGrid w:val="0"/>
              <w:jc w:val="center"/>
              <w:rPr>
                <w:rFonts w:ascii="宋体" w:hAnsi="宋体"/>
                <w:kern w:val="0"/>
                <w:szCs w:val="21"/>
              </w:rPr>
            </w:pPr>
            <w:r>
              <w:rPr>
                <w:rFonts w:hint="eastAsia" w:ascii="宋体" w:hAnsi="宋体"/>
                <w:kern w:val="0"/>
                <w:szCs w:val="21"/>
              </w:rPr>
              <w:t>0779-3050645</w:t>
            </w:r>
          </w:p>
        </w:tc>
        <w:tc>
          <w:tcPr>
            <w:tcW w:w="644" w:type="pct"/>
            <w:vAlign w:val="center"/>
          </w:tcPr>
          <w:p w14:paraId="75F1616C">
            <w:pPr>
              <w:snapToGrid w:val="0"/>
              <w:jc w:val="center"/>
              <w:rPr>
                <w:rFonts w:ascii="宋体" w:hAnsi="宋体"/>
                <w:kern w:val="0"/>
                <w:szCs w:val="21"/>
              </w:rPr>
            </w:pPr>
            <w:r>
              <w:rPr>
                <w:rFonts w:hint="eastAsia" w:ascii="宋体" w:hAnsi="宋体"/>
                <w:kern w:val="0"/>
                <w:szCs w:val="21"/>
              </w:rPr>
              <w:t>最高1千万且不超过合同金额70%</w:t>
            </w:r>
          </w:p>
        </w:tc>
        <w:tc>
          <w:tcPr>
            <w:tcW w:w="666" w:type="pct"/>
            <w:vAlign w:val="center"/>
          </w:tcPr>
          <w:p w14:paraId="483363BF">
            <w:pPr>
              <w:snapToGrid w:val="0"/>
              <w:jc w:val="center"/>
              <w:rPr>
                <w:rFonts w:ascii="宋体" w:hAnsi="宋体"/>
                <w:kern w:val="0"/>
                <w:szCs w:val="21"/>
              </w:rPr>
            </w:pPr>
            <w:r>
              <w:rPr>
                <w:rFonts w:hint="eastAsia" w:ascii="宋体" w:hAnsi="宋体"/>
                <w:kern w:val="0"/>
                <w:szCs w:val="21"/>
              </w:rPr>
              <w:t>货物类1年</w:t>
            </w:r>
          </w:p>
          <w:p w14:paraId="7686656F">
            <w:pPr>
              <w:snapToGrid w:val="0"/>
              <w:jc w:val="center"/>
              <w:rPr>
                <w:rFonts w:ascii="宋体" w:hAnsi="宋体"/>
                <w:kern w:val="0"/>
                <w:szCs w:val="21"/>
              </w:rPr>
            </w:pPr>
            <w:r>
              <w:rPr>
                <w:rFonts w:hint="eastAsia" w:ascii="宋体" w:hAnsi="宋体"/>
                <w:kern w:val="0"/>
                <w:szCs w:val="21"/>
              </w:rPr>
              <w:t>服务类3年</w:t>
            </w:r>
          </w:p>
          <w:p w14:paraId="1CEE455E">
            <w:pPr>
              <w:snapToGrid w:val="0"/>
              <w:jc w:val="center"/>
              <w:rPr>
                <w:rFonts w:ascii="宋体" w:hAnsi="宋体"/>
                <w:kern w:val="0"/>
                <w:szCs w:val="21"/>
              </w:rPr>
            </w:pPr>
            <w:r>
              <w:rPr>
                <w:rFonts w:hint="eastAsia" w:ascii="宋体" w:hAnsi="宋体"/>
                <w:kern w:val="0"/>
                <w:szCs w:val="21"/>
              </w:rPr>
              <w:t>工程类5年</w:t>
            </w:r>
          </w:p>
        </w:tc>
        <w:tc>
          <w:tcPr>
            <w:tcW w:w="382" w:type="pct"/>
            <w:vAlign w:val="center"/>
          </w:tcPr>
          <w:p w14:paraId="7BE7EC4E">
            <w:pPr>
              <w:snapToGrid w:val="0"/>
              <w:jc w:val="center"/>
              <w:rPr>
                <w:rFonts w:ascii="宋体" w:hAnsi="宋体"/>
                <w:kern w:val="0"/>
                <w:szCs w:val="21"/>
              </w:rPr>
            </w:pPr>
            <w:r>
              <w:rPr>
                <w:rFonts w:hint="eastAsia" w:ascii="宋体" w:hAnsi="宋体"/>
                <w:kern w:val="0"/>
                <w:szCs w:val="21"/>
              </w:rPr>
              <w:t>3.45%</w:t>
            </w:r>
          </w:p>
        </w:tc>
        <w:tc>
          <w:tcPr>
            <w:tcW w:w="1838" w:type="pct"/>
            <w:vAlign w:val="center"/>
          </w:tcPr>
          <w:p w14:paraId="0B615F48">
            <w:pPr>
              <w:snapToGrid w:val="0"/>
              <w:jc w:val="left"/>
              <w:rPr>
                <w:rFonts w:ascii="宋体" w:hAnsi="宋体"/>
                <w:kern w:val="0"/>
                <w:szCs w:val="21"/>
              </w:rPr>
            </w:pPr>
            <w:r>
              <w:rPr>
                <w:rFonts w:hint="eastAsia" w:ascii="宋体" w:hAnsi="宋体"/>
                <w:kern w:val="0"/>
                <w:szCs w:val="21"/>
              </w:rPr>
              <w:t>为中征系统白名单企业，提供相关要求材料，内部审批后放款自主借还。</w:t>
            </w:r>
          </w:p>
        </w:tc>
      </w:tr>
      <w:tr w14:paraId="79C2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20C13052">
            <w:pPr>
              <w:snapToGrid w:val="0"/>
              <w:jc w:val="center"/>
              <w:rPr>
                <w:rFonts w:ascii="宋体" w:hAnsi="宋体"/>
                <w:kern w:val="0"/>
                <w:szCs w:val="21"/>
              </w:rPr>
            </w:pPr>
            <w:r>
              <w:rPr>
                <w:rFonts w:hint="eastAsia" w:ascii="宋体" w:hAnsi="宋体"/>
                <w:kern w:val="0"/>
                <w:szCs w:val="21"/>
              </w:rPr>
              <w:t>国民村镇银行</w:t>
            </w:r>
          </w:p>
        </w:tc>
        <w:tc>
          <w:tcPr>
            <w:tcW w:w="788" w:type="pct"/>
            <w:vAlign w:val="center"/>
          </w:tcPr>
          <w:p w14:paraId="2E678A30">
            <w:pPr>
              <w:snapToGrid w:val="0"/>
              <w:jc w:val="center"/>
              <w:rPr>
                <w:rFonts w:ascii="宋体" w:hAnsi="宋体"/>
                <w:kern w:val="0"/>
                <w:szCs w:val="21"/>
              </w:rPr>
            </w:pPr>
            <w:r>
              <w:rPr>
                <w:rFonts w:hint="eastAsia" w:ascii="宋体" w:hAnsi="宋体"/>
                <w:kern w:val="0"/>
                <w:szCs w:val="21"/>
              </w:rPr>
              <w:t>0779-2668801</w:t>
            </w:r>
          </w:p>
        </w:tc>
        <w:tc>
          <w:tcPr>
            <w:tcW w:w="644" w:type="pct"/>
            <w:vAlign w:val="center"/>
          </w:tcPr>
          <w:p w14:paraId="552D2974">
            <w:pPr>
              <w:snapToGrid w:val="0"/>
              <w:jc w:val="center"/>
              <w:rPr>
                <w:rFonts w:ascii="宋体" w:hAnsi="宋体"/>
                <w:kern w:val="0"/>
                <w:szCs w:val="21"/>
              </w:rPr>
            </w:pPr>
            <w:r>
              <w:rPr>
                <w:rFonts w:hint="eastAsia" w:ascii="宋体" w:hAnsi="宋体"/>
                <w:kern w:val="0"/>
                <w:szCs w:val="21"/>
              </w:rPr>
              <w:t>最高500万</w:t>
            </w:r>
          </w:p>
        </w:tc>
        <w:tc>
          <w:tcPr>
            <w:tcW w:w="666" w:type="pct"/>
            <w:vAlign w:val="center"/>
          </w:tcPr>
          <w:p w14:paraId="409C3510">
            <w:pPr>
              <w:snapToGrid w:val="0"/>
              <w:jc w:val="center"/>
              <w:rPr>
                <w:rFonts w:ascii="宋体" w:hAnsi="宋体"/>
                <w:kern w:val="0"/>
                <w:szCs w:val="21"/>
              </w:rPr>
            </w:pPr>
            <w:r>
              <w:rPr>
                <w:rFonts w:hint="eastAsia" w:ascii="宋体" w:hAnsi="宋体"/>
                <w:kern w:val="0"/>
                <w:szCs w:val="21"/>
              </w:rPr>
              <w:t>5年</w:t>
            </w:r>
          </w:p>
        </w:tc>
        <w:tc>
          <w:tcPr>
            <w:tcW w:w="382" w:type="pct"/>
            <w:vAlign w:val="center"/>
          </w:tcPr>
          <w:p w14:paraId="43AC6C32">
            <w:pPr>
              <w:snapToGrid w:val="0"/>
              <w:jc w:val="center"/>
              <w:rPr>
                <w:rFonts w:ascii="宋体" w:hAnsi="宋体"/>
                <w:kern w:val="0"/>
                <w:szCs w:val="21"/>
              </w:rPr>
            </w:pPr>
            <w:r>
              <w:rPr>
                <w:rFonts w:hint="eastAsia" w:ascii="宋体" w:hAnsi="宋体"/>
                <w:kern w:val="0"/>
                <w:szCs w:val="21"/>
              </w:rPr>
              <w:t>2.80%</w:t>
            </w:r>
          </w:p>
        </w:tc>
        <w:tc>
          <w:tcPr>
            <w:tcW w:w="1838" w:type="pct"/>
            <w:vAlign w:val="center"/>
          </w:tcPr>
          <w:p w14:paraId="48BF9BA5">
            <w:pPr>
              <w:snapToGrid w:val="0"/>
              <w:jc w:val="left"/>
              <w:rPr>
                <w:rFonts w:ascii="宋体" w:hAnsi="宋体"/>
                <w:kern w:val="0"/>
                <w:szCs w:val="21"/>
              </w:rPr>
            </w:pPr>
            <w:r>
              <w:rPr>
                <w:rFonts w:hint="eastAsia" w:ascii="宋体" w:hAnsi="宋体"/>
                <w:kern w:val="0"/>
                <w:szCs w:val="21"/>
              </w:rPr>
              <w:t>银行开户，线下申请并提供材料，信用良好企业最快1天获批即可提款</w:t>
            </w:r>
          </w:p>
        </w:tc>
      </w:tr>
      <w:tr w14:paraId="642A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4651AF82">
            <w:pPr>
              <w:snapToGrid w:val="0"/>
              <w:jc w:val="center"/>
              <w:rPr>
                <w:rFonts w:ascii="宋体" w:hAnsi="宋体"/>
                <w:kern w:val="0"/>
                <w:szCs w:val="21"/>
              </w:rPr>
            </w:pPr>
            <w:r>
              <w:rPr>
                <w:rFonts w:hint="eastAsia" w:ascii="宋体" w:hAnsi="宋体"/>
                <w:kern w:val="0"/>
                <w:szCs w:val="21"/>
              </w:rPr>
              <w:t>桂林银行</w:t>
            </w:r>
          </w:p>
        </w:tc>
        <w:tc>
          <w:tcPr>
            <w:tcW w:w="788" w:type="pct"/>
            <w:vAlign w:val="center"/>
          </w:tcPr>
          <w:p w14:paraId="46C6DC60">
            <w:pPr>
              <w:snapToGrid w:val="0"/>
              <w:jc w:val="center"/>
              <w:rPr>
                <w:rFonts w:ascii="宋体" w:hAnsi="宋体"/>
                <w:kern w:val="0"/>
                <w:szCs w:val="21"/>
              </w:rPr>
            </w:pPr>
            <w:r>
              <w:rPr>
                <w:rFonts w:hint="eastAsia" w:ascii="宋体" w:hAnsi="宋体"/>
                <w:kern w:val="0"/>
                <w:szCs w:val="21"/>
              </w:rPr>
              <w:t>18577993959</w:t>
            </w:r>
          </w:p>
        </w:tc>
        <w:tc>
          <w:tcPr>
            <w:tcW w:w="644" w:type="pct"/>
            <w:vAlign w:val="center"/>
          </w:tcPr>
          <w:p w14:paraId="56013A05">
            <w:pPr>
              <w:snapToGrid w:val="0"/>
              <w:jc w:val="center"/>
              <w:rPr>
                <w:rFonts w:ascii="宋体" w:hAnsi="宋体"/>
                <w:kern w:val="0"/>
                <w:szCs w:val="21"/>
              </w:rPr>
            </w:pPr>
            <w:r>
              <w:rPr>
                <w:rFonts w:hint="eastAsia" w:ascii="宋体" w:hAnsi="宋体"/>
                <w:kern w:val="0"/>
                <w:szCs w:val="21"/>
              </w:rPr>
              <w:t>最高1千万</w:t>
            </w:r>
          </w:p>
        </w:tc>
        <w:tc>
          <w:tcPr>
            <w:tcW w:w="666" w:type="pct"/>
            <w:vAlign w:val="center"/>
          </w:tcPr>
          <w:p w14:paraId="081BC848">
            <w:pPr>
              <w:snapToGrid w:val="0"/>
              <w:jc w:val="center"/>
              <w:rPr>
                <w:rFonts w:ascii="宋体" w:hAnsi="宋体"/>
                <w:kern w:val="0"/>
                <w:szCs w:val="21"/>
              </w:rPr>
            </w:pPr>
            <w:r>
              <w:rPr>
                <w:rFonts w:hint="eastAsia" w:ascii="宋体" w:hAnsi="宋体"/>
                <w:kern w:val="0"/>
                <w:szCs w:val="21"/>
              </w:rPr>
              <w:t>1年</w:t>
            </w:r>
          </w:p>
        </w:tc>
        <w:tc>
          <w:tcPr>
            <w:tcW w:w="382" w:type="pct"/>
            <w:vAlign w:val="center"/>
          </w:tcPr>
          <w:p w14:paraId="2CDF2C4D">
            <w:pPr>
              <w:snapToGrid w:val="0"/>
              <w:jc w:val="center"/>
              <w:rPr>
                <w:rFonts w:ascii="宋体" w:hAnsi="宋体"/>
                <w:kern w:val="0"/>
                <w:szCs w:val="21"/>
              </w:rPr>
            </w:pPr>
            <w:r>
              <w:rPr>
                <w:rFonts w:hint="eastAsia" w:ascii="宋体" w:hAnsi="宋体"/>
                <w:kern w:val="0"/>
                <w:szCs w:val="21"/>
              </w:rPr>
              <w:t>3.45%</w:t>
            </w:r>
          </w:p>
        </w:tc>
        <w:tc>
          <w:tcPr>
            <w:tcW w:w="1838" w:type="pct"/>
            <w:vAlign w:val="center"/>
          </w:tcPr>
          <w:p w14:paraId="08B35E04">
            <w:pPr>
              <w:snapToGrid w:val="0"/>
              <w:jc w:val="left"/>
              <w:rPr>
                <w:rFonts w:ascii="宋体" w:hAnsi="宋体"/>
                <w:kern w:val="0"/>
                <w:szCs w:val="21"/>
              </w:rPr>
            </w:pPr>
            <w:r>
              <w:rPr>
                <w:rFonts w:hint="eastAsia" w:ascii="宋体" w:hAnsi="宋体"/>
                <w:kern w:val="0"/>
                <w:szCs w:val="21"/>
              </w:rPr>
              <w:t>线下申请，材料齐全最快1周内即可放款。</w:t>
            </w:r>
          </w:p>
        </w:tc>
      </w:tr>
      <w:tr w14:paraId="764B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pct"/>
            <w:vAlign w:val="center"/>
          </w:tcPr>
          <w:p w14:paraId="4DFD69CF">
            <w:pPr>
              <w:snapToGrid w:val="0"/>
              <w:jc w:val="center"/>
              <w:rPr>
                <w:rFonts w:ascii="宋体" w:hAnsi="宋体"/>
                <w:kern w:val="0"/>
                <w:szCs w:val="21"/>
              </w:rPr>
            </w:pPr>
            <w:r>
              <w:rPr>
                <w:rFonts w:hint="eastAsia" w:ascii="宋体" w:hAnsi="宋体"/>
                <w:kern w:val="0"/>
                <w:szCs w:val="21"/>
              </w:rPr>
              <w:t>中小微商务服务公司</w:t>
            </w:r>
          </w:p>
        </w:tc>
        <w:tc>
          <w:tcPr>
            <w:tcW w:w="788" w:type="pct"/>
            <w:vAlign w:val="center"/>
          </w:tcPr>
          <w:p w14:paraId="0DD115CD">
            <w:pPr>
              <w:snapToGrid w:val="0"/>
              <w:jc w:val="center"/>
              <w:rPr>
                <w:rFonts w:ascii="宋体" w:hAnsi="宋体"/>
                <w:kern w:val="0"/>
                <w:szCs w:val="21"/>
              </w:rPr>
            </w:pPr>
            <w:r>
              <w:rPr>
                <w:rFonts w:hint="eastAsia" w:ascii="宋体" w:hAnsi="宋体"/>
                <w:kern w:val="0"/>
                <w:szCs w:val="21"/>
              </w:rPr>
              <w:t>19907799988</w:t>
            </w:r>
          </w:p>
        </w:tc>
        <w:tc>
          <w:tcPr>
            <w:tcW w:w="644" w:type="pct"/>
            <w:vAlign w:val="center"/>
          </w:tcPr>
          <w:p w14:paraId="293E06A8">
            <w:pPr>
              <w:snapToGrid w:val="0"/>
              <w:jc w:val="left"/>
              <w:rPr>
                <w:rFonts w:ascii="宋体" w:hAnsi="宋体"/>
                <w:kern w:val="0"/>
                <w:szCs w:val="21"/>
              </w:rPr>
            </w:pPr>
          </w:p>
        </w:tc>
        <w:tc>
          <w:tcPr>
            <w:tcW w:w="666" w:type="pct"/>
            <w:vAlign w:val="center"/>
          </w:tcPr>
          <w:p w14:paraId="4B9222D0">
            <w:pPr>
              <w:snapToGrid w:val="0"/>
              <w:jc w:val="center"/>
              <w:rPr>
                <w:rFonts w:ascii="宋体" w:hAnsi="宋体"/>
                <w:kern w:val="0"/>
                <w:szCs w:val="21"/>
              </w:rPr>
            </w:pPr>
          </w:p>
        </w:tc>
        <w:tc>
          <w:tcPr>
            <w:tcW w:w="382" w:type="pct"/>
            <w:vAlign w:val="center"/>
          </w:tcPr>
          <w:p w14:paraId="404E5FDA">
            <w:pPr>
              <w:snapToGrid w:val="0"/>
              <w:jc w:val="center"/>
              <w:rPr>
                <w:rFonts w:ascii="宋体" w:hAnsi="宋体"/>
                <w:kern w:val="0"/>
                <w:szCs w:val="21"/>
              </w:rPr>
            </w:pPr>
          </w:p>
        </w:tc>
        <w:tc>
          <w:tcPr>
            <w:tcW w:w="1838" w:type="pct"/>
            <w:vAlign w:val="center"/>
          </w:tcPr>
          <w:p w14:paraId="19C00351">
            <w:pPr>
              <w:snapToGrid w:val="0"/>
              <w:jc w:val="left"/>
              <w:rPr>
                <w:rFonts w:ascii="宋体" w:hAnsi="宋体"/>
                <w:kern w:val="0"/>
                <w:szCs w:val="21"/>
              </w:rPr>
            </w:pPr>
            <w:r>
              <w:rPr>
                <w:rFonts w:hint="eastAsia" w:ascii="宋体" w:hAnsi="宋体"/>
                <w:kern w:val="0"/>
                <w:szCs w:val="21"/>
              </w:rPr>
              <w:t>具体业务可电话咨询。</w:t>
            </w:r>
          </w:p>
        </w:tc>
      </w:tr>
    </w:tbl>
    <w:p w14:paraId="5BEC71D4">
      <w:pPr>
        <w:pStyle w:val="633"/>
        <w:rPr>
          <w:sz w:val="21"/>
          <w:szCs w:val="21"/>
        </w:rPr>
      </w:pPr>
      <w:r>
        <w:rPr>
          <w:rFonts w:hint="eastAsia"/>
          <w:sz w:val="21"/>
          <w:szCs w:val="21"/>
        </w:rPr>
        <w:t>注：表中联系电话、授信金额、授信期限、最低利率等信息可能动态更新，仅供参考，具体以办理时相关银行公布的为准。</w:t>
      </w:r>
    </w:p>
    <w:p w14:paraId="18D7AF27">
      <w:pPr>
        <w:tabs>
          <w:tab w:val="left" w:pos="0"/>
        </w:tabs>
        <w:spacing w:line="360" w:lineRule="auto"/>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3．履约保证金</w:t>
      </w:r>
    </w:p>
    <w:p w14:paraId="25673C8B">
      <w:pPr>
        <w:tabs>
          <w:tab w:val="left" w:pos="0"/>
        </w:tabs>
        <w:spacing w:line="360" w:lineRule="auto"/>
        <w:ind w:firstLine="482"/>
        <w:rPr>
          <w:rFonts w:ascii="宋体" w:hAnsi="宋体" w:cs="宋体"/>
          <w:szCs w:val="21"/>
          <w:highlight w:val="none"/>
        </w:rPr>
      </w:pPr>
      <w:r>
        <w:rPr>
          <w:rFonts w:hint="eastAsia" w:ascii="宋体" w:hAnsi="宋体" w:cs="宋体"/>
          <w:kern w:val="0"/>
          <w:szCs w:val="21"/>
          <w:highlight w:val="none"/>
        </w:rPr>
        <w:t>3.1拟签订的合同文本要求成交供应商提交履约保证金的，供应商应当以支票、汇票、本票或者金融机构、担保机构出具的保函等非现金形式提交</w:t>
      </w:r>
      <w:r>
        <w:rPr>
          <w:rFonts w:hint="eastAsia" w:ascii="宋体" w:hAnsi="宋体" w:cs="宋体"/>
          <w:szCs w:val="21"/>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kern w:val="0"/>
          <w:szCs w:val="21"/>
          <w:highlight w:val="none"/>
        </w:rPr>
        <w:t>成交</w:t>
      </w:r>
      <w:r>
        <w:rPr>
          <w:rFonts w:hint="eastAsia" w:ascii="宋体" w:hAnsi="宋体" w:cs="宋体"/>
          <w:szCs w:val="21"/>
          <w:highlight w:val="none"/>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Cs w:val="21"/>
          <w:highlight w:val="none"/>
        </w:rPr>
        <w:t>延迟退还的，应当按照合同约定和法律规定承担相应的赔偿责任</w:t>
      </w:r>
      <w:r>
        <w:rPr>
          <w:rFonts w:hint="eastAsia" w:ascii="宋体" w:hAnsi="宋体" w:cs="宋体"/>
          <w:szCs w:val="21"/>
          <w:highlight w:val="none"/>
        </w:rPr>
        <w:t>。</w:t>
      </w:r>
    </w:p>
    <w:p w14:paraId="048A5E04">
      <w:pPr>
        <w:pStyle w:val="633"/>
        <w:ind w:firstLine="420" w:firstLineChars="200"/>
        <w:rPr>
          <w:rFonts w:cs="宋体"/>
          <w:kern w:val="2"/>
          <w:sz w:val="21"/>
          <w:szCs w:val="21"/>
          <w:highlight w:val="none"/>
        </w:rPr>
      </w:pPr>
      <w:r>
        <w:rPr>
          <w:rFonts w:hint="eastAsia" w:cs="宋体"/>
          <w:sz w:val="21"/>
          <w:szCs w:val="21"/>
          <w:highlight w:val="none"/>
        </w:rPr>
        <w:t>履约保证金</w:t>
      </w:r>
      <w:r>
        <w:rPr>
          <w:rFonts w:hint="eastAsia" w:cs="宋体"/>
          <w:kern w:val="2"/>
          <w:sz w:val="21"/>
          <w:szCs w:val="21"/>
          <w:highlight w:val="none"/>
        </w:rPr>
        <w:t>收取银行账户</w:t>
      </w:r>
    </w:p>
    <w:p w14:paraId="4B4577CD">
      <w:pPr>
        <w:pStyle w:val="633"/>
        <w:ind w:firstLine="420" w:firstLineChars="200"/>
        <w:rPr>
          <w:rFonts w:cs="宋体"/>
          <w:kern w:val="2"/>
          <w:sz w:val="21"/>
          <w:szCs w:val="21"/>
          <w:highlight w:val="none"/>
        </w:rPr>
      </w:pPr>
      <w:r>
        <w:rPr>
          <w:rFonts w:hint="eastAsia" w:cs="宋体"/>
          <w:kern w:val="2"/>
          <w:sz w:val="21"/>
          <w:szCs w:val="21"/>
          <w:highlight w:val="none"/>
        </w:rPr>
        <w:t xml:space="preserve">开户名称： </w:t>
      </w:r>
    </w:p>
    <w:p w14:paraId="4311BDBA">
      <w:pPr>
        <w:pStyle w:val="633"/>
        <w:ind w:firstLine="420" w:firstLineChars="200"/>
        <w:rPr>
          <w:rFonts w:cs="宋体"/>
          <w:kern w:val="2"/>
          <w:sz w:val="21"/>
          <w:szCs w:val="21"/>
          <w:highlight w:val="none"/>
        </w:rPr>
      </w:pPr>
      <w:r>
        <w:rPr>
          <w:rFonts w:hint="eastAsia" w:cs="宋体"/>
          <w:kern w:val="2"/>
          <w:sz w:val="21"/>
          <w:szCs w:val="21"/>
          <w:highlight w:val="none"/>
        </w:rPr>
        <w:t xml:space="preserve">开户银行： </w:t>
      </w:r>
    </w:p>
    <w:p w14:paraId="1AA862A3">
      <w:pPr>
        <w:pStyle w:val="633"/>
        <w:ind w:firstLine="420" w:firstLineChars="200"/>
        <w:rPr>
          <w:rFonts w:cs="宋体"/>
          <w:kern w:val="2"/>
          <w:sz w:val="21"/>
          <w:szCs w:val="21"/>
          <w:highlight w:val="none"/>
        </w:rPr>
      </w:pPr>
      <w:r>
        <w:rPr>
          <w:rFonts w:hint="eastAsia" w:cs="宋体"/>
          <w:kern w:val="2"/>
          <w:sz w:val="21"/>
          <w:szCs w:val="21"/>
          <w:highlight w:val="none"/>
        </w:rPr>
        <w:t>银行账号：</w:t>
      </w:r>
    </w:p>
    <w:p w14:paraId="48DCC76E">
      <w:pPr>
        <w:pStyle w:val="633"/>
        <w:ind w:firstLine="420" w:firstLineChars="200"/>
        <w:rPr>
          <w:snapToGrid w:val="0"/>
          <w:sz w:val="21"/>
          <w:szCs w:val="21"/>
          <w:highlight w:val="none"/>
        </w:rPr>
      </w:pPr>
      <w:r>
        <w:rPr>
          <w:rFonts w:hint="eastAsia"/>
          <w:snapToGrid w:val="0"/>
          <w:sz w:val="21"/>
          <w:szCs w:val="21"/>
          <w:highlight w:val="none"/>
        </w:rPr>
        <w:t>3.2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58DB93FC">
      <w:pPr>
        <w:pStyle w:val="633"/>
        <w:rPr>
          <w:sz w:val="21"/>
          <w:szCs w:val="21"/>
          <w:highlight w:val="none"/>
        </w:rPr>
      </w:pPr>
      <w:r>
        <w:rPr>
          <w:rFonts w:hint="eastAsia"/>
          <w:sz w:val="21"/>
          <w:szCs w:val="21"/>
          <w:highlight w:val="none"/>
        </w:rPr>
        <w:t>3.3履约保证金的退还。验收合格的政府采购项目，采购人应当按照合同约定的退还方式，在5个工作日内办理履约保证金退还手续。</w:t>
      </w:r>
    </w:p>
    <w:p w14:paraId="7AC92042">
      <w:pPr>
        <w:pStyle w:val="633"/>
        <w:rPr>
          <w:b/>
          <w:bCs/>
          <w:sz w:val="21"/>
          <w:szCs w:val="21"/>
        </w:rPr>
      </w:pPr>
      <w:r>
        <w:rPr>
          <w:rFonts w:hint="eastAsia"/>
          <w:b/>
          <w:bCs/>
          <w:sz w:val="21"/>
          <w:szCs w:val="21"/>
        </w:rPr>
        <w:t>3.4本项目不收取履约保证金。</w:t>
      </w:r>
    </w:p>
    <w:p w14:paraId="10E76B88">
      <w:pPr>
        <w:pStyle w:val="633"/>
        <w:rPr>
          <w:sz w:val="21"/>
          <w:szCs w:val="21"/>
        </w:rPr>
      </w:pPr>
      <w:r>
        <w:rPr>
          <w:sz w:val="21"/>
          <w:szCs w:val="21"/>
        </w:rPr>
        <w:t>4.</w:t>
      </w:r>
      <w:r>
        <w:rPr>
          <w:rFonts w:hint="eastAsia"/>
          <w:sz w:val="21"/>
          <w:szCs w:val="21"/>
        </w:rPr>
        <w:t>预付款</w:t>
      </w:r>
    </w:p>
    <w:p w14:paraId="1914F515">
      <w:pPr>
        <w:adjustRightInd/>
        <w:spacing w:line="360" w:lineRule="auto"/>
        <w:ind w:firstLine="420" w:firstLineChars="200"/>
        <w:rPr>
          <w:rFonts w:ascii="宋体" w:hAnsi="宋体"/>
          <w:szCs w:val="21"/>
        </w:rPr>
      </w:pPr>
      <w:r>
        <w:rPr>
          <w:rFonts w:hint="eastAsia" w:ascii="宋体" w:hAnsi="宋体"/>
          <w:szCs w:val="21"/>
        </w:rPr>
        <w:t>采购单位应当在政府采购合同中约定预付款，对中小企业合同预付款比例原则上不低于合同金额的3</w:t>
      </w:r>
      <w:r>
        <w:rPr>
          <w:rFonts w:ascii="宋体" w:hAnsi="宋体"/>
          <w:szCs w:val="21"/>
        </w:rPr>
        <w:t>0％</w:t>
      </w:r>
      <w:r>
        <w:rPr>
          <w:rFonts w:hint="eastAsia" w:ascii="宋体" w:hAnsi="宋体"/>
          <w:szCs w:val="21"/>
        </w:rPr>
        <w:t>，不高于合同金额的5</w:t>
      </w:r>
      <w:r>
        <w:rPr>
          <w:rFonts w:ascii="宋体" w:hAnsi="宋体"/>
          <w:szCs w:val="21"/>
        </w:rPr>
        <w:t>0%；项目分年安排预算的，每年预付款比例</w:t>
      </w:r>
      <w:r>
        <w:rPr>
          <w:rFonts w:hint="eastAsia" w:ascii="宋体" w:hAnsi="宋体"/>
          <w:szCs w:val="21"/>
        </w:rPr>
        <w:t>不低于</w:t>
      </w:r>
      <w:r>
        <w:rPr>
          <w:rFonts w:ascii="宋体" w:hAnsi="宋体"/>
          <w:szCs w:val="21"/>
        </w:rPr>
        <w:t>项目年度计划支付资金额的</w:t>
      </w:r>
      <w:r>
        <w:rPr>
          <w:rFonts w:hint="eastAsia" w:ascii="宋体" w:hAnsi="宋体"/>
          <w:szCs w:val="21"/>
        </w:rPr>
        <w:t>3</w:t>
      </w:r>
      <w:r>
        <w:rPr>
          <w:rFonts w:ascii="宋体" w:hAnsi="宋体"/>
          <w:szCs w:val="21"/>
        </w:rPr>
        <w:t>0％</w:t>
      </w:r>
      <w:r>
        <w:rPr>
          <w:rFonts w:hint="eastAsia" w:ascii="宋体" w:hAnsi="宋体"/>
          <w:szCs w:val="21"/>
        </w:rPr>
        <w:t>，不高于合同金额的5</w:t>
      </w:r>
      <w:r>
        <w:rPr>
          <w:rFonts w:ascii="宋体" w:hAnsi="宋体"/>
          <w:szCs w:val="21"/>
        </w:rPr>
        <w:t>0%；采购项目实施以人工投入为主的，</w:t>
      </w:r>
      <w:r>
        <w:rPr>
          <w:rFonts w:hint="eastAsia" w:ascii="宋体" w:hAnsi="宋体"/>
          <w:szCs w:val="21"/>
        </w:rPr>
        <w:t>可适当降低预付款比例，但不得低于1</w:t>
      </w:r>
      <w:r>
        <w:rPr>
          <w:rFonts w:ascii="宋体" w:hAnsi="宋体"/>
          <w:szCs w:val="21"/>
        </w:rPr>
        <w:t>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5</w:t>
      </w:r>
      <w:r>
        <w:rPr>
          <w:rFonts w:ascii="宋体" w:hAnsi="宋体"/>
          <w:szCs w:val="21"/>
        </w:rPr>
        <w:t>个工作日内支付。</w:t>
      </w:r>
      <w:r>
        <w:rPr>
          <w:rFonts w:hint="eastAsia" w:ascii="宋体" w:hAnsi="宋体"/>
          <w:szCs w:val="21"/>
        </w:rPr>
        <w:t>政府采购工程以及与工程建设有关的货物、服务，采用招标方式采购的，预付款从其相关规定。</w:t>
      </w:r>
    </w:p>
    <w:p w14:paraId="540AF4B4">
      <w:pPr>
        <w:tabs>
          <w:tab w:val="left" w:pos="0"/>
        </w:tabs>
        <w:spacing w:line="360" w:lineRule="auto"/>
        <w:ind w:firstLine="420" w:firstLineChars="200"/>
        <w:rPr>
          <w:rFonts w:cs="宋体" w:asciiTheme="minorEastAsia" w:hAnsiTheme="minorEastAsia" w:eastAsiaTheme="minorEastAsia"/>
          <w:snapToGrid w:val="0"/>
          <w:kern w:val="28"/>
          <w:szCs w:val="21"/>
        </w:rPr>
      </w:pPr>
      <w:r>
        <w:rPr>
          <w:rFonts w:hint="eastAsia" w:ascii="宋体" w:hAnsi="宋体"/>
          <w:szCs w:val="21"/>
        </w:rPr>
        <w:t>供应商可登录广西政府采购云平台前台大厅选择金融服务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/保函受理—确认保单—支付保费—成功出单。广西政府采购云平台</w:t>
      </w:r>
      <w:r>
        <w:rPr>
          <w:rFonts w:hint="eastAsia" w:ascii="宋体" w:hAnsi="宋体"/>
          <w:szCs w:val="21"/>
        </w:rPr>
        <w:t>金融专线</w:t>
      </w:r>
      <w:r>
        <w:rPr>
          <w:rFonts w:ascii="宋体" w:hAnsi="宋体"/>
          <w:szCs w:val="21"/>
        </w:rPr>
        <w:t>400-903-9583。</w:t>
      </w:r>
    </w:p>
    <w:p w14:paraId="435A8192">
      <w:pPr>
        <w:snapToGrid w:val="0"/>
        <w:spacing w:line="360" w:lineRule="auto"/>
        <w:jc w:val="center"/>
        <w:rPr>
          <w:rFonts w:cs="仿宋_GB2312" w:asciiTheme="minorEastAsia" w:hAnsiTheme="minorEastAsia" w:eastAsiaTheme="minorEastAsia"/>
          <w:b/>
          <w:szCs w:val="21"/>
        </w:rPr>
      </w:pPr>
    </w:p>
    <w:p w14:paraId="02299243">
      <w:pPr>
        <w:snapToGrid w:val="0"/>
        <w:spacing w:line="360" w:lineRule="auto"/>
        <w:jc w:val="center"/>
        <w:outlineLvl w:val="1"/>
        <w:rPr>
          <w:rFonts w:cs="仿宋_GB2312" w:asciiTheme="minorEastAsia" w:hAnsiTheme="minorEastAsia" w:eastAsiaTheme="minorEastAsia"/>
          <w:b/>
          <w:szCs w:val="21"/>
        </w:rPr>
      </w:pPr>
      <w:bookmarkStart w:id="58" w:name="_Toc2109"/>
      <w:r>
        <w:rPr>
          <w:rFonts w:hint="eastAsia" w:cs="仿宋_GB2312" w:asciiTheme="minorEastAsia" w:hAnsiTheme="minorEastAsia" w:eastAsiaTheme="minorEastAsia"/>
          <w:b/>
          <w:sz w:val="32"/>
          <w:szCs w:val="32"/>
        </w:rPr>
        <w:t>十三、验收</w:t>
      </w:r>
      <w:bookmarkEnd w:id="58"/>
    </w:p>
    <w:p w14:paraId="0FDCCE1D">
      <w:pPr>
        <w:pStyle w:val="23"/>
        <w:spacing w:line="360" w:lineRule="auto"/>
        <w:ind w:firstLine="0" w:firstLineChars="0"/>
        <w:rPr>
          <w:rFonts w:asciiTheme="minorEastAsia" w:hAnsiTheme="minorEastAsia" w:eastAsiaTheme="minorEastAsia"/>
          <w:b/>
          <w:sz w:val="21"/>
          <w:szCs w:val="21"/>
        </w:rPr>
      </w:pPr>
      <w:r>
        <w:rPr>
          <w:rFonts w:hint="eastAsia" w:asciiTheme="minorEastAsia" w:hAnsiTheme="minorEastAsia" w:eastAsiaTheme="minorEastAsia"/>
          <w:b/>
          <w:sz w:val="21"/>
          <w:szCs w:val="21"/>
        </w:rPr>
        <w:t>1.验收</w:t>
      </w:r>
    </w:p>
    <w:p w14:paraId="24DBE3BD">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BC92CB">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1.2采购人可以邀请参加本项目的其他供应商或者第三方机构参与验收。参与验收的供应商或者第三方机构的意见作为验收书的参考资料一并存档。</w:t>
      </w:r>
    </w:p>
    <w:p w14:paraId="37583403">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D02EC1">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9E8FE2">
      <w:pPr>
        <w:snapToGrid w:val="0"/>
        <w:spacing w:line="360" w:lineRule="auto"/>
        <w:jc w:val="center"/>
        <w:outlineLvl w:val="1"/>
        <w:rPr>
          <w:rFonts w:asciiTheme="minorEastAsia" w:hAnsiTheme="minorEastAsia" w:eastAsiaTheme="minorEastAsia"/>
          <w:b/>
          <w:sz w:val="32"/>
          <w:szCs w:val="32"/>
        </w:rPr>
      </w:pPr>
      <w:bookmarkStart w:id="59" w:name="_Toc27133"/>
      <w:r>
        <w:rPr>
          <w:rFonts w:hint="eastAsia" w:cs="仿宋_GB2312" w:asciiTheme="minorEastAsia" w:hAnsiTheme="minorEastAsia" w:eastAsiaTheme="minorEastAsia"/>
          <w:b/>
          <w:sz w:val="32"/>
          <w:szCs w:val="32"/>
        </w:rPr>
        <w:t>十四、电子交易活动的中止</w:t>
      </w:r>
      <w:bookmarkEnd w:id="59"/>
    </w:p>
    <w:p w14:paraId="4C02AEE9">
      <w:pPr>
        <w:tabs>
          <w:tab w:val="left" w:pos="0"/>
        </w:tabs>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 电子交易活动的中止</w:t>
      </w:r>
    </w:p>
    <w:p w14:paraId="1DFD0A5F">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采购过程中出现以下情形，导致电子交易平台无法正常运行，或者无法保证电子交易的公平、公正和安全时，采购代理机构可中止电子交易活动：</w:t>
      </w:r>
    </w:p>
    <w:p w14:paraId="0F839D4E">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1.1电子交易平台发生故障而无法登录访问的； </w:t>
      </w:r>
    </w:p>
    <w:p w14:paraId="4736750E">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1.2电子交易平台应用或数据库出现错误，不能进行正常操作的；</w:t>
      </w:r>
    </w:p>
    <w:p w14:paraId="0F356B03">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1.3电子交易平台发现严重安全漏洞，有潜在泄密危险的；</w:t>
      </w:r>
    </w:p>
    <w:p w14:paraId="0F570C2A">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 xml:space="preserve">1.4病毒发作导致不能进行正常操作的； </w:t>
      </w:r>
    </w:p>
    <w:p w14:paraId="197A51F8">
      <w:pPr>
        <w:tabs>
          <w:tab w:val="left" w:pos="0"/>
        </w:tabs>
        <w:spacing w:line="360" w:lineRule="auto"/>
        <w:ind w:firstLine="480"/>
        <w:rPr>
          <w:rFonts w:cs="Helvetica" w:asciiTheme="minorEastAsia" w:hAnsiTheme="minorEastAsia" w:eastAsiaTheme="minorEastAsia"/>
          <w:kern w:val="0"/>
          <w:szCs w:val="21"/>
        </w:rPr>
      </w:pPr>
      <w:r>
        <w:rPr>
          <w:rFonts w:hint="eastAsia" w:cs="Helvetica" w:asciiTheme="minorEastAsia" w:hAnsiTheme="minorEastAsia" w:eastAsiaTheme="minorEastAsia"/>
          <w:kern w:val="0"/>
          <w:szCs w:val="21"/>
        </w:rPr>
        <w:t>1.5其他无法保证电子交易的公平、公正和安全的情况。</w:t>
      </w:r>
    </w:p>
    <w:p w14:paraId="04A75F1B">
      <w:pPr>
        <w:tabs>
          <w:tab w:val="left" w:pos="0"/>
        </w:tabs>
        <w:spacing w:line="360" w:lineRule="auto"/>
        <w:rPr>
          <w:rFonts w:cs="Helvetica" w:asciiTheme="minorEastAsia" w:hAnsiTheme="minorEastAsia" w:eastAsiaTheme="minorEastAsia"/>
          <w:kern w:val="0"/>
          <w:szCs w:val="21"/>
        </w:rPr>
      </w:pPr>
      <w:r>
        <w:rPr>
          <w:rFonts w:hint="eastAsia" w:cs="Helvetica" w:asciiTheme="minorEastAsia" w:hAnsiTheme="minorEastAsia" w:eastAsiaTheme="minorEastAsia"/>
          <w:b/>
          <w:kern w:val="0"/>
          <w:szCs w:val="21"/>
        </w:rPr>
        <w:t>2.</w:t>
      </w:r>
      <w:r>
        <w:rPr>
          <w:rFonts w:hint="eastAsia" w:cs="Helvetica" w:asciiTheme="minorEastAsia" w:hAnsiTheme="minorEastAsia" w:eastAsiaTheme="minorEastAsia"/>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60" w:name="_Hlt74730295"/>
      <w:bookmarkEnd w:id="60"/>
      <w:bookmarkStart w:id="61" w:name="_Hlt75236011"/>
      <w:bookmarkEnd w:id="61"/>
      <w:bookmarkStart w:id="62" w:name="_Hlt75236101"/>
      <w:bookmarkEnd w:id="62"/>
      <w:bookmarkStart w:id="63" w:name="_Hlt75236290"/>
      <w:bookmarkEnd w:id="63"/>
      <w:bookmarkStart w:id="64" w:name="_Hlt74729768"/>
      <w:bookmarkEnd w:id="64"/>
      <w:bookmarkStart w:id="65" w:name="_Hlt74707468"/>
      <w:bookmarkEnd w:id="65"/>
      <w:bookmarkStart w:id="66" w:name="_Hlt74714665"/>
      <w:bookmarkEnd w:id="66"/>
      <w:bookmarkStart w:id="67" w:name="_Hlt68072990"/>
      <w:bookmarkEnd w:id="67"/>
      <w:bookmarkStart w:id="68" w:name="_Hlt68057669"/>
      <w:bookmarkEnd w:id="68"/>
      <w:bookmarkStart w:id="69" w:name="第三部分"/>
      <w:bookmarkStart w:id="70" w:name="_Toc164416483"/>
    </w:p>
    <w:p w14:paraId="23F83147">
      <w:pPr>
        <w:snapToGrid w:val="0"/>
        <w:spacing w:line="360" w:lineRule="auto"/>
        <w:ind w:left="120" w:leftChars="57" w:firstLine="482" w:firstLineChars="150"/>
        <w:jc w:val="center"/>
        <w:outlineLvl w:val="1"/>
        <w:rPr>
          <w:rFonts w:ascii="宋体" w:hAnsi="宋体" w:cs="宋体"/>
          <w:b/>
          <w:szCs w:val="21"/>
        </w:rPr>
      </w:pPr>
      <w:bookmarkStart w:id="71" w:name="_Toc7714"/>
      <w:r>
        <w:rPr>
          <w:rFonts w:hint="eastAsia" w:ascii="宋体" w:hAnsi="宋体" w:cs="宋体"/>
          <w:b/>
          <w:sz w:val="32"/>
          <w:szCs w:val="32"/>
        </w:rPr>
        <w:t>十五、代理费用的收取标准和方式</w:t>
      </w:r>
      <w:bookmarkEnd w:id="71"/>
    </w:p>
    <w:p w14:paraId="0387398D">
      <w:pPr>
        <w:pStyle w:val="23"/>
        <w:spacing w:line="360" w:lineRule="auto"/>
        <w:ind w:firstLine="0" w:firstLineChars="0"/>
        <w:rPr>
          <w:rFonts w:cs="宋体"/>
          <w:b/>
          <w:sz w:val="21"/>
          <w:szCs w:val="21"/>
        </w:rPr>
      </w:pPr>
      <w:r>
        <w:rPr>
          <w:rFonts w:hint="eastAsia" w:cs="宋体"/>
          <w:b/>
          <w:sz w:val="21"/>
          <w:szCs w:val="21"/>
        </w:rPr>
        <w:t>1.代理费用的收取标准和方式（适用于有权收取代理费用的采购代理机构）</w:t>
      </w:r>
    </w:p>
    <w:p w14:paraId="75B79802">
      <w:pPr>
        <w:pStyle w:val="633"/>
        <w:ind w:firstLine="420" w:firstLineChars="200"/>
        <w:rPr>
          <w:rFonts w:cs="宋体"/>
          <w:kern w:val="2"/>
          <w:sz w:val="21"/>
          <w:szCs w:val="21"/>
        </w:rPr>
      </w:pPr>
      <w:r>
        <w:rPr>
          <w:rFonts w:hint="eastAsia" w:cs="宋体"/>
          <w:kern w:val="2"/>
          <w:sz w:val="21"/>
          <w:szCs w:val="21"/>
        </w:rPr>
        <w:t>1.1采购代理费支付方式：</w:t>
      </w:r>
    </w:p>
    <w:p w14:paraId="1F4F7100">
      <w:pPr>
        <w:pStyle w:val="633"/>
        <w:ind w:firstLine="420" w:firstLineChars="200"/>
        <w:rPr>
          <w:rFonts w:cs="宋体"/>
          <w:kern w:val="2"/>
          <w:sz w:val="21"/>
          <w:szCs w:val="21"/>
        </w:rPr>
      </w:pPr>
      <w:r>
        <w:rPr>
          <w:rFonts w:hint="eastAsia" w:ascii="MS Mincho" w:hAnsi="MS Mincho" w:eastAsia="MS Mincho" w:cs="宋体"/>
          <w:kern w:val="2"/>
          <w:sz w:val="21"/>
          <w:szCs w:val="21"/>
        </w:rPr>
        <w:t>☑</w:t>
      </w:r>
      <w:r>
        <w:rPr>
          <w:rFonts w:hint="eastAsia" w:cs="宋体"/>
          <w:kern w:val="2"/>
          <w:sz w:val="21"/>
          <w:szCs w:val="21"/>
        </w:rPr>
        <w:t>本项目代理服务费由成交供应商一次性向采购代理机构支付。</w:t>
      </w:r>
    </w:p>
    <w:p w14:paraId="45AED29C">
      <w:pPr>
        <w:pStyle w:val="633"/>
        <w:ind w:firstLine="420" w:firstLineChars="200"/>
        <w:rPr>
          <w:rFonts w:cs="宋体"/>
          <w:kern w:val="2"/>
          <w:sz w:val="21"/>
          <w:szCs w:val="21"/>
        </w:rPr>
      </w:pPr>
      <w:r>
        <w:rPr>
          <w:rFonts w:hint="eastAsia" w:cs="宋体"/>
          <w:kern w:val="2"/>
          <w:sz w:val="21"/>
          <w:szCs w:val="21"/>
        </w:rPr>
        <w:t>□采购人支付。</w:t>
      </w:r>
    </w:p>
    <w:p w14:paraId="5ED27AB2">
      <w:pPr>
        <w:pStyle w:val="633"/>
        <w:ind w:firstLine="420" w:firstLineChars="200"/>
        <w:rPr>
          <w:rFonts w:cs="宋体"/>
          <w:kern w:val="2"/>
          <w:sz w:val="21"/>
          <w:szCs w:val="21"/>
        </w:rPr>
      </w:pPr>
      <w:r>
        <w:rPr>
          <w:rFonts w:hint="eastAsia" w:cs="宋体"/>
          <w:kern w:val="2"/>
          <w:sz w:val="21"/>
          <w:szCs w:val="21"/>
        </w:rPr>
        <w:t>1.2采购代理费收取标准：</w:t>
      </w:r>
    </w:p>
    <w:p w14:paraId="4BB9D834">
      <w:pPr>
        <w:pStyle w:val="633"/>
        <w:ind w:firstLine="420" w:firstLineChars="200"/>
        <w:rPr>
          <w:rFonts w:cs="宋体"/>
          <w:sz w:val="21"/>
        </w:rPr>
      </w:pPr>
      <w:r>
        <w:rPr>
          <w:rFonts w:hint="eastAsia" w:cs="宋体"/>
          <w:sz w:val="21"/>
        </w:rPr>
        <w:t>参照桂价费〔2011〕55号、发改价格〔2015〕299号文件规定计算出收费基准价格，实行市场调节价收取。</w:t>
      </w:r>
    </w:p>
    <w:p w14:paraId="33A81F0E">
      <w:pPr>
        <w:pStyle w:val="633"/>
        <w:ind w:firstLine="420" w:firstLineChars="200"/>
        <w:rPr>
          <w:rFonts w:cs="宋体"/>
          <w:kern w:val="2"/>
          <w:sz w:val="21"/>
          <w:szCs w:val="21"/>
        </w:rPr>
      </w:pPr>
      <w:r>
        <w:rPr>
          <w:rFonts w:hint="eastAsia" w:cs="宋体"/>
          <w:kern w:val="2"/>
          <w:sz w:val="21"/>
          <w:szCs w:val="21"/>
        </w:rPr>
        <w:t>1.3采购代理费收取银行账户</w:t>
      </w:r>
    </w:p>
    <w:p w14:paraId="53BC1F98">
      <w:pPr>
        <w:pStyle w:val="633"/>
        <w:ind w:firstLine="420" w:firstLineChars="200"/>
        <w:rPr>
          <w:rFonts w:cs="宋体"/>
          <w:kern w:val="2"/>
          <w:sz w:val="21"/>
          <w:szCs w:val="21"/>
        </w:rPr>
      </w:pPr>
      <w:r>
        <w:rPr>
          <w:rFonts w:hint="eastAsia" w:cs="宋体"/>
          <w:kern w:val="2"/>
          <w:sz w:val="21"/>
          <w:szCs w:val="21"/>
        </w:rPr>
        <w:t xml:space="preserve">开户名称：广西亿翔荣工程管理有限责任公司 </w:t>
      </w:r>
    </w:p>
    <w:p w14:paraId="7314FD4E">
      <w:pPr>
        <w:pStyle w:val="633"/>
        <w:ind w:firstLine="420" w:firstLineChars="200"/>
        <w:rPr>
          <w:rFonts w:cs="宋体"/>
          <w:kern w:val="2"/>
          <w:sz w:val="21"/>
          <w:szCs w:val="21"/>
        </w:rPr>
      </w:pPr>
      <w:r>
        <w:rPr>
          <w:rFonts w:hint="eastAsia" w:cs="宋体"/>
          <w:kern w:val="2"/>
          <w:sz w:val="21"/>
          <w:szCs w:val="21"/>
        </w:rPr>
        <w:t xml:space="preserve">开户银行：建行北海云南路支行 </w:t>
      </w:r>
    </w:p>
    <w:p w14:paraId="0746998B">
      <w:pPr>
        <w:snapToGrid w:val="0"/>
        <w:spacing w:line="360" w:lineRule="auto"/>
        <w:ind w:firstLine="420" w:firstLineChars="200"/>
        <w:rPr>
          <w:rFonts w:ascii="宋体" w:hAnsi="宋体" w:cs="宋体"/>
          <w:szCs w:val="21"/>
        </w:rPr>
      </w:pPr>
      <w:r>
        <w:rPr>
          <w:rFonts w:hint="eastAsia" w:ascii="宋体" w:hAnsi="宋体" w:cs="宋体"/>
          <w:szCs w:val="21"/>
        </w:rPr>
        <w:t>银行账号：4500 1655 1030 5070 2000</w:t>
      </w:r>
    </w:p>
    <w:p w14:paraId="3A7D14E1">
      <w:pPr>
        <w:snapToGrid w:val="0"/>
        <w:spacing w:line="360" w:lineRule="auto"/>
        <w:ind w:firstLine="422" w:firstLineChars="200"/>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p w14:paraId="6B96DC18">
      <w:pPr>
        <w:adjustRightInd/>
        <w:spacing w:line="360" w:lineRule="auto"/>
        <w:jc w:val="center"/>
        <w:outlineLvl w:val="0"/>
        <w:rPr>
          <w:rFonts w:cs="仿宋_GB2312" w:asciiTheme="minorEastAsia" w:hAnsiTheme="minorEastAsia" w:eastAsiaTheme="minorEastAsia"/>
          <w:b/>
          <w:sz w:val="36"/>
          <w:szCs w:val="36"/>
        </w:rPr>
      </w:pPr>
      <w:bookmarkStart w:id="72" w:name="_Toc13962"/>
      <w:bookmarkStart w:id="73" w:name="_Toc2800"/>
      <w:r>
        <w:rPr>
          <w:rFonts w:hint="eastAsia" w:cs="仿宋_GB2312" w:asciiTheme="minorEastAsia" w:hAnsiTheme="minorEastAsia" w:eastAsiaTheme="minorEastAsia"/>
          <w:b/>
          <w:sz w:val="36"/>
          <w:szCs w:val="36"/>
        </w:rPr>
        <w:t>第四部分 采购需求</w:t>
      </w:r>
      <w:bookmarkEnd w:id="72"/>
      <w:bookmarkEnd w:id="73"/>
    </w:p>
    <w:p w14:paraId="15867530">
      <w:pPr>
        <w:adjustRightInd/>
        <w:spacing w:line="360" w:lineRule="auto"/>
        <w:jc w:val="left"/>
        <w:rPr>
          <w:rFonts w:asciiTheme="minorEastAsia" w:hAnsiTheme="minorEastAsia" w:eastAsiaTheme="minorEastAsia"/>
          <w:sz w:val="24"/>
          <w:u w:val="singl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tbl>
      <w:tblPr>
        <w:tblStyle w:val="61"/>
        <w:tblW w:w="0" w:type="auto"/>
        <w:jc w:val="center"/>
        <w:tblLayout w:type="fixed"/>
        <w:tblCellMar>
          <w:top w:w="0" w:type="dxa"/>
          <w:left w:w="108" w:type="dxa"/>
          <w:bottom w:w="0" w:type="dxa"/>
          <w:right w:w="108" w:type="dxa"/>
        </w:tblCellMar>
      </w:tblPr>
      <w:tblGrid>
        <w:gridCol w:w="509"/>
        <w:gridCol w:w="962"/>
        <w:gridCol w:w="59"/>
        <w:gridCol w:w="503"/>
        <w:gridCol w:w="500"/>
        <w:gridCol w:w="7321"/>
      </w:tblGrid>
      <w:tr w14:paraId="5EE92900">
        <w:tblPrEx>
          <w:tblCellMar>
            <w:top w:w="0" w:type="dxa"/>
            <w:left w:w="108" w:type="dxa"/>
            <w:bottom w:w="0" w:type="dxa"/>
            <w:right w:w="108" w:type="dxa"/>
          </w:tblCellMar>
        </w:tblPrEx>
        <w:trPr>
          <w:trHeight w:val="889" w:hRule="atLeast"/>
          <w:jc w:val="center"/>
        </w:trPr>
        <w:tc>
          <w:tcPr>
            <w:tcW w:w="985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624A7EA3">
            <w:pPr>
              <w:widowControl/>
              <w:adjustRightInd/>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技术参数要求表</w:t>
            </w:r>
          </w:p>
        </w:tc>
      </w:tr>
      <w:tr w14:paraId="10B2A83B">
        <w:tblPrEx>
          <w:tblCellMar>
            <w:top w:w="0" w:type="dxa"/>
            <w:left w:w="108" w:type="dxa"/>
            <w:bottom w:w="0" w:type="dxa"/>
            <w:right w:w="108" w:type="dxa"/>
          </w:tblCellMar>
        </w:tblPrEx>
        <w:trPr>
          <w:trHeight w:val="1220" w:hRule="atLeast"/>
          <w:jc w:val="center"/>
        </w:trPr>
        <w:tc>
          <w:tcPr>
            <w:tcW w:w="509" w:type="dxa"/>
            <w:tcBorders>
              <w:top w:val="single" w:color="auto" w:sz="4" w:space="0"/>
              <w:left w:val="single" w:color="auto" w:sz="4" w:space="0"/>
              <w:bottom w:val="single" w:color="auto" w:sz="4" w:space="0"/>
              <w:right w:val="single" w:color="auto" w:sz="4" w:space="0"/>
            </w:tcBorders>
            <w:shd w:val="clear" w:color="000000" w:fill="FFFFFF"/>
            <w:vAlign w:val="center"/>
          </w:tcPr>
          <w:p w14:paraId="31D6D385">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962" w:type="dxa"/>
            <w:tcBorders>
              <w:top w:val="single" w:color="auto" w:sz="4" w:space="0"/>
              <w:left w:val="nil"/>
              <w:bottom w:val="single" w:color="auto" w:sz="4" w:space="0"/>
              <w:right w:val="single" w:color="auto" w:sz="4" w:space="0"/>
            </w:tcBorders>
            <w:shd w:val="clear" w:color="000000" w:fill="FFFFFF"/>
            <w:vAlign w:val="center"/>
          </w:tcPr>
          <w:p w14:paraId="197D6C16">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品名</w:t>
            </w:r>
          </w:p>
        </w:tc>
        <w:tc>
          <w:tcPr>
            <w:tcW w:w="562" w:type="dxa"/>
            <w:gridSpan w:val="2"/>
            <w:tcBorders>
              <w:top w:val="single" w:color="auto" w:sz="4" w:space="0"/>
              <w:left w:val="nil"/>
              <w:bottom w:val="single" w:color="auto" w:sz="4" w:space="0"/>
              <w:right w:val="single" w:color="auto" w:sz="4" w:space="0"/>
            </w:tcBorders>
            <w:shd w:val="clear" w:color="000000" w:fill="FFFFFF"/>
            <w:vAlign w:val="center"/>
          </w:tcPr>
          <w:p w14:paraId="7BA84881">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w:t>
            </w:r>
          </w:p>
        </w:tc>
        <w:tc>
          <w:tcPr>
            <w:tcW w:w="500" w:type="dxa"/>
            <w:tcBorders>
              <w:top w:val="single" w:color="auto" w:sz="4" w:space="0"/>
              <w:left w:val="nil"/>
              <w:bottom w:val="single" w:color="auto" w:sz="4" w:space="0"/>
              <w:right w:val="single" w:color="auto" w:sz="4" w:space="0"/>
            </w:tcBorders>
            <w:shd w:val="clear" w:color="000000" w:fill="FFFFFF"/>
            <w:vAlign w:val="center"/>
          </w:tcPr>
          <w:p w14:paraId="01F265C4">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数量</w:t>
            </w:r>
          </w:p>
        </w:tc>
        <w:tc>
          <w:tcPr>
            <w:tcW w:w="7321" w:type="dxa"/>
            <w:tcBorders>
              <w:top w:val="single" w:color="auto" w:sz="4" w:space="0"/>
              <w:left w:val="nil"/>
              <w:bottom w:val="single" w:color="auto" w:sz="4" w:space="0"/>
              <w:right w:val="single" w:color="auto" w:sz="4" w:space="0"/>
            </w:tcBorders>
            <w:shd w:val="clear" w:color="000000" w:fill="FFFFFF"/>
            <w:vAlign w:val="center"/>
          </w:tcPr>
          <w:p w14:paraId="4B36CF11">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lang w:bidi="ar"/>
              </w:rPr>
              <w:t>▲</w:t>
            </w:r>
            <w:r>
              <w:rPr>
                <w:rFonts w:hint="eastAsia" w:cs="宋体" w:asciiTheme="minorEastAsia" w:hAnsiTheme="minorEastAsia" w:eastAsiaTheme="minorEastAsia"/>
                <w:kern w:val="0"/>
                <w:sz w:val="24"/>
              </w:rPr>
              <w:t>服务要求及标准</w:t>
            </w:r>
          </w:p>
        </w:tc>
      </w:tr>
      <w:tr w14:paraId="44E78020">
        <w:tblPrEx>
          <w:tblCellMar>
            <w:top w:w="0" w:type="dxa"/>
            <w:left w:w="108" w:type="dxa"/>
            <w:bottom w:w="0" w:type="dxa"/>
            <w:right w:w="108" w:type="dxa"/>
          </w:tblCellMar>
        </w:tblPrEx>
        <w:trPr>
          <w:trHeight w:val="447" w:hRule="atLeast"/>
          <w:jc w:val="center"/>
        </w:trPr>
        <w:tc>
          <w:tcPr>
            <w:tcW w:w="509" w:type="dxa"/>
            <w:tcBorders>
              <w:top w:val="single" w:color="auto" w:sz="4" w:space="0"/>
              <w:left w:val="single" w:color="auto" w:sz="4" w:space="0"/>
              <w:bottom w:val="single" w:color="auto" w:sz="4" w:space="0"/>
              <w:right w:val="single" w:color="auto" w:sz="4" w:space="0"/>
            </w:tcBorders>
            <w:shd w:val="clear" w:color="000000" w:fill="FFFFFF"/>
            <w:vAlign w:val="center"/>
          </w:tcPr>
          <w:p w14:paraId="30EC9CE0">
            <w:pPr>
              <w:widowControl/>
              <w:adjustRightInd/>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962" w:type="dxa"/>
            <w:tcBorders>
              <w:top w:val="single" w:color="auto" w:sz="4" w:space="0"/>
              <w:left w:val="nil"/>
              <w:bottom w:val="single" w:color="auto" w:sz="4" w:space="0"/>
              <w:right w:val="single" w:color="auto" w:sz="4" w:space="0"/>
            </w:tcBorders>
            <w:shd w:val="clear" w:color="000000" w:fill="FFFFFF"/>
            <w:vAlign w:val="center"/>
          </w:tcPr>
          <w:p w14:paraId="004B151F">
            <w:pPr>
              <w:widowControl/>
              <w:adjustRightInd/>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《北海市矿产资源总体规划（2026-2030年)》编制项目（重）</w:t>
            </w:r>
          </w:p>
        </w:tc>
        <w:tc>
          <w:tcPr>
            <w:tcW w:w="562" w:type="dxa"/>
            <w:gridSpan w:val="2"/>
            <w:tcBorders>
              <w:top w:val="single" w:color="auto" w:sz="4" w:space="0"/>
              <w:left w:val="nil"/>
              <w:bottom w:val="single" w:color="auto" w:sz="4" w:space="0"/>
              <w:right w:val="single" w:color="auto" w:sz="4" w:space="0"/>
            </w:tcBorders>
            <w:shd w:val="clear" w:color="000000" w:fill="FFFFFF"/>
            <w:vAlign w:val="center"/>
          </w:tcPr>
          <w:p w14:paraId="5B75EE46">
            <w:pPr>
              <w:widowControl/>
              <w:adjustRightInd/>
              <w:jc w:val="center"/>
              <w:rPr>
                <w:rFonts w:ascii="宋体" w:hAnsi="宋体" w:cs="宋体"/>
                <w:szCs w:val="21"/>
              </w:rPr>
            </w:pPr>
            <w:r>
              <w:rPr>
                <w:rFonts w:hint="eastAsia" w:ascii="宋体" w:hAnsi="宋体" w:cs="宋体"/>
                <w:szCs w:val="21"/>
              </w:rPr>
              <w:t>项</w:t>
            </w:r>
          </w:p>
        </w:tc>
        <w:tc>
          <w:tcPr>
            <w:tcW w:w="500" w:type="dxa"/>
            <w:tcBorders>
              <w:top w:val="single" w:color="auto" w:sz="4" w:space="0"/>
              <w:left w:val="nil"/>
              <w:bottom w:val="single" w:color="auto" w:sz="4" w:space="0"/>
              <w:right w:val="single" w:color="auto" w:sz="4" w:space="0"/>
            </w:tcBorders>
            <w:shd w:val="clear" w:color="000000" w:fill="FFFFFF"/>
            <w:vAlign w:val="center"/>
          </w:tcPr>
          <w:p w14:paraId="5642CD1F">
            <w:pPr>
              <w:widowControl/>
              <w:adjustRightInd/>
              <w:jc w:val="center"/>
              <w:rPr>
                <w:rFonts w:ascii="宋体" w:hAnsi="宋体" w:cs="宋体"/>
                <w:szCs w:val="21"/>
              </w:rPr>
            </w:pPr>
            <w:r>
              <w:rPr>
                <w:rFonts w:hint="eastAsia" w:ascii="宋体" w:hAnsi="宋体" w:cs="宋体"/>
                <w:szCs w:val="21"/>
              </w:rPr>
              <w:t>1</w:t>
            </w:r>
          </w:p>
        </w:tc>
        <w:tc>
          <w:tcPr>
            <w:tcW w:w="7321" w:type="dxa"/>
            <w:tcBorders>
              <w:top w:val="single" w:color="auto" w:sz="4" w:space="0"/>
              <w:left w:val="nil"/>
              <w:bottom w:val="single" w:color="auto" w:sz="4" w:space="0"/>
              <w:right w:val="single" w:color="auto" w:sz="4" w:space="0"/>
            </w:tcBorders>
            <w:shd w:val="clear" w:color="000000" w:fill="FFFFFF"/>
            <w:vAlign w:val="center"/>
          </w:tcPr>
          <w:p w14:paraId="5BC3F062">
            <w:pPr>
              <w:tabs>
                <w:tab w:val="left" w:pos="180"/>
                <w:tab w:val="left" w:pos="1620"/>
              </w:tabs>
              <w:adjustRightInd/>
              <w:spacing w:line="360" w:lineRule="auto"/>
              <w:ind w:firstLine="422" w:firstLineChars="200"/>
              <w:rPr>
                <w:rFonts w:ascii="宋体" w:hAnsi="宋体" w:cs="宋体"/>
                <w:b/>
                <w:bCs/>
                <w:szCs w:val="21"/>
              </w:rPr>
            </w:pPr>
            <w:r>
              <w:rPr>
                <w:rFonts w:hint="eastAsia" w:ascii="宋体" w:hAnsi="宋体" w:cs="宋体"/>
                <w:b/>
                <w:bCs/>
                <w:szCs w:val="21"/>
              </w:rPr>
              <w:t>一、服务内容</w:t>
            </w:r>
          </w:p>
          <w:p w14:paraId="06E9BC71">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（1）参照自治区矿产资源规划开展北海市矿产资源总体规划（2026-2030年）重大专题研究，专题数量不少于3个，专题研究报告通过评审，相关工作在2025年10月底前完成。</w:t>
            </w:r>
          </w:p>
          <w:p w14:paraId="4FEEF08D">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（2）高质量编制《北海市矿产资源总体规划（2026-2030年）》，2026年1月底前完成预审稿，同步开展规划数据库建设。</w:t>
            </w:r>
          </w:p>
          <w:p w14:paraId="1C8F1F3A">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（3）2026年5月底前修改完善规划送审稿和规划数据库。</w:t>
            </w:r>
          </w:p>
          <w:p w14:paraId="39ADAAEB">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（4）相关工作严格按照自治区自然资源厅规定的时间节点编写、送审及修改，按时提交成果并通过自治区自然资源厅和北海市人民政府的审批。</w:t>
            </w:r>
          </w:p>
          <w:p w14:paraId="5682D1B6">
            <w:pPr>
              <w:tabs>
                <w:tab w:val="left" w:pos="180"/>
                <w:tab w:val="left" w:pos="1620"/>
              </w:tabs>
              <w:adjustRightInd/>
              <w:spacing w:line="360" w:lineRule="auto"/>
              <w:ind w:firstLine="422" w:firstLineChars="200"/>
              <w:rPr>
                <w:rFonts w:ascii="宋体" w:hAnsi="宋体" w:cs="宋体"/>
                <w:b/>
                <w:bCs/>
                <w:szCs w:val="21"/>
              </w:rPr>
            </w:pPr>
            <w:r>
              <w:rPr>
                <w:rFonts w:hint="eastAsia" w:ascii="宋体" w:hAnsi="宋体" w:cs="宋体"/>
                <w:b/>
                <w:bCs/>
                <w:szCs w:val="21"/>
              </w:rPr>
              <w:t>二、服务要求</w:t>
            </w:r>
          </w:p>
          <w:p w14:paraId="73B412DF">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（一）前期专题研究</w:t>
            </w:r>
          </w:p>
          <w:p w14:paraId="5E44FA75">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 xml:space="preserve">根据之前几轮规划的经验，市级规划前期专题研究原则上设置不少于3个，主要以当地矿产资源勘查开发方面热点难点问题为准，研究成果为规划编制提供科学依据。 </w:t>
            </w:r>
          </w:p>
          <w:p w14:paraId="174947AD">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（二）《规划》（含文图表）编制</w:t>
            </w:r>
          </w:p>
          <w:p w14:paraId="714F8446">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 xml:space="preserve">细化落实自治区部署要求，对本市登记发证的矿产资源勘查、开发、利用与保护进行详细部署和安排。开展适当钻探，细化落实各类规划区，明确各区管控要求，设置相关重大工程。确保规划目标指标和任务落地、空间布局落地、勘查开发准入条件和管理措施落地，为十五五矿业权出让和产业配矿提供直接依据。 </w:t>
            </w:r>
          </w:p>
          <w:p w14:paraId="129255C3">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（三）《规划》环评篇章编制</w:t>
            </w:r>
          </w:p>
          <w:p w14:paraId="12F0D5B6">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 xml:space="preserve">主要是围绕市级登记发证的矿产资源开发利用与保护活动，评价规划部署与区域经济发展、民生改善和生态保护的协调性；预测规划实施和资源开发可能对生态环境造成的直接和间接影响；评价开采规划准入条件的有效性等。 </w:t>
            </w:r>
          </w:p>
          <w:p w14:paraId="3C435F9D">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（四）《规划》数据库建设</w:t>
            </w:r>
          </w:p>
          <w:p w14:paraId="7FB7E239">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1.数据格式转换。将规划数据转化为规划数据库建库软件识别的数据格式，以便数据整合和检查。</w:t>
            </w:r>
          </w:p>
          <w:p w14:paraId="4C6E9CE4">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2.坐标系统转换。将规划数据转换到统一的投影坐标系统中。</w:t>
            </w:r>
          </w:p>
          <w:p w14:paraId="4A85BE27">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3.数据质量检查。图数一致性核查。认真核查规划成果，确保规划数据、图件与实地相一致。对图件的规范化和标准化进行检查。对各图层数据的逻辑一致性、空间定位准确度、属性数据准确性、图层间的空间关系、拓扑关系等进行检查。</w:t>
            </w:r>
          </w:p>
          <w:p w14:paraId="07DCCA85">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4.标准图形分层文件的建立。</w:t>
            </w:r>
          </w:p>
          <w:p w14:paraId="3C51F675">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5.建立数据字典和制作索引图。</w:t>
            </w:r>
          </w:p>
          <w:p w14:paraId="2F68AB70">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6.非空间数据入库，空间数据与非空间数据的关联，元数据入库。7.成果数据的整合集成，形成北海市规划数据库。</w:t>
            </w:r>
          </w:p>
          <w:p w14:paraId="5D85C5B9">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8.数据库检查，按照数据库建设的相关标准和规范对数据库进行拓扑等检查，对发现的问题进行全面分析和处理，保证数据库的正确。</w:t>
            </w:r>
          </w:p>
          <w:p w14:paraId="6FFF2278">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9.编制规划数据库建设成果报告，包括项目工作报告、技术报告、自检报告。</w:t>
            </w:r>
          </w:p>
          <w:p w14:paraId="29DA54C0">
            <w:pPr>
              <w:tabs>
                <w:tab w:val="left" w:pos="180"/>
                <w:tab w:val="left" w:pos="1620"/>
              </w:tabs>
              <w:adjustRightInd/>
              <w:spacing w:line="360" w:lineRule="auto"/>
              <w:ind w:firstLine="422" w:firstLineChars="200"/>
              <w:rPr>
                <w:rFonts w:ascii="宋体" w:hAnsi="宋体" w:cs="宋体"/>
                <w:b/>
                <w:bCs/>
                <w:szCs w:val="21"/>
              </w:rPr>
            </w:pPr>
            <w:r>
              <w:rPr>
                <w:rFonts w:hint="eastAsia" w:ascii="宋体" w:hAnsi="宋体" w:cs="宋体"/>
                <w:b/>
                <w:bCs/>
                <w:szCs w:val="21"/>
              </w:rPr>
              <w:t>三、服务标准</w:t>
            </w:r>
          </w:p>
          <w:p w14:paraId="37F206AB">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本次项目实施技术应符合包括但不限于下列最新版本的国家标准/规范要求。</w:t>
            </w:r>
          </w:p>
          <w:p w14:paraId="5AF69B72">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（1）《自然资源部办公厅关于做好“十五五”省级矿产资源规划编制前期工作的函》（自然资办函〔2024〕1816号）；</w:t>
            </w:r>
          </w:p>
          <w:p w14:paraId="41B64FA3">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（2）《广西壮族自治区自然资源厅办公室关于印发&lt;全区“十五五”矿产资源规划编制工作方案&gt;的通知》（桂自然资办〔2024〕218号）；</w:t>
            </w:r>
          </w:p>
          <w:p w14:paraId="0A19F749">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（3）《省级矿产资源总体规划编制技术规程》（DZ/T0444-2023）；</w:t>
            </w:r>
          </w:p>
          <w:p w14:paraId="2130618C">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（4）《矿产资源规划数据库建设指南》；</w:t>
            </w:r>
          </w:p>
          <w:p w14:paraId="581AE9E9">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（5）《矿产资源规划数据标准》DZ/T 0226-2020；</w:t>
            </w:r>
          </w:p>
          <w:p w14:paraId="1B8C7660">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（6）《规划环境影响评价条例》；</w:t>
            </w:r>
          </w:p>
          <w:p w14:paraId="76A5F579">
            <w:pPr>
              <w:tabs>
                <w:tab w:val="left" w:pos="180"/>
                <w:tab w:val="left" w:pos="1620"/>
              </w:tabs>
              <w:adjustRightInd/>
              <w:spacing w:line="360" w:lineRule="auto"/>
              <w:ind w:firstLine="420" w:firstLineChars="200"/>
              <w:rPr>
                <w:rFonts w:ascii="宋体" w:hAnsi="宋体" w:cs="宋体"/>
                <w:szCs w:val="21"/>
              </w:rPr>
            </w:pPr>
            <w:r>
              <w:rPr>
                <w:rFonts w:ascii="宋体" w:hAnsi="宋体" w:cs="宋体"/>
                <w:szCs w:val="21"/>
              </w:rPr>
              <w:t>（实施过程中若国家、自治区出台新的技术规范、政策或文件，应以最新文件要求为准。）</w:t>
            </w:r>
          </w:p>
          <w:p w14:paraId="57C7106D">
            <w:pPr>
              <w:tabs>
                <w:tab w:val="left" w:pos="180"/>
                <w:tab w:val="left" w:pos="1620"/>
              </w:tabs>
              <w:adjustRightInd/>
              <w:spacing w:line="360" w:lineRule="auto"/>
              <w:ind w:firstLine="422" w:firstLineChars="200"/>
              <w:rPr>
                <w:rFonts w:ascii="宋体" w:hAnsi="宋体" w:cs="宋体"/>
                <w:b/>
                <w:bCs/>
                <w:szCs w:val="21"/>
              </w:rPr>
            </w:pPr>
            <w:r>
              <w:rPr>
                <w:rFonts w:hint="eastAsia" w:ascii="宋体" w:hAnsi="宋体" w:cs="宋体"/>
                <w:b/>
                <w:bCs/>
                <w:szCs w:val="21"/>
              </w:rPr>
              <w:t>四、提交成果要求</w:t>
            </w:r>
          </w:p>
          <w:p w14:paraId="0ACE0DFA">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（1）前期重大规划专题研究成果（不少于3个专题）；</w:t>
            </w:r>
          </w:p>
          <w:p w14:paraId="1DFAE446">
            <w:pPr>
              <w:tabs>
                <w:tab w:val="left" w:pos="180"/>
                <w:tab w:val="left" w:pos="1620"/>
              </w:tabs>
              <w:adjustRightInd/>
              <w:spacing w:line="360" w:lineRule="auto"/>
              <w:ind w:firstLine="420" w:firstLineChars="200"/>
              <w:rPr>
                <w:rFonts w:ascii="宋体" w:hAnsi="宋体" w:cs="宋体"/>
                <w:szCs w:val="21"/>
              </w:rPr>
            </w:pPr>
            <w:r>
              <w:rPr>
                <w:rFonts w:hint="eastAsia" w:ascii="宋体" w:hAnsi="宋体" w:cs="宋体"/>
                <w:szCs w:val="21"/>
              </w:rPr>
              <w:t>（2）《北海市矿产资源总体规划（2026-2030年）》成果（含规划环境影响评价）；</w:t>
            </w:r>
          </w:p>
          <w:p w14:paraId="3D140A9A">
            <w:pPr>
              <w:tabs>
                <w:tab w:val="left" w:pos="180"/>
                <w:tab w:val="left" w:pos="1620"/>
              </w:tabs>
              <w:adjustRightInd/>
              <w:spacing w:line="360" w:lineRule="auto"/>
              <w:ind w:firstLine="420" w:firstLineChars="200"/>
              <w:rPr>
                <w:rFonts w:ascii="宋体" w:hAnsi="宋体" w:cs="宋体"/>
                <w:b/>
                <w:bCs/>
                <w:szCs w:val="21"/>
                <w:highlight w:val="yellow"/>
              </w:rPr>
            </w:pPr>
            <w:r>
              <w:rPr>
                <w:rFonts w:hint="eastAsia" w:ascii="宋体" w:hAnsi="宋体" w:cs="宋体"/>
                <w:szCs w:val="21"/>
              </w:rPr>
              <w:t>（3）北海市矿产资源规划数据库成果。</w:t>
            </w:r>
          </w:p>
        </w:tc>
      </w:tr>
      <w:tr w14:paraId="1146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jc w:val="center"/>
        </w:trPr>
        <w:tc>
          <w:tcPr>
            <w:tcW w:w="9854"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02B1EBA">
            <w:pPr>
              <w:adjustRightInd/>
              <w:jc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 w:val="24"/>
                <w:lang w:bidi="ar"/>
              </w:rPr>
              <w:t>▲商务要求表</w:t>
            </w:r>
          </w:p>
        </w:tc>
      </w:tr>
      <w:tr w14:paraId="5F9C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4659826">
            <w:pPr>
              <w:widowControl/>
              <w:adjustRightInd/>
              <w:spacing w:line="420" w:lineRule="exact"/>
              <w:jc w:val="center"/>
              <w:textAlignment w:val="center"/>
              <w:rPr>
                <w:rFonts w:cs="宋体" w:asciiTheme="minorEastAsia" w:hAnsiTheme="minorEastAsia" w:eastAsiaTheme="minorEastAsia"/>
                <w:b/>
                <w:bCs/>
                <w:kern w:val="0"/>
                <w:szCs w:val="21"/>
                <w:lang w:bidi="ar"/>
              </w:rPr>
            </w:pPr>
            <w:r>
              <w:rPr>
                <w:rFonts w:hint="eastAsia" w:cs="宋体" w:asciiTheme="minorEastAsia" w:hAnsiTheme="minorEastAsia" w:eastAsiaTheme="minorEastAsia"/>
                <w:b/>
                <w:bCs/>
                <w:kern w:val="0"/>
                <w:szCs w:val="21"/>
                <w:lang w:bidi="ar"/>
              </w:rPr>
              <w:t>服务</w:t>
            </w:r>
            <w:r>
              <w:rPr>
                <w:rFonts w:hint="eastAsia" w:cs="宋体" w:asciiTheme="minorEastAsia" w:hAnsiTheme="minorEastAsia" w:eastAsiaTheme="minorEastAsia"/>
                <w:b/>
                <w:bCs/>
                <w:kern w:val="0"/>
                <w:szCs w:val="21"/>
                <w:lang w:val="en-US" w:eastAsia="zh-CN" w:bidi="ar"/>
              </w:rPr>
              <w:t>期限</w:t>
            </w:r>
            <w:r>
              <w:rPr>
                <w:rFonts w:hint="eastAsia" w:cs="宋体" w:asciiTheme="minorEastAsia" w:hAnsiTheme="minorEastAsia" w:eastAsiaTheme="minorEastAsia"/>
                <w:b/>
                <w:bCs/>
                <w:kern w:val="0"/>
                <w:szCs w:val="21"/>
                <w:lang w:bidi="ar"/>
              </w:rPr>
              <w:t>（合同履行期限）</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8ACB0B">
            <w:pPr>
              <w:widowControl/>
              <w:adjustRightInd/>
              <w:spacing w:line="420" w:lineRule="exact"/>
              <w:ind w:firstLine="420" w:firstLineChars="200"/>
              <w:jc w:val="left"/>
              <w:textAlignment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自合同签订之日起至报告编制完成并经主管部门审批通过为止。</w:t>
            </w:r>
          </w:p>
        </w:tc>
      </w:tr>
      <w:tr w14:paraId="6249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7FE0B19">
            <w:pPr>
              <w:adjustRightInd/>
              <w:jc w:val="center"/>
              <w:rPr>
                <w:rFonts w:cs="宋体" w:asciiTheme="minorEastAsia" w:hAnsiTheme="minorEastAsia" w:eastAsiaTheme="minorEastAsia"/>
                <w:b/>
                <w:bCs/>
                <w:szCs w:val="21"/>
              </w:rPr>
            </w:pPr>
            <w:r>
              <w:rPr>
                <w:rFonts w:hint="eastAsia" w:cs="宋体" w:asciiTheme="minorEastAsia" w:hAnsiTheme="minorEastAsia" w:eastAsiaTheme="minorEastAsia"/>
                <w:b/>
                <w:bCs/>
                <w:kern w:val="0"/>
                <w:szCs w:val="21"/>
                <w:lang w:bidi="ar"/>
              </w:rPr>
              <w:t>提交服务成果时间</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7FC8052">
            <w:pPr>
              <w:adjustRightInd/>
              <w:spacing w:line="4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（1）参照自治区矿产资源规划开展北海市矿产资源总体规划（2026-2030年）重大专题研究，专题数量不少于3个，专题研究报告通过评审，相关工作在2025年10月底前完成。</w:t>
            </w:r>
          </w:p>
          <w:p w14:paraId="6CD39324">
            <w:pPr>
              <w:adjustRightInd/>
              <w:spacing w:line="4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（2）高质量编制《北海市矿产资源总体规划（2026-2030年）》，2026年1月底前完成预审稿，同步开展规划数据库建设。</w:t>
            </w:r>
          </w:p>
          <w:p w14:paraId="0BC0C59E">
            <w:pPr>
              <w:adjustRightInd/>
              <w:spacing w:line="4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（3）2026年5月底前修改完善规划送审稿和规划数据库。</w:t>
            </w:r>
          </w:p>
          <w:p w14:paraId="7D69E37C">
            <w:pPr>
              <w:adjustRightInd/>
              <w:spacing w:line="440" w:lineRule="exact"/>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（4）相关工作严格按照自治区自然资源厅规定的时间节点编写、送审及修改，按时提交成果并通过自治区自然资源厅和北海市人民政府的审批。</w:t>
            </w:r>
          </w:p>
        </w:tc>
      </w:tr>
      <w:tr w14:paraId="340F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E66AE5">
            <w:pPr>
              <w:adjustRightInd/>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服务地点</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09F8DC8">
            <w:pPr>
              <w:adjustRightInd/>
              <w:spacing w:line="440" w:lineRule="exact"/>
              <w:ind w:firstLine="420" w:firstLineChars="200"/>
              <w:jc w:val="left"/>
              <w:rPr>
                <w:rFonts w:cs="宋体" w:asciiTheme="minorEastAsia" w:hAnsiTheme="minorEastAsia" w:eastAsiaTheme="minorEastAsia"/>
                <w:b/>
                <w:bCs/>
                <w:szCs w:val="21"/>
              </w:rPr>
            </w:pPr>
            <w:r>
              <w:rPr>
                <w:rFonts w:hint="eastAsia" w:cs="宋体" w:asciiTheme="minorEastAsia" w:hAnsiTheme="minorEastAsia" w:eastAsiaTheme="minorEastAsia"/>
                <w:szCs w:val="21"/>
              </w:rPr>
              <w:t>由采购人指定</w:t>
            </w:r>
          </w:p>
        </w:tc>
      </w:tr>
      <w:tr w14:paraId="5896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37D3D3">
            <w:pPr>
              <w:adjustRightInd/>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合同签订时间</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6C61812">
            <w:pPr>
              <w:adjustRightInd/>
              <w:spacing w:line="400" w:lineRule="exact"/>
              <w:ind w:firstLine="420" w:firstLineChars="200"/>
              <w:rPr>
                <w:rFonts w:cs="宋体" w:asciiTheme="minorEastAsia" w:hAnsiTheme="minorEastAsia" w:eastAsiaTheme="minorEastAsia"/>
                <w:szCs w:val="21"/>
              </w:rPr>
            </w:pPr>
            <w:r>
              <w:rPr>
                <w:rFonts w:hint="eastAsia" w:ascii="宋体" w:hAnsi="宋体" w:cs="宋体"/>
                <w:szCs w:val="21"/>
              </w:rPr>
              <w:t>自中标（成交）通知书发出之日起</w:t>
            </w:r>
            <w:r>
              <w:rPr>
                <w:rFonts w:hint="eastAsia" w:ascii="宋体" w:hAnsi="宋体" w:cs="宋体"/>
                <w:szCs w:val="21"/>
                <w:u w:val="single"/>
              </w:rPr>
              <w:t xml:space="preserve"> 25 </w:t>
            </w:r>
            <w:r>
              <w:rPr>
                <w:rFonts w:hint="eastAsia" w:ascii="宋体" w:hAnsi="宋体" w:cs="宋体"/>
                <w:szCs w:val="21"/>
              </w:rPr>
              <w:t>天内。</w:t>
            </w:r>
          </w:p>
        </w:tc>
      </w:tr>
      <w:tr w14:paraId="51D8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C6A59A1">
            <w:pPr>
              <w:widowControl/>
              <w:adjustRightInd/>
              <w:spacing w:line="420" w:lineRule="exact"/>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付款时间和方式</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FD44FD">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（1）第一期项目经费：双方签订服务合同，财政经费到位后7天内采购人向成交供应商约定的账户支付30%合同款。</w:t>
            </w:r>
          </w:p>
          <w:p w14:paraId="2D4C6D0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第二期项目经费：成交供应商完成规划送审稿（指经北海市人民政府审核同意，报送自治区自然资源厅的审批稿）编制，可向采购人提出拨付申请，采购人收到成交供应商申请并财政经费到位后，7日内进行确认并向成交供应商约定的账户另行支付50%合同款。</w:t>
            </w:r>
          </w:p>
          <w:p w14:paraId="67FFC4EA">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3）第三期项目经费：规划送审稿通过自治区自然资源厅和北海市人民政府审批并经采购人确认后，成交供应商向采购人提出申请拨付剩余20%合同款，采购人收到成交供应商申请并财政经费到位后，7日内进行确认并向成交供应商约定的账户支付剩余20%合同款。</w:t>
            </w:r>
          </w:p>
          <w:p w14:paraId="5A322C42">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（4）成交供应商须根据采购人的要求在付款前开具对应金额的正式有效的税务发票。</w:t>
            </w:r>
          </w:p>
        </w:tc>
      </w:tr>
      <w:tr w14:paraId="5C68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41804AF">
            <w:pPr>
              <w:widowControl/>
              <w:adjustRightInd/>
              <w:spacing w:line="420" w:lineRule="exact"/>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报价要求</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8787223">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竞标报价是履行合同的最终价格，即满足全部采购需求所应提供的服务的价格。 </w:t>
            </w:r>
          </w:p>
          <w:p w14:paraId="2FBF63E9">
            <w:pPr>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必须包含项目实施所需的服务费、</w:t>
            </w:r>
            <w:r>
              <w:rPr>
                <w:rFonts w:hint="eastAsia" w:cs="宋体" w:asciiTheme="minorEastAsia" w:hAnsiTheme="minorEastAsia" w:eastAsiaTheme="minorEastAsia"/>
                <w:bCs/>
                <w:szCs w:val="21"/>
              </w:rPr>
              <w:t>前期专题研究、规划数据库建设、基础数据收集及调研、编绘、组织、策划</w:t>
            </w:r>
            <w:r>
              <w:rPr>
                <w:rFonts w:hint="eastAsia" w:cs="宋体" w:asciiTheme="minorEastAsia" w:hAnsiTheme="minorEastAsia" w:eastAsiaTheme="minorEastAsia"/>
                <w:szCs w:val="21"/>
              </w:rPr>
              <w:t>、管理费、交通费、验收费、利润、税金、保险、后续服务支持及政策咨询及其它与完成本项目有关的可预见及不可预见的所有成本、费用的总和。除采购人认可的特殊情况外，采购人不再为本项目另付其它任何费用给成交供应商。</w:t>
            </w:r>
          </w:p>
        </w:tc>
      </w:tr>
      <w:tr w14:paraId="331A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1530"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07B716">
            <w:pPr>
              <w:widowControl/>
              <w:adjustRightInd/>
              <w:spacing w:line="420" w:lineRule="exact"/>
              <w:jc w:val="center"/>
              <w:textAlignment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其他要求</w:t>
            </w:r>
          </w:p>
        </w:tc>
        <w:tc>
          <w:tcPr>
            <w:tcW w:w="832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1079571">
            <w:pPr>
              <w:adjustRightInd/>
              <w:spacing w:line="360" w:lineRule="auto"/>
              <w:ind w:firstLine="420" w:firstLineChars="200"/>
              <w:rPr>
                <w:rFonts w:ascii="宋体" w:hAnsi="宋体" w:cs="宋体"/>
                <w:szCs w:val="21"/>
              </w:rPr>
            </w:pPr>
            <w:r>
              <w:rPr>
                <w:rFonts w:hint="eastAsia" w:ascii="宋体" w:hAnsi="宋体" w:cs="宋体"/>
                <w:szCs w:val="21"/>
              </w:rPr>
              <w:t>1.成交供应商不得转包、分包给第三方。擅自将服务合同转包或部分分包给第三者，将终止合同，经济损失和法律责任由成交供应商承担。</w:t>
            </w:r>
          </w:p>
          <w:p w14:paraId="7AFCF0B4">
            <w:pPr>
              <w:adjustRightInd/>
              <w:spacing w:line="360" w:lineRule="auto"/>
              <w:ind w:firstLine="420" w:firstLineChars="200"/>
              <w:rPr>
                <w:rFonts w:ascii="宋体" w:hAnsi="宋体" w:cs="宋体"/>
                <w:szCs w:val="21"/>
              </w:rPr>
            </w:pPr>
            <w:r>
              <w:rPr>
                <w:rFonts w:hint="eastAsia" w:ascii="宋体" w:hAnsi="宋体" w:cs="宋体"/>
                <w:szCs w:val="21"/>
              </w:rPr>
              <w:t>2.成交供应商须严格按照采购文件的各项要求和响应文件服务承诺执行，因成交供应商未能按采购内容要求和自身的承诺实施项目，由此给采购人造成的不良后果和各项损失，全部由成交供应商承担，并由成交供应商依照有关规定，报请相关部门进行依法处置。</w:t>
            </w:r>
          </w:p>
          <w:p w14:paraId="54AB35BB">
            <w:pPr>
              <w:widowControl/>
              <w:snapToGrid w:val="0"/>
              <w:spacing w:line="440" w:lineRule="exact"/>
              <w:ind w:firstLine="420" w:firstLineChars="200"/>
              <w:rPr>
                <w:rFonts w:ascii="宋体" w:hAnsi="宋体" w:cs="宋体"/>
                <w:szCs w:val="21"/>
              </w:rPr>
            </w:pPr>
            <w:r>
              <w:rPr>
                <w:rFonts w:hint="eastAsia" w:ascii="宋体" w:hAnsi="宋体" w:cs="宋体"/>
                <w:szCs w:val="21"/>
              </w:rPr>
              <w:t>3.成交供应商实施项目工作期间如出现人员人身、财产安全事故、损失等由成交供应商全部负责，采购人不负任何责任。</w:t>
            </w:r>
          </w:p>
          <w:p w14:paraId="47392904">
            <w:pPr>
              <w:adjustRightInd/>
              <w:spacing w:line="360" w:lineRule="auto"/>
              <w:ind w:firstLine="420" w:firstLineChars="200"/>
              <w:rPr>
                <w:rFonts w:ascii="宋体" w:hAnsi="宋体" w:cs="宋体"/>
                <w:szCs w:val="21"/>
              </w:rPr>
            </w:pPr>
            <w:r>
              <w:rPr>
                <w:rFonts w:hint="eastAsia" w:ascii="宋体" w:hAnsi="宋体" w:cs="宋体"/>
                <w:szCs w:val="21"/>
              </w:rPr>
              <w:t>4.成交供应商应严格按照服务要求及标准内容进行响应和实施，若由成交供应商不按要求实施服务，给采购方带来经济损失和法律责任，全部由成交供应商承担。</w:t>
            </w:r>
          </w:p>
          <w:p w14:paraId="76E74F5F">
            <w:pPr>
              <w:adjustRightInd/>
              <w:spacing w:line="360" w:lineRule="auto"/>
              <w:ind w:firstLine="420" w:firstLineChars="200"/>
              <w:rPr>
                <w:rFonts w:ascii="宋体" w:hAnsi="宋体" w:cs="宋体"/>
                <w:szCs w:val="21"/>
              </w:rPr>
            </w:pPr>
            <w:r>
              <w:rPr>
                <w:rFonts w:hint="eastAsia" w:ascii="宋体" w:hAnsi="宋体" w:cs="宋体"/>
                <w:szCs w:val="21"/>
              </w:rPr>
              <w:t>5.成交供应商在质量保证期内应当为采购人提供以下技术支持和服务：</w:t>
            </w:r>
          </w:p>
          <w:p w14:paraId="22DCF64F">
            <w:pPr>
              <w:adjustRightInd/>
              <w:spacing w:line="360" w:lineRule="auto"/>
              <w:ind w:firstLine="420" w:firstLineChars="200"/>
              <w:rPr>
                <w:rFonts w:ascii="宋体" w:hAnsi="宋体" w:cs="宋体"/>
                <w:szCs w:val="21"/>
              </w:rPr>
            </w:pPr>
            <w:r>
              <w:rPr>
                <w:rFonts w:hint="eastAsia" w:ascii="宋体" w:hAnsi="宋体" w:cs="宋体"/>
                <w:szCs w:val="21"/>
              </w:rPr>
              <w:t>5.1电话咨询</w:t>
            </w:r>
          </w:p>
          <w:p w14:paraId="11E205DA">
            <w:pPr>
              <w:adjustRightInd/>
              <w:spacing w:line="360" w:lineRule="auto"/>
              <w:ind w:firstLine="420" w:firstLineChars="200"/>
              <w:rPr>
                <w:rFonts w:ascii="宋体" w:hAnsi="宋体" w:cs="宋体"/>
                <w:szCs w:val="21"/>
              </w:rPr>
            </w:pPr>
            <w:r>
              <w:rPr>
                <w:rFonts w:hint="eastAsia" w:ascii="宋体" w:hAnsi="宋体" w:cs="宋体"/>
                <w:szCs w:val="21"/>
              </w:rPr>
              <w:t>成交供应商应当为采购人提供技术援助电话，解答采购人在项目执行过程中遇到的问题，及时为采购人提出解决问题的建议。</w:t>
            </w:r>
          </w:p>
          <w:p w14:paraId="270724CF">
            <w:pPr>
              <w:adjustRightInd/>
              <w:spacing w:line="360" w:lineRule="auto"/>
              <w:ind w:firstLine="420" w:firstLineChars="200"/>
              <w:rPr>
                <w:rFonts w:ascii="宋体" w:hAnsi="宋体" w:cs="宋体"/>
                <w:szCs w:val="21"/>
              </w:rPr>
            </w:pPr>
            <w:r>
              <w:rPr>
                <w:rFonts w:hint="eastAsia" w:ascii="宋体" w:hAnsi="宋体" w:cs="宋体"/>
                <w:szCs w:val="21"/>
              </w:rPr>
              <w:t>5.2现场响应</w:t>
            </w:r>
          </w:p>
          <w:p w14:paraId="581BDDE8">
            <w:pPr>
              <w:adjustRightInd/>
              <w:spacing w:line="360" w:lineRule="auto"/>
              <w:ind w:firstLine="420" w:firstLineChars="200"/>
              <w:rPr>
                <w:rFonts w:ascii="宋体" w:hAnsi="宋体" w:cs="宋体"/>
                <w:szCs w:val="21"/>
              </w:rPr>
            </w:pPr>
            <w:r>
              <w:rPr>
                <w:rFonts w:hint="eastAsia" w:ascii="宋体" w:hAnsi="宋体" w:cs="宋体"/>
                <w:szCs w:val="21"/>
              </w:rPr>
              <w:t>采购人遇到技术问题，电话咨询不能解决的，成交供应商应在2天内到达采购人指定现场。</w:t>
            </w:r>
          </w:p>
          <w:p w14:paraId="401CFCC6">
            <w:pPr>
              <w:adjustRightInd/>
              <w:spacing w:line="360" w:lineRule="auto"/>
              <w:ind w:firstLine="420" w:firstLineChars="200"/>
              <w:rPr>
                <w:rFonts w:ascii="宋体" w:hAnsi="宋体" w:cs="宋体"/>
                <w:szCs w:val="21"/>
              </w:rPr>
            </w:pPr>
            <w:r>
              <w:rPr>
                <w:rFonts w:hint="eastAsia" w:ascii="宋体" w:hAnsi="宋体" w:cs="宋体"/>
                <w:szCs w:val="21"/>
              </w:rPr>
              <w:t>6.知识产权：供应商应保证北海市自然资源局在接受其提供的相关服务时免受第三方提出侵犯其知识产权的起诉，由此引起的知识产权纠纷及引起的法律裁决、诉讼及赔偿费用均由成交供应商承担。</w:t>
            </w:r>
          </w:p>
        </w:tc>
      </w:tr>
    </w:tbl>
    <w:p w14:paraId="0BC6719E">
      <w:pPr>
        <w:pStyle w:val="100"/>
        <w:jc w:val="center"/>
        <w:rPr>
          <w:rFonts w:asciiTheme="minorEastAsia" w:hAnsiTheme="minorEastAsia" w:eastAsiaTheme="minorEastAsia" w:cstheme="minorEastAsia"/>
          <w:b/>
          <w:bCs/>
        </w:rPr>
      </w:pPr>
    </w:p>
    <w:p w14:paraId="570181CE">
      <w:pP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p>
    <w:p w14:paraId="6FDD99A5">
      <w:pPr>
        <w:spacing w:line="528" w:lineRule="exact"/>
        <w:jc w:val="center"/>
        <w:rPr>
          <w:rFonts w:ascii="宋体" w:hAnsi="宋体" w:cs="宋体"/>
          <w:sz w:val="40"/>
          <w:szCs w:val="40"/>
        </w:rPr>
      </w:pPr>
      <w:r>
        <w:rPr>
          <w:rFonts w:hint="eastAsia" w:ascii="宋体" w:hAnsi="宋体" w:cs="宋体"/>
          <w:sz w:val="40"/>
          <w:szCs w:val="40"/>
        </w:rPr>
        <w:t>中小微企业划型标准</w:t>
      </w:r>
    </w:p>
    <w:tbl>
      <w:tblPr>
        <w:tblStyle w:val="61"/>
        <w:tblW w:w="9465" w:type="dxa"/>
        <w:jc w:val="center"/>
        <w:tblLayout w:type="fixed"/>
        <w:tblCellMar>
          <w:top w:w="0" w:type="dxa"/>
          <w:left w:w="108" w:type="dxa"/>
          <w:bottom w:w="0" w:type="dxa"/>
          <w:right w:w="108" w:type="dxa"/>
        </w:tblCellMar>
      </w:tblPr>
      <w:tblGrid>
        <w:gridCol w:w="1804"/>
        <w:gridCol w:w="1679"/>
        <w:gridCol w:w="1259"/>
        <w:gridCol w:w="1957"/>
        <w:gridCol w:w="1684"/>
        <w:gridCol w:w="1082"/>
      </w:tblGrid>
      <w:tr w14:paraId="4672E76E">
        <w:tblPrEx>
          <w:tblCellMar>
            <w:top w:w="0" w:type="dxa"/>
            <w:left w:w="108" w:type="dxa"/>
            <w:bottom w:w="0" w:type="dxa"/>
            <w:right w:w="108" w:type="dxa"/>
          </w:tblCellMar>
        </w:tblPrEx>
        <w:trPr>
          <w:trHeight w:val="405" w:hRule="atLeast"/>
          <w:jc w:val="center"/>
        </w:trPr>
        <w:tc>
          <w:tcPr>
            <w:tcW w:w="1804" w:type="dxa"/>
            <w:tcBorders>
              <w:top w:val="single" w:color="auto" w:sz="4" w:space="0"/>
              <w:left w:val="single" w:color="auto" w:sz="4" w:space="0"/>
              <w:bottom w:val="single" w:color="auto" w:sz="4" w:space="0"/>
              <w:right w:val="single" w:color="auto" w:sz="4" w:space="0"/>
            </w:tcBorders>
            <w:vAlign w:val="center"/>
          </w:tcPr>
          <w:p w14:paraId="235C38AB">
            <w:pPr>
              <w:widowControl/>
              <w:jc w:val="center"/>
              <w:rPr>
                <w:rFonts w:ascii="宋体" w:hAnsi="宋体" w:cs="宋体"/>
                <w:b/>
                <w:kern w:val="0"/>
                <w:sz w:val="24"/>
              </w:rPr>
            </w:pPr>
            <w:r>
              <w:rPr>
                <w:rFonts w:hint="eastAsia" w:ascii="宋体" w:hAnsi="宋体" w:cs="宋体"/>
                <w:b/>
                <w:kern w:val="0"/>
                <w:sz w:val="24"/>
              </w:rPr>
              <w:t>行业名称</w:t>
            </w:r>
          </w:p>
        </w:tc>
        <w:tc>
          <w:tcPr>
            <w:tcW w:w="1679" w:type="dxa"/>
            <w:tcBorders>
              <w:top w:val="single" w:color="auto" w:sz="4" w:space="0"/>
              <w:left w:val="nil"/>
              <w:bottom w:val="single" w:color="auto" w:sz="4" w:space="0"/>
              <w:right w:val="single" w:color="auto" w:sz="4" w:space="0"/>
            </w:tcBorders>
            <w:vAlign w:val="center"/>
          </w:tcPr>
          <w:p w14:paraId="23F6B6FD">
            <w:pPr>
              <w:widowControl/>
              <w:jc w:val="center"/>
              <w:rPr>
                <w:rFonts w:ascii="宋体" w:hAnsi="宋体" w:cs="宋体"/>
                <w:b/>
                <w:kern w:val="0"/>
                <w:sz w:val="24"/>
              </w:rPr>
            </w:pPr>
            <w:r>
              <w:rPr>
                <w:rFonts w:hint="eastAsia" w:ascii="宋体" w:hAnsi="宋体" w:cs="宋体"/>
                <w:b/>
                <w:kern w:val="0"/>
                <w:sz w:val="24"/>
              </w:rPr>
              <w:t>指标名称</w:t>
            </w:r>
          </w:p>
        </w:tc>
        <w:tc>
          <w:tcPr>
            <w:tcW w:w="1259" w:type="dxa"/>
            <w:tcBorders>
              <w:top w:val="single" w:color="auto" w:sz="4" w:space="0"/>
              <w:left w:val="nil"/>
              <w:bottom w:val="single" w:color="auto" w:sz="4" w:space="0"/>
              <w:right w:val="single" w:color="auto" w:sz="4" w:space="0"/>
            </w:tcBorders>
            <w:vAlign w:val="center"/>
          </w:tcPr>
          <w:p w14:paraId="4AD6CA99">
            <w:pPr>
              <w:widowControl/>
              <w:jc w:val="center"/>
              <w:rPr>
                <w:rFonts w:ascii="宋体" w:hAnsi="宋体" w:cs="宋体"/>
                <w:b/>
                <w:kern w:val="0"/>
                <w:sz w:val="24"/>
              </w:rPr>
            </w:pPr>
            <w:r>
              <w:rPr>
                <w:rFonts w:hint="eastAsia" w:ascii="宋体" w:hAnsi="宋体" w:cs="宋体"/>
                <w:b/>
                <w:kern w:val="0"/>
                <w:sz w:val="24"/>
              </w:rPr>
              <w:t>计量单位</w:t>
            </w:r>
          </w:p>
        </w:tc>
        <w:tc>
          <w:tcPr>
            <w:tcW w:w="1957" w:type="dxa"/>
            <w:tcBorders>
              <w:top w:val="single" w:color="auto" w:sz="4" w:space="0"/>
              <w:left w:val="nil"/>
              <w:bottom w:val="single" w:color="auto" w:sz="4" w:space="0"/>
              <w:right w:val="single" w:color="auto" w:sz="4" w:space="0"/>
            </w:tcBorders>
            <w:vAlign w:val="center"/>
          </w:tcPr>
          <w:p w14:paraId="2D271C63">
            <w:pPr>
              <w:widowControl/>
              <w:jc w:val="center"/>
              <w:rPr>
                <w:rFonts w:ascii="宋体" w:hAnsi="宋体" w:cs="宋体"/>
                <w:b/>
                <w:kern w:val="0"/>
                <w:sz w:val="24"/>
              </w:rPr>
            </w:pPr>
            <w:r>
              <w:rPr>
                <w:rFonts w:hint="eastAsia" w:ascii="宋体" w:hAnsi="宋体" w:cs="宋体"/>
                <w:b/>
                <w:kern w:val="0"/>
                <w:sz w:val="24"/>
              </w:rPr>
              <w:t>中型</w:t>
            </w:r>
          </w:p>
        </w:tc>
        <w:tc>
          <w:tcPr>
            <w:tcW w:w="1684" w:type="dxa"/>
            <w:tcBorders>
              <w:top w:val="single" w:color="auto" w:sz="4" w:space="0"/>
              <w:left w:val="nil"/>
              <w:bottom w:val="single" w:color="auto" w:sz="4" w:space="0"/>
              <w:right w:val="single" w:color="auto" w:sz="4" w:space="0"/>
            </w:tcBorders>
            <w:vAlign w:val="center"/>
          </w:tcPr>
          <w:p w14:paraId="5078BC69">
            <w:pPr>
              <w:widowControl/>
              <w:jc w:val="center"/>
              <w:rPr>
                <w:rFonts w:ascii="宋体" w:hAnsi="宋体" w:cs="宋体"/>
                <w:b/>
                <w:kern w:val="0"/>
                <w:sz w:val="24"/>
              </w:rPr>
            </w:pPr>
            <w:r>
              <w:rPr>
                <w:rFonts w:hint="eastAsia" w:ascii="宋体" w:hAnsi="宋体" w:cs="宋体"/>
                <w:b/>
                <w:kern w:val="0"/>
                <w:sz w:val="24"/>
              </w:rPr>
              <w:t>小型</w:t>
            </w:r>
          </w:p>
        </w:tc>
        <w:tc>
          <w:tcPr>
            <w:tcW w:w="1082" w:type="dxa"/>
            <w:tcBorders>
              <w:top w:val="single" w:color="auto" w:sz="4" w:space="0"/>
              <w:left w:val="nil"/>
              <w:bottom w:val="single" w:color="auto" w:sz="4" w:space="0"/>
              <w:right w:val="single" w:color="auto" w:sz="4" w:space="0"/>
            </w:tcBorders>
            <w:vAlign w:val="center"/>
          </w:tcPr>
          <w:p w14:paraId="42E0D5B2">
            <w:pPr>
              <w:widowControl/>
              <w:jc w:val="center"/>
              <w:rPr>
                <w:rFonts w:ascii="宋体" w:hAnsi="宋体" w:cs="宋体"/>
                <w:b/>
                <w:kern w:val="0"/>
                <w:sz w:val="24"/>
              </w:rPr>
            </w:pPr>
            <w:r>
              <w:rPr>
                <w:rFonts w:hint="eastAsia" w:ascii="宋体" w:hAnsi="宋体" w:cs="宋体"/>
                <w:b/>
                <w:kern w:val="0"/>
                <w:sz w:val="24"/>
              </w:rPr>
              <w:t>微型</w:t>
            </w:r>
          </w:p>
        </w:tc>
      </w:tr>
      <w:tr w14:paraId="353E4D11">
        <w:tblPrEx>
          <w:tblCellMar>
            <w:top w:w="0" w:type="dxa"/>
            <w:left w:w="108" w:type="dxa"/>
            <w:bottom w:w="0" w:type="dxa"/>
            <w:right w:w="108" w:type="dxa"/>
          </w:tblCellMar>
        </w:tblPrEx>
        <w:trPr>
          <w:trHeight w:val="356" w:hRule="atLeast"/>
          <w:jc w:val="center"/>
        </w:trPr>
        <w:tc>
          <w:tcPr>
            <w:tcW w:w="1804" w:type="dxa"/>
            <w:tcBorders>
              <w:top w:val="nil"/>
              <w:left w:val="single" w:color="auto" w:sz="4" w:space="0"/>
              <w:bottom w:val="single" w:color="auto" w:sz="4" w:space="0"/>
              <w:right w:val="single" w:color="auto" w:sz="4" w:space="0"/>
            </w:tcBorders>
            <w:vAlign w:val="bottom"/>
          </w:tcPr>
          <w:p w14:paraId="412531AA">
            <w:pPr>
              <w:widowControl/>
              <w:jc w:val="center"/>
              <w:rPr>
                <w:rFonts w:ascii="宋体" w:hAnsi="宋体" w:cs="宋体"/>
                <w:b/>
                <w:bCs/>
                <w:kern w:val="0"/>
                <w:szCs w:val="21"/>
              </w:rPr>
            </w:pPr>
            <w:r>
              <w:rPr>
                <w:rFonts w:hint="eastAsia" w:ascii="宋体" w:hAnsi="宋体" w:cs="宋体"/>
                <w:b/>
                <w:bCs/>
                <w:kern w:val="0"/>
                <w:szCs w:val="21"/>
              </w:rPr>
              <w:t>农、林、牧、渔</w:t>
            </w:r>
          </w:p>
        </w:tc>
        <w:tc>
          <w:tcPr>
            <w:tcW w:w="1679" w:type="dxa"/>
            <w:tcBorders>
              <w:top w:val="nil"/>
              <w:left w:val="nil"/>
              <w:bottom w:val="single" w:color="auto" w:sz="4" w:space="0"/>
              <w:right w:val="single" w:color="auto" w:sz="4" w:space="0"/>
            </w:tcBorders>
            <w:vAlign w:val="center"/>
          </w:tcPr>
          <w:p w14:paraId="4AEF2445">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534F38EB">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21475EA6">
            <w:pPr>
              <w:widowControl/>
              <w:jc w:val="left"/>
              <w:rPr>
                <w:rFonts w:ascii="宋体" w:hAnsi="宋体" w:cs="宋体"/>
                <w:kern w:val="0"/>
                <w:szCs w:val="21"/>
              </w:rPr>
            </w:pPr>
            <w:r>
              <w:rPr>
                <w:rFonts w:hint="eastAsia" w:ascii="宋体" w:hAnsi="宋体" w:cs="宋体"/>
                <w:kern w:val="0"/>
                <w:szCs w:val="21"/>
              </w:rPr>
              <w:t>500≤Y＜20000</w:t>
            </w:r>
          </w:p>
        </w:tc>
        <w:tc>
          <w:tcPr>
            <w:tcW w:w="1684" w:type="dxa"/>
            <w:tcBorders>
              <w:top w:val="nil"/>
              <w:left w:val="nil"/>
              <w:bottom w:val="single" w:color="auto" w:sz="4" w:space="0"/>
              <w:right w:val="single" w:color="auto" w:sz="4" w:space="0"/>
            </w:tcBorders>
            <w:vAlign w:val="center"/>
          </w:tcPr>
          <w:p w14:paraId="4A06C086">
            <w:pPr>
              <w:widowControl/>
              <w:jc w:val="left"/>
              <w:rPr>
                <w:rFonts w:ascii="宋体" w:hAnsi="宋体" w:cs="宋体"/>
                <w:kern w:val="0"/>
                <w:szCs w:val="21"/>
              </w:rPr>
            </w:pPr>
            <w:r>
              <w:rPr>
                <w:rFonts w:hint="eastAsia" w:ascii="宋体" w:hAnsi="宋体" w:cs="宋体"/>
                <w:kern w:val="0"/>
                <w:szCs w:val="21"/>
              </w:rPr>
              <w:t>50≤Y＜500</w:t>
            </w:r>
          </w:p>
        </w:tc>
        <w:tc>
          <w:tcPr>
            <w:tcW w:w="1082" w:type="dxa"/>
            <w:tcBorders>
              <w:top w:val="nil"/>
              <w:left w:val="nil"/>
              <w:bottom w:val="single" w:color="auto" w:sz="4" w:space="0"/>
              <w:right w:val="single" w:color="auto" w:sz="4" w:space="0"/>
            </w:tcBorders>
            <w:vAlign w:val="center"/>
          </w:tcPr>
          <w:p w14:paraId="0014B3B1">
            <w:pPr>
              <w:widowControl/>
              <w:jc w:val="left"/>
              <w:rPr>
                <w:rFonts w:ascii="宋体" w:hAnsi="宋体" w:cs="宋体"/>
                <w:kern w:val="0"/>
                <w:szCs w:val="21"/>
              </w:rPr>
            </w:pPr>
            <w:r>
              <w:rPr>
                <w:rFonts w:hint="eastAsia" w:ascii="宋体" w:hAnsi="宋体" w:cs="宋体"/>
                <w:kern w:val="0"/>
                <w:szCs w:val="21"/>
              </w:rPr>
              <w:t>Y＜50</w:t>
            </w:r>
          </w:p>
        </w:tc>
      </w:tr>
      <w:tr w14:paraId="45E59F3D">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321F4EC2">
            <w:pPr>
              <w:widowControl/>
              <w:jc w:val="center"/>
              <w:rPr>
                <w:rFonts w:ascii="宋体" w:hAnsi="宋体" w:cs="宋体"/>
                <w:b/>
                <w:bCs/>
                <w:kern w:val="0"/>
                <w:szCs w:val="21"/>
              </w:rPr>
            </w:pPr>
            <w:r>
              <w:rPr>
                <w:rFonts w:hint="eastAsia" w:ascii="宋体" w:hAnsi="宋体" w:cs="宋体"/>
                <w:b/>
                <w:bCs/>
                <w:kern w:val="0"/>
                <w:szCs w:val="21"/>
              </w:rPr>
              <w:t>工业</w:t>
            </w:r>
          </w:p>
        </w:tc>
        <w:tc>
          <w:tcPr>
            <w:tcW w:w="1679" w:type="dxa"/>
            <w:tcBorders>
              <w:top w:val="nil"/>
              <w:left w:val="nil"/>
              <w:bottom w:val="single" w:color="auto" w:sz="4" w:space="0"/>
              <w:right w:val="single" w:color="auto" w:sz="4" w:space="0"/>
            </w:tcBorders>
            <w:vAlign w:val="center"/>
          </w:tcPr>
          <w:p w14:paraId="761D37D3">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59F38134">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6DB082ED">
            <w:pPr>
              <w:widowControl/>
              <w:jc w:val="left"/>
              <w:rPr>
                <w:rFonts w:ascii="宋体" w:hAnsi="宋体" w:cs="宋体"/>
                <w:kern w:val="0"/>
                <w:szCs w:val="21"/>
              </w:rPr>
            </w:pPr>
            <w:r>
              <w:rPr>
                <w:rFonts w:hint="eastAsia" w:ascii="宋体" w:hAnsi="宋体" w:cs="宋体"/>
                <w:kern w:val="0"/>
                <w:szCs w:val="21"/>
              </w:rPr>
              <w:t>300≤X＜1000</w:t>
            </w:r>
          </w:p>
        </w:tc>
        <w:tc>
          <w:tcPr>
            <w:tcW w:w="1684" w:type="dxa"/>
            <w:tcBorders>
              <w:top w:val="nil"/>
              <w:left w:val="nil"/>
              <w:bottom w:val="single" w:color="auto" w:sz="4" w:space="0"/>
              <w:right w:val="single" w:color="auto" w:sz="4" w:space="0"/>
            </w:tcBorders>
            <w:vAlign w:val="center"/>
          </w:tcPr>
          <w:p w14:paraId="279BB28A">
            <w:pPr>
              <w:widowControl/>
              <w:jc w:val="left"/>
              <w:rPr>
                <w:rFonts w:ascii="宋体" w:hAnsi="宋体" w:cs="宋体"/>
                <w:kern w:val="0"/>
                <w:szCs w:val="21"/>
              </w:rPr>
            </w:pPr>
            <w:r>
              <w:rPr>
                <w:rFonts w:hint="eastAsia" w:ascii="宋体" w:hAnsi="宋体" w:cs="宋体"/>
                <w:kern w:val="0"/>
                <w:szCs w:val="21"/>
              </w:rPr>
              <w:t>20≤X＜300</w:t>
            </w:r>
          </w:p>
        </w:tc>
        <w:tc>
          <w:tcPr>
            <w:tcW w:w="1082" w:type="dxa"/>
            <w:tcBorders>
              <w:top w:val="nil"/>
              <w:left w:val="nil"/>
              <w:bottom w:val="single" w:color="auto" w:sz="4" w:space="0"/>
              <w:right w:val="single" w:color="auto" w:sz="4" w:space="0"/>
            </w:tcBorders>
            <w:vAlign w:val="center"/>
          </w:tcPr>
          <w:p w14:paraId="1B1D161A">
            <w:pPr>
              <w:widowControl/>
              <w:jc w:val="left"/>
              <w:rPr>
                <w:rFonts w:ascii="宋体" w:hAnsi="宋体" w:cs="宋体"/>
                <w:kern w:val="0"/>
                <w:szCs w:val="21"/>
              </w:rPr>
            </w:pPr>
            <w:r>
              <w:rPr>
                <w:rFonts w:hint="eastAsia" w:ascii="宋体" w:hAnsi="宋体" w:cs="宋体"/>
                <w:kern w:val="0"/>
                <w:szCs w:val="21"/>
              </w:rPr>
              <w:t>X＜20</w:t>
            </w:r>
          </w:p>
        </w:tc>
      </w:tr>
      <w:tr w14:paraId="19B13103">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151ABF0E">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3E203209">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742C54B7">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63BADB54">
            <w:pPr>
              <w:widowControl/>
              <w:jc w:val="left"/>
              <w:rPr>
                <w:rFonts w:ascii="宋体" w:hAnsi="宋体" w:cs="宋体"/>
                <w:kern w:val="0"/>
                <w:szCs w:val="21"/>
              </w:rPr>
            </w:pPr>
            <w:r>
              <w:rPr>
                <w:rFonts w:hint="eastAsia" w:ascii="宋体" w:hAnsi="宋体" w:cs="宋体"/>
                <w:kern w:val="0"/>
                <w:szCs w:val="21"/>
              </w:rPr>
              <w:t>2000≤Y＜40000</w:t>
            </w:r>
          </w:p>
        </w:tc>
        <w:tc>
          <w:tcPr>
            <w:tcW w:w="1684" w:type="dxa"/>
            <w:tcBorders>
              <w:top w:val="nil"/>
              <w:left w:val="nil"/>
              <w:bottom w:val="single" w:color="auto" w:sz="4" w:space="0"/>
              <w:right w:val="single" w:color="auto" w:sz="4" w:space="0"/>
            </w:tcBorders>
            <w:vAlign w:val="center"/>
          </w:tcPr>
          <w:p w14:paraId="127D0042">
            <w:pPr>
              <w:widowControl/>
              <w:jc w:val="left"/>
              <w:rPr>
                <w:rFonts w:ascii="宋体" w:hAnsi="宋体" w:cs="宋体"/>
                <w:kern w:val="0"/>
                <w:szCs w:val="21"/>
              </w:rPr>
            </w:pPr>
            <w:r>
              <w:rPr>
                <w:rFonts w:hint="eastAsia" w:ascii="宋体" w:hAnsi="宋体" w:cs="宋体"/>
                <w:kern w:val="0"/>
                <w:szCs w:val="21"/>
              </w:rPr>
              <w:t>300≤Y＜2000</w:t>
            </w:r>
          </w:p>
        </w:tc>
        <w:tc>
          <w:tcPr>
            <w:tcW w:w="1082" w:type="dxa"/>
            <w:tcBorders>
              <w:top w:val="nil"/>
              <w:left w:val="nil"/>
              <w:bottom w:val="single" w:color="auto" w:sz="4" w:space="0"/>
              <w:right w:val="single" w:color="auto" w:sz="4" w:space="0"/>
            </w:tcBorders>
            <w:vAlign w:val="center"/>
          </w:tcPr>
          <w:p w14:paraId="607F962D">
            <w:pPr>
              <w:widowControl/>
              <w:jc w:val="left"/>
              <w:rPr>
                <w:rFonts w:ascii="宋体" w:hAnsi="宋体" w:cs="宋体"/>
                <w:kern w:val="0"/>
                <w:szCs w:val="21"/>
              </w:rPr>
            </w:pPr>
            <w:r>
              <w:rPr>
                <w:rFonts w:hint="eastAsia" w:ascii="宋体" w:hAnsi="宋体" w:cs="宋体"/>
                <w:kern w:val="0"/>
                <w:szCs w:val="21"/>
              </w:rPr>
              <w:t>Y＜300</w:t>
            </w:r>
          </w:p>
        </w:tc>
      </w:tr>
      <w:tr w14:paraId="61DA01F6">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3DB212D0">
            <w:pPr>
              <w:widowControl/>
              <w:jc w:val="center"/>
              <w:rPr>
                <w:rFonts w:ascii="宋体" w:hAnsi="宋体" w:cs="宋体"/>
                <w:b/>
                <w:bCs/>
                <w:kern w:val="0"/>
                <w:szCs w:val="21"/>
              </w:rPr>
            </w:pPr>
            <w:r>
              <w:rPr>
                <w:rFonts w:hint="eastAsia" w:ascii="宋体" w:hAnsi="宋体" w:cs="宋体"/>
                <w:b/>
                <w:bCs/>
                <w:kern w:val="0"/>
                <w:szCs w:val="21"/>
              </w:rPr>
              <w:t>建筑业</w:t>
            </w:r>
          </w:p>
        </w:tc>
        <w:tc>
          <w:tcPr>
            <w:tcW w:w="1679" w:type="dxa"/>
            <w:tcBorders>
              <w:top w:val="nil"/>
              <w:left w:val="nil"/>
              <w:bottom w:val="single" w:color="auto" w:sz="4" w:space="0"/>
              <w:right w:val="single" w:color="auto" w:sz="4" w:space="0"/>
            </w:tcBorders>
            <w:vAlign w:val="center"/>
          </w:tcPr>
          <w:p w14:paraId="73887D6A">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56405321">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7CC1EA22">
            <w:pPr>
              <w:widowControl/>
              <w:jc w:val="left"/>
              <w:rPr>
                <w:rFonts w:ascii="宋体" w:hAnsi="宋体" w:cs="宋体"/>
                <w:kern w:val="0"/>
                <w:szCs w:val="21"/>
              </w:rPr>
            </w:pPr>
            <w:r>
              <w:rPr>
                <w:rFonts w:hint="eastAsia" w:ascii="宋体" w:hAnsi="宋体" w:cs="宋体"/>
                <w:kern w:val="0"/>
                <w:szCs w:val="21"/>
              </w:rPr>
              <w:t>6000≤Y＜80000</w:t>
            </w:r>
          </w:p>
        </w:tc>
        <w:tc>
          <w:tcPr>
            <w:tcW w:w="1684" w:type="dxa"/>
            <w:tcBorders>
              <w:top w:val="nil"/>
              <w:left w:val="nil"/>
              <w:bottom w:val="single" w:color="auto" w:sz="4" w:space="0"/>
              <w:right w:val="single" w:color="auto" w:sz="4" w:space="0"/>
            </w:tcBorders>
            <w:vAlign w:val="center"/>
          </w:tcPr>
          <w:p w14:paraId="36400FB1">
            <w:pPr>
              <w:widowControl/>
              <w:jc w:val="left"/>
              <w:rPr>
                <w:rFonts w:ascii="宋体" w:hAnsi="宋体" w:cs="宋体"/>
                <w:kern w:val="0"/>
                <w:szCs w:val="21"/>
              </w:rPr>
            </w:pPr>
            <w:r>
              <w:rPr>
                <w:rFonts w:hint="eastAsia" w:ascii="宋体" w:hAnsi="宋体" w:cs="宋体"/>
                <w:kern w:val="0"/>
                <w:szCs w:val="21"/>
              </w:rPr>
              <w:t>300≤Y＜6000</w:t>
            </w:r>
          </w:p>
        </w:tc>
        <w:tc>
          <w:tcPr>
            <w:tcW w:w="1082" w:type="dxa"/>
            <w:tcBorders>
              <w:top w:val="nil"/>
              <w:left w:val="nil"/>
              <w:bottom w:val="single" w:color="auto" w:sz="4" w:space="0"/>
              <w:right w:val="single" w:color="auto" w:sz="4" w:space="0"/>
            </w:tcBorders>
            <w:vAlign w:val="center"/>
          </w:tcPr>
          <w:p w14:paraId="52A6BE29">
            <w:pPr>
              <w:widowControl/>
              <w:jc w:val="left"/>
              <w:rPr>
                <w:rFonts w:ascii="宋体" w:hAnsi="宋体" w:cs="宋体"/>
                <w:kern w:val="0"/>
                <w:szCs w:val="21"/>
              </w:rPr>
            </w:pPr>
            <w:r>
              <w:rPr>
                <w:rFonts w:hint="eastAsia" w:ascii="宋体" w:hAnsi="宋体" w:cs="宋体"/>
                <w:kern w:val="0"/>
                <w:szCs w:val="21"/>
              </w:rPr>
              <w:t>Y＜300</w:t>
            </w:r>
          </w:p>
        </w:tc>
      </w:tr>
      <w:tr w14:paraId="490496AC">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038A16C2">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6397C287">
            <w:pPr>
              <w:widowControl/>
              <w:jc w:val="center"/>
              <w:rPr>
                <w:rFonts w:ascii="宋体" w:hAnsi="宋体" w:cs="宋体"/>
                <w:kern w:val="0"/>
                <w:szCs w:val="21"/>
              </w:rPr>
            </w:pPr>
            <w:r>
              <w:rPr>
                <w:rFonts w:hint="eastAsia" w:ascii="宋体" w:hAnsi="宋体" w:cs="宋体"/>
                <w:kern w:val="0"/>
                <w:szCs w:val="21"/>
              </w:rPr>
              <w:t>资产总额（Z）</w:t>
            </w:r>
          </w:p>
        </w:tc>
        <w:tc>
          <w:tcPr>
            <w:tcW w:w="1259" w:type="dxa"/>
            <w:tcBorders>
              <w:top w:val="nil"/>
              <w:left w:val="nil"/>
              <w:bottom w:val="single" w:color="auto" w:sz="4" w:space="0"/>
              <w:right w:val="single" w:color="auto" w:sz="4" w:space="0"/>
            </w:tcBorders>
            <w:vAlign w:val="center"/>
          </w:tcPr>
          <w:p w14:paraId="500E9BC5">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5B7AAF87">
            <w:pPr>
              <w:widowControl/>
              <w:jc w:val="left"/>
              <w:rPr>
                <w:rFonts w:ascii="宋体" w:hAnsi="宋体" w:cs="宋体"/>
                <w:kern w:val="0"/>
                <w:szCs w:val="21"/>
              </w:rPr>
            </w:pPr>
            <w:r>
              <w:rPr>
                <w:rFonts w:hint="eastAsia" w:ascii="宋体" w:hAnsi="宋体" w:cs="宋体"/>
                <w:kern w:val="0"/>
                <w:szCs w:val="21"/>
              </w:rPr>
              <w:t>5000≤Z＜80000</w:t>
            </w:r>
          </w:p>
        </w:tc>
        <w:tc>
          <w:tcPr>
            <w:tcW w:w="1684" w:type="dxa"/>
            <w:tcBorders>
              <w:top w:val="nil"/>
              <w:left w:val="nil"/>
              <w:bottom w:val="single" w:color="auto" w:sz="4" w:space="0"/>
              <w:right w:val="single" w:color="auto" w:sz="4" w:space="0"/>
            </w:tcBorders>
            <w:vAlign w:val="center"/>
          </w:tcPr>
          <w:p w14:paraId="0CACBB84">
            <w:pPr>
              <w:widowControl/>
              <w:jc w:val="left"/>
              <w:rPr>
                <w:rFonts w:ascii="宋体" w:hAnsi="宋体" w:cs="宋体"/>
                <w:kern w:val="0"/>
                <w:szCs w:val="21"/>
              </w:rPr>
            </w:pPr>
            <w:r>
              <w:rPr>
                <w:rFonts w:hint="eastAsia" w:ascii="宋体" w:hAnsi="宋体" w:cs="宋体"/>
                <w:kern w:val="0"/>
                <w:szCs w:val="21"/>
              </w:rPr>
              <w:t>300≤Z＜5000</w:t>
            </w:r>
          </w:p>
        </w:tc>
        <w:tc>
          <w:tcPr>
            <w:tcW w:w="1082" w:type="dxa"/>
            <w:tcBorders>
              <w:top w:val="nil"/>
              <w:left w:val="nil"/>
              <w:bottom w:val="single" w:color="auto" w:sz="4" w:space="0"/>
              <w:right w:val="single" w:color="auto" w:sz="4" w:space="0"/>
            </w:tcBorders>
            <w:vAlign w:val="center"/>
          </w:tcPr>
          <w:p w14:paraId="59A278E4">
            <w:pPr>
              <w:widowControl/>
              <w:jc w:val="left"/>
              <w:rPr>
                <w:rFonts w:ascii="宋体" w:hAnsi="宋体" w:cs="宋体"/>
                <w:kern w:val="0"/>
                <w:szCs w:val="21"/>
              </w:rPr>
            </w:pPr>
            <w:r>
              <w:rPr>
                <w:rFonts w:hint="eastAsia" w:ascii="宋体" w:hAnsi="宋体" w:cs="宋体"/>
                <w:kern w:val="0"/>
                <w:szCs w:val="21"/>
              </w:rPr>
              <w:t>Z＜300</w:t>
            </w:r>
          </w:p>
        </w:tc>
      </w:tr>
      <w:tr w14:paraId="758D0C58">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50152823">
            <w:pPr>
              <w:widowControl/>
              <w:jc w:val="center"/>
              <w:rPr>
                <w:rFonts w:ascii="宋体" w:hAnsi="宋体" w:cs="宋体"/>
                <w:b/>
                <w:bCs/>
                <w:kern w:val="0"/>
                <w:szCs w:val="21"/>
              </w:rPr>
            </w:pPr>
            <w:r>
              <w:rPr>
                <w:rFonts w:hint="eastAsia" w:ascii="宋体" w:hAnsi="宋体" w:cs="宋体"/>
                <w:b/>
                <w:bCs/>
                <w:kern w:val="0"/>
                <w:szCs w:val="21"/>
              </w:rPr>
              <w:t>批发业</w:t>
            </w:r>
          </w:p>
        </w:tc>
        <w:tc>
          <w:tcPr>
            <w:tcW w:w="1679" w:type="dxa"/>
            <w:tcBorders>
              <w:top w:val="nil"/>
              <w:left w:val="nil"/>
              <w:bottom w:val="single" w:color="auto" w:sz="4" w:space="0"/>
              <w:right w:val="single" w:color="auto" w:sz="4" w:space="0"/>
            </w:tcBorders>
            <w:vAlign w:val="center"/>
          </w:tcPr>
          <w:p w14:paraId="56B1B6E2">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7AC1D2B7">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78BDB5C8">
            <w:pPr>
              <w:widowControl/>
              <w:jc w:val="left"/>
              <w:rPr>
                <w:rFonts w:ascii="宋体" w:hAnsi="宋体" w:cs="宋体"/>
                <w:kern w:val="0"/>
                <w:szCs w:val="21"/>
              </w:rPr>
            </w:pPr>
            <w:r>
              <w:rPr>
                <w:rFonts w:hint="eastAsia" w:ascii="宋体" w:hAnsi="宋体" w:cs="宋体"/>
                <w:kern w:val="0"/>
                <w:szCs w:val="21"/>
              </w:rPr>
              <w:t>20≤X＜200</w:t>
            </w:r>
          </w:p>
        </w:tc>
        <w:tc>
          <w:tcPr>
            <w:tcW w:w="1684" w:type="dxa"/>
            <w:tcBorders>
              <w:top w:val="nil"/>
              <w:left w:val="nil"/>
              <w:bottom w:val="single" w:color="auto" w:sz="4" w:space="0"/>
              <w:right w:val="single" w:color="auto" w:sz="4" w:space="0"/>
            </w:tcBorders>
            <w:vAlign w:val="center"/>
          </w:tcPr>
          <w:p w14:paraId="20F3AAE0">
            <w:pPr>
              <w:widowControl/>
              <w:jc w:val="left"/>
              <w:rPr>
                <w:rFonts w:ascii="宋体" w:hAnsi="宋体" w:cs="宋体"/>
                <w:kern w:val="0"/>
                <w:szCs w:val="21"/>
              </w:rPr>
            </w:pPr>
            <w:r>
              <w:rPr>
                <w:rFonts w:hint="eastAsia" w:ascii="宋体" w:hAnsi="宋体" w:cs="宋体"/>
                <w:kern w:val="0"/>
                <w:szCs w:val="21"/>
              </w:rPr>
              <w:t>5≤X＜20</w:t>
            </w:r>
          </w:p>
        </w:tc>
        <w:tc>
          <w:tcPr>
            <w:tcW w:w="1082" w:type="dxa"/>
            <w:tcBorders>
              <w:top w:val="nil"/>
              <w:left w:val="nil"/>
              <w:bottom w:val="single" w:color="auto" w:sz="4" w:space="0"/>
              <w:right w:val="single" w:color="auto" w:sz="4" w:space="0"/>
            </w:tcBorders>
            <w:vAlign w:val="center"/>
          </w:tcPr>
          <w:p w14:paraId="3EEF1889">
            <w:pPr>
              <w:widowControl/>
              <w:jc w:val="left"/>
              <w:rPr>
                <w:rFonts w:ascii="宋体" w:hAnsi="宋体" w:cs="宋体"/>
                <w:kern w:val="0"/>
                <w:szCs w:val="21"/>
              </w:rPr>
            </w:pPr>
            <w:r>
              <w:rPr>
                <w:rFonts w:hint="eastAsia" w:ascii="宋体" w:hAnsi="宋体" w:cs="宋体"/>
                <w:kern w:val="0"/>
                <w:szCs w:val="21"/>
              </w:rPr>
              <w:t>X＜5</w:t>
            </w:r>
          </w:p>
        </w:tc>
      </w:tr>
      <w:tr w14:paraId="396C9704">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3F1F7E3C">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363A9DC9">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01C407A2">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58657CA2">
            <w:pPr>
              <w:widowControl/>
              <w:jc w:val="left"/>
              <w:rPr>
                <w:rFonts w:ascii="宋体" w:hAnsi="宋体" w:cs="宋体"/>
                <w:kern w:val="0"/>
                <w:szCs w:val="21"/>
              </w:rPr>
            </w:pPr>
            <w:r>
              <w:rPr>
                <w:rFonts w:hint="eastAsia" w:ascii="宋体" w:hAnsi="宋体" w:cs="宋体"/>
                <w:kern w:val="0"/>
                <w:szCs w:val="21"/>
              </w:rPr>
              <w:t>5000≤Y＜40000</w:t>
            </w:r>
          </w:p>
        </w:tc>
        <w:tc>
          <w:tcPr>
            <w:tcW w:w="1684" w:type="dxa"/>
            <w:tcBorders>
              <w:top w:val="nil"/>
              <w:left w:val="nil"/>
              <w:bottom w:val="single" w:color="auto" w:sz="4" w:space="0"/>
              <w:right w:val="single" w:color="auto" w:sz="4" w:space="0"/>
            </w:tcBorders>
            <w:vAlign w:val="center"/>
          </w:tcPr>
          <w:p w14:paraId="486B4831">
            <w:pPr>
              <w:widowControl/>
              <w:jc w:val="left"/>
              <w:rPr>
                <w:rFonts w:ascii="宋体" w:hAnsi="宋体" w:cs="宋体"/>
                <w:kern w:val="0"/>
                <w:szCs w:val="21"/>
              </w:rPr>
            </w:pPr>
            <w:r>
              <w:rPr>
                <w:rFonts w:hint="eastAsia" w:ascii="宋体" w:hAnsi="宋体" w:cs="宋体"/>
                <w:kern w:val="0"/>
                <w:szCs w:val="21"/>
              </w:rPr>
              <w:t>1000≤Y＜5000</w:t>
            </w:r>
          </w:p>
        </w:tc>
        <w:tc>
          <w:tcPr>
            <w:tcW w:w="1082" w:type="dxa"/>
            <w:tcBorders>
              <w:top w:val="nil"/>
              <w:left w:val="nil"/>
              <w:bottom w:val="single" w:color="auto" w:sz="4" w:space="0"/>
              <w:right w:val="single" w:color="auto" w:sz="4" w:space="0"/>
            </w:tcBorders>
            <w:vAlign w:val="center"/>
          </w:tcPr>
          <w:p w14:paraId="56BD5B83">
            <w:pPr>
              <w:widowControl/>
              <w:jc w:val="left"/>
              <w:rPr>
                <w:rFonts w:ascii="宋体" w:hAnsi="宋体" w:cs="宋体"/>
                <w:kern w:val="0"/>
                <w:szCs w:val="21"/>
              </w:rPr>
            </w:pPr>
            <w:r>
              <w:rPr>
                <w:rFonts w:hint="eastAsia" w:ascii="宋体" w:hAnsi="宋体" w:cs="宋体"/>
                <w:kern w:val="0"/>
                <w:szCs w:val="21"/>
              </w:rPr>
              <w:t>Y＜1000</w:t>
            </w:r>
          </w:p>
        </w:tc>
      </w:tr>
      <w:tr w14:paraId="25D8F583">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15EA59E9">
            <w:pPr>
              <w:widowControl/>
              <w:jc w:val="center"/>
              <w:rPr>
                <w:rFonts w:ascii="宋体" w:hAnsi="宋体" w:cs="宋体"/>
                <w:b/>
                <w:bCs/>
                <w:kern w:val="0"/>
                <w:szCs w:val="21"/>
              </w:rPr>
            </w:pPr>
            <w:r>
              <w:rPr>
                <w:rFonts w:hint="eastAsia" w:ascii="宋体" w:hAnsi="宋体" w:cs="宋体"/>
                <w:b/>
                <w:bCs/>
                <w:kern w:val="0"/>
                <w:szCs w:val="21"/>
              </w:rPr>
              <w:t>零售业</w:t>
            </w:r>
          </w:p>
        </w:tc>
        <w:tc>
          <w:tcPr>
            <w:tcW w:w="1679" w:type="dxa"/>
            <w:tcBorders>
              <w:top w:val="nil"/>
              <w:left w:val="nil"/>
              <w:bottom w:val="single" w:color="auto" w:sz="4" w:space="0"/>
              <w:right w:val="single" w:color="auto" w:sz="4" w:space="0"/>
            </w:tcBorders>
            <w:vAlign w:val="center"/>
          </w:tcPr>
          <w:p w14:paraId="5A87F0DF">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2C3081D1">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5BF0EA7E">
            <w:pPr>
              <w:widowControl/>
              <w:jc w:val="left"/>
              <w:rPr>
                <w:rFonts w:ascii="宋体" w:hAnsi="宋体" w:cs="宋体"/>
                <w:kern w:val="0"/>
                <w:szCs w:val="21"/>
              </w:rPr>
            </w:pPr>
            <w:r>
              <w:rPr>
                <w:rFonts w:hint="eastAsia" w:ascii="宋体" w:hAnsi="宋体" w:cs="宋体"/>
                <w:kern w:val="0"/>
                <w:szCs w:val="21"/>
              </w:rPr>
              <w:t>50≤X＜300</w:t>
            </w:r>
          </w:p>
        </w:tc>
        <w:tc>
          <w:tcPr>
            <w:tcW w:w="1684" w:type="dxa"/>
            <w:tcBorders>
              <w:top w:val="nil"/>
              <w:left w:val="nil"/>
              <w:bottom w:val="single" w:color="auto" w:sz="4" w:space="0"/>
              <w:right w:val="single" w:color="auto" w:sz="4" w:space="0"/>
            </w:tcBorders>
            <w:vAlign w:val="center"/>
          </w:tcPr>
          <w:p w14:paraId="4460CD1F">
            <w:pPr>
              <w:widowControl/>
              <w:jc w:val="left"/>
              <w:rPr>
                <w:rFonts w:ascii="宋体" w:hAnsi="宋体" w:cs="宋体"/>
                <w:kern w:val="0"/>
                <w:szCs w:val="21"/>
              </w:rPr>
            </w:pPr>
            <w:r>
              <w:rPr>
                <w:rFonts w:hint="eastAsia" w:ascii="宋体" w:hAnsi="宋体" w:cs="宋体"/>
                <w:kern w:val="0"/>
                <w:szCs w:val="21"/>
              </w:rPr>
              <w:t>10≤X＜50</w:t>
            </w:r>
          </w:p>
        </w:tc>
        <w:tc>
          <w:tcPr>
            <w:tcW w:w="1082" w:type="dxa"/>
            <w:tcBorders>
              <w:top w:val="nil"/>
              <w:left w:val="nil"/>
              <w:bottom w:val="single" w:color="auto" w:sz="4" w:space="0"/>
              <w:right w:val="single" w:color="auto" w:sz="4" w:space="0"/>
            </w:tcBorders>
            <w:vAlign w:val="center"/>
          </w:tcPr>
          <w:p w14:paraId="50AA06F0">
            <w:pPr>
              <w:widowControl/>
              <w:jc w:val="left"/>
              <w:rPr>
                <w:rFonts w:ascii="宋体" w:hAnsi="宋体" w:cs="宋体"/>
                <w:kern w:val="0"/>
                <w:szCs w:val="21"/>
              </w:rPr>
            </w:pPr>
            <w:r>
              <w:rPr>
                <w:rFonts w:hint="eastAsia" w:ascii="宋体" w:hAnsi="宋体" w:cs="宋体"/>
                <w:kern w:val="0"/>
                <w:szCs w:val="21"/>
              </w:rPr>
              <w:t>X＜10</w:t>
            </w:r>
          </w:p>
        </w:tc>
      </w:tr>
      <w:tr w14:paraId="42BC32D7">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0F4F71A4">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75C76C41">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7E90E4FB">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17AD7CA1">
            <w:pPr>
              <w:widowControl/>
              <w:jc w:val="left"/>
              <w:rPr>
                <w:rFonts w:ascii="宋体" w:hAnsi="宋体" w:cs="宋体"/>
                <w:kern w:val="0"/>
                <w:szCs w:val="21"/>
              </w:rPr>
            </w:pPr>
            <w:r>
              <w:rPr>
                <w:rFonts w:hint="eastAsia" w:ascii="宋体" w:hAnsi="宋体" w:cs="宋体"/>
                <w:kern w:val="0"/>
                <w:szCs w:val="21"/>
              </w:rPr>
              <w:t>500≤Y＜20000</w:t>
            </w:r>
          </w:p>
        </w:tc>
        <w:tc>
          <w:tcPr>
            <w:tcW w:w="1684" w:type="dxa"/>
            <w:tcBorders>
              <w:top w:val="nil"/>
              <w:left w:val="nil"/>
              <w:bottom w:val="single" w:color="auto" w:sz="4" w:space="0"/>
              <w:right w:val="single" w:color="auto" w:sz="4" w:space="0"/>
            </w:tcBorders>
            <w:vAlign w:val="center"/>
          </w:tcPr>
          <w:p w14:paraId="7592E14F">
            <w:pPr>
              <w:widowControl/>
              <w:jc w:val="left"/>
              <w:rPr>
                <w:rFonts w:ascii="宋体" w:hAnsi="宋体" w:cs="宋体"/>
                <w:kern w:val="0"/>
                <w:szCs w:val="21"/>
              </w:rPr>
            </w:pPr>
            <w:r>
              <w:rPr>
                <w:rFonts w:hint="eastAsia" w:ascii="宋体" w:hAnsi="宋体" w:cs="宋体"/>
                <w:kern w:val="0"/>
                <w:szCs w:val="21"/>
              </w:rPr>
              <w:t>100≤Y＜500</w:t>
            </w:r>
          </w:p>
        </w:tc>
        <w:tc>
          <w:tcPr>
            <w:tcW w:w="1082" w:type="dxa"/>
            <w:tcBorders>
              <w:top w:val="nil"/>
              <w:left w:val="nil"/>
              <w:bottom w:val="single" w:color="auto" w:sz="4" w:space="0"/>
              <w:right w:val="single" w:color="auto" w:sz="4" w:space="0"/>
            </w:tcBorders>
            <w:vAlign w:val="center"/>
          </w:tcPr>
          <w:p w14:paraId="1EDA9614">
            <w:pPr>
              <w:widowControl/>
              <w:jc w:val="left"/>
              <w:rPr>
                <w:rFonts w:ascii="宋体" w:hAnsi="宋体" w:cs="宋体"/>
                <w:kern w:val="0"/>
                <w:szCs w:val="21"/>
              </w:rPr>
            </w:pPr>
            <w:r>
              <w:rPr>
                <w:rFonts w:hint="eastAsia" w:ascii="宋体" w:hAnsi="宋体" w:cs="宋体"/>
                <w:kern w:val="0"/>
                <w:szCs w:val="21"/>
              </w:rPr>
              <w:t>Y＜100</w:t>
            </w:r>
          </w:p>
        </w:tc>
      </w:tr>
      <w:tr w14:paraId="6921B8D6">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48F73713">
            <w:pPr>
              <w:widowControl/>
              <w:jc w:val="center"/>
              <w:rPr>
                <w:rFonts w:ascii="宋体" w:hAnsi="宋体" w:cs="宋体"/>
                <w:b/>
                <w:bCs/>
                <w:kern w:val="0"/>
                <w:szCs w:val="21"/>
              </w:rPr>
            </w:pPr>
            <w:r>
              <w:rPr>
                <w:rFonts w:hint="eastAsia" w:ascii="宋体" w:hAnsi="宋体" w:cs="宋体"/>
                <w:b/>
                <w:bCs/>
                <w:kern w:val="0"/>
                <w:szCs w:val="21"/>
              </w:rPr>
              <w:t>交通运输业</w:t>
            </w:r>
          </w:p>
        </w:tc>
        <w:tc>
          <w:tcPr>
            <w:tcW w:w="1679" w:type="dxa"/>
            <w:tcBorders>
              <w:top w:val="nil"/>
              <w:left w:val="nil"/>
              <w:bottom w:val="single" w:color="auto" w:sz="4" w:space="0"/>
              <w:right w:val="single" w:color="auto" w:sz="4" w:space="0"/>
            </w:tcBorders>
            <w:vAlign w:val="center"/>
          </w:tcPr>
          <w:p w14:paraId="4F08ACFE">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1AE164FE">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53EC1A25">
            <w:pPr>
              <w:widowControl/>
              <w:jc w:val="left"/>
              <w:rPr>
                <w:rFonts w:ascii="宋体" w:hAnsi="宋体" w:cs="宋体"/>
                <w:kern w:val="0"/>
                <w:szCs w:val="21"/>
              </w:rPr>
            </w:pPr>
            <w:r>
              <w:rPr>
                <w:rFonts w:hint="eastAsia" w:ascii="宋体" w:hAnsi="宋体" w:cs="宋体"/>
                <w:kern w:val="0"/>
                <w:szCs w:val="21"/>
              </w:rPr>
              <w:t>300≤X＜1000</w:t>
            </w:r>
          </w:p>
        </w:tc>
        <w:tc>
          <w:tcPr>
            <w:tcW w:w="1684" w:type="dxa"/>
            <w:tcBorders>
              <w:top w:val="nil"/>
              <w:left w:val="nil"/>
              <w:bottom w:val="single" w:color="auto" w:sz="4" w:space="0"/>
              <w:right w:val="single" w:color="auto" w:sz="4" w:space="0"/>
            </w:tcBorders>
            <w:vAlign w:val="center"/>
          </w:tcPr>
          <w:p w14:paraId="23B3EE49">
            <w:pPr>
              <w:widowControl/>
              <w:jc w:val="left"/>
              <w:rPr>
                <w:rFonts w:ascii="宋体" w:hAnsi="宋体" w:cs="宋体"/>
                <w:kern w:val="0"/>
                <w:szCs w:val="21"/>
              </w:rPr>
            </w:pPr>
            <w:r>
              <w:rPr>
                <w:rFonts w:hint="eastAsia" w:ascii="宋体" w:hAnsi="宋体" w:cs="宋体"/>
                <w:kern w:val="0"/>
                <w:szCs w:val="21"/>
              </w:rPr>
              <w:t>20≤X＜300</w:t>
            </w:r>
          </w:p>
        </w:tc>
        <w:tc>
          <w:tcPr>
            <w:tcW w:w="1082" w:type="dxa"/>
            <w:tcBorders>
              <w:top w:val="nil"/>
              <w:left w:val="nil"/>
              <w:bottom w:val="single" w:color="auto" w:sz="4" w:space="0"/>
              <w:right w:val="single" w:color="auto" w:sz="4" w:space="0"/>
            </w:tcBorders>
            <w:vAlign w:val="center"/>
          </w:tcPr>
          <w:p w14:paraId="48C92F20">
            <w:pPr>
              <w:widowControl/>
              <w:jc w:val="left"/>
              <w:rPr>
                <w:rFonts w:ascii="宋体" w:hAnsi="宋体" w:cs="宋体"/>
                <w:kern w:val="0"/>
                <w:szCs w:val="21"/>
              </w:rPr>
            </w:pPr>
            <w:r>
              <w:rPr>
                <w:rFonts w:hint="eastAsia" w:ascii="宋体" w:hAnsi="宋体" w:cs="宋体"/>
                <w:kern w:val="0"/>
                <w:szCs w:val="21"/>
              </w:rPr>
              <w:t>X＜20</w:t>
            </w:r>
          </w:p>
        </w:tc>
      </w:tr>
      <w:tr w14:paraId="236F68EF">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4DBCDE41">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61A74EC2">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6A855EF0">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1997FDB3">
            <w:pPr>
              <w:widowControl/>
              <w:jc w:val="left"/>
              <w:rPr>
                <w:rFonts w:ascii="宋体" w:hAnsi="宋体" w:cs="宋体"/>
                <w:kern w:val="0"/>
                <w:szCs w:val="21"/>
              </w:rPr>
            </w:pPr>
            <w:r>
              <w:rPr>
                <w:rFonts w:hint="eastAsia" w:ascii="宋体" w:hAnsi="宋体" w:cs="宋体"/>
                <w:kern w:val="0"/>
                <w:szCs w:val="21"/>
              </w:rPr>
              <w:t>3000≤Y＜30000</w:t>
            </w:r>
          </w:p>
        </w:tc>
        <w:tc>
          <w:tcPr>
            <w:tcW w:w="1684" w:type="dxa"/>
            <w:tcBorders>
              <w:top w:val="nil"/>
              <w:left w:val="nil"/>
              <w:bottom w:val="single" w:color="auto" w:sz="4" w:space="0"/>
              <w:right w:val="single" w:color="auto" w:sz="4" w:space="0"/>
            </w:tcBorders>
            <w:vAlign w:val="center"/>
          </w:tcPr>
          <w:p w14:paraId="76EC6DB4">
            <w:pPr>
              <w:widowControl/>
              <w:jc w:val="left"/>
              <w:rPr>
                <w:rFonts w:ascii="宋体" w:hAnsi="宋体" w:cs="宋体"/>
                <w:kern w:val="0"/>
                <w:szCs w:val="21"/>
              </w:rPr>
            </w:pPr>
            <w:r>
              <w:rPr>
                <w:rFonts w:hint="eastAsia" w:ascii="宋体" w:hAnsi="宋体" w:cs="宋体"/>
                <w:kern w:val="0"/>
                <w:szCs w:val="21"/>
              </w:rPr>
              <w:t>200≤Y＜3000</w:t>
            </w:r>
          </w:p>
        </w:tc>
        <w:tc>
          <w:tcPr>
            <w:tcW w:w="1082" w:type="dxa"/>
            <w:tcBorders>
              <w:top w:val="nil"/>
              <w:left w:val="nil"/>
              <w:bottom w:val="single" w:color="auto" w:sz="4" w:space="0"/>
              <w:right w:val="single" w:color="auto" w:sz="4" w:space="0"/>
            </w:tcBorders>
            <w:vAlign w:val="center"/>
          </w:tcPr>
          <w:p w14:paraId="67397CA3">
            <w:pPr>
              <w:widowControl/>
              <w:jc w:val="left"/>
              <w:rPr>
                <w:rFonts w:ascii="宋体" w:hAnsi="宋体" w:cs="宋体"/>
                <w:kern w:val="0"/>
                <w:szCs w:val="21"/>
              </w:rPr>
            </w:pPr>
            <w:r>
              <w:rPr>
                <w:rFonts w:hint="eastAsia" w:ascii="宋体" w:hAnsi="宋体" w:cs="宋体"/>
                <w:kern w:val="0"/>
                <w:szCs w:val="21"/>
              </w:rPr>
              <w:t>Y＜200</w:t>
            </w:r>
          </w:p>
        </w:tc>
      </w:tr>
      <w:tr w14:paraId="7F948D19">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04196C00">
            <w:pPr>
              <w:widowControl/>
              <w:jc w:val="center"/>
              <w:rPr>
                <w:rFonts w:ascii="宋体" w:hAnsi="宋体" w:cs="宋体"/>
                <w:b/>
                <w:bCs/>
                <w:kern w:val="0"/>
                <w:szCs w:val="21"/>
              </w:rPr>
            </w:pPr>
            <w:r>
              <w:rPr>
                <w:rFonts w:hint="eastAsia" w:ascii="宋体" w:hAnsi="宋体" w:cs="宋体"/>
                <w:b/>
                <w:bCs/>
                <w:kern w:val="0"/>
                <w:szCs w:val="21"/>
              </w:rPr>
              <w:t>仓储业</w:t>
            </w:r>
          </w:p>
        </w:tc>
        <w:tc>
          <w:tcPr>
            <w:tcW w:w="1679" w:type="dxa"/>
            <w:tcBorders>
              <w:top w:val="nil"/>
              <w:left w:val="nil"/>
              <w:bottom w:val="single" w:color="auto" w:sz="4" w:space="0"/>
              <w:right w:val="single" w:color="auto" w:sz="4" w:space="0"/>
            </w:tcBorders>
            <w:vAlign w:val="center"/>
          </w:tcPr>
          <w:p w14:paraId="5E50E0F0">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5FD24614">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20D766E0">
            <w:pPr>
              <w:widowControl/>
              <w:jc w:val="left"/>
              <w:rPr>
                <w:rFonts w:ascii="宋体" w:hAnsi="宋体" w:cs="宋体"/>
                <w:kern w:val="0"/>
                <w:szCs w:val="21"/>
              </w:rPr>
            </w:pPr>
            <w:r>
              <w:rPr>
                <w:rFonts w:hint="eastAsia" w:ascii="宋体" w:hAnsi="宋体" w:cs="宋体"/>
                <w:kern w:val="0"/>
                <w:szCs w:val="21"/>
              </w:rPr>
              <w:t>100≤X＜200</w:t>
            </w:r>
          </w:p>
        </w:tc>
        <w:tc>
          <w:tcPr>
            <w:tcW w:w="1684" w:type="dxa"/>
            <w:tcBorders>
              <w:top w:val="nil"/>
              <w:left w:val="nil"/>
              <w:bottom w:val="single" w:color="auto" w:sz="4" w:space="0"/>
              <w:right w:val="single" w:color="auto" w:sz="4" w:space="0"/>
            </w:tcBorders>
            <w:vAlign w:val="center"/>
          </w:tcPr>
          <w:p w14:paraId="029271A6">
            <w:pPr>
              <w:widowControl/>
              <w:jc w:val="left"/>
              <w:rPr>
                <w:rFonts w:ascii="宋体" w:hAnsi="宋体" w:cs="宋体"/>
                <w:kern w:val="0"/>
                <w:szCs w:val="21"/>
              </w:rPr>
            </w:pPr>
            <w:r>
              <w:rPr>
                <w:rFonts w:hint="eastAsia" w:ascii="宋体" w:hAnsi="宋体" w:cs="宋体"/>
                <w:kern w:val="0"/>
                <w:szCs w:val="21"/>
              </w:rPr>
              <w:t>20≤X＜100</w:t>
            </w:r>
          </w:p>
        </w:tc>
        <w:tc>
          <w:tcPr>
            <w:tcW w:w="1082" w:type="dxa"/>
            <w:tcBorders>
              <w:top w:val="nil"/>
              <w:left w:val="nil"/>
              <w:bottom w:val="single" w:color="auto" w:sz="4" w:space="0"/>
              <w:right w:val="single" w:color="auto" w:sz="4" w:space="0"/>
            </w:tcBorders>
            <w:vAlign w:val="center"/>
          </w:tcPr>
          <w:p w14:paraId="471EB1B7">
            <w:pPr>
              <w:widowControl/>
              <w:jc w:val="left"/>
              <w:rPr>
                <w:rFonts w:ascii="宋体" w:hAnsi="宋体" w:cs="宋体"/>
                <w:kern w:val="0"/>
                <w:szCs w:val="21"/>
              </w:rPr>
            </w:pPr>
            <w:r>
              <w:rPr>
                <w:rFonts w:hint="eastAsia" w:ascii="宋体" w:hAnsi="宋体" w:cs="宋体"/>
                <w:kern w:val="0"/>
                <w:szCs w:val="21"/>
              </w:rPr>
              <w:t>X＜20</w:t>
            </w:r>
          </w:p>
        </w:tc>
      </w:tr>
      <w:tr w14:paraId="461E74B7">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00F60434">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790BE5C6">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587AE78C">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7E11CC95">
            <w:pPr>
              <w:widowControl/>
              <w:jc w:val="left"/>
              <w:rPr>
                <w:rFonts w:ascii="宋体" w:hAnsi="宋体" w:cs="宋体"/>
                <w:kern w:val="0"/>
                <w:szCs w:val="21"/>
              </w:rPr>
            </w:pPr>
            <w:r>
              <w:rPr>
                <w:rFonts w:hint="eastAsia" w:ascii="宋体" w:hAnsi="宋体" w:cs="宋体"/>
                <w:kern w:val="0"/>
                <w:szCs w:val="21"/>
              </w:rPr>
              <w:t>1000≤Y＜30000</w:t>
            </w:r>
          </w:p>
        </w:tc>
        <w:tc>
          <w:tcPr>
            <w:tcW w:w="1684" w:type="dxa"/>
            <w:tcBorders>
              <w:top w:val="nil"/>
              <w:left w:val="nil"/>
              <w:bottom w:val="single" w:color="auto" w:sz="4" w:space="0"/>
              <w:right w:val="single" w:color="auto" w:sz="4" w:space="0"/>
            </w:tcBorders>
            <w:vAlign w:val="center"/>
          </w:tcPr>
          <w:p w14:paraId="0BE27175">
            <w:pPr>
              <w:widowControl/>
              <w:jc w:val="left"/>
              <w:rPr>
                <w:rFonts w:ascii="宋体" w:hAnsi="宋体" w:cs="宋体"/>
                <w:kern w:val="0"/>
                <w:szCs w:val="21"/>
              </w:rPr>
            </w:pPr>
            <w:r>
              <w:rPr>
                <w:rFonts w:hint="eastAsia" w:ascii="宋体" w:hAnsi="宋体" w:cs="宋体"/>
                <w:kern w:val="0"/>
                <w:szCs w:val="21"/>
              </w:rPr>
              <w:t>100≤Y＜1000</w:t>
            </w:r>
          </w:p>
        </w:tc>
        <w:tc>
          <w:tcPr>
            <w:tcW w:w="1082" w:type="dxa"/>
            <w:tcBorders>
              <w:top w:val="nil"/>
              <w:left w:val="nil"/>
              <w:bottom w:val="single" w:color="auto" w:sz="4" w:space="0"/>
              <w:right w:val="single" w:color="auto" w:sz="4" w:space="0"/>
            </w:tcBorders>
            <w:vAlign w:val="center"/>
          </w:tcPr>
          <w:p w14:paraId="09275CC4">
            <w:pPr>
              <w:widowControl/>
              <w:jc w:val="left"/>
              <w:rPr>
                <w:rFonts w:ascii="宋体" w:hAnsi="宋体" w:cs="宋体"/>
                <w:kern w:val="0"/>
                <w:szCs w:val="21"/>
              </w:rPr>
            </w:pPr>
            <w:r>
              <w:rPr>
                <w:rFonts w:hint="eastAsia" w:ascii="宋体" w:hAnsi="宋体" w:cs="宋体"/>
                <w:kern w:val="0"/>
                <w:szCs w:val="21"/>
              </w:rPr>
              <w:t>Y＜100</w:t>
            </w:r>
          </w:p>
        </w:tc>
      </w:tr>
      <w:tr w14:paraId="39636CE8">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19705C16">
            <w:pPr>
              <w:widowControl/>
              <w:jc w:val="center"/>
              <w:rPr>
                <w:rFonts w:ascii="宋体" w:hAnsi="宋体" w:cs="宋体"/>
                <w:b/>
                <w:bCs/>
                <w:kern w:val="0"/>
                <w:szCs w:val="21"/>
              </w:rPr>
            </w:pPr>
            <w:r>
              <w:rPr>
                <w:rFonts w:hint="eastAsia" w:ascii="宋体" w:hAnsi="宋体" w:cs="宋体"/>
                <w:b/>
                <w:bCs/>
                <w:kern w:val="0"/>
                <w:szCs w:val="21"/>
              </w:rPr>
              <w:t>邮政业</w:t>
            </w:r>
          </w:p>
        </w:tc>
        <w:tc>
          <w:tcPr>
            <w:tcW w:w="1679" w:type="dxa"/>
            <w:tcBorders>
              <w:top w:val="nil"/>
              <w:left w:val="nil"/>
              <w:bottom w:val="single" w:color="auto" w:sz="4" w:space="0"/>
              <w:right w:val="single" w:color="auto" w:sz="4" w:space="0"/>
            </w:tcBorders>
            <w:vAlign w:val="center"/>
          </w:tcPr>
          <w:p w14:paraId="06897609">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6281FA07">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2F61D8AD">
            <w:pPr>
              <w:widowControl/>
              <w:jc w:val="left"/>
              <w:rPr>
                <w:rFonts w:ascii="宋体" w:hAnsi="宋体" w:cs="宋体"/>
                <w:kern w:val="0"/>
                <w:szCs w:val="21"/>
              </w:rPr>
            </w:pPr>
            <w:r>
              <w:rPr>
                <w:rFonts w:hint="eastAsia" w:ascii="宋体" w:hAnsi="宋体" w:cs="宋体"/>
                <w:kern w:val="0"/>
                <w:szCs w:val="21"/>
              </w:rPr>
              <w:t>300≤X＜1000</w:t>
            </w:r>
          </w:p>
        </w:tc>
        <w:tc>
          <w:tcPr>
            <w:tcW w:w="1684" w:type="dxa"/>
            <w:tcBorders>
              <w:top w:val="nil"/>
              <w:left w:val="nil"/>
              <w:bottom w:val="single" w:color="auto" w:sz="4" w:space="0"/>
              <w:right w:val="single" w:color="auto" w:sz="4" w:space="0"/>
            </w:tcBorders>
            <w:vAlign w:val="center"/>
          </w:tcPr>
          <w:p w14:paraId="57C24188">
            <w:pPr>
              <w:widowControl/>
              <w:jc w:val="left"/>
              <w:rPr>
                <w:rFonts w:ascii="宋体" w:hAnsi="宋体" w:cs="宋体"/>
                <w:kern w:val="0"/>
                <w:szCs w:val="21"/>
              </w:rPr>
            </w:pPr>
            <w:r>
              <w:rPr>
                <w:rFonts w:hint="eastAsia" w:ascii="宋体" w:hAnsi="宋体" w:cs="宋体"/>
                <w:kern w:val="0"/>
                <w:szCs w:val="21"/>
              </w:rPr>
              <w:t>20≤X＜300</w:t>
            </w:r>
          </w:p>
        </w:tc>
        <w:tc>
          <w:tcPr>
            <w:tcW w:w="1082" w:type="dxa"/>
            <w:tcBorders>
              <w:top w:val="nil"/>
              <w:left w:val="nil"/>
              <w:bottom w:val="single" w:color="auto" w:sz="4" w:space="0"/>
              <w:right w:val="single" w:color="auto" w:sz="4" w:space="0"/>
            </w:tcBorders>
            <w:vAlign w:val="center"/>
          </w:tcPr>
          <w:p w14:paraId="5258F2B2">
            <w:pPr>
              <w:widowControl/>
              <w:jc w:val="left"/>
              <w:rPr>
                <w:rFonts w:ascii="宋体" w:hAnsi="宋体" w:cs="宋体"/>
                <w:kern w:val="0"/>
                <w:szCs w:val="21"/>
              </w:rPr>
            </w:pPr>
            <w:r>
              <w:rPr>
                <w:rFonts w:hint="eastAsia" w:ascii="宋体" w:hAnsi="宋体" w:cs="宋体"/>
                <w:kern w:val="0"/>
                <w:szCs w:val="21"/>
              </w:rPr>
              <w:t>X＜20</w:t>
            </w:r>
          </w:p>
        </w:tc>
      </w:tr>
      <w:tr w14:paraId="155FCAAF">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3655DCBE">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17024469">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4D072C63">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273EAD4E">
            <w:pPr>
              <w:widowControl/>
              <w:jc w:val="left"/>
              <w:rPr>
                <w:rFonts w:ascii="宋体" w:hAnsi="宋体" w:cs="宋体"/>
                <w:kern w:val="0"/>
                <w:szCs w:val="21"/>
              </w:rPr>
            </w:pPr>
            <w:r>
              <w:rPr>
                <w:rFonts w:hint="eastAsia" w:ascii="宋体" w:hAnsi="宋体" w:cs="宋体"/>
                <w:kern w:val="0"/>
                <w:szCs w:val="21"/>
              </w:rPr>
              <w:t>2000≤Y＜30000</w:t>
            </w:r>
          </w:p>
        </w:tc>
        <w:tc>
          <w:tcPr>
            <w:tcW w:w="1684" w:type="dxa"/>
            <w:tcBorders>
              <w:top w:val="nil"/>
              <w:left w:val="nil"/>
              <w:bottom w:val="single" w:color="auto" w:sz="4" w:space="0"/>
              <w:right w:val="single" w:color="auto" w:sz="4" w:space="0"/>
            </w:tcBorders>
            <w:vAlign w:val="center"/>
          </w:tcPr>
          <w:p w14:paraId="2A8B4CEC">
            <w:pPr>
              <w:widowControl/>
              <w:jc w:val="left"/>
              <w:rPr>
                <w:rFonts w:ascii="宋体" w:hAnsi="宋体" w:cs="宋体"/>
                <w:kern w:val="0"/>
                <w:szCs w:val="21"/>
              </w:rPr>
            </w:pPr>
            <w:r>
              <w:rPr>
                <w:rFonts w:hint="eastAsia" w:ascii="宋体" w:hAnsi="宋体" w:cs="宋体"/>
                <w:kern w:val="0"/>
                <w:szCs w:val="21"/>
              </w:rPr>
              <w:t>100≤Y＜2000</w:t>
            </w:r>
          </w:p>
        </w:tc>
        <w:tc>
          <w:tcPr>
            <w:tcW w:w="1082" w:type="dxa"/>
            <w:tcBorders>
              <w:top w:val="nil"/>
              <w:left w:val="nil"/>
              <w:bottom w:val="single" w:color="auto" w:sz="4" w:space="0"/>
              <w:right w:val="single" w:color="auto" w:sz="4" w:space="0"/>
            </w:tcBorders>
            <w:vAlign w:val="center"/>
          </w:tcPr>
          <w:p w14:paraId="3D12CD6E">
            <w:pPr>
              <w:widowControl/>
              <w:jc w:val="left"/>
              <w:rPr>
                <w:rFonts w:ascii="宋体" w:hAnsi="宋体" w:cs="宋体"/>
                <w:kern w:val="0"/>
                <w:szCs w:val="21"/>
              </w:rPr>
            </w:pPr>
            <w:r>
              <w:rPr>
                <w:rFonts w:hint="eastAsia" w:ascii="宋体" w:hAnsi="宋体" w:cs="宋体"/>
                <w:kern w:val="0"/>
                <w:szCs w:val="21"/>
              </w:rPr>
              <w:t>Y＜100</w:t>
            </w:r>
          </w:p>
        </w:tc>
      </w:tr>
      <w:tr w14:paraId="3851FA8C">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16EF4743">
            <w:pPr>
              <w:widowControl/>
              <w:jc w:val="center"/>
              <w:rPr>
                <w:rFonts w:ascii="宋体" w:hAnsi="宋体" w:cs="宋体"/>
                <w:b/>
                <w:bCs/>
                <w:kern w:val="0"/>
                <w:szCs w:val="21"/>
              </w:rPr>
            </w:pPr>
            <w:r>
              <w:rPr>
                <w:rFonts w:hint="eastAsia" w:ascii="宋体" w:hAnsi="宋体" w:cs="宋体"/>
                <w:b/>
                <w:bCs/>
                <w:kern w:val="0"/>
                <w:szCs w:val="21"/>
              </w:rPr>
              <w:t>住宿业</w:t>
            </w:r>
          </w:p>
        </w:tc>
        <w:tc>
          <w:tcPr>
            <w:tcW w:w="1679" w:type="dxa"/>
            <w:tcBorders>
              <w:top w:val="nil"/>
              <w:left w:val="nil"/>
              <w:bottom w:val="single" w:color="auto" w:sz="4" w:space="0"/>
              <w:right w:val="single" w:color="auto" w:sz="4" w:space="0"/>
            </w:tcBorders>
            <w:vAlign w:val="center"/>
          </w:tcPr>
          <w:p w14:paraId="748D84D7">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742E3273">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2B5259D8">
            <w:pPr>
              <w:widowControl/>
              <w:jc w:val="left"/>
              <w:rPr>
                <w:rFonts w:ascii="宋体" w:hAnsi="宋体" w:cs="宋体"/>
                <w:kern w:val="0"/>
                <w:szCs w:val="21"/>
              </w:rPr>
            </w:pPr>
            <w:r>
              <w:rPr>
                <w:rFonts w:hint="eastAsia" w:ascii="宋体" w:hAnsi="宋体" w:cs="宋体"/>
                <w:kern w:val="0"/>
                <w:szCs w:val="21"/>
              </w:rPr>
              <w:t>100≤X＜300</w:t>
            </w:r>
          </w:p>
        </w:tc>
        <w:tc>
          <w:tcPr>
            <w:tcW w:w="1684" w:type="dxa"/>
            <w:tcBorders>
              <w:top w:val="nil"/>
              <w:left w:val="nil"/>
              <w:bottom w:val="single" w:color="auto" w:sz="4" w:space="0"/>
              <w:right w:val="single" w:color="auto" w:sz="4" w:space="0"/>
            </w:tcBorders>
            <w:vAlign w:val="center"/>
          </w:tcPr>
          <w:p w14:paraId="114D74E2">
            <w:pPr>
              <w:widowControl/>
              <w:jc w:val="left"/>
              <w:rPr>
                <w:rFonts w:ascii="宋体" w:hAnsi="宋体" w:cs="宋体"/>
                <w:kern w:val="0"/>
                <w:szCs w:val="21"/>
              </w:rPr>
            </w:pPr>
            <w:r>
              <w:rPr>
                <w:rFonts w:hint="eastAsia" w:ascii="宋体" w:hAnsi="宋体" w:cs="宋体"/>
                <w:kern w:val="0"/>
                <w:szCs w:val="21"/>
              </w:rPr>
              <w:t>10≤X＜100</w:t>
            </w:r>
          </w:p>
        </w:tc>
        <w:tc>
          <w:tcPr>
            <w:tcW w:w="1082" w:type="dxa"/>
            <w:tcBorders>
              <w:top w:val="nil"/>
              <w:left w:val="nil"/>
              <w:bottom w:val="single" w:color="auto" w:sz="4" w:space="0"/>
              <w:right w:val="single" w:color="auto" w:sz="4" w:space="0"/>
            </w:tcBorders>
            <w:vAlign w:val="center"/>
          </w:tcPr>
          <w:p w14:paraId="6389CB88">
            <w:pPr>
              <w:widowControl/>
              <w:jc w:val="left"/>
              <w:rPr>
                <w:rFonts w:ascii="宋体" w:hAnsi="宋体" w:cs="宋体"/>
                <w:kern w:val="0"/>
                <w:szCs w:val="21"/>
              </w:rPr>
            </w:pPr>
            <w:r>
              <w:rPr>
                <w:rFonts w:hint="eastAsia" w:ascii="宋体" w:hAnsi="宋体" w:cs="宋体"/>
                <w:kern w:val="0"/>
                <w:szCs w:val="21"/>
              </w:rPr>
              <w:t>X＜10</w:t>
            </w:r>
          </w:p>
        </w:tc>
      </w:tr>
      <w:tr w14:paraId="27A1E4E2">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3C05940B">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3D0D32E7">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3E6697A4">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00D4529D">
            <w:pPr>
              <w:widowControl/>
              <w:jc w:val="left"/>
              <w:rPr>
                <w:rFonts w:ascii="宋体" w:hAnsi="宋体" w:cs="宋体"/>
                <w:kern w:val="0"/>
                <w:szCs w:val="21"/>
              </w:rPr>
            </w:pPr>
            <w:r>
              <w:rPr>
                <w:rFonts w:hint="eastAsia" w:ascii="宋体" w:hAnsi="宋体" w:cs="宋体"/>
                <w:kern w:val="0"/>
                <w:szCs w:val="21"/>
              </w:rPr>
              <w:t>2000≤Y＜10000</w:t>
            </w:r>
          </w:p>
        </w:tc>
        <w:tc>
          <w:tcPr>
            <w:tcW w:w="1684" w:type="dxa"/>
            <w:tcBorders>
              <w:top w:val="nil"/>
              <w:left w:val="nil"/>
              <w:bottom w:val="single" w:color="auto" w:sz="4" w:space="0"/>
              <w:right w:val="single" w:color="auto" w:sz="4" w:space="0"/>
            </w:tcBorders>
            <w:vAlign w:val="center"/>
          </w:tcPr>
          <w:p w14:paraId="6C71F0F4">
            <w:pPr>
              <w:widowControl/>
              <w:jc w:val="left"/>
              <w:rPr>
                <w:rFonts w:ascii="宋体" w:hAnsi="宋体" w:cs="宋体"/>
                <w:kern w:val="0"/>
                <w:szCs w:val="21"/>
              </w:rPr>
            </w:pPr>
            <w:r>
              <w:rPr>
                <w:rFonts w:hint="eastAsia" w:ascii="宋体" w:hAnsi="宋体" w:cs="宋体"/>
                <w:kern w:val="0"/>
                <w:szCs w:val="21"/>
              </w:rPr>
              <w:t>100≤Y＜2000</w:t>
            </w:r>
          </w:p>
        </w:tc>
        <w:tc>
          <w:tcPr>
            <w:tcW w:w="1082" w:type="dxa"/>
            <w:tcBorders>
              <w:top w:val="nil"/>
              <w:left w:val="nil"/>
              <w:bottom w:val="single" w:color="auto" w:sz="4" w:space="0"/>
              <w:right w:val="single" w:color="auto" w:sz="4" w:space="0"/>
            </w:tcBorders>
            <w:vAlign w:val="center"/>
          </w:tcPr>
          <w:p w14:paraId="6A35A904">
            <w:pPr>
              <w:widowControl/>
              <w:jc w:val="left"/>
              <w:rPr>
                <w:rFonts w:ascii="宋体" w:hAnsi="宋体" w:cs="宋体"/>
                <w:kern w:val="0"/>
                <w:szCs w:val="21"/>
              </w:rPr>
            </w:pPr>
            <w:r>
              <w:rPr>
                <w:rFonts w:hint="eastAsia" w:ascii="宋体" w:hAnsi="宋体" w:cs="宋体"/>
                <w:kern w:val="0"/>
                <w:szCs w:val="21"/>
              </w:rPr>
              <w:t>Y＜100</w:t>
            </w:r>
          </w:p>
        </w:tc>
      </w:tr>
      <w:tr w14:paraId="7878C7E6">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08D67132">
            <w:pPr>
              <w:widowControl/>
              <w:jc w:val="center"/>
              <w:rPr>
                <w:rFonts w:ascii="宋体" w:hAnsi="宋体" w:cs="宋体"/>
                <w:b/>
                <w:bCs/>
                <w:kern w:val="0"/>
                <w:szCs w:val="21"/>
              </w:rPr>
            </w:pPr>
            <w:r>
              <w:rPr>
                <w:rFonts w:hint="eastAsia" w:ascii="宋体" w:hAnsi="宋体" w:cs="宋体"/>
                <w:b/>
                <w:bCs/>
                <w:kern w:val="0"/>
                <w:szCs w:val="21"/>
              </w:rPr>
              <w:t>餐饮业</w:t>
            </w:r>
          </w:p>
        </w:tc>
        <w:tc>
          <w:tcPr>
            <w:tcW w:w="1679" w:type="dxa"/>
            <w:tcBorders>
              <w:top w:val="nil"/>
              <w:left w:val="nil"/>
              <w:bottom w:val="single" w:color="auto" w:sz="4" w:space="0"/>
              <w:right w:val="single" w:color="auto" w:sz="4" w:space="0"/>
            </w:tcBorders>
            <w:vAlign w:val="center"/>
          </w:tcPr>
          <w:p w14:paraId="25C13C65">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0136AF22">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29E966EC">
            <w:pPr>
              <w:widowControl/>
              <w:jc w:val="left"/>
              <w:rPr>
                <w:rFonts w:ascii="宋体" w:hAnsi="宋体" w:cs="宋体"/>
                <w:kern w:val="0"/>
                <w:szCs w:val="21"/>
              </w:rPr>
            </w:pPr>
            <w:r>
              <w:rPr>
                <w:rFonts w:hint="eastAsia" w:ascii="宋体" w:hAnsi="宋体" w:cs="宋体"/>
                <w:kern w:val="0"/>
                <w:szCs w:val="21"/>
              </w:rPr>
              <w:t>100≤X＜300</w:t>
            </w:r>
          </w:p>
        </w:tc>
        <w:tc>
          <w:tcPr>
            <w:tcW w:w="1684" w:type="dxa"/>
            <w:tcBorders>
              <w:top w:val="nil"/>
              <w:left w:val="nil"/>
              <w:bottom w:val="single" w:color="auto" w:sz="4" w:space="0"/>
              <w:right w:val="single" w:color="auto" w:sz="4" w:space="0"/>
            </w:tcBorders>
            <w:vAlign w:val="center"/>
          </w:tcPr>
          <w:p w14:paraId="7A1E2EB8">
            <w:pPr>
              <w:widowControl/>
              <w:jc w:val="left"/>
              <w:rPr>
                <w:rFonts w:ascii="宋体" w:hAnsi="宋体" w:cs="宋体"/>
                <w:kern w:val="0"/>
                <w:szCs w:val="21"/>
              </w:rPr>
            </w:pPr>
            <w:r>
              <w:rPr>
                <w:rFonts w:hint="eastAsia" w:ascii="宋体" w:hAnsi="宋体" w:cs="宋体"/>
                <w:kern w:val="0"/>
                <w:szCs w:val="21"/>
              </w:rPr>
              <w:t>10≤X＜100</w:t>
            </w:r>
          </w:p>
        </w:tc>
        <w:tc>
          <w:tcPr>
            <w:tcW w:w="1082" w:type="dxa"/>
            <w:tcBorders>
              <w:top w:val="nil"/>
              <w:left w:val="nil"/>
              <w:bottom w:val="single" w:color="auto" w:sz="4" w:space="0"/>
              <w:right w:val="single" w:color="auto" w:sz="4" w:space="0"/>
            </w:tcBorders>
            <w:vAlign w:val="center"/>
          </w:tcPr>
          <w:p w14:paraId="72F33D04">
            <w:pPr>
              <w:widowControl/>
              <w:jc w:val="left"/>
              <w:rPr>
                <w:rFonts w:ascii="宋体" w:hAnsi="宋体" w:cs="宋体"/>
                <w:kern w:val="0"/>
                <w:szCs w:val="21"/>
              </w:rPr>
            </w:pPr>
            <w:r>
              <w:rPr>
                <w:rFonts w:hint="eastAsia" w:ascii="宋体" w:hAnsi="宋体" w:cs="宋体"/>
                <w:kern w:val="0"/>
                <w:szCs w:val="21"/>
              </w:rPr>
              <w:t>X＜10</w:t>
            </w:r>
          </w:p>
        </w:tc>
      </w:tr>
      <w:tr w14:paraId="05AE48DE">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4C99AFBA">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3EF73F13">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2E3B80D6">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3BCA6FC7">
            <w:pPr>
              <w:widowControl/>
              <w:jc w:val="left"/>
              <w:rPr>
                <w:rFonts w:ascii="宋体" w:hAnsi="宋体" w:cs="宋体"/>
                <w:kern w:val="0"/>
                <w:szCs w:val="21"/>
              </w:rPr>
            </w:pPr>
            <w:r>
              <w:rPr>
                <w:rFonts w:hint="eastAsia" w:ascii="宋体" w:hAnsi="宋体" w:cs="宋体"/>
                <w:kern w:val="0"/>
                <w:szCs w:val="21"/>
              </w:rPr>
              <w:t>2000≤Y＜10000</w:t>
            </w:r>
          </w:p>
        </w:tc>
        <w:tc>
          <w:tcPr>
            <w:tcW w:w="1684" w:type="dxa"/>
            <w:tcBorders>
              <w:top w:val="nil"/>
              <w:left w:val="nil"/>
              <w:bottom w:val="single" w:color="auto" w:sz="4" w:space="0"/>
              <w:right w:val="single" w:color="auto" w:sz="4" w:space="0"/>
            </w:tcBorders>
            <w:vAlign w:val="center"/>
          </w:tcPr>
          <w:p w14:paraId="602EFD8F">
            <w:pPr>
              <w:widowControl/>
              <w:jc w:val="left"/>
              <w:rPr>
                <w:rFonts w:ascii="宋体" w:hAnsi="宋体" w:cs="宋体"/>
                <w:kern w:val="0"/>
                <w:szCs w:val="21"/>
              </w:rPr>
            </w:pPr>
            <w:r>
              <w:rPr>
                <w:rFonts w:hint="eastAsia" w:ascii="宋体" w:hAnsi="宋体" w:cs="宋体"/>
                <w:kern w:val="0"/>
                <w:szCs w:val="21"/>
              </w:rPr>
              <w:t>100≤Y＜2000</w:t>
            </w:r>
          </w:p>
        </w:tc>
        <w:tc>
          <w:tcPr>
            <w:tcW w:w="1082" w:type="dxa"/>
            <w:tcBorders>
              <w:top w:val="nil"/>
              <w:left w:val="nil"/>
              <w:bottom w:val="single" w:color="auto" w:sz="4" w:space="0"/>
              <w:right w:val="single" w:color="auto" w:sz="4" w:space="0"/>
            </w:tcBorders>
            <w:vAlign w:val="center"/>
          </w:tcPr>
          <w:p w14:paraId="05C22FBE">
            <w:pPr>
              <w:widowControl/>
              <w:jc w:val="left"/>
              <w:rPr>
                <w:rFonts w:ascii="宋体" w:hAnsi="宋体" w:cs="宋体"/>
                <w:kern w:val="0"/>
                <w:szCs w:val="21"/>
              </w:rPr>
            </w:pPr>
            <w:r>
              <w:rPr>
                <w:rFonts w:hint="eastAsia" w:ascii="宋体" w:hAnsi="宋体" w:cs="宋体"/>
                <w:kern w:val="0"/>
                <w:szCs w:val="21"/>
              </w:rPr>
              <w:t>Y＜100</w:t>
            </w:r>
          </w:p>
        </w:tc>
      </w:tr>
      <w:tr w14:paraId="7D7B524A">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0A2E3302">
            <w:pPr>
              <w:widowControl/>
              <w:ind w:firstLine="211" w:firstLineChars="100"/>
              <w:jc w:val="center"/>
              <w:rPr>
                <w:rFonts w:ascii="宋体" w:hAnsi="宋体" w:cs="宋体"/>
                <w:b/>
                <w:bCs/>
                <w:kern w:val="0"/>
                <w:szCs w:val="21"/>
              </w:rPr>
            </w:pPr>
            <w:r>
              <w:rPr>
                <w:rFonts w:hint="eastAsia" w:ascii="宋体" w:hAnsi="宋体" w:cs="宋体"/>
                <w:b/>
                <w:bCs/>
                <w:kern w:val="0"/>
                <w:szCs w:val="21"/>
              </w:rPr>
              <w:t>信息传输业</w:t>
            </w:r>
          </w:p>
        </w:tc>
        <w:tc>
          <w:tcPr>
            <w:tcW w:w="1679" w:type="dxa"/>
            <w:tcBorders>
              <w:top w:val="nil"/>
              <w:left w:val="nil"/>
              <w:bottom w:val="single" w:color="auto" w:sz="4" w:space="0"/>
              <w:right w:val="single" w:color="auto" w:sz="4" w:space="0"/>
            </w:tcBorders>
            <w:vAlign w:val="center"/>
          </w:tcPr>
          <w:p w14:paraId="29679CB5">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06F3A273">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4BABCF52">
            <w:pPr>
              <w:widowControl/>
              <w:jc w:val="left"/>
              <w:rPr>
                <w:rFonts w:ascii="宋体" w:hAnsi="宋体" w:cs="宋体"/>
                <w:kern w:val="0"/>
                <w:szCs w:val="21"/>
              </w:rPr>
            </w:pPr>
            <w:r>
              <w:rPr>
                <w:rFonts w:hint="eastAsia" w:ascii="宋体" w:hAnsi="宋体" w:cs="宋体"/>
                <w:kern w:val="0"/>
                <w:szCs w:val="21"/>
              </w:rPr>
              <w:t>100≤X＜2000</w:t>
            </w:r>
          </w:p>
        </w:tc>
        <w:tc>
          <w:tcPr>
            <w:tcW w:w="1684" w:type="dxa"/>
            <w:tcBorders>
              <w:top w:val="nil"/>
              <w:left w:val="nil"/>
              <w:bottom w:val="single" w:color="auto" w:sz="4" w:space="0"/>
              <w:right w:val="single" w:color="auto" w:sz="4" w:space="0"/>
            </w:tcBorders>
            <w:vAlign w:val="center"/>
          </w:tcPr>
          <w:p w14:paraId="193D69D0">
            <w:pPr>
              <w:widowControl/>
              <w:jc w:val="left"/>
              <w:rPr>
                <w:rFonts w:ascii="宋体" w:hAnsi="宋体" w:cs="宋体"/>
                <w:kern w:val="0"/>
                <w:szCs w:val="21"/>
              </w:rPr>
            </w:pPr>
            <w:r>
              <w:rPr>
                <w:rFonts w:hint="eastAsia" w:ascii="宋体" w:hAnsi="宋体" w:cs="宋体"/>
                <w:kern w:val="0"/>
                <w:szCs w:val="21"/>
              </w:rPr>
              <w:t>10≤X＜100</w:t>
            </w:r>
          </w:p>
        </w:tc>
        <w:tc>
          <w:tcPr>
            <w:tcW w:w="1082" w:type="dxa"/>
            <w:tcBorders>
              <w:top w:val="nil"/>
              <w:left w:val="nil"/>
              <w:bottom w:val="single" w:color="auto" w:sz="4" w:space="0"/>
              <w:right w:val="single" w:color="auto" w:sz="4" w:space="0"/>
            </w:tcBorders>
            <w:vAlign w:val="center"/>
          </w:tcPr>
          <w:p w14:paraId="64110F0D">
            <w:pPr>
              <w:widowControl/>
              <w:jc w:val="left"/>
              <w:rPr>
                <w:rFonts w:ascii="宋体" w:hAnsi="宋体" w:cs="宋体"/>
                <w:kern w:val="0"/>
                <w:szCs w:val="21"/>
              </w:rPr>
            </w:pPr>
            <w:r>
              <w:rPr>
                <w:rFonts w:hint="eastAsia" w:ascii="宋体" w:hAnsi="宋体" w:cs="宋体"/>
                <w:kern w:val="0"/>
                <w:szCs w:val="21"/>
              </w:rPr>
              <w:t>X＜10</w:t>
            </w:r>
          </w:p>
        </w:tc>
      </w:tr>
      <w:tr w14:paraId="36265E4C">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7F10E8A6">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46BA2D9A">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6F744C2D">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5B9B5561">
            <w:pPr>
              <w:widowControl/>
              <w:jc w:val="left"/>
              <w:rPr>
                <w:rFonts w:ascii="宋体" w:hAnsi="宋体" w:cs="宋体"/>
                <w:kern w:val="0"/>
                <w:szCs w:val="21"/>
              </w:rPr>
            </w:pPr>
            <w:r>
              <w:rPr>
                <w:rFonts w:hint="eastAsia" w:ascii="宋体" w:hAnsi="宋体" w:cs="宋体"/>
                <w:kern w:val="0"/>
                <w:szCs w:val="21"/>
              </w:rPr>
              <w:t>1000≤Y＜100000</w:t>
            </w:r>
          </w:p>
        </w:tc>
        <w:tc>
          <w:tcPr>
            <w:tcW w:w="1684" w:type="dxa"/>
            <w:tcBorders>
              <w:top w:val="nil"/>
              <w:left w:val="nil"/>
              <w:bottom w:val="single" w:color="auto" w:sz="4" w:space="0"/>
              <w:right w:val="single" w:color="auto" w:sz="4" w:space="0"/>
            </w:tcBorders>
            <w:vAlign w:val="center"/>
          </w:tcPr>
          <w:p w14:paraId="71274DF7">
            <w:pPr>
              <w:widowControl/>
              <w:jc w:val="left"/>
              <w:rPr>
                <w:rFonts w:ascii="宋体" w:hAnsi="宋体" w:cs="宋体"/>
                <w:kern w:val="0"/>
                <w:szCs w:val="21"/>
              </w:rPr>
            </w:pPr>
            <w:r>
              <w:rPr>
                <w:rFonts w:hint="eastAsia" w:ascii="宋体" w:hAnsi="宋体" w:cs="宋体"/>
                <w:kern w:val="0"/>
                <w:szCs w:val="21"/>
              </w:rPr>
              <w:t>100≤Y＜1000</w:t>
            </w:r>
          </w:p>
        </w:tc>
        <w:tc>
          <w:tcPr>
            <w:tcW w:w="1082" w:type="dxa"/>
            <w:tcBorders>
              <w:top w:val="nil"/>
              <w:left w:val="nil"/>
              <w:bottom w:val="single" w:color="auto" w:sz="4" w:space="0"/>
              <w:right w:val="single" w:color="auto" w:sz="4" w:space="0"/>
            </w:tcBorders>
            <w:vAlign w:val="center"/>
          </w:tcPr>
          <w:p w14:paraId="0BE6F3DF">
            <w:pPr>
              <w:widowControl/>
              <w:jc w:val="left"/>
              <w:rPr>
                <w:rFonts w:ascii="宋体" w:hAnsi="宋体" w:cs="宋体"/>
                <w:kern w:val="0"/>
                <w:szCs w:val="21"/>
              </w:rPr>
            </w:pPr>
            <w:r>
              <w:rPr>
                <w:rFonts w:hint="eastAsia" w:ascii="宋体" w:hAnsi="宋体" w:cs="宋体"/>
                <w:kern w:val="0"/>
                <w:szCs w:val="21"/>
              </w:rPr>
              <w:t>Y＜100</w:t>
            </w:r>
          </w:p>
        </w:tc>
      </w:tr>
      <w:tr w14:paraId="071ECE97">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78FC4A7E">
            <w:pPr>
              <w:widowControl/>
              <w:jc w:val="center"/>
              <w:rPr>
                <w:rFonts w:ascii="宋体" w:hAnsi="宋体" w:cs="宋体"/>
                <w:b/>
                <w:bCs/>
                <w:kern w:val="0"/>
                <w:szCs w:val="21"/>
              </w:rPr>
            </w:pPr>
            <w:r>
              <w:rPr>
                <w:rFonts w:hint="eastAsia" w:ascii="宋体" w:hAnsi="宋体" w:cs="宋体"/>
                <w:b/>
                <w:bCs/>
                <w:kern w:val="0"/>
                <w:szCs w:val="21"/>
              </w:rPr>
              <w:t>软件和信息技术服务业</w:t>
            </w:r>
          </w:p>
        </w:tc>
        <w:tc>
          <w:tcPr>
            <w:tcW w:w="1679" w:type="dxa"/>
            <w:tcBorders>
              <w:top w:val="nil"/>
              <w:left w:val="nil"/>
              <w:bottom w:val="single" w:color="auto" w:sz="4" w:space="0"/>
              <w:right w:val="single" w:color="auto" w:sz="4" w:space="0"/>
            </w:tcBorders>
            <w:vAlign w:val="center"/>
          </w:tcPr>
          <w:p w14:paraId="01C2CF85">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299FCBA7">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72549132">
            <w:pPr>
              <w:widowControl/>
              <w:jc w:val="left"/>
              <w:rPr>
                <w:rFonts w:ascii="宋体" w:hAnsi="宋体" w:cs="宋体"/>
                <w:kern w:val="0"/>
                <w:szCs w:val="21"/>
              </w:rPr>
            </w:pPr>
            <w:r>
              <w:rPr>
                <w:rFonts w:hint="eastAsia" w:ascii="宋体" w:hAnsi="宋体" w:cs="宋体"/>
                <w:kern w:val="0"/>
                <w:szCs w:val="21"/>
              </w:rPr>
              <w:t>100≤X＜300</w:t>
            </w:r>
          </w:p>
        </w:tc>
        <w:tc>
          <w:tcPr>
            <w:tcW w:w="1684" w:type="dxa"/>
            <w:tcBorders>
              <w:top w:val="nil"/>
              <w:left w:val="nil"/>
              <w:bottom w:val="single" w:color="auto" w:sz="4" w:space="0"/>
              <w:right w:val="single" w:color="auto" w:sz="4" w:space="0"/>
            </w:tcBorders>
            <w:vAlign w:val="center"/>
          </w:tcPr>
          <w:p w14:paraId="31531F9B">
            <w:pPr>
              <w:widowControl/>
              <w:jc w:val="left"/>
              <w:rPr>
                <w:rFonts w:ascii="宋体" w:hAnsi="宋体" w:cs="宋体"/>
                <w:kern w:val="0"/>
                <w:szCs w:val="21"/>
              </w:rPr>
            </w:pPr>
            <w:r>
              <w:rPr>
                <w:rFonts w:hint="eastAsia" w:ascii="宋体" w:hAnsi="宋体" w:cs="宋体"/>
                <w:kern w:val="0"/>
                <w:szCs w:val="21"/>
              </w:rPr>
              <w:t>10≤X＜100</w:t>
            </w:r>
          </w:p>
        </w:tc>
        <w:tc>
          <w:tcPr>
            <w:tcW w:w="1082" w:type="dxa"/>
            <w:tcBorders>
              <w:top w:val="nil"/>
              <w:left w:val="nil"/>
              <w:bottom w:val="single" w:color="auto" w:sz="4" w:space="0"/>
              <w:right w:val="single" w:color="auto" w:sz="4" w:space="0"/>
            </w:tcBorders>
            <w:vAlign w:val="center"/>
          </w:tcPr>
          <w:p w14:paraId="5CF03B46">
            <w:pPr>
              <w:widowControl/>
              <w:jc w:val="left"/>
              <w:rPr>
                <w:rFonts w:ascii="宋体" w:hAnsi="宋体" w:cs="宋体"/>
                <w:kern w:val="0"/>
                <w:szCs w:val="21"/>
              </w:rPr>
            </w:pPr>
            <w:r>
              <w:rPr>
                <w:rFonts w:hint="eastAsia" w:ascii="宋体" w:hAnsi="宋体" w:cs="宋体"/>
                <w:kern w:val="0"/>
                <w:szCs w:val="21"/>
              </w:rPr>
              <w:t>X＜10</w:t>
            </w:r>
          </w:p>
        </w:tc>
      </w:tr>
      <w:tr w14:paraId="29F1B688">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43E82862">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3C6213EA">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19A2C975">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151751FE">
            <w:pPr>
              <w:widowControl/>
              <w:jc w:val="left"/>
              <w:rPr>
                <w:rFonts w:ascii="宋体" w:hAnsi="宋体" w:cs="宋体"/>
                <w:kern w:val="0"/>
                <w:szCs w:val="21"/>
              </w:rPr>
            </w:pPr>
            <w:r>
              <w:rPr>
                <w:rFonts w:hint="eastAsia" w:ascii="宋体" w:hAnsi="宋体" w:cs="宋体"/>
                <w:kern w:val="0"/>
                <w:szCs w:val="21"/>
              </w:rPr>
              <w:t>1000≤Y＜10000</w:t>
            </w:r>
          </w:p>
        </w:tc>
        <w:tc>
          <w:tcPr>
            <w:tcW w:w="1684" w:type="dxa"/>
            <w:tcBorders>
              <w:top w:val="nil"/>
              <w:left w:val="nil"/>
              <w:bottom w:val="single" w:color="auto" w:sz="4" w:space="0"/>
              <w:right w:val="single" w:color="auto" w:sz="4" w:space="0"/>
            </w:tcBorders>
            <w:vAlign w:val="center"/>
          </w:tcPr>
          <w:p w14:paraId="3AB13180">
            <w:pPr>
              <w:widowControl/>
              <w:jc w:val="left"/>
              <w:rPr>
                <w:rFonts w:ascii="宋体" w:hAnsi="宋体" w:cs="宋体"/>
                <w:kern w:val="0"/>
                <w:szCs w:val="21"/>
              </w:rPr>
            </w:pPr>
            <w:r>
              <w:rPr>
                <w:rFonts w:hint="eastAsia" w:ascii="宋体" w:hAnsi="宋体" w:cs="宋体"/>
                <w:kern w:val="0"/>
                <w:szCs w:val="21"/>
              </w:rPr>
              <w:t>50≤Y＜1000</w:t>
            </w:r>
          </w:p>
        </w:tc>
        <w:tc>
          <w:tcPr>
            <w:tcW w:w="1082" w:type="dxa"/>
            <w:tcBorders>
              <w:top w:val="nil"/>
              <w:left w:val="nil"/>
              <w:bottom w:val="single" w:color="auto" w:sz="4" w:space="0"/>
              <w:right w:val="single" w:color="auto" w:sz="4" w:space="0"/>
            </w:tcBorders>
            <w:vAlign w:val="center"/>
          </w:tcPr>
          <w:p w14:paraId="3AC4C621">
            <w:pPr>
              <w:widowControl/>
              <w:jc w:val="left"/>
              <w:rPr>
                <w:rFonts w:ascii="宋体" w:hAnsi="宋体" w:cs="宋体"/>
                <w:kern w:val="0"/>
                <w:szCs w:val="21"/>
              </w:rPr>
            </w:pPr>
            <w:r>
              <w:rPr>
                <w:rFonts w:hint="eastAsia" w:ascii="宋体" w:hAnsi="宋体" w:cs="宋体"/>
                <w:kern w:val="0"/>
                <w:szCs w:val="21"/>
              </w:rPr>
              <w:t>Y＜50</w:t>
            </w:r>
          </w:p>
        </w:tc>
      </w:tr>
      <w:tr w14:paraId="5A6B2AA5">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38F45161">
            <w:pPr>
              <w:widowControl/>
              <w:jc w:val="center"/>
              <w:rPr>
                <w:rFonts w:ascii="宋体" w:hAnsi="宋体" w:cs="宋体"/>
                <w:b/>
                <w:bCs/>
                <w:kern w:val="0"/>
                <w:szCs w:val="21"/>
              </w:rPr>
            </w:pPr>
            <w:r>
              <w:rPr>
                <w:rFonts w:hint="eastAsia" w:ascii="宋体" w:hAnsi="宋体" w:cs="宋体"/>
                <w:b/>
                <w:bCs/>
                <w:kern w:val="0"/>
                <w:szCs w:val="21"/>
              </w:rPr>
              <w:t>房地产开发经营</w:t>
            </w:r>
          </w:p>
        </w:tc>
        <w:tc>
          <w:tcPr>
            <w:tcW w:w="1679" w:type="dxa"/>
            <w:tcBorders>
              <w:top w:val="nil"/>
              <w:left w:val="nil"/>
              <w:bottom w:val="single" w:color="auto" w:sz="4" w:space="0"/>
              <w:right w:val="single" w:color="auto" w:sz="4" w:space="0"/>
            </w:tcBorders>
            <w:vAlign w:val="center"/>
          </w:tcPr>
          <w:p w14:paraId="0FE2C524">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09B1B3D3">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014C4C8B">
            <w:pPr>
              <w:widowControl/>
              <w:jc w:val="left"/>
              <w:rPr>
                <w:rFonts w:ascii="宋体" w:hAnsi="宋体" w:cs="宋体"/>
                <w:kern w:val="0"/>
                <w:szCs w:val="21"/>
              </w:rPr>
            </w:pPr>
            <w:r>
              <w:rPr>
                <w:rFonts w:hint="eastAsia" w:ascii="宋体" w:hAnsi="宋体" w:cs="宋体"/>
                <w:kern w:val="0"/>
                <w:szCs w:val="21"/>
              </w:rPr>
              <w:t>1000≤Y＜200000</w:t>
            </w:r>
          </w:p>
        </w:tc>
        <w:tc>
          <w:tcPr>
            <w:tcW w:w="1684" w:type="dxa"/>
            <w:tcBorders>
              <w:top w:val="nil"/>
              <w:left w:val="nil"/>
              <w:bottom w:val="single" w:color="auto" w:sz="4" w:space="0"/>
              <w:right w:val="single" w:color="auto" w:sz="4" w:space="0"/>
            </w:tcBorders>
            <w:vAlign w:val="center"/>
          </w:tcPr>
          <w:p w14:paraId="67212E63">
            <w:pPr>
              <w:widowControl/>
              <w:jc w:val="left"/>
              <w:rPr>
                <w:rFonts w:ascii="宋体" w:hAnsi="宋体" w:cs="宋体"/>
                <w:kern w:val="0"/>
                <w:szCs w:val="21"/>
              </w:rPr>
            </w:pPr>
            <w:r>
              <w:rPr>
                <w:rFonts w:hint="eastAsia" w:ascii="宋体" w:hAnsi="宋体" w:cs="宋体"/>
                <w:kern w:val="0"/>
                <w:szCs w:val="21"/>
              </w:rPr>
              <w:t>100≤X＜1000</w:t>
            </w:r>
          </w:p>
        </w:tc>
        <w:tc>
          <w:tcPr>
            <w:tcW w:w="1082" w:type="dxa"/>
            <w:tcBorders>
              <w:top w:val="nil"/>
              <w:left w:val="nil"/>
              <w:bottom w:val="single" w:color="auto" w:sz="4" w:space="0"/>
              <w:right w:val="single" w:color="auto" w:sz="4" w:space="0"/>
            </w:tcBorders>
            <w:vAlign w:val="center"/>
          </w:tcPr>
          <w:p w14:paraId="7EFD6726">
            <w:pPr>
              <w:widowControl/>
              <w:jc w:val="left"/>
              <w:rPr>
                <w:rFonts w:ascii="宋体" w:hAnsi="宋体" w:cs="宋体"/>
                <w:kern w:val="0"/>
                <w:szCs w:val="21"/>
              </w:rPr>
            </w:pPr>
            <w:r>
              <w:rPr>
                <w:rFonts w:hint="eastAsia" w:ascii="宋体" w:hAnsi="宋体" w:cs="宋体"/>
                <w:kern w:val="0"/>
                <w:szCs w:val="21"/>
              </w:rPr>
              <w:t>X＜100</w:t>
            </w:r>
          </w:p>
        </w:tc>
      </w:tr>
      <w:tr w14:paraId="01332D03">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5C4FCFEF">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7CE8F56A">
            <w:pPr>
              <w:widowControl/>
              <w:jc w:val="center"/>
              <w:rPr>
                <w:rFonts w:ascii="宋体" w:hAnsi="宋体" w:cs="宋体"/>
                <w:kern w:val="0"/>
                <w:szCs w:val="21"/>
              </w:rPr>
            </w:pPr>
            <w:r>
              <w:rPr>
                <w:rFonts w:hint="eastAsia" w:ascii="宋体" w:hAnsi="宋体" w:cs="宋体"/>
                <w:kern w:val="0"/>
                <w:szCs w:val="21"/>
              </w:rPr>
              <w:t>资产总额（Z）</w:t>
            </w:r>
          </w:p>
        </w:tc>
        <w:tc>
          <w:tcPr>
            <w:tcW w:w="1259" w:type="dxa"/>
            <w:tcBorders>
              <w:top w:val="nil"/>
              <w:left w:val="nil"/>
              <w:bottom w:val="single" w:color="auto" w:sz="4" w:space="0"/>
              <w:right w:val="single" w:color="auto" w:sz="4" w:space="0"/>
            </w:tcBorders>
            <w:vAlign w:val="center"/>
          </w:tcPr>
          <w:p w14:paraId="101BCB70">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155838C5">
            <w:pPr>
              <w:widowControl/>
              <w:jc w:val="left"/>
              <w:rPr>
                <w:rFonts w:ascii="宋体" w:hAnsi="宋体" w:cs="宋体"/>
                <w:kern w:val="0"/>
                <w:szCs w:val="21"/>
              </w:rPr>
            </w:pPr>
            <w:r>
              <w:rPr>
                <w:rFonts w:hint="eastAsia" w:ascii="宋体" w:hAnsi="宋体" w:cs="宋体"/>
                <w:kern w:val="0"/>
                <w:szCs w:val="21"/>
              </w:rPr>
              <w:t>5000≤Z＜10000</w:t>
            </w:r>
          </w:p>
        </w:tc>
        <w:tc>
          <w:tcPr>
            <w:tcW w:w="1684" w:type="dxa"/>
            <w:tcBorders>
              <w:top w:val="nil"/>
              <w:left w:val="nil"/>
              <w:bottom w:val="single" w:color="auto" w:sz="4" w:space="0"/>
              <w:right w:val="single" w:color="auto" w:sz="4" w:space="0"/>
            </w:tcBorders>
            <w:vAlign w:val="center"/>
          </w:tcPr>
          <w:p w14:paraId="74869011">
            <w:pPr>
              <w:widowControl/>
              <w:jc w:val="left"/>
              <w:rPr>
                <w:rFonts w:ascii="宋体" w:hAnsi="宋体" w:cs="宋体"/>
                <w:kern w:val="0"/>
                <w:szCs w:val="21"/>
              </w:rPr>
            </w:pPr>
            <w:r>
              <w:rPr>
                <w:rFonts w:hint="eastAsia" w:ascii="宋体" w:hAnsi="宋体" w:cs="宋体"/>
                <w:kern w:val="0"/>
                <w:szCs w:val="21"/>
              </w:rPr>
              <w:t>2000≤Y＜5000</w:t>
            </w:r>
          </w:p>
        </w:tc>
        <w:tc>
          <w:tcPr>
            <w:tcW w:w="1082" w:type="dxa"/>
            <w:tcBorders>
              <w:top w:val="nil"/>
              <w:left w:val="nil"/>
              <w:bottom w:val="single" w:color="auto" w:sz="4" w:space="0"/>
              <w:right w:val="single" w:color="auto" w:sz="4" w:space="0"/>
            </w:tcBorders>
            <w:vAlign w:val="center"/>
          </w:tcPr>
          <w:p w14:paraId="6951C659">
            <w:pPr>
              <w:widowControl/>
              <w:jc w:val="left"/>
              <w:rPr>
                <w:rFonts w:ascii="宋体" w:hAnsi="宋体" w:cs="宋体"/>
                <w:kern w:val="0"/>
                <w:szCs w:val="21"/>
              </w:rPr>
            </w:pPr>
            <w:r>
              <w:rPr>
                <w:rFonts w:hint="eastAsia" w:ascii="宋体" w:hAnsi="宋体" w:cs="宋体"/>
                <w:kern w:val="0"/>
                <w:szCs w:val="21"/>
              </w:rPr>
              <w:t>Y＜2000</w:t>
            </w:r>
          </w:p>
        </w:tc>
      </w:tr>
      <w:tr w14:paraId="1A2551E1">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2352760D">
            <w:pPr>
              <w:widowControl/>
              <w:jc w:val="center"/>
              <w:rPr>
                <w:rFonts w:ascii="宋体" w:hAnsi="宋体" w:cs="宋体"/>
                <w:b/>
                <w:bCs/>
                <w:kern w:val="0"/>
                <w:szCs w:val="21"/>
              </w:rPr>
            </w:pPr>
            <w:r>
              <w:rPr>
                <w:rFonts w:hint="eastAsia" w:ascii="宋体" w:hAnsi="宋体" w:cs="宋体"/>
                <w:b/>
                <w:bCs/>
                <w:kern w:val="0"/>
                <w:szCs w:val="21"/>
              </w:rPr>
              <w:t>物业管理</w:t>
            </w:r>
          </w:p>
        </w:tc>
        <w:tc>
          <w:tcPr>
            <w:tcW w:w="1679" w:type="dxa"/>
            <w:tcBorders>
              <w:top w:val="nil"/>
              <w:left w:val="nil"/>
              <w:bottom w:val="single" w:color="auto" w:sz="4" w:space="0"/>
              <w:right w:val="single" w:color="auto" w:sz="4" w:space="0"/>
            </w:tcBorders>
            <w:vAlign w:val="center"/>
          </w:tcPr>
          <w:p w14:paraId="2D879FC6">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4709461C">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49D373D4">
            <w:pPr>
              <w:widowControl/>
              <w:jc w:val="left"/>
              <w:rPr>
                <w:rFonts w:ascii="宋体" w:hAnsi="宋体" w:cs="宋体"/>
                <w:kern w:val="0"/>
                <w:szCs w:val="21"/>
              </w:rPr>
            </w:pPr>
            <w:r>
              <w:rPr>
                <w:rFonts w:hint="eastAsia" w:ascii="宋体" w:hAnsi="宋体" w:cs="宋体"/>
                <w:kern w:val="0"/>
                <w:szCs w:val="21"/>
              </w:rPr>
              <w:t>300≤X＜1000</w:t>
            </w:r>
          </w:p>
        </w:tc>
        <w:tc>
          <w:tcPr>
            <w:tcW w:w="1684" w:type="dxa"/>
            <w:tcBorders>
              <w:top w:val="nil"/>
              <w:left w:val="nil"/>
              <w:bottom w:val="single" w:color="auto" w:sz="4" w:space="0"/>
              <w:right w:val="single" w:color="auto" w:sz="4" w:space="0"/>
            </w:tcBorders>
            <w:vAlign w:val="center"/>
          </w:tcPr>
          <w:p w14:paraId="500F7178">
            <w:pPr>
              <w:widowControl/>
              <w:jc w:val="left"/>
              <w:rPr>
                <w:rFonts w:ascii="宋体" w:hAnsi="宋体" w:cs="宋体"/>
                <w:kern w:val="0"/>
                <w:szCs w:val="21"/>
              </w:rPr>
            </w:pPr>
            <w:r>
              <w:rPr>
                <w:rFonts w:hint="eastAsia" w:ascii="宋体" w:hAnsi="宋体" w:cs="宋体"/>
                <w:kern w:val="0"/>
                <w:szCs w:val="21"/>
              </w:rPr>
              <w:t>100≤X＜300</w:t>
            </w:r>
          </w:p>
        </w:tc>
        <w:tc>
          <w:tcPr>
            <w:tcW w:w="1082" w:type="dxa"/>
            <w:tcBorders>
              <w:top w:val="nil"/>
              <w:left w:val="nil"/>
              <w:bottom w:val="single" w:color="auto" w:sz="4" w:space="0"/>
              <w:right w:val="single" w:color="auto" w:sz="4" w:space="0"/>
            </w:tcBorders>
            <w:vAlign w:val="center"/>
          </w:tcPr>
          <w:p w14:paraId="7B80E02E">
            <w:pPr>
              <w:widowControl/>
              <w:jc w:val="left"/>
              <w:rPr>
                <w:rFonts w:ascii="宋体" w:hAnsi="宋体" w:cs="宋体"/>
                <w:kern w:val="0"/>
                <w:szCs w:val="21"/>
              </w:rPr>
            </w:pPr>
            <w:r>
              <w:rPr>
                <w:rFonts w:hint="eastAsia" w:ascii="宋体" w:hAnsi="宋体" w:cs="宋体"/>
                <w:kern w:val="0"/>
                <w:szCs w:val="21"/>
              </w:rPr>
              <w:t>X＜100</w:t>
            </w:r>
          </w:p>
        </w:tc>
      </w:tr>
      <w:tr w14:paraId="27DDC62C">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24C2E04F">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6323F9AF">
            <w:pPr>
              <w:widowControl/>
              <w:jc w:val="center"/>
              <w:rPr>
                <w:rFonts w:ascii="宋体" w:hAnsi="宋体" w:cs="宋体"/>
                <w:kern w:val="0"/>
                <w:szCs w:val="21"/>
              </w:rPr>
            </w:pPr>
            <w:r>
              <w:rPr>
                <w:rFonts w:hint="eastAsia" w:ascii="宋体" w:hAnsi="宋体" w:cs="宋体"/>
                <w:kern w:val="0"/>
                <w:szCs w:val="21"/>
              </w:rPr>
              <w:t>营业收入（Y）</w:t>
            </w:r>
          </w:p>
        </w:tc>
        <w:tc>
          <w:tcPr>
            <w:tcW w:w="1259" w:type="dxa"/>
            <w:tcBorders>
              <w:top w:val="nil"/>
              <w:left w:val="nil"/>
              <w:bottom w:val="single" w:color="auto" w:sz="4" w:space="0"/>
              <w:right w:val="single" w:color="auto" w:sz="4" w:space="0"/>
            </w:tcBorders>
            <w:vAlign w:val="center"/>
          </w:tcPr>
          <w:p w14:paraId="762E973F">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746D4292">
            <w:pPr>
              <w:widowControl/>
              <w:jc w:val="left"/>
              <w:rPr>
                <w:rFonts w:ascii="宋体" w:hAnsi="宋体" w:cs="宋体"/>
                <w:kern w:val="0"/>
                <w:szCs w:val="21"/>
              </w:rPr>
            </w:pPr>
            <w:r>
              <w:rPr>
                <w:rFonts w:hint="eastAsia" w:ascii="宋体" w:hAnsi="宋体" w:cs="宋体"/>
                <w:kern w:val="0"/>
                <w:szCs w:val="21"/>
              </w:rPr>
              <w:t>1000≤Y＜5000</w:t>
            </w:r>
          </w:p>
        </w:tc>
        <w:tc>
          <w:tcPr>
            <w:tcW w:w="1684" w:type="dxa"/>
            <w:tcBorders>
              <w:top w:val="nil"/>
              <w:left w:val="nil"/>
              <w:bottom w:val="single" w:color="auto" w:sz="4" w:space="0"/>
              <w:right w:val="single" w:color="auto" w:sz="4" w:space="0"/>
            </w:tcBorders>
            <w:vAlign w:val="center"/>
          </w:tcPr>
          <w:p w14:paraId="1E9FD074">
            <w:pPr>
              <w:widowControl/>
              <w:jc w:val="left"/>
              <w:rPr>
                <w:rFonts w:ascii="宋体" w:hAnsi="宋体" w:cs="宋体"/>
                <w:kern w:val="0"/>
                <w:szCs w:val="21"/>
              </w:rPr>
            </w:pPr>
            <w:r>
              <w:rPr>
                <w:rFonts w:hint="eastAsia" w:ascii="宋体" w:hAnsi="宋体" w:cs="宋体"/>
                <w:kern w:val="0"/>
                <w:szCs w:val="21"/>
              </w:rPr>
              <w:t>500≤Y＜1000</w:t>
            </w:r>
          </w:p>
        </w:tc>
        <w:tc>
          <w:tcPr>
            <w:tcW w:w="1082" w:type="dxa"/>
            <w:tcBorders>
              <w:top w:val="nil"/>
              <w:left w:val="nil"/>
              <w:bottom w:val="single" w:color="auto" w:sz="4" w:space="0"/>
              <w:right w:val="single" w:color="auto" w:sz="4" w:space="0"/>
            </w:tcBorders>
            <w:vAlign w:val="center"/>
          </w:tcPr>
          <w:p w14:paraId="740CBDE4">
            <w:pPr>
              <w:widowControl/>
              <w:jc w:val="left"/>
              <w:rPr>
                <w:rFonts w:ascii="宋体" w:hAnsi="宋体" w:cs="宋体"/>
                <w:kern w:val="0"/>
                <w:szCs w:val="21"/>
              </w:rPr>
            </w:pPr>
            <w:r>
              <w:rPr>
                <w:rFonts w:hint="eastAsia" w:ascii="宋体" w:hAnsi="宋体" w:cs="宋体"/>
                <w:kern w:val="0"/>
                <w:szCs w:val="21"/>
              </w:rPr>
              <w:t>Y＜500</w:t>
            </w:r>
          </w:p>
        </w:tc>
      </w:tr>
      <w:tr w14:paraId="0BF08197">
        <w:tblPrEx>
          <w:tblCellMar>
            <w:top w:w="0" w:type="dxa"/>
            <w:left w:w="108" w:type="dxa"/>
            <w:bottom w:w="0" w:type="dxa"/>
            <w:right w:w="108" w:type="dxa"/>
          </w:tblCellMar>
        </w:tblPrEx>
        <w:trPr>
          <w:trHeight w:val="356" w:hRule="atLeast"/>
          <w:jc w:val="center"/>
        </w:trPr>
        <w:tc>
          <w:tcPr>
            <w:tcW w:w="1804" w:type="dxa"/>
            <w:vMerge w:val="restart"/>
            <w:tcBorders>
              <w:top w:val="nil"/>
              <w:left w:val="single" w:color="auto" w:sz="4" w:space="0"/>
              <w:bottom w:val="single" w:color="auto" w:sz="4" w:space="0"/>
              <w:right w:val="single" w:color="auto" w:sz="4" w:space="0"/>
            </w:tcBorders>
            <w:vAlign w:val="center"/>
          </w:tcPr>
          <w:p w14:paraId="020840A8">
            <w:pPr>
              <w:widowControl/>
              <w:jc w:val="center"/>
              <w:rPr>
                <w:rFonts w:ascii="宋体" w:hAnsi="宋体" w:cs="宋体"/>
                <w:b/>
                <w:bCs/>
                <w:kern w:val="0"/>
                <w:szCs w:val="21"/>
              </w:rPr>
            </w:pPr>
            <w:r>
              <w:rPr>
                <w:rFonts w:hint="eastAsia" w:ascii="宋体" w:hAnsi="宋体" w:cs="宋体"/>
                <w:b/>
                <w:bCs/>
                <w:kern w:val="0"/>
                <w:szCs w:val="21"/>
              </w:rPr>
              <w:t>租赁和商务服务业</w:t>
            </w:r>
          </w:p>
        </w:tc>
        <w:tc>
          <w:tcPr>
            <w:tcW w:w="1679" w:type="dxa"/>
            <w:tcBorders>
              <w:top w:val="nil"/>
              <w:left w:val="nil"/>
              <w:bottom w:val="single" w:color="auto" w:sz="4" w:space="0"/>
              <w:right w:val="single" w:color="auto" w:sz="4" w:space="0"/>
            </w:tcBorders>
            <w:vAlign w:val="center"/>
          </w:tcPr>
          <w:p w14:paraId="11A52920">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08277E08">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6E1AB55F">
            <w:pPr>
              <w:widowControl/>
              <w:jc w:val="left"/>
              <w:rPr>
                <w:rFonts w:ascii="宋体" w:hAnsi="宋体" w:cs="宋体"/>
                <w:kern w:val="0"/>
                <w:szCs w:val="21"/>
              </w:rPr>
            </w:pPr>
            <w:r>
              <w:rPr>
                <w:rFonts w:hint="eastAsia" w:ascii="宋体" w:hAnsi="宋体" w:cs="宋体"/>
                <w:kern w:val="0"/>
                <w:szCs w:val="21"/>
              </w:rPr>
              <w:t>100≤X＜300</w:t>
            </w:r>
          </w:p>
        </w:tc>
        <w:tc>
          <w:tcPr>
            <w:tcW w:w="1684" w:type="dxa"/>
            <w:tcBorders>
              <w:top w:val="nil"/>
              <w:left w:val="nil"/>
              <w:bottom w:val="single" w:color="auto" w:sz="4" w:space="0"/>
              <w:right w:val="single" w:color="auto" w:sz="4" w:space="0"/>
            </w:tcBorders>
            <w:vAlign w:val="center"/>
          </w:tcPr>
          <w:p w14:paraId="11ACEDC2">
            <w:pPr>
              <w:widowControl/>
              <w:jc w:val="left"/>
              <w:rPr>
                <w:rFonts w:ascii="宋体" w:hAnsi="宋体" w:cs="宋体"/>
                <w:kern w:val="0"/>
                <w:szCs w:val="21"/>
              </w:rPr>
            </w:pPr>
            <w:r>
              <w:rPr>
                <w:rFonts w:hint="eastAsia" w:ascii="宋体" w:hAnsi="宋体" w:cs="宋体"/>
                <w:kern w:val="0"/>
                <w:szCs w:val="21"/>
              </w:rPr>
              <w:t>10≤X＜100</w:t>
            </w:r>
          </w:p>
        </w:tc>
        <w:tc>
          <w:tcPr>
            <w:tcW w:w="1082" w:type="dxa"/>
            <w:tcBorders>
              <w:top w:val="nil"/>
              <w:left w:val="nil"/>
              <w:bottom w:val="single" w:color="auto" w:sz="4" w:space="0"/>
              <w:right w:val="single" w:color="auto" w:sz="4" w:space="0"/>
            </w:tcBorders>
            <w:vAlign w:val="center"/>
          </w:tcPr>
          <w:p w14:paraId="3229E2DA">
            <w:pPr>
              <w:widowControl/>
              <w:jc w:val="left"/>
              <w:rPr>
                <w:rFonts w:ascii="宋体" w:hAnsi="宋体" w:cs="宋体"/>
                <w:kern w:val="0"/>
                <w:szCs w:val="21"/>
              </w:rPr>
            </w:pPr>
            <w:r>
              <w:rPr>
                <w:rFonts w:hint="eastAsia" w:ascii="宋体" w:hAnsi="宋体" w:cs="宋体"/>
                <w:kern w:val="0"/>
                <w:szCs w:val="21"/>
              </w:rPr>
              <w:t>X＜10</w:t>
            </w:r>
          </w:p>
        </w:tc>
      </w:tr>
      <w:tr w14:paraId="2CBD5D26">
        <w:tblPrEx>
          <w:tblCellMar>
            <w:top w:w="0" w:type="dxa"/>
            <w:left w:w="108" w:type="dxa"/>
            <w:bottom w:w="0" w:type="dxa"/>
            <w:right w:w="108" w:type="dxa"/>
          </w:tblCellMar>
        </w:tblPrEx>
        <w:trPr>
          <w:trHeight w:val="356"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24A840C5">
            <w:pPr>
              <w:widowControl/>
              <w:jc w:val="center"/>
              <w:rPr>
                <w:rFonts w:ascii="宋体" w:hAnsi="宋体" w:cs="宋体"/>
                <w:b/>
                <w:bCs/>
                <w:kern w:val="0"/>
                <w:szCs w:val="21"/>
              </w:rPr>
            </w:pPr>
          </w:p>
        </w:tc>
        <w:tc>
          <w:tcPr>
            <w:tcW w:w="1679" w:type="dxa"/>
            <w:tcBorders>
              <w:top w:val="nil"/>
              <w:left w:val="nil"/>
              <w:bottom w:val="single" w:color="auto" w:sz="4" w:space="0"/>
              <w:right w:val="single" w:color="auto" w:sz="4" w:space="0"/>
            </w:tcBorders>
            <w:vAlign w:val="center"/>
          </w:tcPr>
          <w:p w14:paraId="65C980E8">
            <w:pPr>
              <w:widowControl/>
              <w:jc w:val="center"/>
              <w:rPr>
                <w:rFonts w:ascii="宋体" w:hAnsi="宋体" w:cs="宋体"/>
                <w:kern w:val="0"/>
                <w:szCs w:val="21"/>
              </w:rPr>
            </w:pPr>
            <w:r>
              <w:rPr>
                <w:rFonts w:hint="eastAsia" w:ascii="宋体" w:hAnsi="宋体" w:cs="宋体"/>
                <w:kern w:val="0"/>
                <w:szCs w:val="21"/>
              </w:rPr>
              <w:t>资产总额（Z）</w:t>
            </w:r>
          </w:p>
        </w:tc>
        <w:tc>
          <w:tcPr>
            <w:tcW w:w="1259" w:type="dxa"/>
            <w:tcBorders>
              <w:top w:val="nil"/>
              <w:left w:val="nil"/>
              <w:bottom w:val="single" w:color="auto" w:sz="4" w:space="0"/>
              <w:right w:val="single" w:color="auto" w:sz="4" w:space="0"/>
            </w:tcBorders>
            <w:vAlign w:val="center"/>
          </w:tcPr>
          <w:p w14:paraId="7E633F16">
            <w:pPr>
              <w:widowControl/>
              <w:jc w:val="center"/>
              <w:rPr>
                <w:rFonts w:ascii="宋体" w:hAnsi="宋体" w:cs="宋体"/>
                <w:kern w:val="0"/>
                <w:szCs w:val="21"/>
              </w:rPr>
            </w:pPr>
            <w:r>
              <w:rPr>
                <w:rFonts w:hint="eastAsia" w:ascii="宋体" w:hAnsi="宋体" w:cs="宋体"/>
                <w:kern w:val="0"/>
                <w:szCs w:val="21"/>
              </w:rPr>
              <w:t>万元</w:t>
            </w:r>
          </w:p>
        </w:tc>
        <w:tc>
          <w:tcPr>
            <w:tcW w:w="1957" w:type="dxa"/>
            <w:tcBorders>
              <w:top w:val="nil"/>
              <w:left w:val="nil"/>
              <w:bottom w:val="single" w:color="auto" w:sz="4" w:space="0"/>
              <w:right w:val="single" w:color="auto" w:sz="4" w:space="0"/>
            </w:tcBorders>
            <w:vAlign w:val="center"/>
          </w:tcPr>
          <w:p w14:paraId="40782408">
            <w:pPr>
              <w:widowControl/>
              <w:jc w:val="left"/>
              <w:rPr>
                <w:rFonts w:ascii="宋体" w:hAnsi="宋体" w:cs="宋体"/>
                <w:kern w:val="0"/>
                <w:szCs w:val="21"/>
              </w:rPr>
            </w:pPr>
            <w:r>
              <w:rPr>
                <w:rFonts w:hint="eastAsia" w:ascii="宋体" w:hAnsi="宋体" w:cs="宋体"/>
                <w:kern w:val="0"/>
                <w:szCs w:val="21"/>
              </w:rPr>
              <w:t>8000≤Z＜120000</w:t>
            </w:r>
          </w:p>
        </w:tc>
        <w:tc>
          <w:tcPr>
            <w:tcW w:w="1684" w:type="dxa"/>
            <w:tcBorders>
              <w:top w:val="nil"/>
              <w:left w:val="nil"/>
              <w:bottom w:val="single" w:color="auto" w:sz="4" w:space="0"/>
              <w:right w:val="single" w:color="auto" w:sz="4" w:space="0"/>
            </w:tcBorders>
            <w:vAlign w:val="center"/>
          </w:tcPr>
          <w:p w14:paraId="5C0B1641">
            <w:pPr>
              <w:widowControl/>
              <w:jc w:val="left"/>
              <w:rPr>
                <w:rFonts w:ascii="宋体" w:hAnsi="宋体" w:cs="宋体"/>
                <w:kern w:val="0"/>
                <w:szCs w:val="21"/>
              </w:rPr>
            </w:pPr>
            <w:r>
              <w:rPr>
                <w:rFonts w:hint="eastAsia" w:ascii="宋体" w:hAnsi="宋体" w:cs="宋体"/>
                <w:kern w:val="0"/>
                <w:szCs w:val="21"/>
              </w:rPr>
              <w:t>100≤Z＜8000</w:t>
            </w:r>
          </w:p>
        </w:tc>
        <w:tc>
          <w:tcPr>
            <w:tcW w:w="1082" w:type="dxa"/>
            <w:tcBorders>
              <w:top w:val="nil"/>
              <w:left w:val="nil"/>
              <w:bottom w:val="single" w:color="auto" w:sz="4" w:space="0"/>
              <w:right w:val="single" w:color="auto" w:sz="4" w:space="0"/>
            </w:tcBorders>
            <w:vAlign w:val="center"/>
          </w:tcPr>
          <w:p w14:paraId="3061A32A">
            <w:pPr>
              <w:widowControl/>
              <w:jc w:val="left"/>
              <w:rPr>
                <w:rFonts w:ascii="宋体" w:hAnsi="宋体" w:cs="宋体"/>
                <w:kern w:val="0"/>
                <w:szCs w:val="21"/>
              </w:rPr>
            </w:pPr>
            <w:r>
              <w:rPr>
                <w:rFonts w:hint="eastAsia" w:ascii="宋体" w:hAnsi="宋体" w:cs="宋体"/>
                <w:kern w:val="0"/>
                <w:szCs w:val="21"/>
              </w:rPr>
              <w:t>Y＜100</w:t>
            </w:r>
          </w:p>
        </w:tc>
      </w:tr>
      <w:tr w14:paraId="272D0EF4">
        <w:tblPrEx>
          <w:tblCellMar>
            <w:top w:w="0" w:type="dxa"/>
            <w:left w:w="108" w:type="dxa"/>
            <w:bottom w:w="0" w:type="dxa"/>
            <w:right w:w="108" w:type="dxa"/>
          </w:tblCellMar>
        </w:tblPrEx>
        <w:trPr>
          <w:trHeight w:val="407" w:hRule="atLeast"/>
          <w:jc w:val="center"/>
        </w:trPr>
        <w:tc>
          <w:tcPr>
            <w:tcW w:w="1804" w:type="dxa"/>
            <w:tcBorders>
              <w:top w:val="nil"/>
              <w:left w:val="single" w:color="auto" w:sz="4" w:space="0"/>
              <w:bottom w:val="single" w:color="auto" w:sz="4" w:space="0"/>
              <w:right w:val="single" w:color="auto" w:sz="4" w:space="0"/>
            </w:tcBorders>
            <w:vAlign w:val="center"/>
          </w:tcPr>
          <w:p w14:paraId="77AB3AF1">
            <w:pPr>
              <w:widowControl/>
              <w:jc w:val="center"/>
              <w:rPr>
                <w:rFonts w:ascii="宋体" w:hAnsi="宋体" w:cs="宋体"/>
                <w:b/>
                <w:bCs/>
                <w:kern w:val="0"/>
                <w:szCs w:val="21"/>
              </w:rPr>
            </w:pPr>
            <w:r>
              <w:rPr>
                <w:rFonts w:hint="eastAsia" w:ascii="宋体" w:hAnsi="宋体" w:cs="宋体"/>
                <w:b/>
                <w:bCs/>
                <w:kern w:val="0"/>
                <w:szCs w:val="21"/>
              </w:rPr>
              <w:t>其他未列明行业</w:t>
            </w:r>
          </w:p>
        </w:tc>
        <w:tc>
          <w:tcPr>
            <w:tcW w:w="1679" w:type="dxa"/>
            <w:tcBorders>
              <w:top w:val="nil"/>
              <w:left w:val="nil"/>
              <w:bottom w:val="single" w:color="auto" w:sz="4" w:space="0"/>
              <w:right w:val="single" w:color="auto" w:sz="4" w:space="0"/>
            </w:tcBorders>
            <w:vAlign w:val="center"/>
          </w:tcPr>
          <w:p w14:paraId="7F011BF8">
            <w:pPr>
              <w:widowControl/>
              <w:jc w:val="center"/>
              <w:rPr>
                <w:rFonts w:ascii="宋体" w:hAnsi="宋体" w:cs="宋体"/>
                <w:kern w:val="0"/>
                <w:szCs w:val="21"/>
              </w:rPr>
            </w:pPr>
            <w:r>
              <w:rPr>
                <w:rFonts w:hint="eastAsia" w:ascii="宋体" w:hAnsi="宋体" w:cs="宋体"/>
                <w:kern w:val="0"/>
                <w:szCs w:val="21"/>
              </w:rPr>
              <w:t>从业人员（X）</w:t>
            </w:r>
          </w:p>
        </w:tc>
        <w:tc>
          <w:tcPr>
            <w:tcW w:w="1259" w:type="dxa"/>
            <w:tcBorders>
              <w:top w:val="nil"/>
              <w:left w:val="nil"/>
              <w:bottom w:val="single" w:color="auto" w:sz="4" w:space="0"/>
              <w:right w:val="single" w:color="auto" w:sz="4" w:space="0"/>
            </w:tcBorders>
            <w:vAlign w:val="center"/>
          </w:tcPr>
          <w:p w14:paraId="689AF300">
            <w:pPr>
              <w:widowControl/>
              <w:jc w:val="center"/>
              <w:rPr>
                <w:rFonts w:ascii="宋体" w:hAnsi="宋体" w:cs="宋体"/>
                <w:kern w:val="0"/>
                <w:szCs w:val="21"/>
              </w:rPr>
            </w:pPr>
            <w:r>
              <w:rPr>
                <w:rFonts w:hint="eastAsia" w:ascii="宋体" w:hAnsi="宋体" w:cs="宋体"/>
                <w:kern w:val="0"/>
                <w:szCs w:val="21"/>
              </w:rPr>
              <w:t>人</w:t>
            </w:r>
          </w:p>
        </w:tc>
        <w:tc>
          <w:tcPr>
            <w:tcW w:w="1957" w:type="dxa"/>
            <w:tcBorders>
              <w:top w:val="nil"/>
              <w:left w:val="nil"/>
              <w:bottom w:val="single" w:color="auto" w:sz="4" w:space="0"/>
              <w:right w:val="single" w:color="auto" w:sz="4" w:space="0"/>
            </w:tcBorders>
            <w:vAlign w:val="center"/>
          </w:tcPr>
          <w:p w14:paraId="1B693539">
            <w:pPr>
              <w:widowControl/>
              <w:jc w:val="left"/>
              <w:rPr>
                <w:rFonts w:ascii="宋体" w:hAnsi="宋体" w:cs="宋体"/>
                <w:kern w:val="0"/>
                <w:szCs w:val="21"/>
              </w:rPr>
            </w:pPr>
            <w:r>
              <w:rPr>
                <w:rFonts w:hint="eastAsia" w:ascii="宋体" w:hAnsi="宋体" w:cs="宋体"/>
                <w:kern w:val="0"/>
                <w:szCs w:val="21"/>
              </w:rPr>
              <w:t>100≤X＜300</w:t>
            </w:r>
          </w:p>
        </w:tc>
        <w:tc>
          <w:tcPr>
            <w:tcW w:w="1684" w:type="dxa"/>
            <w:tcBorders>
              <w:top w:val="nil"/>
              <w:left w:val="nil"/>
              <w:bottom w:val="single" w:color="auto" w:sz="4" w:space="0"/>
              <w:right w:val="single" w:color="auto" w:sz="4" w:space="0"/>
            </w:tcBorders>
            <w:vAlign w:val="center"/>
          </w:tcPr>
          <w:p w14:paraId="2E2B869A">
            <w:pPr>
              <w:widowControl/>
              <w:jc w:val="left"/>
              <w:rPr>
                <w:rFonts w:ascii="宋体" w:hAnsi="宋体" w:cs="宋体"/>
                <w:kern w:val="0"/>
                <w:szCs w:val="21"/>
              </w:rPr>
            </w:pPr>
            <w:r>
              <w:rPr>
                <w:rFonts w:hint="eastAsia" w:ascii="宋体" w:hAnsi="宋体" w:cs="宋体"/>
                <w:kern w:val="0"/>
                <w:szCs w:val="21"/>
              </w:rPr>
              <w:t>10≤X＜100</w:t>
            </w:r>
          </w:p>
        </w:tc>
        <w:tc>
          <w:tcPr>
            <w:tcW w:w="1082" w:type="dxa"/>
            <w:tcBorders>
              <w:top w:val="nil"/>
              <w:left w:val="nil"/>
              <w:bottom w:val="single" w:color="auto" w:sz="4" w:space="0"/>
              <w:right w:val="single" w:color="auto" w:sz="4" w:space="0"/>
            </w:tcBorders>
            <w:vAlign w:val="center"/>
          </w:tcPr>
          <w:p w14:paraId="56D792F1">
            <w:pPr>
              <w:widowControl/>
              <w:jc w:val="left"/>
              <w:rPr>
                <w:rFonts w:ascii="宋体" w:hAnsi="宋体" w:cs="宋体"/>
                <w:kern w:val="0"/>
                <w:szCs w:val="21"/>
              </w:rPr>
            </w:pPr>
            <w:r>
              <w:rPr>
                <w:rFonts w:hint="eastAsia" w:ascii="宋体" w:hAnsi="宋体" w:cs="宋体"/>
                <w:kern w:val="0"/>
                <w:szCs w:val="21"/>
              </w:rPr>
              <w:t>X＜10</w:t>
            </w:r>
          </w:p>
        </w:tc>
      </w:tr>
    </w:tbl>
    <w:p w14:paraId="06A37399">
      <w:pPr>
        <w:spacing w:line="360" w:lineRule="auto"/>
        <w:rPr>
          <w:rFonts w:ascii="宋体" w:hAnsi="宋体" w:cs="宋体"/>
          <w:szCs w:val="21"/>
        </w:rPr>
      </w:pPr>
    </w:p>
    <w:p w14:paraId="47965699">
      <w:pPr>
        <w:spacing w:line="360" w:lineRule="auto"/>
        <w:rPr>
          <w:rFonts w:cs="仿宋_GB2312" w:asciiTheme="minorEastAsia" w:hAnsiTheme="minorEastAsia" w:eastAsiaTheme="minorEastAsia"/>
          <w:b/>
          <w:sz w:val="36"/>
          <w:szCs w:val="36"/>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D851740">
      <w:pPr>
        <w:rPr>
          <w:rFonts w:cs="仿宋_GB2312" w:asciiTheme="minorEastAsia" w:hAnsiTheme="minorEastAsia" w:eastAsiaTheme="minorEastAsia"/>
          <w:b/>
          <w:sz w:val="36"/>
          <w:szCs w:val="36"/>
        </w:rPr>
      </w:pPr>
      <w:bookmarkStart w:id="74" w:name="_Toc10371"/>
      <w:bookmarkStart w:id="75" w:name="_Toc15042"/>
      <w:r>
        <w:rPr>
          <w:rFonts w:hint="eastAsia" w:cs="仿宋_GB2312" w:asciiTheme="minorEastAsia" w:hAnsiTheme="minorEastAsia" w:eastAsiaTheme="minorEastAsia"/>
          <w:b/>
          <w:sz w:val="36"/>
          <w:szCs w:val="36"/>
        </w:rPr>
        <w:br w:type="page"/>
      </w:r>
    </w:p>
    <w:p w14:paraId="25D9F321">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9"/>
      <w:bookmarkEnd w:id="70"/>
      <w:bookmarkStart w:id="76" w:name="第四部分"/>
      <w:r>
        <w:rPr>
          <w:rFonts w:hint="eastAsia" w:cs="仿宋_GB2312" w:asciiTheme="minorEastAsia" w:hAnsiTheme="minorEastAsia" w:eastAsiaTheme="minorEastAsia"/>
          <w:b/>
          <w:sz w:val="36"/>
          <w:szCs w:val="36"/>
        </w:rPr>
        <w:t>评审方法及评审标准</w:t>
      </w:r>
      <w:bookmarkEnd w:id="74"/>
      <w:bookmarkEnd w:id="75"/>
    </w:p>
    <w:p w14:paraId="3550FCA6">
      <w:pPr>
        <w:jc w:val="center"/>
        <w:rPr>
          <w:b/>
          <w:bCs/>
          <w:sz w:val="36"/>
          <w:szCs w:val="44"/>
        </w:rPr>
      </w:pPr>
      <w:r>
        <w:rPr>
          <w:rFonts w:hint="eastAsia"/>
          <w:b/>
          <w:bCs/>
          <w:sz w:val="36"/>
          <w:szCs w:val="44"/>
        </w:rPr>
        <w:t>评分办法前附表</w:t>
      </w:r>
    </w:p>
    <w:tbl>
      <w:tblPr>
        <w:tblStyle w:val="6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93"/>
        <w:gridCol w:w="6252"/>
      </w:tblGrid>
      <w:tr w14:paraId="1B5F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7EF946F7">
            <w:pPr>
              <w:autoSpaceDE w:val="0"/>
              <w:autoSpaceDN w:val="0"/>
              <w:spacing w:line="320" w:lineRule="exact"/>
              <w:jc w:val="center"/>
              <w:rPr>
                <w:b/>
                <w:sz w:val="24"/>
                <w:highlight w:val="none"/>
              </w:rPr>
            </w:pPr>
            <w:bookmarkStart w:id="77" w:name="_Toc25799"/>
            <w:r>
              <w:rPr>
                <w:rFonts w:hint="eastAsia"/>
                <w:b/>
                <w:sz w:val="24"/>
                <w:highlight w:val="none"/>
              </w:rPr>
              <w:t>评分</w:t>
            </w:r>
          </w:p>
          <w:p w14:paraId="3C2469B1">
            <w:pPr>
              <w:autoSpaceDE w:val="0"/>
              <w:autoSpaceDN w:val="0"/>
              <w:spacing w:line="320" w:lineRule="exact"/>
              <w:jc w:val="center"/>
              <w:rPr>
                <w:b/>
                <w:sz w:val="24"/>
                <w:highlight w:val="none"/>
              </w:rPr>
            </w:pPr>
            <w:r>
              <w:rPr>
                <w:rFonts w:hint="eastAsia"/>
                <w:b/>
                <w:sz w:val="24"/>
                <w:highlight w:val="none"/>
              </w:rPr>
              <w:t>类型</w:t>
            </w:r>
          </w:p>
        </w:tc>
        <w:tc>
          <w:tcPr>
            <w:tcW w:w="2093" w:type="dxa"/>
            <w:tcBorders>
              <w:top w:val="single" w:color="auto" w:sz="4" w:space="0"/>
              <w:left w:val="single" w:color="auto" w:sz="4" w:space="0"/>
              <w:bottom w:val="single" w:color="auto" w:sz="4" w:space="0"/>
              <w:right w:val="single" w:color="auto" w:sz="4" w:space="0"/>
            </w:tcBorders>
            <w:vAlign w:val="center"/>
          </w:tcPr>
          <w:p w14:paraId="5BF77DCC">
            <w:pPr>
              <w:autoSpaceDE w:val="0"/>
              <w:autoSpaceDN w:val="0"/>
              <w:spacing w:line="320" w:lineRule="exact"/>
              <w:jc w:val="center"/>
              <w:rPr>
                <w:b/>
                <w:sz w:val="24"/>
                <w:highlight w:val="none"/>
              </w:rPr>
            </w:pPr>
            <w:r>
              <w:rPr>
                <w:rFonts w:hint="eastAsia"/>
                <w:b/>
                <w:sz w:val="24"/>
                <w:highlight w:val="none"/>
              </w:rPr>
              <w:t>评审项目</w:t>
            </w:r>
          </w:p>
        </w:tc>
        <w:tc>
          <w:tcPr>
            <w:tcW w:w="6252" w:type="dxa"/>
            <w:tcBorders>
              <w:top w:val="single" w:color="auto" w:sz="4" w:space="0"/>
              <w:left w:val="single" w:color="auto" w:sz="4" w:space="0"/>
              <w:bottom w:val="single" w:color="auto" w:sz="4" w:space="0"/>
              <w:right w:val="single" w:color="auto" w:sz="4" w:space="0"/>
            </w:tcBorders>
            <w:vAlign w:val="center"/>
          </w:tcPr>
          <w:p w14:paraId="40A1D46D">
            <w:pPr>
              <w:autoSpaceDE w:val="0"/>
              <w:autoSpaceDN w:val="0"/>
              <w:spacing w:line="320" w:lineRule="exact"/>
              <w:jc w:val="center"/>
              <w:rPr>
                <w:b/>
                <w:sz w:val="24"/>
                <w:highlight w:val="none"/>
              </w:rPr>
            </w:pPr>
            <w:r>
              <w:rPr>
                <w:rFonts w:hint="eastAsia"/>
                <w:b/>
                <w:sz w:val="24"/>
                <w:highlight w:val="none"/>
              </w:rPr>
              <w:t>评审标准</w:t>
            </w:r>
          </w:p>
        </w:tc>
      </w:tr>
      <w:tr w14:paraId="7C26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2B7C416F">
            <w:pPr>
              <w:autoSpaceDE w:val="0"/>
              <w:autoSpaceDN w:val="0"/>
              <w:spacing w:line="320" w:lineRule="exact"/>
              <w:jc w:val="center"/>
              <w:rPr>
                <w:b/>
                <w:sz w:val="24"/>
                <w:highlight w:val="none"/>
              </w:rPr>
            </w:pPr>
            <w:r>
              <w:rPr>
                <w:rFonts w:hint="eastAsia"/>
                <w:b/>
                <w:sz w:val="24"/>
                <w:highlight w:val="none"/>
              </w:rPr>
              <w:t>价格部分</w:t>
            </w:r>
          </w:p>
          <w:p w14:paraId="58E70AED">
            <w:pPr>
              <w:autoSpaceDE w:val="0"/>
              <w:autoSpaceDN w:val="0"/>
              <w:spacing w:line="320" w:lineRule="exact"/>
              <w:jc w:val="center"/>
              <w:rPr>
                <w:b/>
                <w:sz w:val="24"/>
                <w:highlight w:val="none"/>
              </w:rPr>
            </w:pPr>
            <w:r>
              <w:rPr>
                <w:rFonts w:hint="eastAsia"/>
                <w:b/>
                <w:bCs/>
                <w:sz w:val="24"/>
                <w:highlight w:val="none"/>
              </w:rPr>
              <w:t>（</w:t>
            </w:r>
            <w:r>
              <w:rPr>
                <w:b/>
                <w:bCs/>
                <w:sz w:val="24"/>
                <w:highlight w:val="none"/>
              </w:rPr>
              <w:t>20</w:t>
            </w:r>
            <w:r>
              <w:rPr>
                <w:rFonts w:hint="eastAsia"/>
                <w:b/>
                <w:bCs/>
                <w:sz w:val="24"/>
                <w:highlight w:val="none"/>
              </w:rPr>
              <w:t>分）</w:t>
            </w:r>
          </w:p>
        </w:tc>
        <w:tc>
          <w:tcPr>
            <w:tcW w:w="2093" w:type="dxa"/>
            <w:tcBorders>
              <w:top w:val="single" w:color="auto" w:sz="4" w:space="0"/>
              <w:left w:val="single" w:color="auto" w:sz="4" w:space="0"/>
              <w:bottom w:val="single" w:color="auto" w:sz="4" w:space="0"/>
              <w:right w:val="single" w:color="auto" w:sz="4" w:space="0"/>
            </w:tcBorders>
            <w:vAlign w:val="center"/>
          </w:tcPr>
          <w:p w14:paraId="329B0A81">
            <w:pPr>
              <w:pStyle w:val="642"/>
              <w:spacing w:line="320" w:lineRule="exact"/>
              <w:jc w:val="center"/>
              <w:rPr>
                <w:rFonts w:ascii="Times New Roman" w:hAnsi="Times New Roman"/>
                <w:b/>
                <w:bCs/>
                <w:highlight w:val="none"/>
              </w:rPr>
            </w:pPr>
            <w:r>
              <w:rPr>
                <w:rFonts w:hint="eastAsia" w:ascii="Times New Roman" w:hAnsi="Times New Roman"/>
                <w:b/>
                <w:bCs/>
                <w:highlight w:val="none"/>
              </w:rPr>
              <w:t>报价分</w:t>
            </w:r>
          </w:p>
          <w:p w14:paraId="00EEB9A1">
            <w:pPr>
              <w:autoSpaceDE w:val="0"/>
              <w:autoSpaceDN w:val="0"/>
              <w:spacing w:line="320" w:lineRule="exact"/>
              <w:jc w:val="center"/>
              <w:rPr>
                <w:b/>
                <w:sz w:val="24"/>
                <w:highlight w:val="none"/>
              </w:rPr>
            </w:pPr>
            <w:r>
              <w:rPr>
                <w:rFonts w:hint="eastAsia"/>
                <w:b/>
                <w:bCs/>
                <w:sz w:val="24"/>
                <w:highlight w:val="none"/>
              </w:rPr>
              <w:t>（</w:t>
            </w:r>
            <w:r>
              <w:rPr>
                <w:b/>
                <w:bCs/>
                <w:sz w:val="24"/>
                <w:highlight w:val="none"/>
              </w:rPr>
              <w:t>20</w:t>
            </w:r>
            <w:r>
              <w:rPr>
                <w:rFonts w:hint="eastAsia"/>
                <w:b/>
                <w:bCs/>
                <w:sz w:val="24"/>
                <w:highlight w:val="none"/>
              </w:rPr>
              <w:t>分）</w:t>
            </w:r>
          </w:p>
        </w:tc>
        <w:tc>
          <w:tcPr>
            <w:tcW w:w="6252" w:type="dxa"/>
            <w:tcBorders>
              <w:top w:val="single" w:color="auto" w:sz="4" w:space="0"/>
              <w:left w:val="single" w:color="auto" w:sz="4" w:space="0"/>
              <w:bottom w:val="single" w:color="auto" w:sz="4" w:space="0"/>
              <w:right w:val="single" w:color="auto" w:sz="4" w:space="0"/>
            </w:tcBorders>
            <w:vAlign w:val="center"/>
          </w:tcPr>
          <w:p w14:paraId="615402E5">
            <w:pPr>
              <w:pStyle w:val="54"/>
              <w:numPr>
                <w:ilvl w:val="0"/>
                <w:numId w:val="0"/>
              </w:numPr>
              <w:spacing w:line="320" w:lineRule="exact"/>
              <w:ind w:left="0" w:leftChars="0" w:firstLine="480" w:firstLineChars="200"/>
              <w:jc w:val="left"/>
              <w:rPr>
                <w:rFonts w:hint="eastAsia" w:eastAsia="宋体"/>
                <w:sz w:val="24"/>
                <w:highlight w:val="none"/>
                <w:lang w:eastAsia="zh-CN"/>
              </w:rPr>
            </w:pPr>
            <w:r>
              <w:rPr>
                <w:rFonts w:hint="eastAsia" w:ascii="Times New Roman" w:hAnsi="Times New Roman" w:eastAsia="宋体" w:cs="Times New Roman"/>
                <w:kern w:val="2"/>
                <w:sz w:val="24"/>
                <w:szCs w:val="24"/>
                <w:lang w:val="en-US" w:eastAsia="zh-CN" w:bidi="ar-SA"/>
              </w:rPr>
              <w:t>（1）</w:t>
            </w:r>
            <w:r>
              <w:rPr>
                <w:rFonts w:hint="eastAsia"/>
                <w:sz w:val="24"/>
                <w:highlight w:val="none"/>
              </w:rPr>
              <w:t>投标总价低于或等于采购预算价的，为有效报价</w:t>
            </w:r>
            <w:r>
              <w:rPr>
                <w:rFonts w:hint="eastAsia"/>
                <w:b/>
                <w:bCs/>
                <w:sz w:val="24"/>
                <w:highlight w:val="none"/>
              </w:rPr>
              <w:t>（为避免恶意低价竞争，如报价低于</w:t>
            </w:r>
            <w:r>
              <w:rPr>
                <w:rFonts w:hint="eastAsia"/>
                <w:b/>
                <w:bCs/>
                <w:sz w:val="24"/>
                <w:highlight w:val="none"/>
                <w:lang w:val="en-US" w:eastAsia="zh-CN"/>
              </w:rPr>
              <w:t>预算金额的</w:t>
            </w:r>
            <w:r>
              <w:rPr>
                <w:rFonts w:hint="eastAsia"/>
                <w:b/>
                <w:bCs/>
                <w:sz w:val="24"/>
                <w:highlight w:val="none"/>
              </w:rPr>
              <w:t>80%，需提供相关价格组成说明</w:t>
            </w:r>
            <w:r>
              <w:rPr>
                <w:rFonts w:hint="eastAsia"/>
                <w:b/>
                <w:bCs/>
                <w:sz w:val="24"/>
                <w:highlight w:val="none"/>
                <w:lang w:eastAsia="zh-CN"/>
              </w:rPr>
              <w:t>，</w:t>
            </w:r>
            <w:r>
              <w:rPr>
                <w:rFonts w:hint="eastAsia"/>
                <w:b/>
                <w:bCs/>
                <w:sz w:val="24"/>
                <w:highlight w:val="none"/>
                <w:lang w:val="en-US" w:eastAsia="zh-CN"/>
              </w:rPr>
              <w:t>否则视为未实质性响应采购文件要求</w:t>
            </w:r>
            <w:r>
              <w:rPr>
                <w:rFonts w:hint="eastAsia"/>
                <w:b/>
                <w:bCs/>
                <w:sz w:val="24"/>
                <w:highlight w:val="none"/>
              </w:rPr>
              <w:t>）</w:t>
            </w:r>
            <w:r>
              <w:rPr>
                <w:rFonts w:hint="eastAsia"/>
                <w:sz w:val="24"/>
                <w:highlight w:val="none"/>
                <w:lang w:eastAsia="zh-CN"/>
              </w:rPr>
              <w:t>。</w:t>
            </w:r>
          </w:p>
          <w:p w14:paraId="51D456F2">
            <w:pPr>
              <w:pStyle w:val="54"/>
              <w:spacing w:line="320" w:lineRule="exact"/>
              <w:ind w:left="0" w:leftChars="0" w:firstLine="480" w:firstLineChars="200"/>
              <w:jc w:val="left"/>
              <w:rPr>
                <w:rFonts w:hint="eastAsia"/>
                <w:sz w:val="24"/>
                <w:highlight w:val="none"/>
              </w:rPr>
            </w:pPr>
            <w:r>
              <w:rPr>
                <w:rFonts w:hint="eastAsia"/>
                <w:sz w:val="24"/>
                <w:highlight w:val="none"/>
              </w:rPr>
              <w:t>（</w:t>
            </w:r>
            <w:r>
              <w:rPr>
                <w:rFonts w:hint="eastAsia"/>
                <w:sz w:val="24"/>
                <w:highlight w:val="none"/>
                <w:lang w:val="en-US" w:eastAsia="zh-CN"/>
              </w:rPr>
              <w:t>2</w:t>
            </w:r>
            <w:r>
              <w:rPr>
                <w:rFonts w:hint="eastAsia"/>
                <w:sz w:val="24"/>
                <w:highlight w:val="none"/>
              </w:rPr>
              <w:t>）评审价为供应商的投标报价进行政策性扣除后的价格，评审价只是作为评标时使用。最终中标人的中标金额等于投标报价。</w:t>
            </w:r>
          </w:p>
          <w:p w14:paraId="38293784">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）政策性扣除计算方法：</w:t>
            </w:r>
          </w:p>
          <w:p w14:paraId="38293785">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根据《政府采购促进中小企业发展管理办法》（财库〔2020〕46号）及《财政部关于进一步加大政府采购支持中小企业力度的通知》财库〔2022〕19号文件的规定，供应商在其响应文件中提供《中小企业声明函》，且服务全部由小微企业提供，对其投标报价给予</w:t>
            </w:r>
            <w:r>
              <w:rPr>
                <w:rFonts w:hint="eastAsia" w:cs="Times New Roman"/>
                <w:kern w:val="2"/>
                <w:sz w:val="24"/>
                <w:szCs w:val="24"/>
                <w:lang w:val="en-US" w:eastAsia="zh-CN" w:bidi="ar-SA"/>
              </w:rPr>
              <w:t>20</w:t>
            </w:r>
            <w:r>
              <w:rPr>
                <w:rFonts w:hint="eastAsia" w:ascii="Times New Roman" w:hAnsi="Times New Roman" w:eastAsia="宋体" w:cs="Times New Roman"/>
                <w:kern w:val="2"/>
                <w:sz w:val="24"/>
                <w:szCs w:val="24"/>
                <w:lang w:val="en-US" w:eastAsia="zh-CN" w:bidi="ar-SA"/>
              </w:rPr>
              <w:t>%的扣除，扣除后的价格为评审价，即评审价=投标报价×（1-</w:t>
            </w:r>
            <w:r>
              <w:rPr>
                <w:rFonts w:hint="eastAsia" w:cs="Times New Roman"/>
                <w:kern w:val="2"/>
                <w:sz w:val="24"/>
                <w:szCs w:val="24"/>
                <w:lang w:val="en-US" w:eastAsia="zh-CN" w:bidi="ar-SA"/>
              </w:rPr>
              <w:t>20</w:t>
            </w:r>
            <w:r>
              <w:rPr>
                <w:rFonts w:hint="eastAsia" w:ascii="Times New Roman" w:hAnsi="Times New Roman" w:eastAsia="宋体" w:cs="Times New Roman"/>
                <w:kern w:val="2"/>
                <w:sz w:val="24"/>
                <w:szCs w:val="24"/>
                <w:lang w:val="en-US" w:eastAsia="zh-CN" w:bidi="ar-SA"/>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范围为4%-6%）的扣除，用扣除后的价格参加评审，扣除后的价格为评审价，即评审价=投标报价×（1-4%）。除上述情况外，评审价=投标报价。</w:t>
            </w:r>
          </w:p>
          <w:p w14:paraId="38293786">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4</w:t>
            </w:r>
            <w:r>
              <w:rPr>
                <w:rFonts w:hint="eastAsia" w:ascii="Times New Roman" w:hAnsi="Times New Roman" w:eastAsia="宋体" w:cs="Times New Roman"/>
                <w:kern w:val="2"/>
                <w:sz w:val="24"/>
                <w:szCs w:val="24"/>
                <w:lang w:val="en-US" w:eastAsia="zh-CN" w:bidi="ar-SA"/>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8293787">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5</w:t>
            </w:r>
            <w:r>
              <w:rPr>
                <w:rFonts w:hint="eastAsia" w:ascii="Times New Roman" w:hAnsi="Times New Roman" w:eastAsia="宋体" w:cs="Times New Roman"/>
                <w:kern w:val="2"/>
                <w:sz w:val="24"/>
                <w:szCs w:val="24"/>
                <w:lang w:val="en-US" w:eastAsia="zh-CN" w:bidi="ar-SA"/>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201ECA6">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6</w:t>
            </w:r>
            <w:r>
              <w:rPr>
                <w:rFonts w:hint="eastAsia" w:ascii="Times New Roman" w:hAnsi="Times New Roman" w:eastAsia="宋体" w:cs="Times New Roman"/>
                <w:kern w:val="2"/>
                <w:sz w:val="24"/>
                <w:szCs w:val="24"/>
                <w:lang w:val="en-US" w:eastAsia="zh-CN" w:bidi="ar-SA"/>
              </w:rPr>
              <w:t>）以进入综合评分环节的最低的评审价为基准价，基准价报价得分20分。</w:t>
            </w:r>
          </w:p>
          <w:p w14:paraId="79E22C4F">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r>
              <w:rPr>
                <w:rFonts w:hint="eastAsia"/>
                <w:sz w:val="24"/>
                <w:highlight w:val="none"/>
              </w:rPr>
              <w:t>（</w:t>
            </w:r>
            <w:r>
              <w:rPr>
                <w:rFonts w:hint="eastAsia"/>
                <w:sz w:val="24"/>
                <w:highlight w:val="none"/>
                <w:lang w:val="en-US" w:eastAsia="zh-CN"/>
              </w:rPr>
              <w:t>7</w:t>
            </w:r>
            <w:r>
              <w:rPr>
                <w:rFonts w:hint="eastAsia"/>
                <w:sz w:val="24"/>
                <w:highlight w:val="none"/>
              </w:rPr>
              <w:t>）</w:t>
            </w:r>
            <w:r>
              <w:rPr>
                <w:rFonts w:hint="eastAsia" w:ascii="Times New Roman" w:hAnsi="Times New Roman" w:eastAsia="宋体" w:cs="Times New Roman"/>
                <w:kern w:val="2"/>
                <w:sz w:val="24"/>
                <w:szCs w:val="24"/>
                <w:lang w:val="en-US" w:eastAsia="zh-CN" w:bidi="ar-SA"/>
              </w:rPr>
              <w:t>价格分计算公式：</w:t>
            </w:r>
          </w:p>
          <w:p w14:paraId="7EF0AE6F">
            <w:pPr>
              <w:pStyle w:val="54"/>
              <w:numPr>
                <w:ilvl w:val="0"/>
                <w:numId w:val="0"/>
              </w:numPr>
              <w:spacing w:line="320" w:lineRule="exact"/>
              <w:ind w:left="0" w:leftChars="0" w:firstLine="480" w:firstLineChars="200"/>
              <w:jc w:val="left"/>
              <w:rPr>
                <w:rFonts w:hint="eastAsia" w:ascii="Times New Roman" w:hAnsi="Times New Roman" w:eastAsia="宋体" w:cs="Times New Roman"/>
                <w:kern w:val="2"/>
                <w:sz w:val="24"/>
                <w:szCs w:val="24"/>
                <w:lang w:val="en-US" w:eastAsia="zh-CN" w:bidi="ar-SA"/>
              </w:rPr>
            </w:pPr>
          </w:p>
          <w:p w14:paraId="6EFFE7E0">
            <w:pPr>
              <w:pStyle w:val="54"/>
              <w:spacing w:line="320" w:lineRule="exact"/>
              <w:ind w:left="102" w:leftChars="0" w:hanging="102" w:firstLineChars="0"/>
              <w:jc w:val="center"/>
              <w:rPr>
                <w:sz w:val="24"/>
                <w:highlight w:val="none"/>
              </w:rPr>
            </w:pPr>
            <w:r>
              <w:rPr>
                <w:sz w:val="24"/>
                <w:highlight w:val="none"/>
              </w:rPr>
              <w:t xml:space="preserve">            </w:t>
            </w:r>
            <w:r>
              <w:rPr>
                <w:rFonts w:hint="eastAsia"/>
                <w:sz w:val="24"/>
                <w:highlight w:val="none"/>
              </w:rPr>
              <w:t>投标人最低报价</w:t>
            </w:r>
          </w:p>
          <w:p w14:paraId="6A6F7C20">
            <w:pPr>
              <w:pStyle w:val="54"/>
              <w:spacing w:line="320" w:lineRule="exact"/>
              <w:ind w:left="102" w:leftChars="0" w:hanging="102" w:firstLineChars="0"/>
              <w:jc w:val="center"/>
              <w:rPr>
                <w:sz w:val="24"/>
                <w:highlight w:val="none"/>
              </w:rPr>
            </w:pPr>
            <w:r>
              <w:rPr>
                <w:highlight w:val="none"/>
              </w:rPr>
              <mc:AlternateContent>
                <mc:Choice Requires="wps">
                  <w:drawing>
                    <wp:anchor distT="0" distB="0" distL="114300" distR="114300" simplePos="0" relativeHeight="251685888" behindDoc="0" locked="0" layoutInCell="1" allowOverlap="1">
                      <wp:simplePos x="0" y="0"/>
                      <wp:positionH relativeFrom="column">
                        <wp:posOffset>1751330</wp:posOffset>
                      </wp:positionH>
                      <wp:positionV relativeFrom="paragraph">
                        <wp:posOffset>81915</wp:posOffset>
                      </wp:positionV>
                      <wp:extent cx="1395095" cy="3175"/>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V="1">
                                <a:off x="0" y="0"/>
                                <a:ext cx="1395095" cy="31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37.9pt;margin-top:6.45pt;height:0.25pt;width:109.85pt;z-index:251685888;mso-width-relative:page;mso-height-relative:page;" filled="f" stroked="t" coordsize="21600,21600" o:gfxdata="UEsDBAoAAAAAAIdO4kAAAAAAAAAAAAAAAAAEAAAAZHJzL1BLAwQUAAAACACHTuJADixeddcAAAAJ&#10;AQAADwAAAGRycy9kb3ducmV2LnhtbE2PwU7DMBBE70j8g7VI3KjdtIEmxKkQAi5IlSgpZydekoh4&#10;HcVuWv6e5QTH2RnNvC22ZzeIGafQe9KwXCgQSI23PbUaqvfnmw2IEA1ZM3hCDd8YYFteXhQmt/5E&#10;bzjvYyu4hEJuNHQxjrmUoenQmbDwIxJ7n35yJrKcWmknc+JyN8hEqVvpTE+80JkRHztsvvZHp+Hh&#10;4/VptZtr5webtdXBukq9JFpfXy3VPYiI5/gXhl98RoeSmWp/JBvEoCG5Sxk9spFkIDiwztIURM2H&#10;1RpkWcj/H5Q/UEsDBBQAAAAIAIdO4kAoiAUG8wEAAMUDAAAOAAAAZHJzL2Uyb0RvYy54bWytU8Fu&#10;EzEQvSPxD5bvZDepAs0qmx4SlUuBSC3cHa83a2F7LI+TTX6CH0DiBieO3PkbymcwdtKUlksP7MHy&#10;eGbem3kzO73YWcO2KqAGV/PhoORMOQmNduuav7+5fHHOGUbhGmHAqZrvFfKL2fNn095XagQdmEYF&#10;RiAOq97XvIvRV0WBslNW4AC8cuRsIVgRyQzrogmiJ3RrilFZvix6CI0PIBUivS4OTn5EDE8BhLbV&#10;Ui1Abqxy8YAalBGRWsJOe+SzXG3bKhnftS2qyEzNqdOYTyKh+yqdxWwqqnUQvtPyWIJ4SgmPerJC&#10;OyI9QS1EFGwT9D9QVssACG0cSLDFoZGsCHUxLB9pc90Jr3IvJDX6k+j4/2Dl2+0yMN3UnMbuhKWB&#10;337+8evT198/v9B5+/0bO08i9R4rip27ZUhtyp279lcgPyJzMO+EW6tc7M3eE8IwZRQPUpKBnqhW&#10;/RtoKEZsImTFdm2wrDXaf0iJCZxUYbs8ov1pRGoXmaTH4dlkXE7GnEnynQ1fjTOVqBJKyvUB42sF&#10;lqVLzY12SUBRie0VxlTVfUh6dnCpjclLYBzraz4Zj8Y5AcHoJjlTGIb1am4C24q0Rvk78j4IC7Bx&#10;zYHEuJSn8gYeme8kOIi5gma/DHc60XRzbcdNTOvzt53VvP/7Z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ixeddcAAAAJAQAADwAAAAAAAAABACAAAAAiAAAAZHJzL2Rvd25yZXYueG1sUEsBAhQA&#10;FAAAAAgAh07iQCiIBQbzAQAAxQMAAA4AAAAAAAAAAQAgAAAAJgEAAGRycy9lMm9Eb2MueG1sUEsF&#10;BgAAAAAGAAYAWQEAAIsFAAAAAA==&#10;">
                      <v:fill on="f" focussize="0,0"/>
                      <v:stroke color="#000000" joinstyle="round"/>
                      <v:imagedata o:title=""/>
                      <o:lock v:ext="edit" aspectratio="f"/>
                    </v:line>
                  </w:pict>
                </mc:Fallback>
              </mc:AlternateContent>
            </w:r>
            <w:r>
              <w:rPr>
                <w:rFonts w:hint="eastAsia"/>
                <w:sz w:val="24"/>
                <w:highlight w:val="none"/>
              </w:rPr>
              <w:t>某投标人价格得分＝　　　　　　　　　　　</w:t>
            </w:r>
            <w:r>
              <w:rPr>
                <w:sz w:val="24"/>
                <w:highlight w:val="none"/>
              </w:rPr>
              <w:t>×20</w:t>
            </w:r>
            <w:r>
              <w:rPr>
                <w:rFonts w:hint="eastAsia"/>
                <w:sz w:val="24"/>
                <w:highlight w:val="none"/>
              </w:rPr>
              <w:t>分</w:t>
            </w:r>
          </w:p>
          <w:p w14:paraId="51F9CC4A">
            <w:pPr>
              <w:pStyle w:val="54"/>
              <w:spacing w:line="320" w:lineRule="exact"/>
              <w:ind w:left="102" w:leftChars="0" w:hanging="102" w:firstLineChars="0"/>
              <w:jc w:val="center"/>
              <w:rPr>
                <w:sz w:val="24"/>
                <w:highlight w:val="none"/>
              </w:rPr>
            </w:pPr>
            <w:r>
              <w:rPr>
                <w:sz w:val="24"/>
                <w:highlight w:val="none"/>
              </w:rPr>
              <w:t xml:space="preserve">          </w:t>
            </w:r>
            <w:r>
              <w:rPr>
                <w:rFonts w:hint="eastAsia"/>
                <w:sz w:val="24"/>
                <w:highlight w:val="none"/>
              </w:rPr>
              <w:t>某投标人报价</w:t>
            </w:r>
          </w:p>
          <w:p w14:paraId="771F059A">
            <w:pPr>
              <w:pStyle w:val="54"/>
              <w:spacing w:line="320" w:lineRule="exact"/>
              <w:jc w:val="left"/>
              <w:rPr>
                <w:sz w:val="24"/>
                <w:highlight w:val="none"/>
              </w:rPr>
            </w:pPr>
          </w:p>
        </w:tc>
      </w:tr>
      <w:tr w14:paraId="31E9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787FD396">
            <w:pPr>
              <w:autoSpaceDE w:val="0"/>
              <w:autoSpaceDN w:val="0"/>
              <w:spacing w:line="320" w:lineRule="exact"/>
              <w:jc w:val="center"/>
              <w:rPr>
                <w:b/>
                <w:sz w:val="24"/>
                <w:highlight w:val="none"/>
              </w:rPr>
            </w:pPr>
          </w:p>
          <w:p w14:paraId="5AE51FE5">
            <w:pPr>
              <w:autoSpaceDE w:val="0"/>
              <w:autoSpaceDN w:val="0"/>
              <w:spacing w:line="320" w:lineRule="exact"/>
              <w:jc w:val="center"/>
              <w:rPr>
                <w:b/>
                <w:sz w:val="24"/>
                <w:highlight w:val="none"/>
              </w:rPr>
            </w:pPr>
            <w:r>
              <w:rPr>
                <w:rFonts w:hint="eastAsia"/>
                <w:b/>
                <w:sz w:val="24"/>
                <w:highlight w:val="none"/>
              </w:rPr>
              <w:t>技术部分</w:t>
            </w:r>
          </w:p>
          <w:p w14:paraId="23057E84">
            <w:pPr>
              <w:autoSpaceDE w:val="0"/>
              <w:autoSpaceDN w:val="0"/>
              <w:spacing w:line="320" w:lineRule="exact"/>
              <w:jc w:val="center"/>
              <w:rPr>
                <w:b/>
                <w:sz w:val="24"/>
                <w:highlight w:val="none"/>
              </w:rPr>
            </w:pPr>
            <w:r>
              <w:rPr>
                <w:rFonts w:hint="eastAsia"/>
                <w:b/>
                <w:bCs/>
                <w:sz w:val="24"/>
                <w:highlight w:val="none"/>
              </w:rPr>
              <w:t>（50分）</w:t>
            </w:r>
          </w:p>
        </w:tc>
        <w:tc>
          <w:tcPr>
            <w:tcW w:w="2093" w:type="dxa"/>
            <w:vMerge w:val="restart"/>
            <w:tcBorders>
              <w:top w:val="single" w:color="auto" w:sz="4" w:space="0"/>
              <w:left w:val="single" w:color="auto" w:sz="4" w:space="0"/>
              <w:bottom w:val="single" w:color="auto" w:sz="4" w:space="0"/>
              <w:right w:val="single" w:color="auto" w:sz="4" w:space="0"/>
            </w:tcBorders>
            <w:vAlign w:val="center"/>
          </w:tcPr>
          <w:p w14:paraId="24D35E21">
            <w:pPr>
              <w:autoSpaceDE w:val="0"/>
              <w:autoSpaceDN w:val="0"/>
              <w:spacing w:line="320" w:lineRule="exact"/>
              <w:jc w:val="center"/>
              <w:rPr>
                <w:b/>
                <w:sz w:val="24"/>
                <w:highlight w:val="none"/>
              </w:rPr>
            </w:pPr>
          </w:p>
          <w:p w14:paraId="5BCED919">
            <w:pPr>
              <w:autoSpaceDE w:val="0"/>
              <w:autoSpaceDN w:val="0"/>
              <w:spacing w:line="320" w:lineRule="exact"/>
              <w:jc w:val="center"/>
              <w:rPr>
                <w:b/>
                <w:sz w:val="24"/>
                <w:highlight w:val="none"/>
              </w:rPr>
            </w:pPr>
            <w:r>
              <w:rPr>
                <w:rFonts w:hint="eastAsia"/>
                <w:b/>
                <w:sz w:val="24"/>
                <w:highlight w:val="none"/>
              </w:rPr>
              <w:t>项目技术设计书</w:t>
            </w:r>
          </w:p>
          <w:p w14:paraId="296B8E5E">
            <w:pPr>
              <w:autoSpaceDE w:val="0"/>
              <w:autoSpaceDN w:val="0"/>
              <w:spacing w:line="320" w:lineRule="exact"/>
              <w:jc w:val="center"/>
              <w:rPr>
                <w:b/>
                <w:sz w:val="24"/>
                <w:highlight w:val="none"/>
              </w:rPr>
            </w:pPr>
            <w:r>
              <w:rPr>
                <w:rFonts w:hint="eastAsia"/>
                <w:b/>
                <w:sz w:val="24"/>
                <w:highlight w:val="none"/>
              </w:rPr>
              <w:t>（</w:t>
            </w:r>
            <w:r>
              <w:rPr>
                <w:b/>
                <w:sz w:val="24"/>
                <w:highlight w:val="none"/>
              </w:rPr>
              <w:t>1</w:t>
            </w:r>
            <w:r>
              <w:rPr>
                <w:rFonts w:hint="eastAsia"/>
                <w:b/>
                <w:sz w:val="24"/>
                <w:highlight w:val="none"/>
              </w:rPr>
              <w:t>2分）</w:t>
            </w:r>
          </w:p>
          <w:p w14:paraId="1E417069">
            <w:pPr>
              <w:autoSpaceDE w:val="0"/>
              <w:autoSpaceDN w:val="0"/>
              <w:spacing w:line="320" w:lineRule="exact"/>
              <w:jc w:val="center"/>
              <w:rPr>
                <w:b/>
                <w:sz w:val="24"/>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14:paraId="4F8231D4">
            <w:pPr>
              <w:spacing w:line="320" w:lineRule="exact"/>
              <w:rPr>
                <w:b/>
                <w:sz w:val="24"/>
                <w:highlight w:val="none"/>
              </w:rPr>
            </w:pPr>
            <w:r>
              <w:rPr>
                <w:rFonts w:hint="eastAsia"/>
                <w:b/>
                <w:sz w:val="24"/>
                <w:highlight w:val="none"/>
              </w:rPr>
              <w:t>第一档：</w:t>
            </w:r>
            <w:r>
              <w:rPr>
                <w:b/>
                <w:sz w:val="24"/>
                <w:highlight w:val="none"/>
              </w:rPr>
              <w:t>1</w:t>
            </w:r>
            <w:r>
              <w:rPr>
                <w:rFonts w:hint="eastAsia"/>
                <w:b/>
                <w:sz w:val="24"/>
                <w:highlight w:val="none"/>
              </w:rPr>
              <w:t>2分</w:t>
            </w:r>
            <w:r>
              <w:rPr>
                <w:rFonts w:hint="eastAsia"/>
                <w:sz w:val="24"/>
                <w:highlight w:val="none"/>
              </w:rPr>
              <w:t>。完全满足本次矿产资源规划编制的相关要求，制订的技术路线和流程科学先进，采用新技术新方法作业；设计符合当地实际，具有较强的可行性。</w:t>
            </w:r>
          </w:p>
          <w:p w14:paraId="50BE6902">
            <w:pPr>
              <w:spacing w:line="320" w:lineRule="exact"/>
              <w:rPr>
                <w:sz w:val="24"/>
                <w:highlight w:val="none"/>
              </w:rPr>
            </w:pPr>
            <w:r>
              <w:rPr>
                <w:rFonts w:hint="eastAsia"/>
                <w:b/>
                <w:sz w:val="24"/>
                <w:highlight w:val="none"/>
              </w:rPr>
              <w:t>第二档：8分</w:t>
            </w:r>
            <w:r>
              <w:rPr>
                <w:rFonts w:hint="eastAsia"/>
                <w:sz w:val="24"/>
                <w:highlight w:val="none"/>
              </w:rPr>
              <w:t>。满足本次矿产资源规划编制的相关要求，制订的技术方法和路线符合项目要求；设计基本符合当地实际，具有可行性。</w:t>
            </w:r>
          </w:p>
          <w:p w14:paraId="33CF4725">
            <w:pPr>
              <w:autoSpaceDE w:val="0"/>
              <w:autoSpaceDN w:val="0"/>
              <w:spacing w:line="320" w:lineRule="exact"/>
              <w:rPr>
                <w:sz w:val="24"/>
                <w:highlight w:val="none"/>
              </w:rPr>
            </w:pPr>
            <w:r>
              <w:rPr>
                <w:rFonts w:hint="eastAsia"/>
                <w:b/>
                <w:sz w:val="24"/>
                <w:highlight w:val="none"/>
              </w:rPr>
              <w:t>第三档：4分</w:t>
            </w:r>
            <w:r>
              <w:rPr>
                <w:rFonts w:hint="eastAsia"/>
                <w:sz w:val="24"/>
                <w:highlight w:val="none"/>
              </w:rPr>
              <w:t>。基本满足本次矿产资源规划编制的相关要求，制订的技术方法和路线基本明确；设计基本可行。</w:t>
            </w:r>
          </w:p>
        </w:tc>
      </w:tr>
      <w:tr w14:paraId="222B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A55872C">
            <w:pPr>
              <w:widowControl/>
              <w:jc w:val="left"/>
              <w:rPr>
                <w:b/>
                <w:sz w:val="24"/>
                <w:highlight w:val="none"/>
              </w:rPr>
            </w:pPr>
          </w:p>
        </w:tc>
        <w:tc>
          <w:tcPr>
            <w:tcW w:w="2093" w:type="dxa"/>
            <w:vMerge w:val="restart"/>
            <w:tcBorders>
              <w:top w:val="single" w:color="auto" w:sz="4" w:space="0"/>
              <w:left w:val="single" w:color="auto" w:sz="4" w:space="0"/>
              <w:bottom w:val="single" w:color="auto" w:sz="4" w:space="0"/>
              <w:right w:val="single" w:color="auto" w:sz="4" w:space="0"/>
            </w:tcBorders>
            <w:vAlign w:val="center"/>
          </w:tcPr>
          <w:p w14:paraId="1E2F8179">
            <w:pPr>
              <w:autoSpaceDE w:val="0"/>
              <w:autoSpaceDN w:val="0"/>
              <w:spacing w:line="320" w:lineRule="exact"/>
              <w:jc w:val="center"/>
              <w:rPr>
                <w:b/>
                <w:sz w:val="24"/>
                <w:highlight w:val="none"/>
              </w:rPr>
            </w:pPr>
            <w:r>
              <w:rPr>
                <w:rFonts w:hint="eastAsia"/>
                <w:b/>
                <w:sz w:val="24"/>
                <w:highlight w:val="none"/>
              </w:rPr>
              <w:t>质量和保密保证措施及承诺</w:t>
            </w:r>
          </w:p>
          <w:p w14:paraId="1F86B44F">
            <w:pPr>
              <w:autoSpaceDE w:val="0"/>
              <w:autoSpaceDN w:val="0"/>
              <w:spacing w:line="320" w:lineRule="exact"/>
              <w:jc w:val="center"/>
              <w:rPr>
                <w:b/>
                <w:sz w:val="24"/>
                <w:highlight w:val="none"/>
              </w:rPr>
            </w:pPr>
            <w:r>
              <w:rPr>
                <w:rFonts w:hint="eastAsia"/>
                <w:b/>
                <w:sz w:val="24"/>
                <w:highlight w:val="none"/>
              </w:rPr>
              <w:t>（6分）</w:t>
            </w:r>
          </w:p>
        </w:tc>
        <w:tc>
          <w:tcPr>
            <w:tcW w:w="6252" w:type="dxa"/>
            <w:tcBorders>
              <w:top w:val="single" w:color="auto" w:sz="4" w:space="0"/>
              <w:left w:val="single" w:color="auto" w:sz="4" w:space="0"/>
              <w:bottom w:val="single" w:color="auto" w:sz="4" w:space="0"/>
              <w:right w:val="single" w:color="auto" w:sz="4" w:space="0"/>
            </w:tcBorders>
            <w:vAlign w:val="center"/>
          </w:tcPr>
          <w:p w14:paraId="0DBFFAC4">
            <w:pPr>
              <w:spacing w:line="320" w:lineRule="exact"/>
              <w:rPr>
                <w:b/>
                <w:sz w:val="24"/>
                <w:highlight w:val="none"/>
              </w:rPr>
            </w:pPr>
            <w:r>
              <w:rPr>
                <w:rFonts w:hint="eastAsia"/>
                <w:b/>
                <w:sz w:val="24"/>
                <w:highlight w:val="none"/>
              </w:rPr>
              <w:t>第一档：6分</w:t>
            </w:r>
            <w:r>
              <w:rPr>
                <w:rFonts w:hint="eastAsia"/>
                <w:sz w:val="24"/>
                <w:highlight w:val="none"/>
              </w:rPr>
              <w:t>。</w:t>
            </w:r>
            <w:r>
              <w:rPr>
                <w:rFonts w:hint="eastAsia" w:cs="宋体"/>
                <w:sz w:val="24"/>
                <w:highlight w:val="none"/>
                <w:lang w:val="en-US" w:eastAsia="zh-CN"/>
              </w:rPr>
              <w:t>①</w:t>
            </w:r>
            <w:r>
              <w:rPr>
                <w:rFonts w:hint="eastAsia"/>
                <w:sz w:val="24"/>
                <w:highlight w:val="none"/>
              </w:rPr>
              <w:t>有专门的质检机构进行质量把关，有明确的内部质量管理奖罚措施</w:t>
            </w:r>
            <w:r>
              <w:rPr>
                <w:rFonts w:hint="eastAsia"/>
                <w:sz w:val="24"/>
                <w:highlight w:val="none"/>
                <w:lang w:eastAsia="zh-CN"/>
              </w:rPr>
              <w:t>，</w:t>
            </w:r>
            <w:r>
              <w:rPr>
                <w:rFonts w:hint="eastAsia"/>
                <w:sz w:val="24"/>
                <w:highlight w:val="none"/>
                <w:lang w:val="en-US" w:eastAsia="zh-CN"/>
              </w:rPr>
              <w:t>措施完善</w:t>
            </w:r>
            <w:r>
              <w:rPr>
                <w:rFonts w:hint="eastAsia"/>
                <w:sz w:val="24"/>
                <w:highlight w:val="none"/>
              </w:rPr>
              <w:t>；</w:t>
            </w:r>
            <w:r>
              <w:rPr>
                <w:rFonts w:hint="eastAsia"/>
                <w:sz w:val="24"/>
                <w:highlight w:val="none"/>
                <w:lang w:val="en-US" w:eastAsia="zh-CN"/>
              </w:rPr>
              <w:t>②</w:t>
            </w:r>
            <w:r>
              <w:rPr>
                <w:rFonts w:hint="eastAsia"/>
                <w:sz w:val="24"/>
                <w:highlight w:val="none"/>
              </w:rPr>
              <w:t>有具体的质量管理制度和措施，包括：建立过程检查制度和三级检查制度，制度完善，措施有效到位；</w:t>
            </w:r>
            <w:r>
              <w:rPr>
                <w:rFonts w:hint="eastAsia"/>
                <w:sz w:val="24"/>
                <w:highlight w:val="none"/>
                <w:lang w:val="en-US" w:eastAsia="zh-CN"/>
              </w:rPr>
              <w:t>③</w:t>
            </w:r>
            <w:r>
              <w:rPr>
                <w:rFonts w:hint="eastAsia"/>
                <w:sz w:val="24"/>
                <w:highlight w:val="none"/>
              </w:rPr>
              <w:t>有具体的保密管理制度和措施，制度完善，措施有效到位，有技术培训、质量意识和保密意识教育。</w:t>
            </w:r>
          </w:p>
          <w:p w14:paraId="1903F04C">
            <w:pPr>
              <w:autoSpaceDE w:val="0"/>
              <w:autoSpaceDN w:val="0"/>
              <w:spacing w:line="320" w:lineRule="exact"/>
              <w:rPr>
                <w:sz w:val="24"/>
                <w:highlight w:val="none"/>
              </w:rPr>
            </w:pPr>
            <w:r>
              <w:rPr>
                <w:rFonts w:hint="eastAsia"/>
                <w:b/>
                <w:sz w:val="24"/>
                <w:highlight w:val="none"/>
              </w:rPr>
              <w:t>第二档：4分</w:t>
            </w:r>
            <w:r>
              <w:rPr>
                <w:rFonts w:hint="eastAsia"/>
                <w:sz w:val="24"/>
                <w:highlight w:val="none"/>
              </w:rPr>
              <w:t>。</w:t>
            </w:r>
            <w:r>
              <w:rPr>
                <w:rFonts w:hint="eastAsia" w:cs="宋体"/>
                <w:sz w:val="24"/>
                <w:highlight w:val="none"/>
              </w:rPr>
              <w:t>①</w:t>
            </w:r>
            <w:r>
              <w:rPr>
                <w:rFonts w:hint="eastAsia"/>
                <w:sz w:val="24"/>
                <w:highlight w:val="none"/>
              </w:rPr>
              <w:t>有专门的质检机构进行质量把关，有明确的内部质量管理奖罚措施；</w:t>
            </w:r>
            <w:r>
              <w:rPr>
                <w:rFonts w:hint="eastAsia" w:cs="宋体"/>
                <w:sz w:val="24"/>
                <w:highlight w:val="none"/>
              </w:rPr>
              <w:t>②</w:t>
            </w:r>
            <w:r>
              <w:rPr>
                <w:rFonts w:hint="eastAsia"/>
                <w:sz w:val="24"/>
                <w:highlight w:val="none"/>
              </w:rPr>
              <w:t>有质量管理制度和措施，实行过程检查制度和三级检查制度；</w:t>
            </w:r>
            <w:r>
              <w:rPr>
                <w:rFonts w:hint="eastAsia" w:cs="宋体"/>
                <w:sz w:val="24"/>
                <w:highlight w:val="none"/>
              </w:rPr>
              <w:t>③</w:t>
            </w:r>
            <w:r>
              <w:rPr>
                <w:rFonts w:hint="eastAsia"/>
                <w:sz w:val="24"/>
                <w:highlight w:val="none"/>
              </w:rPr>
              <w:t>有保密管理制度和措施，有技术培训、质量意识和保密意识教育。</w:t>
            </w:r>
          </w:p>
          <w:p w14:paraId="472644D6">
            <w:pPr>
              <w:pStyle w:val="31"/>
              <w:spacing w:line="320" w:lineRule="exact"/>
              <w:rPr>
                <w:rFonts w:ascii="Times New Roman" w:hAnsi="Times New Roman"/>
                <w:b/>
                <w:sz w:val="24"/>
                <w:szCs w:val="24"/>
                <w:highlight w:val="none"/>
              </w:rPr>
            </w:pPr>
            <w:r>
              <w:rPr>
                <w:rFonts w:hint="eastAsia" w:ascii="Times New Roman" w:hAnsi="Times New Roman"/>
                <w:b/>
                <w:sz w:val="24"/>
                <w:szCs w:val="24"/>
                <w:highlight w:val="none"/>
              </w:rPr>
              <w:t>第三档：</w:t>
            </w:r>
            <w:r>
              <w:rPr>
                <w:rFonts w:ascii="Times New Roman" w:hAnsi="Times New Roman"/>
                <w:b/>
                <w:sz w:val="24"/>
                <w:szCs w:val="24"/>
                <w:highlight w:val="none"/>
              </w:rPr>
              <w:t>2</w:t>
            </w:r>
            <w:r>
              <w:rPr>
                <w:rFonts w:hint="eastAsia" w:ascii="Times New Roman" w:hAnsi="Times New Roman"/>
                <w:b/>
                <w:sz w:val="24"/>
                <w:szCs w:val="24"/>
                <w:highlight w:val="none"/>
              </w:rPr>
              <w:t>分。</w:t>
            </w:r>
            <w:r>
              <w:rPr>
                <w:rFonts w:hint="eastAsia" w:ascii="Times New Roman" w:hAnsi="Times New Roman"/>
                <w:sz w:val="24"/>
                <w:szCs w:val="24"/>
                <w:highlight w:val="none"/>
              </w:rPr>
              <w:t>质量保证及质量承诺基本符合项目需求。</w:t>
            </w:r>
          </w:p>
        </w:tc>
      </w:tr>
      <w:tr w14:paraId="2D4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087326E">
            <w:pPr>
              <w:widowControl/>
              <w:jc w:val="left"/>
              <w:rPr>
                <w:b/>
                <w:sz w:val="24"/>
                <w:highlight w:val="none"/>
              </w:rPr>
            </w:pPr>
          </w:p>
        </w:tc>
        <w:tc>
          <w:tcPr>
            <w:tcW w:w="2093" w:type="dxa"/>
            <w:vMerge w:val="restart"/>
            <w:tcBorders>
              <w:top w:val="single" w:color="auto" w:sz="4" w:space="0"/>
              <w:left w:val="single" w:color="auto" w:sz="4" w:space="0"/>
              <w:bottom w:val="single" w:color="auto" w:sz="4" w:space="0"/>
              <w:right w:val="single" w:color="auto" w:sz="4" w:space="0"/>
            </w:tcBorders>
            <w:vAlign w:val="center"/>
          </w:tcPr>
          <w:p w14:paraId="5DA668F2">
            <w:pPr>
              <w:autoSpaceDE w:val="0"/>
              <w:autoSpaceDN w:val="0"/>
              <w:spacing w:line="320" w:lineRule="exact"/>
              <w:ind w:left="931" w:leftChars="50" w:hanging="826" w:hangingChars="343"/>
              <w:jc w:val="center"/>
              <w:rPr>
                <w:b/>
                <w:sz w:val="24"/>
                <w:highlight w:val="none"/>
              </w:rPr>
            </w:pPr>
            <w:r>
              <w:rPr>
                <w:rFonts w:hint="eastAsia"/>
                <w:b/>
                <w:sz w:val="24"/>
                <w:highlight w:val="none"/>
              </w:rPr>
              <w:t>投入本项目人员</w:t>
            </w:r>
          </w:p>
          <w:p w14:paraId="5414F497">
            <w:pPr>
              <w:autoSpaceDE w:val="0"/>
              <w:autoSpaceDN w:val="0"/>
              <w:spacing w:line="320" w:lineRule="exact"/>
              <w:ind w:left="931" w:leftChars="50" w:hanging="826" w:hangingChars="343"/>
              <w:jc w:val="center"/>
              <w:rPr>
                <w:b/>
                <w:sz w:val="24"/>
                <w:highlight w:val="none"/>
              </w:rPr>
            </w:pPr>
            <w:r>
              <w:rPr>
                <w:rFonts w:hint="eastAsia"/>
                <w:b/>
                <w:sz w:val="24"/>
                <w:highlight w:val="none"/>
              </w:rPr>
              <w:t>（</w:t>
            </w:r>
            <w:r>
              <w:rPr>
                <w:b/>
                <w:sz w:val="24"/>
                <w:highlight w:val="none"/>
              </w:rPr>
              <w:t>20</w:t>
            </w:r>
            <w:r>
              <w:rPr>
                <w:rFonts w:hint="eastAsia"/>
                <w:b/>
                <w:sz w:val="24"/>
                <w:highlight w:val="none"/>
              </w:rPr>
              <w:t>分）</w:t>
            </w:r>
          </w:p>
          <w:p w14:paraId="42F820A5">
            <w:pPr>
              <w:spacing w:line="320" w:lineRule="exact"/>
              <w:jc w:val="center"/>
              <w:rPr>
                <w:sz w:val="24"/>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14:paraId="440920F9">
            <w:pPr>
              <w:spacing w:line="320" w:lineRule="exact"/>
              <w:rPr>
                <w:sz w:val="24"/>
                <w:highlight w:val="none"/>
              </w:rPr>
            </w:pPr>
            <w:r>
              <w:rPr>
                <w:rFonts w:hint="eastAsia"/>
                <w:sz w:val="24"/>
                <w:highlight w:val="none"/>
              </w:rPr>
              <w:t>1、拟投入的项目负责人，具备“地质矿产”或“采矿工程”或“地质工程”或“国土空间规划”等</w:t>
            </w:r>
            <w:r>
              <w:rPr>
                <w:rFonts w:hint="eastAsia"/>
                <w:sz w:val="24"/>
                <w:highlight w:val="none"/>
                <w:lang w:val="en-US" w:eastAsia="zh-CN"/>
              </w:rPr>
              <w:t>相关</w:t>
            </w:r>
            <w:r>
              <w:rPr>
                <w:rFonts w:hint="eastAsia"/>
                <w:sz w:val="24"/>
                <w:highlight w:val="none"/>
              </w:rPr>
              <w:t>专业技术职称，正高级职称得4分，高级职称得3分，中级职称得1分，满分</w:t>
            </w:r>
            <w:r>
              <w:rPr>
                <w:sz w:val="24"/>
                <w:highlight w:val="none"/>
              </w:rPr>
              <w:t>4</w:t>
            </w:r>
            <w:r>
              <w:rPr>
                <w:rFonts w:hint="eastAsia"/>
                <w:sz w:val="24"/>
                <w:highlight w:val="none"/>
              </w:rPr>
              <w:t>分。（拟投入人员必须是投标人本单位人员，须提供事业单位机构编制管理证或投标人为拟投入人员缴纳的截标时间前半年内，任意连续三个月社保金缴纳证明复印件，不按照上述要求提供资料者，不能作为评分依据，下同。）</w:t>
            </w:r>
          </w:p>
        </w:tc>
      </w:tr>
      <w:tr w14:paraId="1997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77770A58">
            <w:pPr>
              <w:widowControl/>
              <w:jc w:val="left"/>
              <w:rPr>
                <w:b/>
                <w:sz w:val="24"/>
                <w:highlight w:val="none"/>
              </w:rPr>
            </w:pPr>
          </w:p>
        </w:tc>
        <w:tc>
          <w:tcPr>
            <w:tcW w:w="2093" w:type="dxa"/>
            <w:vMerge w:val="continue"/>
            <w:tcBorders>
              <w:top w:val="single" w:color="auto" w:sz="4" w:space="0"/>
              <w:left w:val="single" w:color="auto" w:sz="4" w:space="0"/>
              <w:bottom w:val="single" w:color="auto" w:sz="4" w:space="0"/>
              <w:right w:val="single" w:color="auto" w:sz="4" w:space="0"/>
            </w:tcBorders>
            <w:vAlign w:val="center"/>
          </w:tcPr>
          <w:p w14:paraId="2CD4DB9D">
            <w:pPr>
              <w:widowControl/>
              <w:jc w:val="left"/>
              <w:rPr>
                <w:sz w:val="24"/>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14:paraId="7CF9E36F">
            <w:pPr>
              <w:spacing w:line="320" w:lineRule="exact"/>
              <w:rPr>
                <w:sz w:val="24"/>
                <w:highlight w:val="none"/>
              </w:rPr>
            </w:pPr>
            <w:r>
              <w:rPr>
                <w:rFonts w:hint="eastAsia"/>
                <w:sz w:val="24"/>
                <w:highlight w:val="none"/>
              </w:rPr>
              <w:t>2、拟投入的其他技术人员中，具备“地质矿产”或“采矿工程”或“地质工程”或“国土空间规划”等</w:t>
            </w:r>
            <w:r>
              <w:rPr>
                <w:rFonts w:hint="eastAsia"/>
                <w:sz w:val="24"/>
                <w:highlight w:val="none"/>
                <w:lang w:val="en-US" w:eastAsia="zh-CN"/>
              </w:rPr>
              <w:t>相关</w:t>
            </w:r>
            <w:r>
              <w:rPr>
                <w:rFonts w:hint="eastAsia"/>
                <w:sz w:val="24"/>
                <w:highlight w:val="none"/>
              </w:rPr>
              <w:t>专业技术职称，高级职称每人得</w:t>
            </w:r>
            <w:r>
              <w:rPr>
                <w:sz w:val="24"/>
                <w:highlight w:val="none"/>
              </w:rPr>
              <w:t>2</w:t>
            </w:r>
            <w:r>
              <w:rPr>
                <w:rFonts w:hint="eastAsia"/>
                <w:sz w:val="24"/>
                <w:highlight w:val="none"/>
              </w:rPr>
              <w:t>分，中级职称每人得</w:t>
            </w:r>
            <w:r>
              <w:rPr>
                <w:sz w:val="24"/>
                <w:highlight w:val="none"/>
              </w:rPr>
              <w:t>1</w:t>
            </w:r>
            <w:r>
              <w:rPr>
                <w:rFonts w:hint="eastAsia"/>
                <w:sz w:val="24"/>
                <w:highlight w:val="none"/>
              </w:rPr>
              <w:t>分，满分</w:t>
            </w:r>
            <w:r>
              <w:rPr>
                <w:sz w:val="24"/>
                <w:highlight w:val="none"/>
              </w:rPr>
              <w:t>12</w:t>
            </w:r>
            <w:r>
              <w:rPr>
                <w:rFonts w:hint="eastAsia"/>
                <w:sz w:val="24"/>
                <w:highlight w:val="none"/>
              </w:rPr>
              <w:t>分。</w:t>
            </w:r>
          </w:p>
        </w:tc>
      </w:tr>
      <w:tr w14:paraId="14D8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2A199E6">
            <w:pPr>
              <w:widowControl/>
              <w:jc w:val="left"/>
              <w:rPr>
                <w:b/>
                <w:sz w:val="24"/>
                <w:highlight w:val="none"/>
              </w:rPr>
            </w:pPr>
          </w:p>
        </w:tc>
        <w:tc>
          <w:tcPr>
            <w:tcW w:w="2093" w:type="dxa"/>
            <w:vMerge w:val="continue"/>
            <w:tcBorders>
              <w:top w:val="single" w:color="auto" w:sz="4" w:space="0"/>
              <w:left w:val="single" w:color="auto" w:sz="4" w:space="0"/>
              <w:bottom w:val="single" w:color="auto" w:sz="4" w:space="0"/>
              <w:right w:val="single" w:color="auto" w:sz="4" w:space="0"/>
            </w:tcBorders>
            <w:vAlign w:val="center"/>
          </w:tcPr>
          <w:p w14:paraId="1C99E952">
            <w:pPr>
              <w:widowControl/>
              <w:jc w:val="left"/>
              <w:rPr>
                <w:sz w:val="24"/>
                <w:highlight w:val="none"/>
              </w:rPr>
            </w:pPr>
          </w:p>
        </w:tc>
        <w:tc>
          <w:tcPr>
            <w:tcW w:w="6252" w:type="dxa"/>
            <w:tcBorders>
              <w:top w:val="single" w:color="auto" w:sz="4" w:space="0"/>
              <w:left w:val="single" w:color="auto" w:sz="4" w:space="0"/>
              <w:bottom w:val="single" w:color="auto" w:sz="4" w:space="0"/>
              <w:right w:val="single" w:color="auto" w:sz="4" w:space="0"/>
            </w:tcBorders>
            <w:vAlign w:val="center"/>
          </w:tcPr>
          <w:p w14:paraId="57989D52">
            <w:pPr>
              <w:spacing w:line="320" w:lineRule="exact"/>
              <w:rPr>
                <w:sz w:val="24"/>
                <w:highlight w:val="none"/>
              </w:rPr>
            </w:pPr>
            <w:r>
              <w:rPr>
                <w:rFonts w:hint="eastAsia"/>
                <w:sz w:val="24"/>
                <w:highlight w:val="none"/>
              </w:rPr>
              <w:t>3、拟投入的其他技术人员中，具备“土地管理”或“土地工程与技术”专业技术职称的，高级职称每人得2分，中级职称每人得</w:t>
            </w:r>
            <w:r>
              <w:rPr>
                <w:sz w:val="24"/>
                <w:highlight w:val="none"/>
              </w:rPr>
              <w:t>1</w:t>
            </w:r>
            <w:r>
              <w:rPr>
                <w:rFonts w:hint="eastAsia"/>
                <w:sz w:val="24"/>
                <w:highlight w:val="none"/>
              </w:rPr>
              <w:t>分，满分</w:t>
            </w:r>
            <w:r>
              <w:rPr>
                <w:sz w:val="24"/>
                <w:highlight w:val="none"/>
              </w:rPr>
              <w:t>4</w:t>
            </w:r>
            <w:r>
              <w:rPr>
                <w:rFonts w:hint="eastAsia"/>
                <w:sz w:val="24"/>
                <w:highlight w:val="none"/>
              </w:rPr>
              <w:t>分。</w:t>
            </w:r>
          </w:p>
        </w:tc>
      </w:tr>
      <w:tr w14:paraId="4F7D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30CDB7B">
            <w:pPr>
              <w:widowControl/>
              <w:jc w:val="left"/>
              <w:rPr>
                <w:b/>
                <w:sz w:val="24"/>
                <w:highlight w:val="none"/>
              </w:rPr>
            </w:pPr>
          </w:p>
        </w:tc>
        <w:tc>
          <w:tcPr>
            <w:tcW w:w="2093" w:type="dxa"/>
            <w:vMerge w:val="restart"/>
            <w:tcBorders>
              <w:top w:val="single" w:color="auto" w:sz="4" w:space="0"/>
              <w:left w:val="single" w:color="auto" w:sz="4" w:space="0"/>
              <w:bottom w:val="single" w:color="auto" w:sz="4" w:space="0"/>
              <w:right w:val="single" w:color="auto" w:sz="4" w:space="0"/>
            </w:tcBorders>
            <w:vAlign w:val="center"/>
          </w:tcPr>
          <w:p w14:paraId="5F4CD98B">
            <w:pPr>
              <w:autoSpaceDE w:val="0"/>
              <w:autoSpaceDN w:val="0"/>
              <w:spacing w:line="320" w:lineRule="exact"/>
              <w:jc w:val="center"/>
              <w:rPr>
                <w:b/>
                <w:sz w:val="24"/>
                <w:highlight w:val="none"/>
              </w:rPr>
            </w:pPr>
            <w:r>
              <w:rPr>
                <w:rFonts w:hint="eastAsia"/>
                <w:b/>
                <w:sz w:val="24"/>
                <w:highlight w:val="none"/>
              </w:rPr>
              <w:t>后续服务和其它优化措施（6分）</w:t>
            </w:r>
          </w:p>
        </w:tc>
        <w:tc>
          <w:tcPr>
            <w:tcW w:w="6252" w:type="dxa"/>
            <w:tcBorders>
              <w:top w:val="single" w:color="auto" w:sz="4" w:space="0"/>
              <w:left w:val="single" w:color="auto" w:sz="4" w:space="0"/>
              <w:bottom w:val="single" w:color="auto" w:sz="4" w:space="0"/>
              <w:right w:val="single" w:color="auto" w:sz="4" w:space="0"/>
            </w:tcBorders>
            <w:vAlign w:val="center"/>
          </w:tcPr>
          <w:p w14:paraId="22429DDD">
            <w:pPr>
              <w:spacing w:line="320" w:lineRule="exact"/>
              <w:rPr>
                <w:b/>
                <w:sz w:val="24"/>
                <w:highlight w:val="none"/>
              </w:rPr>
            </w:pPr>
            <w:r>
              <w:rPr>
                <w:rFonts w:hint="eastAsia"/>
                <w:b/>
                <w:sz w:val="24"/>
                <w:highlight w:val="none"/>
              </w:rPr>
              <w:t>第一档：6分。</w:t>
            </w:r>
            <w:r>
              <w:rPr>
                <w:rFonts w:hint="eastAsia"/>
                <w:sz w:val="24"/>
                <w:highlight w:val="none"/>
              </w:rPr>
              <w:t>承诺免费提供各种与项目成果使用有关的技术培训；承诺免费提供后续服务（含技术培训）</w:t>
            </w:r>
            <w:r>
              <w:rPr>
                <w:sz w:val="24"/>
                <w:highlight w:val="none"/>
              </w:rPr>
              <w:t>2</w:t>
            </w:r>
            <w:r>
              <w:rPr>
                <w:rFonts w:hint="eastAsia"/>
                <w:sz w:val="24"/>
                <w:highlight w:val="none"/>
              </w:rPr>
              <w:t>年以上；在所在地配备常驻的后续服务技术人员，承诺应采购人需求响应时间在4小时内到达现场；能提供完整、详细的售后服务方案。</w:t>
            </w:r>
          </w:p>
          <w:p w14:paraId="70AEDE21">
            <w:pPr>
              <w:spacing w:line="320" w:lineRule="exact"/>
              <w:rPr>
                <w:sz w:val="24"/>
                <w:highlight w:val="none"/>
              </w:rPr>
            </w:pPr>
            <w:r>
              <w:rPr>
                <w:rFonts w:hint="eastAsia"/>
                <w:b/>
                <w:sz w:val="24"/>
                <w:highlight w:val="none"/>
              </w:rPr>
              <w:t>第二档：4分。</w:t>
            </w:r>
            <w:r>
              <w:rPr>
                <w:rFonts w:hint="eastAsia"/>
                <w:sz w:val="24"/>
                <w:highlight w:val="none"/>
              </w:rPr>
              <w:t>承诺免费提供后续服务（含技术培训）</w:t>
            </w:r>
            <w:r>
              <w:rPr>
                <w:sz w:val="24"/>
                <w:highlight w:val="none"/>
              </w:rPr>
              <w:t>1</w:t>
            </w:r>
            <w:r>
              <w:rPr>
                <w:rFonts w:hint="eastAsia"/>
                <w:sz w:val="24"/>
                <w:highlight w:val="none"/>
              </w:rPr>
              <w:t>年以上；承诺应采购人需求响应时间在1天内到达现场；提供完整的售后服务方案。</w:t>
            </w:r>
          </w:p>
          <w:p w14:paraId="7F8C96B0">
            <w:pPr>
              <w:spacing w:line="320" w:lineRule="exact"/>
              <w:rPr>
                <w:sz w:val="24"/>
                <w:highlight w:val="none"/>
              </w:rPr>
            </w:pPr>
            <w:r>
              <w:rPr>
                <w:rFonts w:hint="eastAsia"/>
                <w:b/>
                <w:sz w:val="24"/>
                <w:highlight w:val="none"/>
              </w:rPr>
              <w:t>第三档：</w:t>
            </w:r>
            <w:r>
              <w:rPr>
                <w:b/>
                <w:sz w:val="24"/>
                <w:highlight w:val="none"/>
              </w:rPr>
              <w:t>2</w:t>
            </w:r>
            <w:r>
              <w:rPr>
                <w:rFonts w:hint="eastAsia"/>
                <w:b/>
                <w:sz w:val="24"/>
                <w:highlight w:val="none"/>
              </w:rPr>
              <w:t>分。</w:t>
            </w:r>
            <w:r>
              <w:rPr>
                <w:rFonts w:hint="eastAsia"/>
                <w:sz w:val="24"/>
                <w:highlight w:val="none"/>
              </w:rPr>
              <w:t>承诺免费提供后续服务（含技术培训），后续服务基本满足项目需求。</w:t>
            </w:r>
          </w:p>
        </w:tc>
      </w:tr>
      <w:tr w14:paraId="7CCE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BA5D27B">
            <w:pPr>
              <w:widowControl/>
              <w:jc w:val="left"/>
              <w:rPr>
                <w:b/>
                <w:sz w:val="24"/>
                <w:highlight w:val="none"/>
              </w:rPr>
            </w:pPr>
          </w:p>
        </w:tc>
        <w:tc>
          <w:tcPr>
            <w:tcW w:w="2093" w:type="dxa"/>
            <w:vMerge w:val="restart"/>
            <w:tcBorders>
              <w:top w:val="single" w:color="auto" w:sz="4" w:space="0"/>
              <w:left w:val="single" w:color="auto" w:sz="4" w:space="0"/>
              <w:bottom w:val="single" w:color="auto" w:sz="4" w:space="0"/>
              <w:right w:val="single" w:color="auto" w:sz="4" w:space="0"/>
            </w:tcBorders>
            <w:vAlign w:val="center"/>
          </w:tcPr>
          <w:p w14:paraId="13888244">
            <w:pPr>
              <w:autoSpaceDE w:val="0"/>
              <w:autoSpaceDN w:val="0"/>
              <w:spacing w:line="320" w:lineRule="exact"/>
              <w:ind w:firstLine="120" w:firstLineChars="50"/>
              <w:jc w:val="center"/>
              <w:rPr>
                <w:b/>
                <w:sz w:val="24"/>
                <w:highlight w:val="none"/>
                <w:lang w:val="zh-CN"/>
              </w:rPr>
            </w:pPr>
            <w:r>
              <w:rPr>
                <w:rFonts w:hint="eastAsia"/>
                <w:b/>
                <w:sz w:val="24"/>
                <w:highlight w:val="none"/>
                <w:lang w:val="zh-CN"/>
              </w:rPr>
              <w:t>项目生产管理方案和工期计划安排（</w:t>
            </w:r>
            <w:r>
              <w:rPr>
                <w:rFonts w:hint="eastAsia"/>
                <w:b/>
                <w:sz w:val="24"/>
                <w:highlight w:val="none"/>
              </w:rPr>
              <w:t>6</w:t>
            </w:r>
            <w:r>
              <w:rPr>
                <w:rFonts w:hint="eastAsia"/>
                <w:b/>
                <w:sz w:val="24"/>
                <w:highlight w:val="none"/>
                <w:lang w:val="zh-CN"/>
              </w:rPr>
              <w:t>分）</w:t>
            </w:r>
          </w:p>
          <w:p w14:paraId="76FA2C6A">
            <w:pPr>
              <w:autoSpaceDE w:val="0"/>
              <w:autoSpaceDN w:val="0"/>
              <w:spacing w:line="320" w:lineRule="exact"/>
              <w:ind w:firstLine="120" w:firstLineChars="50"/>
              <w:jc w:val="center"/>
              <w:rPr>
                <w:b/>
                <w:sz w:val="24"/>
                <w:highlight w:val="none"/>
                <w:lang w:val="zh-CN"/>
              </w:rPr>
            </w:pPr>
          </w:p>
        </w:tc>
        <w:tc>
          <w:tcPr>
            <w:tcW w:w="6252" w:type="dxa"/>
            <w:tcBorders>
              <w:top w:val="single" w:color="auto" w:sz="4" w:space="0"/>
              <w:left w:val="single" w:color="auto" w:sz="4" w:space="0"/>
              <w:bottom w:val="single" w:color="auto" w:sz="4" w:space="0"/>
              <w:right w:val="single" w:color="auto" w:sz="4" w:space="0"/>
            </w:tcBorders>
            <w:vAlign w:val="center"/>
          </w:tcPr>
          <w:p w14:paraId="7686C3CF">
            <w:pPr>
              <w:spacing w:line="320" w:lineRule="exact"/>
              <w:rPr>
                <w:b/>
                <w:sz w:val="24"/>
                <w:highlight w:val="none"/>
              </w:rPr>
            </w:pPr>
            <w:r>
              <w:rPr>
                <w:rFonts w:hint="eastAsia"/>
                <w:b/>
                <w:sz w:val="24"/>
                <w:highlight w:val="none"/>
              </w:rPr>
              <w:t>第一档：6分。</w:t>
            </w:r>
            <w:r>
              <w:rPr>
                <w:rFonts w:hint="eastAsia"/>
                <w:sz w:val="24"/>
                <w:highlight w:val="none"/>
              </w:rPr>
              <w:t>对项目实施设置了明确的管理机构和岗位职责，科学制定了各项工作计划和工期安排；有明确的相关岗位人员，有明确的生产和技术管理机构及人员，人员配备和设备投入合理，完全满足本项目总体要求。</w:t>
            </w:r>
          </w:p>
          <w:p w14:paraId="2B12CC38">
            <w:pPr>
              <w:spacing w:line="320" w:lineRule="exact"/>
              <w:rPr>
                <w:sz w:val="24"/>
                <w:highlight w:val="none"/>
              </w:rPr>
            </w:pPr>
            <w:r>
              <w:rPr>
                <w:rFonts w:hint="eastAsia"/>
                <w:b/>
                <w:sz w:val="24"/>
                <w:highlight w:val="none"/>
              </w:rPr>
              <w:t>第二档：4分。</w:t>
            </w:r>
            <w:r>
              <w:rPr>
                <w:rFonts w:hint="eastAsia"/>
                <w:sz w:val="24"/>
                <w:highlight w:val="none"/>
              </w:rPr>
              <w:t>对项目实施设置了管理机构和岗位职责，制定了工作计划和工期安排；有简单的生产和技术管理机构及人员，人员配备和设备投入、工期保障措施满足本项目总体要求。</w:t>
            </w:r>
          </w:p>
          <w:p w14:paraId="0B31491A">
            <w:pPr>
              <w:spacing w:line="320" w:lineRule="exact"/>
              <w:rPr>
                <w:sz w:val="24"/>
                <w:highlight w:val="none"/>
              </w:rPr>
            </w:pPr>
            <w:r>
              <w:rPr>
                <w:rFonts w:hint="eastAsia"/>
                <w:b/>
                <w:sz w:val="24"/>
                <w:highlight w:val="none"/>
              </w:rPr>
              <w:t>第三档：</w:t>
            </w:r>
            <w:r>
              <w:rPr>
                <w:b/>
                <w:sz w:val="24"/>
                <w:highlight w:val="none"/>
              </w:rPr>
              <w:t>2</w:t>
            </w:r>
            <w:r>
              <w:rPr>
                <w:rFonts w:hint="eastAsia"/>
                <w:b/>
                <w:sz w:val="24"/>
                <w:highlight w:val="none"/>
              </w:rPr>
              <w:t>分。</w:t>
            </w:r>
            <w:r>
              <w:rPr>
                <w:rFonts w:hint="eastAsia"/>
                <w:sz w:val="24"/>
                <w:highlight w:val="none"/>
              </w:rPr>
              <w:t>对项目实施设置了简单管理机构和岗位职责；人员配备和设备投入，工期保障措施基本满足本项目总体要求。</w:t>
            </w:r>
          </w:p>
        </w:tc>
      </w:tr>
      <w:tr w14:paraId="2B73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0C83BFB5">
            <w:pPr>
              <w:autoSpaceDE w:val="0"/>
              <w:autoSpaceDN w:val="0"/>
              <w:spacing w:line="320" w:lineRule="exact"/>
              <w:ind w:firstLine="120" w:firstLineChars="50"/>
              <w:jc w:val="center"/>
              <w:rPr>
                <w:b/>
                <w:sz w:val="24"/>
                <w:highlight w:val="none"/>
                <w:lang w:val="zh-CN"/>
              </w:rPr>
            </w:pPr>
            <w:r>
              <w:rPr>
                <w:rFonts w:hint="eastAsia"/>
                <w:b/>
                <w:sz w:val="24"/>
                <w:highlight w:val="none"/>
                <w:lang w:val="zh-CN"/>
              </w:rPr>
              <w:t>商务</w:t>
            </w:r>
          </w:p>
          <w:p w14:paraId="355E485D">
            <w:pPr>
              <w:autoSpaceDE w:val="0"/>
              <w:autoSpaceDN w:val="0"/>
              <w:spacing w:line="320" w:lineRule="exact"/>
              <w:ind w:firstLine="120" w:firstLineChars="50"/>
              <w:jc w:val="center"/>
              <w:rPr>
                <w:b/>
                <w:sz w:val="24"/>
                <w:highlight w:val="none"/>
                <w:lang w:val="zh-CN"/>
              </w:rPr>
            </w:pPr>
            <w:r>
              <w:rPr>
                <w:rFonts w:hint="eastAsia"/>
                <w:b/>
                <w:sz w:val="24"/>
                <w:highlight w:val="none"/>
                <w:lang w:val="zh-CN"/>
              </w:rPr>
              <w:t>部分</w:t>
            </w:r>
          </w:p>
          <w:p w14:paraId="7D0AE7CE">
            <w:pPr>
              <w:autoSpaceDE w:val="0"/>
              <w:autoSpaceDN w:val="0"/>
              <w:spacing w:line="320" w:lineRule="exact"/>
              <w:ind w:firstLine="120" w:firstLineChars="50"/>
              <w:jc w:val="center"/>
              <w:rPr>
                <w:b/>
                <w:sz w:val="24"/>
                <w:highlight w:val="none"/>
                <w:lang w:val="zh-CN"/>
              </w:rPr>
            </w:pPr>
            <w:r>
              <w:rPr>
                <w:rFonts w:hint="eastAsia"/>
                <w:b/>
                <w:sz w:val="24"/>
                <w:highlight w:val="none"/>
                <w:lang w:val="zh-CN"/>
              </w:rPr>
              <w:t>（</w:t>
            </w:r>
            <w:r>
              <w:rPr>
                <w:b/>
                <w:sz w:val="24"/>
                <w:highlight w:val="none"/>
                <w:lang w:val="zh-CN"/>
              </w:rPr>
              <w:t>3</w:t>
            </w:r>
            <w:r>
              <w:rPr>
                <w:rFonts w:hint="eastAsia"/>
                <w:b/>
                <w:sz w:val="24"/>
                <w:highlight w:val="none"/>
              </w:rPr>
              <w:t>0</w:t>
            </w:r>
            <w:r>
              <w:rPr>
                <w:rFonts w:hint="eastAsia"/>
                <w:b/>
                <w:sz w:val="24"/>
                <w:highlight w:val="none"/>
                <w:lang w:val="zh-CN"/>
              </w:rPr>
              <w:t>分）</w:t>
            </w:r>
          </w:p>
        </w:tc>
        <w:tc>
          <w:tcPr>
            <w:tcW w:w="2093" w:type="dxa"/>
            <w:vMerge w:val="restart"/>
            <w:tcBorders>
              <w:top w:val="single" w:color="auto" w:sz="4" w:space="0"/>
              <w:left w:val="single" w:color="auto" w:sz="4" w:space="0"/>
              <w:bottom w:val="single" w:color="auto" w:sz="4" w:space="0"/>
              <w:right w:val="single" w:color="auto" w:sz="4" w:space="0"/>
            </w:tcBorders>
            <w:vAlign w:val="center"/>
          </w:tcPr>
          <w:p w14:paraId="266BC9BE">
            <w:pPr>
              <w:autoSpaceDE w:val="0"/>
              <w:autoSpaceDN w:val="0"/>
              <w:spacing w:line="320" w:lineRule="exact"/>
              <w:ind w:firstLine="120" w:firstLineChars="50"/>
              <w:jc w:val="center"/>
              <w:rPr>
                <w:b/>
                <w:sz w:val="24"/>
                <w:highlight w:val="none"/>
                <w:lang w:val="zh-CN"/>
              </w:rPr>
            </w:pPr>
            <w:r>
              <w:rPr>
                <w:rFonts w:hint="eastAsia"/>
                <w:b/>
                <w:sz w:val="24"/>
                <w:highlight w:val="none"/>
                <w:lang w:val="zh-CN"/>
              </w:rPr>
              <w:t>相关业务经验</w:t>
            </w:r>
          </w:p>
          <w:p w14:paraId="102733E6">
            <w:pPr>
              <w:autoSpaceDE w:val="0"/>
              <w:autoSpaceDN w:val="0"/>
              <w:spacing w:line="320" w:lineRule="exact"/>
              <w:ind w:firstLine="120" w:firstLineChars="50"/>
              <w:jc w:val="center"/>
              <w:rPr>
                <w:b/>
                <w:sz w:val="24"/>
                <w:highlight w:val="none"/>
                <w:lang w:val="zh-CN"/>
              </w:rPr>
            </w:pPr>
            <w:r>
              <w:rPr>
                <w:rFonts w:hint="eastAsia"/>
                <w:b/>
                <w:sz w:val="24"/>
                <w:highlight w:val="none"/>
                <w:lang w:val="zh-CN"/>
              </w:rPr>
              <w:t>（</w:t>
            </w:r>
            <w:r>
              <w:rPr>
                <w:b/>
                <w:sz w:val="24"/>
                <w:highlight w:val="none"/>
                <w:lang w:val="zh-CN"/>
              </w:rPr>
              <w:t>20</w:t>
            </w:r>
            <w:r>
              <w:rPr>
                <w:rFonts w:hint="eastAsia"/>
                <w:b/>
                <w:sz w:val="24"/>
                <w:highlight w:val="none"/>
                <w:lang w:val="zh-CN"/>
              </w:rPr>
              <w:t>分）</w:t>
            </w:r>
          </w:p>
        </w:tc>
        <w:tc>
          <w:tcPr>
            <w:tcW w:w="6252" w:type="dxa"/>
            <w:tcBorders>
              <w:top w:val="single" w:color="auto" w:sz="4" w:space="0"/>
              <w:left w:val="single" w:color="auto" w:sz="4" w:space="0"/>
              <w:bottom w:val="single" w:color="auto" w:sz="4" w:space="0"/>
              <w:right w:val="single" w:color="auto" w:sz="4" w:space="0"/>
            </w:tcBorders>
            <w:vAlign w:val="center"/>
          </w:tcPr>
          <w:p w14:paraId="577FE56B">
            <w:pPr>
              <w:spacing w:line="320" w:lineRule="exact"/>
              <w:rPr>
                <w:rFonts w:hint="default" w:eastAsia="宋体"/>
                <w:sz w:val="24"/>
                <w:highlight w:val="none"/>
                <w:lang w:val="en-US" w:eastAsia="zh-CN"/>
              </w:rPr>
            </w:pPr>
            <w:r>
              <w:rPr>
                <w:rFonts w:hint="eastAsia"/>
                <w:sz w:val="24"/>
                <w:highlight w:val="none"/>
                <w:lang w:val="en-US" w:eastAsia="zh-CN"/>
              </w:rPr>
              <w:t>（1）业绩分：</w:t>
            </w:r>
          </w:p>
          <w:p w14:paraId="4AFEC908">
            <w:pPr>
              <w:spacing w:line="320" w:lineRule="exact"/>
              <w:rPr>
                <w:sz w:val="24"/>
                <w:highlight w:val="none"/>
              </w:rPr>
            </w:pPr>
            <w:r>
              <w:rPr>
                <w:rFonts w:hint="eastAsia"/>
                <w:sz w:val="24"/>
                <w:highlight w:val="none"/>
              </w:rPr>
              <w:t>投标人自2020年1月1日以来承担过矿产资源规划类项目的（矿产资源规划类项目指矿产资源总体规划、矿产资源开发专项规划、矿产资源规划调整论证等）的，其中省级的每项得</w:t>
            </w:r>
            <w:r>
              <w:rPr>
                <w:sz w:val="24"/>
                <w:highlight w:val="none"/>
              </w:rPr>
              <w:t>2</w:t>
            </w:r>
            <w:r>
              <w:rPr>
                <w:rFonts w:hint="eastAsia"/>
                <w:sz w:val="24"/>
                <w:highlight w:val="none"/>
              </w:rPr>
              <w:t>分，市级（地级市）的每项得1分，县级的每项得0</w:t>
            </w:r>
            <w:r>
              <w:rPr>
                <w:sz w:val="24"/>
                <w:highlight w:val="none"/>
              </w:rPr>
              <w:t>.5</w:t>
            </w:r>
            <w:r>
              <w:rPr>
                <w:rFonts w:hint="eastAsia"/>
                <w:sz w:val="24"/>
                <w:highlight w:val="none"/>
              </w:rPr>
              <w:t>分，最高</w:t>
            </w:r>
            <w:r>
              <w:rPr>
                <w:sz w:val="24"/>
                <w:highlight w:val="none"/>
              </w:rPr>
              <w:t>14</w:t>
            </w:r>
            <w:r>
              <w:rPr>
                <w:rFonts w:hint="eastAsia"/>
                <w:sz w:val="24"/>
                <w:highlight w:val="none"/>
              </w:rPr>
              <w:t>分，须提供合同复印件（中标通知书、任务书或验收报告），原件备查，不按照上述要求提供资料者，不作为评分的依据。</w:t>
            </w:r>
            <w:r>
              <w:rPr>
                <w:sz w:val="24"/>
                <w:highlight w:val="none"/>
              </w:rPr>
              <w:t xml:space="preserve">) </w:t>
            </w:r>
          </w:p>
        </w:tc>
      </w:tr>
      <w:tr w14:paraId="31F9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7BA73996">
            <w:pPr>
              <w:widowControl/>
              <w:jc w:val="left"/>
              <w:rPr>
                <w:b/>
                <w:sz w:val="24"/>
                <w:highlight w:val="none"/>
                <w:lang w:val="zh-CN"/>
              </w:rPr>
            </w:pPr>
          </w:p>
        </w:tc>
        <w:tc>
          <w:tcPr>
            <w:tcW w:w="2093" w:type="dxa"/>
            <w:vMerge w:val="continue"/>
            <w:tcBorders>
              <w:top w:val="single" w:color="auto" w:sz="4" w:space="0"/>
              <w:left w:val="single" w:color="auto" w:sz="4" w:space="0"/>
              <w:bottom w:val="single" w:color="auto" w:sz="4" w:space="0"/>
              <w:right w:val="single" w:color="auto" w:sz="4" w:space="0"/>
            </w:tcBorders>
            <w:vAlign w:val="center"/>
          </w:tcPr>
          <w:p w14:paraId="59592401">
            <w:pPr>
              <w:widowControl/>
              <w:jc w:val="left"/>
              <w:rPr>
                <w:b/>
                <w:sz w:val="24"/>
                <w:highlight w:val="none"/>
                <w:lang w:val="zh-CN"/>
              </w:rPr>
            </w:pPr>
          </w:p>
        </w:tc>
        <w:tc>
          <w:tcPr>
            <w:tcW w:w="6252" w:type="dxa"/>
            <w:tcBorders>
              <w:top w:val="single" w:color="auto" w:sz="4" w:space="0"/>
              <w:left w:val="single" w:color="auto" w:sz="4" w:space="0"/>
              <w:bottom w:val="single" w:color="auto" w:sz="4" w:space="0"/>
              <w:right w:val="single" w:color="auto" w:sz="4" w:space="0"/>
            </w:tcBorders>
            <w:vAlign w:val="center"/>
          </w:tcPr>
          <w:p w14:paraId="3E1CC0B5">
            <w:pPr>
              <w:spacing w:line="320" w:lineRule="exact"/>
              <w:rPr>
                <w:rFonts w:hint="default" w:eastAsia="宋体"/>
                <w:sz w:val="24"/>
                <w:highlight w:val="none"/>
                <w:lang w:val="en-US" w:eastAsia="zh-CN"/>
              </w:rPr>
            </w:pPr>
            <w:r>
              <w:rPr>
                <w:rFonts w:hint="eastAsia"/>
                <w:sz w:val="24"/>
                <w:highlight w:val="none"/>
                <w:lang w:eastAsia="zh-CN"/>
              </w:rPr>
              <w:t>（</w:t>
            </w:r>
            <w:r>
              <w:rPr>
                <w:rFonts w:hint="eastAsia"/>
                <w:sz w:val="24"/>
                <w:highlight w:val="none"/>
                <w:lang w:val="en-US" w:eastAsia="zh-CN"/>
              </w:rPr>
              <w:t>2</w:t>
            </w:r>
            <w:r>
              <w:rPr>
                <w:rFonts w:hint="eastAsia"/>
                <w:sz w:val="24"/>
                <w:highlight w:val="none"/>
                <w:lang w:eastAsia="zh-CN"/>
              </w:rPr>
              <w:t>）</w:t>
            </w:r>
            <w:r>
              <w:rPr>
                <w:rFonts w:hint="eastAsia"/>
                <w:sz w:val="24"/>
                <w:highlight w:val="none"/>
                <w:lang w:val="en-US" w:eastAsia="zh-CN"/>
              </w:rPr>
              <w:t>供应商实力：</w:t>
            </w:r>
          </w:p>
          <w:p w14:paraId="4BC72596">
            <w:pPr>
              <w:spacing w:line="320" w:lineRule="exact"/>
              <w:rPr>
                <w:sz w:val="24"/>
                <w:highlight w:val="none"/>
              </w:rPr>
            </w:pPr>
            <w:r>
              <w:rPr>
                <w:rFonts w:hint="eastAsia"/>
                <w:sz w:val="24"/>
                <w:highlight w:val="none"/>
              </w:rPr>
              <w:t>投标人具有有效的ISO质量管理体系认证证书、职业健康安全管理体系认证证书、环境管理体系认证证书，且认证范围包含有矿产资源规划或地质勘查技术服务或自然资源领域技术服务认证内容的，每个证书得2分，满分6分。</w:t>
            </w:r>
          </w:p>
        </w:tc>
      </w:tr>
      <w:tr w14:paraId="4C83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5A9C456">
            <w:pPr>
              <w:widowControl/>
              <w:jc w:val="left"/>
              <w:rPr>
                <w:b/>
                <w:sz w:val="24"/>
                <w:highlight w:val="none"/>
                <w:lang w:val="zh-CN"/>
              </w:rPr>
            </w:pPr>
          </w:p>
        </w:tc>
        <w:tc>
          <w:tcPr>
            <w:tcW w:w="2093" w:type="dxa"/>
            <w:tcBorders>
              <w:top w:val="single" w:color="auto" w:sz="4" w:space="0"/>
              <w:left w:val="single" w:color="auto" w:sz="4" w:space="0"/>
              <w:right w:val="single" w:color="auto" w:sz="4" w:space="0"/>
            </w:tcBorders>
            <w:vAlign w:val="center"/>
          </w:tcPr>
          <w:p w14:paraId="193FE6C3">
            <w:pPr>
              <w:autoSpaceDE w:val="0"/>
              <w:autoSpaceDN w:val="0"/>
              <w:spacing w:line="320" w:lineRule="exact"/>
              <w:ind w:firstLine="120" w:firstLineChars="50"/>
              <w:jc w:val="center"/>
              <w:rPr>
                <w:b/>
                <w:sz w:val="24"/>
                <w:highlight w:val="none"/>
                <w:lang w:val="zh-CN"/>
              </w:rPr>
            </w:pPr>
            <w:r>
              <w:rPr>
                <w:rFonts w:hint="eastAsia"/>
                <w:b/>
                <w:sz w:val="24"/>
                <w:highlight w:val="none"/>
                <w:lang w:val="en-US" w:eastAsia="zh-CN"/>
              </w:rPr>
              <w:t>奖项</w:t>
            </w:r>
            <w:r>
              <w:rPr>
                <w:rFonts w:hint="eastAsia"/>
                <w:b/>
                <w:sz w:val="24"/>
                <w:highlight w:val="none"/>
                <w:lang w:val="zh-CN"/>
              </w:rPr>
              <w:t>（</w:t>
            </w:r>
            <w:r>
              <w:rPr>
                <w:b/>
                <w:sz w:val="24"/>
                <w:highlight w:val="none"/>
              </w:rPr>
              <w:t>10</w:t>
            </w:r>
            <w:r>
              <w:rPr>
                <w:rFonts w:hint="eastAsia"/>
                <w:b/>
                <w:sz w:val="24"/>
                <w:highlight w:val="none"/>
                <w:lang w:val="zh-CN"/>
              </w:rPr>
              <w:t>分）</w:t>
            </w:r>
          </w:p>
        </w:tc>
        <w:tc>
          <w:tcPr>
            <w:tcW w:w="6252" w:type="dxa"/>
            <w:tcBorders>
              <w:top w:val="single" w:color="auto" w:sz="4" w:space="0"/>
              <w:left w:val="single" w:color="auto" w:sz="4" w:space="0"/>
              <w:bottom w:val="single" w:color="auto" w:sz="4" w:space="0"/>
              <w:right w:val="single" w:color="auto" w:sz="4" w:space="0"/>
            </w:tcBorders>
            <w:vAlign w:val="center"/>
          </w:tcPr>
          <w:p w14:paraId="43847B84">
            <w:pPr>
              <w:spacing w:line="320" w:lineRule="exact"/>
              <w:rPr>
                <w:sz w:val="24"/>
                <w:highlight w:val="none"/>
              </w:rPr>
            </w:pPr>
            <w:r>
              <w:rPr>
                <w:rFonts w:hint="eastAsia"/>
                <w:sz w:val="24"/>
                <w:highlight w:val="none"/>
              </w:rPr>
              <w:t>2022 年 1 月 1 日以来，投标人获得过</w:t>
            </w:r>
            <w:r>
              <w:rPr>
                <w:rFonts w:hint="eastAsia"/>
                <w:sz w:val="24"/>
                <w:highlight w:val="none"/>
                <w:lang w:val="en-US" w:eastAsia="zh-CN"/>
              </w:rPr>
              <w:t>主管部门或行业协会颁发的</w:t>
            </w:r>
            <w:r>
              <w:rPr>
                <w:rFonts w:hint="eastAsia"/>
                <w:sz w:val="24"/>
                <w:highlight w:val="none"/>
              </w:rPr>
              <w:t>矿产资源总体规划奖项或荣誉的，一等奖的每个2分，二等奖的每个1分，三等奖的每个0.5分，满分10分。</w:t>
            </w:r>
          </w:p>
        </w:tc>
      </w:tr>
      <w:bookmarkEnd w:id="77"/>
    </w:tbl>
    <w:p w14:paraId="62FC01B8">
      <w:pPr>
        <w:snapToGrid w:val="0"/>
        <w:spacing w:line="360" w:lineRule="auto"/>
        <w:rPr>
          <w:rFonts w:ascii="宋体" w:hAnsi="宋体" w:cs="宋体"/>
          <w:sz w:val="20"/>
          <w:szCs w:val="20"/>
          <w:shd w:val="clear" w:color="auto" w:fill="FFFFFF"/>
        </w:rPr>
      </w:pPr>
    </w:p>
    <w:p w14:paraId="78DAEA6C">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sz w:val="24"/>
        </w:rPr>
        <w:t>*</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供应商编制响应文件（商务技术文件部分）时，建议按此目录（序号和内容）提供评标标准相应的商务技术资料。</w:t>
      </w:r>
    </w:p>
    <w:p w14:paraId="016037BC">
      <w:pPr>
        <w:adjustRightInd/>
        <w:spacing w:line="360" w:lineRule="auto"/>
        <w:ind w:firstLine="482" w:firstLineChars="200"/>
        <w:rPr>
          <w:rFonts w:cs="Arial" w:asciiTheme="minorEastAsia" w:hAnsiTheme="minorEastAsia" w:eastAsiaTheme="minorEastAsia"/>
          <w:b/>
          <w:kern w:val="0"/>
          <w:sz w:val="24"/>
        </w:rPr>
      </w:pPr>
    </w:p>
    <w:p w14:paraId="6346DC92">
      <w:pPr>
        <w:pStyle w:val="394"/>
        <w:spacing w:before="0"/>
        <w:ind w:firstLine="643"/>
        <w:jc w:val="center"/>
        <w:outlineLvl w:val="1"/>
        <w:rPr>
          <w:rFonts w:cs="仿宋_GB2312" w:asciiTheme="minorEastAsia" w:hAnsiTheme="minorEastAsia" w:eastAsiaTheme="minorEastAsia"/>
          <w:b/>
        </w:rPr>
      </w:pPr>
      <w:bookmarkStart w:id="78" w:name="_Toc28210"/>
      <w:r>
        <w:rPr>
          <w:rFonts w:hint="eastAsia" w:cs="仿宋_GB2312" w:asciiTheme="minorEastAsia" w:hAnsiTheme="minorEastAsia" w:eastAsiaTheme="minorEastAsia"/>
          <w:b/>
          <w:sz w:val="32"/>
        </w:rPr>
        <w:t>一、评审方法</w:t>
      </w:r>
      <w:bookmarkEnd w:id="78"/>
    </w:p>
    <w:p w14:paraId="3088AC80">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064E792E">
      <w:pPr>
        <w:adjustRightInd/>
        <w:spacing w:line="360" w:lineRule="auto"/>
        <w:rPr>
          <w:rFonts w:cs="Arial" w:asciiTheme="minorEastAsia" w:hAnsiTheme="minorEastAsia" w:eastAsiaTheme="minorEastAsia"/>
          <w:kern w:val="0"/>
          <w:sz w:val="24"/>
        </w:rPr>
      </w:pPr>
    </w:p>
    <w:p w14:paraId="0B8B828D">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bookmarkStart w:id="79" w:name="_Toc24507"/>
      <w:r>
        <w:rPr>
          <w:rFonts w:hint="eastAsia" w:cs="仿宋_GB2312" w:asciiTheme="minorEastAsia" w:hAnsiTheme="minorEastAsia" w:eastAsiaTheme="minorEastAsia"/>
          <w:b/>
          <w:sz w:val="32"/>
        </w:rPr>
        <w:t>二、磋商小组的组成</w:t>
      </w:r>
      <w:bookmarkEnd w:id="79"/>
    </w:p>
    <w:p w14:paraId="021C0E7A">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09641B17">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07000BF">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3D9837B">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0A95EA04">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343F573F">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7D02E3C6">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2E9259A">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75547CC1">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4542E309">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20CB1E7">
      <w:pPr>
        <w:snapToGrid w:val="0"/>
        <w:spacing w:line="360" w:lineRule="auto"/>
        <w:ind w:left="120" w:leftChars="57" w:firstLine="482" w:firstLineChars="150"/>
        <w:jc w:val="center"/>
        <w:rPr>
          <w:rFonts w:cs="仿宋_GB2312" w:asciiTheme="minorEastAsia" w:hAnsiTheme="minorEastAsia" w:eastAsiaTheme="minorEastAsia"/>
          <w:b/>
          <w:sz w:val="32"/>
        </w:rPr>
      </w:pPr>
    </w:p>
    <w:p w14:paraId="2C11B865">
      <w:pPr>
        <w:snapToGrid w:val="0"/>
        <w:spacing w:line="360" w:lineRule="auto"/>
        <w:ind w:left="120" w:leftChars="57" w:firstLine="482" w:firstLineChars="150"/>
        <w:jc w:val="center"/>
        <w:outlineLvl w:val="1"/>
        <w:rPr>
          <w:rFonts w:asciiTheme="minorEastAsia" w:hAnsiTheme="minorEastAsia" w:eastAsiaTheme="minorEastAsia"/>
          <w:b/>
          <w:sz w:val="32"/>
          <w:szCs w:val="32"/>
        </w:rPr>
      </w:pPr>
      <w:bookmarkStart w:id="80" w:name="_Toc18548"/>
      <w:r>
        <w:rPr>
          <w:rFonts w:hint="eastAsia" w:cs="仿宋_GB2312" w:asciiTheme="minorEastAsia" w:hAnsiTheme="minorEastAsia" w:eastAsiaTheme="minorEastAsia"/>
          <w:b/>
          <w:sz w:val="32"/>
        </w:rPr>
        <w:t>三、磋商小组的职责</w:t>
      </w:r>
      <w:bookmarkEnd w:id="80"/>
    </w:p>
    <w:p w14:paraId="3EDBCD7D">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1167033D">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37F3F1EF">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24952F33">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0A40750C">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65D705B4">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0502BB03">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54CD15CA">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5AC9CCF5">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14:paraId="0AC8C666">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536FE00A">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05F2C730">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4DD030F6">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46F333DE">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7B19B811">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24B75E03">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299E5A0E">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3AF19112">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60572C0A">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0B4166EF">
      <w:pPr>
        <w:pStyle w:val="394"/>
        <w:spacing w:before="0"/>
        <w:ind w:firstLine="0" w:firstLineChars="0"/>
        <w:rPr>
          <w:rFonts w:asciiTheme="minorEastAsia" w:hAnsiTheme="minorEastAsia" w:eastAsiaTheme="minorEastAsia"/>
          <w:b/>
        </w:rPr>
      </w:pPr>
    </w:p>
    <w:p w14:paraId="6716967E">
      <w:pPr>
        <w:pStyle w:val="394"/>
        <w:spacing w:before="0"/>
        <w:ind w:firstLine="0" w:firstLineChars="0"/>
        <w:jc w:val="center"/>
        <w:outlineLvl w:val="1"/>
        <w:rPr>
          <w:rFonts w:cs="仿宋_GB2312" w:asciiTheme="minorEastAsia" w:hAnsiTheme="minorEastAsia" w:eastAsiaTheme="minorEastAsia"/>
          <w:b/>
          <w:sz w:val="32"/>
        </w:rPr>
      </w:pPr>
      <w:bookmarkStart w:id="81" w:name="_Toc25153"/>
      <w:r>
        <w:rPr>
          <w:rFonts w:hint="eastAsia" w:cs="仿宋_GB2312" w:asciiTheme="minorEastAsia" w:hAnsiTheme="minorEastAsia" w:eastAsiaTheme="minorEastAsia"/>
          <w:b/>
          <w:sz w:val="32"/>
        </w:rPr>
        <w:t>四、评审程序</w:t>
      </w:r>
      <w:bookmarkEnd w:id="81"/>
    </w:p>
    <w:p w14:paraId="68985E66">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386A6E35">
      <w:pPr>
        <w:pStyle w:val="394"/>
        <w:spacing w:before="0"/>
        <w:ind w:firstLine="0" w:firstLineChars="0"/>
        <w:rPr>
          <w:rFonts w:asciiTheme="minorEastAsia" w:hAnsiTheme="minorEastAsia" w:eastAsiaTheme="minorEastAsia"/>
          <w:b/>
        </w:rPr>
      </w:pPr>
    </w:p>
    <w:p w14:paraId="6612CA75">
      <w:pPr>
        <w:pStyle w:val="394"/>
        <w:spacing w:before="0"/>
        <w:ind w:firstLine="0" w:firstLineChars="0"/>
        <w:jc w:val="center"/>
        <w:outlineLvl w:val="1"/>
        <w:rPr>
          <w:rFonts w:cs="仿宋_GB2312" w:asciiTheme="minorEastAsia" w:hAnsiTheme="minorEastAsia" w:eastAsiaTheme="minorEastAsia"/>
          <w:b/>
          <w:sz w:val="32"/>
        </w:rPr>
      </w:pPr>
      <w:bookmarkStart w:id="82" w:name="_Toc13597"/>
      <w:r>
        <w:rPr>
          <w:rFonts w:hint="eastAsia" w:cs="仿宋_GB2312" w:asciiTheme="minorEastAsia" w:hAnsiTheme="minorEastAsia" w:eastAsiaTheme="minorEastAsia"/>
          <w:b/>
          <w:sz w:val="32"/>
        </w:rPr>
        <w:t>五、评审须知</w:t>
      </w:r>
      <w:bookmarkEnd w:id="82"/>
    </w:p>
    <w:p w14:paraId="79EDD739">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3466950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E70EA90">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2CE3842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2F51D75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71BDD7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AF98A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72432F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167415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7E567F5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575FD40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2558C46">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76F325B4">
      <w:pPr>
        <w:pStyle w:val="23"/>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8FA6725">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6953E0E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51E84F1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5830112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470E1A0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0309156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0E86ACE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5FA3819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1EAE87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288741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67DA15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34836DF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311F10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FC7C71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7E2D0AE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3.15《最后报价一览表》填写不完整或字迹不能辨认或有漏项的；</w:t>
      </w:r>
    </w:p>
    <w:p w14:paraId="21091CF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3.16供应商对根据修正原则修正后的最后报价不确认的；</w:t>
      </w:r>
    </w:p>
    <w:p w14:paraId="75A7D9F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3.17供应商提供虚假材料响应的（包括但不限于以下情节）；</w:t>
      </w:r>
    </w:p>
    <w:p w14:paraId="436183B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3.17.1使用伪造、变造的许可证件；</w:t>
      </w:r>
    </w:p>
    <w:p w14:paraId="0F07CD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3.17.2提供虚假的财务状况或者业绩；</w:t>
      </w:r>
    </w:p>
    <w:p w14:paraId="396AC5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3.17.3提供虚假的项目负责人或者主要技术人员简历、劳动关系证明；</w:t>
      </w:r>
    </w:p>
    <w:p w14:paraId="502ACD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3.17.4提供虚假的信用状况；</w:t>
      </w:r>
    </w:p>
    <w:p w14:paraId="151AA8A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3.17.5其他弄虚作假的行为。</w:t>
      </w:r>
    </w:p>
    <w:p w14:paraId="3AC5D46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3.18供应商有恶意串通、妨碍其他供应商的竞争行为、损害采购人或者其他供应商的合法权益情形的。</w:t>
      </w:r>
    </w:p>
    <w:p w14:paraId="52717DC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66F334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3.18.1供应商直接或者间接从采购人或者采购代理机构处获得其他供应商的相关情况并修改其响应文件；</w:t>
      </w:r>
    </w:p>
    <w:p w14:paraId="1B3B947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3.18.2供应商按照采购人或者采购代理机构的授意撤换、修改投标文件或者响应文件；</w:t>
      </w:r>
    </w:p>
    <w:p w14:paraId="57BACC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3.18.3供应商之间协商报价、技术方案等投标文件或者响应文件的实质性内容；</w:t>
      </w:r>
    </w:p>
    <w:p w14:paraId="34416A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3.18.4属于同一集团、协会、商会等组织成员的供应商按照该组织要求协同参加政府采购活动；</w:t>
      </w:r>
    </w:p>
    <w:p w14:paraId="4CAC432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3.18.5供应商之间事先约定由某一特定供应商中标、成交；</w:t>
      </w:r>
    </w:p>
    <w:p w14:paraId="0799C8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3.18.6供应商之间商定部分供应商放弃参加政府采购活动或者放弃中标、成交；</w:t>
      </w:r>
    </w:p>
    <w:p w14:paraId="319A79B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3.18.7供应商与采购人或者采购代理机构之间、供应商相互之间，为谋求特定供应商中标、成交或者排斥其他供应商的其他串通行为。</w:t>
      </w:r>
    </w:p>
    <w:p w14:paraId="0E3D74B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3.18.8不同供应商的响应文件由同一单位或者个人编制；</w:t>
      </w:r>
    </w:p>
    <w:p w14:paraId="66B48D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3.18.9不同供应商委托同一单位或者个人办理响应事宜；</w:t>
      </w:r>
    </w:p>
    <w:p w14:paraId="37A4E6E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3.18.10不同供应商的响应文件载明的项目管理成员或者联系人员为同一人；</w:t>
      </w:r>
    </w:p>
    <w:p w14:paraId="4C3AF46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3.18.11不同供应商的响应文件异常一致或者最后报价呈规律性差异。</w:t>
      </w:r>
    </w:p>
    <w:p w14:paraId="0CBDD32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3.19供应商仅提交备份响应文件，没有在电子交易平台传输提交响应文件的，响应无效；</w:t>
      </w:r>
    </w:p>
    <w:p w14:paraId="695A558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3.20法律、法规、规章（适用本市的）及省级以上规范性文件（适用本市的）规定的其他无效情形。</w:t>
      </w:r>
    </w:p>
    <w:p w14:paraId="49913959">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6351E279">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出现下列情形之一的，采购代理机构应当终止竞争性磋商采购活动，通过电子交易平台发布项目终止公告并说明原因，重新开展采购活动：</w:t>
      </w:r>
    </w:p>
    <w:p w14:paraId="576A1F50">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1D40145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3E59CE2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1646D257">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3600061C">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9F723FC">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rPr>
        <w:t>采购代理机构有权对磋商小组各成员的评分情况和评审意见进行合理性和合规性审查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92C3CC8">
      <w:pPr>
        <w:pStyle w:val="394"/>
        <w:spacing w:before="0"/>
        <w:ind w:firstLine="0" w:firstLineChars="0"/>
        <w:rPr>
          <w:rFonts w:cs="仿宋_GB2312" w:asciiTheme="minorEastAsia" w:hAnsiTheme="minorEastAsia" w:eastAsiaTheme="minorEastAsia"/>
          <w:b/>
        </w:rPr>
      </w:pPr>
    </w:p>
    <w:p w14:paraId="1124B461">
      <w:pPr>
        <w:snapToGrid w:val="0"/>
        <w:spacing w:line="360" w:lineRule="auto"/>
        <w:ind w:left="120" w:leftChars="57" w:firstLine="482" w:firstLineChars="150"/>
        <w:jc w:val="center"/>
        <w:outlineLvl w:val="1"/>
        <w:rPr>
          <w:rFonts w:cs="仿宋_GB2312" w:asciiTheme="minorEastAsia" w:hAnsiTheme="minorEastAsia" w:eastAsiaTheme="minorEastAsia"/>
          <w:b/>
          <w:sz w:val="32"/>
        </w:rPr>
      </w:pPr>
      <w:bookmarkStart w:id="83" w:name="_Toc18223"/>
      <w:r>
        <w:rPr>
          <w:rFonts w:hint="eastAsia" w:cs="仿宋_GB2312" w:asciiTheme="minorEastAsia" w:hAnsiTheme="minorEastAsia" w:eastAsiaTheme="minorEastAsia"/>
          <w:b/>
          <w:sz w:val="32"/>
        </w:rPr>
        <w:t>六、评审过程的保密与录像</w:t>
      </w:r>
      <w:bookmarkEnd w:id="83"/>
    </w:p>
    <w:p w14:paraId="48289A0C">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58AA89A9">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rPr>
        <w:t>采购代理机构对评审工作现场进行全过程录音录像，录音录像资料作为采购项目文件随其他文件一并存档。</w:t>
      </w:r>
    </w:p>
    <w:p w14:paraId="2170074A">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1D47520">
      <w:pPr>
        <w:spacing w:line="360" w:lineRule="auto"/>
        <w:jc w:val="center"/>
        <w:outlineLvl w:val="0"/>
        <w:rPr>
          <w:rFonts w:cs="仿宋_GB2312" w:asciiTheme="minorEastAsia" w:hAnsiTheme="minorEastAsia" w:eastAsiaTheme="minorEastAsia"/>
          <w:b/>
          <w:sz w:val="36"/>
          <w:szCs w:val="36"/>
        </w:rPr>
      </w:pPr>
      <w:bookmarkStart w:id="84" w:name="_Toc28349"/>
      <w:bookmarkStart w:id="85" w:name="_Toc27330"/>
      <w:r>
        <w:rPr>
          <w:rFonts w:hint="eastAsia" w:cs="仿宋_GB2312" w:asciiTheme="minorEastAsia" w:hAnsiTheme="minorEastAsia" w:eastAsiaTheme="minorEastAsia"/>
          <w:b/>
          <w:sz w:val="36"/>
          <w:szCs w:val="36"/>
        </w:rPr>
        <w:t>第六部分</w:t>
      </w:r>
      <w:bookmarkEnd w:id="76"/>
      <w:r>
        <w:rPr>
          <w:rFonts w:hint="eastAsia" w:cs="仿宋_GB2312" w:asciiTheme="minorEastAsia" w:hAnsiTheme="minorEastAsia" w:eastAsiaTheme="minorEastAsia"/>
          <w:b/>
          <w:sz w:val="36"/>
          <w:szCs w:val="36"/>
        </w:rPr>
        <w:t xml:space="preserve"> 拟签订的合同文本</w:t>
      </w:r>
      <w:bookmarkEnd w:id="84"/>
      <w:bookmarkEnd w:id="85"/>
    </w:p>
    <w:p w14:paraId="2E9E4543">
      <w:bookmarkStart w:id="86" w:name="第五部分"/>
      <w:bookmarkStart w:id="87" w:name="_Toc86217003"/>
    </w:p>
    <w:p w14:paraId="08D3DFC1">
      <w:pPr>
        <w:snapToGrid w:val="0"/>
        <w:spacing w:before="120" w:beforeLines="50" w:after="120" w:afterLines="50" w:line="600" w:lineRule="exact"/>
        <w:rPr>
          <w:rFonts w:hAnsi="宋体"/>
          <w:b/>
          <w:sz w:val="32"/>
          <w:szCs w:val="32"/>
        </w:rPr>
      </w:pPr>
    </w:p>
    <w:p w14:paraId="433B9C5F">
      <w:pPr>
        <w:pStyle w:val="31"/>
        <w:spacing w:line="600" w:lineRule="exact"/>
        <w:rPr>
          <w:b/>
          <w:sz w:val="52"/>
          <w:szCs w:val="52"/>
        </w:rPr>
      </w:pPr>
    </w:p>
    <w:p w14:paraId="60EAB742">
      <w:pPr>
        <w:pStyle w:val="31"/>
        <w:spacing w:line="600" w:lineRule="exact"/>
        <w:jc w:val="center"/>
        <w:rPr>
          <w:rFonts w:ascii="方正小标宋简体" w:hAnsi="Times New Roman" w:eastAsia="方正小标宋简体"/>
          <w:b/>
          <w:bCs/>
          <w:kern w:val="44"/>
          <w:sz w:val="44"/>
          <w:szCs w:val="44"/>
        </w:rPr>
      </w:pPr>
    </w:p>
    <w:p w14:paraId="27855B82">
      <w:pPr>
        <w:adjustRightInd/>
        <w:spacing w:after="240" w:afterLines="100" w:line="480" w:lineRule="exact"/>
        <w:jc w:val="center"/>
        <w:rPr>
          <w:rFonts w:ascii="方正小标宋简体" w:eastAsia="方正小标宋简体"/>
          <w:b/>
          <w:bCs/>
          <w:kern w:val="44"/>
          <w:sz w:val="44"/>
          <w:szCs w:val="44"/>
        </w:rPr>
      </w:pPr>
      <w:r>
        <w:rPr>
          <w:rFonts w:hint="eastAsia" w:ascii="方正小标宋简体" w:eastAsia="方正小标宋简体"/>
          <w:b/>
          <w:bCs/>
          <w:kern w:val="44"/>
          <w:sz w:val="44"/>
          <w:szCs w:val="44"/>
        </w:rPr>
        <w:t>《北海市矿产资源总体规划（2026-2030年）》编制技术服务合同（修改后）</w:t>
      </w:r>
    </w:p>
    <w:p w14:paraId="42145FB8">
      <w:pPr>
        <w:pStyle w:val="31"/>
        <w:spacing w:line="600" w:lineRule="exact"/>
      </w:pPr>
    </w:p>
    <w:p w14:paraId="22A8F95A">
      <w:pPr>
        <w:pStyle w:val="31"/>
        <w:spacing w:line="600" w:lineRule="exact"/>
      </w:pPr>
    </w:p>
    <w:p w14:paraId="4772AD90">
      <w:pPr>
        <w:pStyle w:val="31"/>
        <w:spacing w:line="700" w:lineRule="exact"/>
      </w:pPr>
    </w:p>
    <w:p w14:paraId="15794C2D">
      <w:pPr>
        <w:pStyle w:val="31"/>
        <w:spacing w:line="700" w:lineRule="exact"/>
      </w:pPr>
    </w:p>
    <w:p w14:paraId="696C0C2C">
      <w:pPr>
        <w:pStyle w:val="31"/>
        <w:spacing w:line="700" w:lineRule="exact"/>
        <w:ind w:firstLine="1979" w:firstLineChars="707"/>
        <w:rPr>
          <w:sz w:val="28"/>
          <w:szCs w:val="28"/>
        </w:rPr>
      </w:pPr>
    </w:p>
    <w:p w14:paraId="711BEC2B">
      <w:pPr>
        <w:pStyle w:val="31"/>
        <w:spacing w:line="700" w:lineRule="exact"/>
        <w:ind w:firstLine="1280" w:firstLineChars="400"/>
        <w:rPr>
          <w:sz w:val="32"/>
          <w:szCs w:val="32"/>
          <w:u w:val="single"/>
        </w:rPr>
      </w:pPr>
      <w:r>
        <w:rPr>
          <w:rFonts w:hint="eastAsia"/>
          <w:sz w:val="32"/>
          <w:szCs w:val="32"/>
        </w:rPr>
        <w:t xml:space="preserve">甲  方： </w:t>
      </w:r>
      <w:r>
        <w:rPr>
          <w:rFonts w:hint="eastAsia"/>
          <w:sz w:val="32"/>
          <w:szCs w:val="32"/>
          <w:u w:val="single"/>
        </w:rPr>
        <w:t xml:space="preserve">  北海市自然资源局    </w:t>
      </w:r>
    </w:p>
    <w:p w14:paraId="574014F2">
      <w:pPr>
        <w:pStyle w:val="31"/>
        <w:spacing w:line="700" w:lineRule="exact"/>
        <w:ind w:firstLine="1280" w:firstLineChars="400"/>
        <w:rPr>
          <w:sz w:val="32"/>
          <w:szCs w:val="32"/>
        </w:rPr>
      </w:pPr>
      <w:r>
        <w:rPr>
          <w:rFonts w:hint="eastAsia"/>
          <w:sz w:val="32"/>
          <w:szCs w:val="32"/>
        </w:rPr>
        <w:t xml:space="preserve">乙  方： </w:t>
      </w:r>
      <w:r>
        <w:rPr>
          <w:rFonts w:hint="eastAsia"/>
          <w:sz w:val="32"/>
          <w:szCs w:val="32"/>
          <w:u w:val="single"/>
        </w:rPr>
        <w:t xml:space="preserve">                      </w:t>
      </w:r>
    </w:p>
    <w:p w14:paraId="50707456">
      <w:pPr>
        <w:pStyle w:val="31"/>
        <w:spacing w:line="700" w:lineRule="exact"/>
        <w:ind w:firstLine="1920" w:firstLineChars="600"/>
        <w:rPr>
          <w:sz w:val="32"/>
          <w:szCs w:val="32"/>
        </w:rPr>
      </w:pPr>
    </w:p>
    <w:p w14:paraId="052BDAB7">
      <w:pPr>
        <w:pStyle w:val="31"/>
        <w:spacing w:line="700" w:lineRule="exact"/>
        <w:ind w:firstLine="1920" w:firstLineChars="600"/>
        <w:rPr>
          <w:sz w:val="32"/>
          <w:szCs w:val="32"/>
        </w:rPr>
      </w:pPr>
    </w:p>
    <w:p w14:paraId="7E725F4A">
      <w:pPr>
        <w:pStyle w:val="31"/>
        <w:spacing w:line="700" w:lineRule="exact"/>
        <w:ind w:firstLine="1920" w:firstLineChars="600"/>
        <w:rPr>
          <w:sz w:val="32"/>
          <w:szCs w:val="32"/>
        </w:rPr>
      </w:pPr>
    </w:p>
    <w:p w14:paraId="04BE9EA9">
      <w:pPr>
        <w:pStyle w:val="31"/>
        <w:spacing w:line="700" w:lineRule="exact"/>
        <w:ind w:firstLine="1120" w:firstLineChars="350"/>
        <w:rPr>
          <w:sz w:val="32"/>
          <w:szCs w:val="32"/>
          <w:u w:val="single"/>
        </w:rPr>
      </w:pPr>
      <w:r>
        <w:rPr>
          <w:rFonts w:hint="eastAsia"/>
          <w:sz w:val="32"/>
          <w:szCs w:val="32"/>
        </w:rPr>
        <w:t>签订合同地点：</w:t>
      </w:r>
      <w:r>
        <w:rPr>
          <w:rFonts w:hint="eastAsia"/>
          <w:sz w:val="32"/>
          <w:szCs w:val="32"/>
          <w:u w:val="single"/>
        </w:rPr>
        <w:t xml:space="preserve">     广西北海</w:t>
      </w:r>
      <w:r>
        <w:rPr>
          <w:sz w:val="32"/>
          <w:szCs w:val="32"/>
          <w:u w:val="single"/>
        </w:rPr>
        <w:t>市</w:t>
      </w:r>
      <w:r>
        <w:rPr>
          <w:rFonts w:hint="eastAsia"/>
          <w:sz w:val="32"/>
          <w:szCs w:val="32"/>
          <w:u w:val="single"/>
        </w:rPr>
        <w:t xml:space="preserve">     </w:t>
      </w:r>
    </w:p>
    <w:p w14:paraId="1FD967C7">
      <w:pPr>
        <w:pStyle w:val="31"/>
        <w:spacing w:line="700" w:lineRule="exact"/>
        <w:ind w:firstLine="1120" w:firstLineChars="350"/>
        <w:rPr>
          <w:sz w:val="32"/>
          <w:szCs w:val="32"/>
        </w:rPr>
      </w:pPr>
      <w:r>
        <w:rPr>
          <w:rFonts w:hint="eastAsia"/>
          <w:sz w:val="32"/>
          <w:szCs w:val="32"/>
        </w:rPr>
        <w:t>签订合同时间：</w:t>
      </w:r>
      <w:r>
        <w:rPr>
          <w:rFonts w:hint="eastAsia"/>
          <w:sz w:val="32"/>
          <w:szCs w:val="32"/>
          <w:u w:val="single"/>
        </w:rPr>
        <w:t xml:space="preserve">                    </w:t>
      </w:r>
    </w:p>
    <w:p w14:paraId="726F017A">
      <w:pPr>
        <w:keepNext/>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根据《中华人民共和国政府采购法》、《中华人民共和国民法典》等法律、法规规定，经甲乙双方友好协商，甲乙双方签订本合同。</w:t>
      </w:r>
    </w:p>
    <w:p w14:paraId="27988A67">
      <w:pPr>
        <w:keepNext/>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14:paraId="2202463F">
      <w:pPr>
        <w:keepNext/>
        <w:snapToGrid w:val="0"/>
        <w:spacing w:line="360" w:lineRule="auto"/>
        <w:ind w:firstLine="482" w:firstLineChars="200"/>
        <w:rPr>
          <w:rFonts w:ascii="宋体" w:hAnsi="宋体" w:cs="宋体"/>
          <w:b/>
          <w:sz w:val="24"/>
        </w:rPr>
      </w:pPr>
      <w:r>
        <w:rPr>
          <w:rFonts w:hint="eastAsia" w:ascii="宋体" w:hAnsi="宋体" w:cs="宋体"/>
          <w:b/>
          <w:sz w:val="24"/>
        </w:rPr>
        <w:t>1.服务名称：</w:t>
      </w:r>
      <w:r>
        <w:rPr>
          <w:rFonts w:hint="eastAsia" w:ascii="宋体" w:hAnsi="宋体" w:cs="宋体"/>
          <w:sz w:val="24"/>
          <w:u w:val="single"/>
        </w:rPr>
        <w:t>《北海市矿产资源总体规划（2026-2030年）》编制技术服务</w:t>
      </w:r>
      <w:r>
        <w:rPr>
          <w:rFonts w:hint="eastAsia" w:ascii="宋体" w:hAnsi="宋体" w:cs="宋体"/>
          <w:sz w:val="24"/>
        </w:rPr>
        <w:t>。</w:t>
      </w:r>
    </w:p>
    <w:p w14:paraId="4C4D9489">
      <w:pPr>
        <w:pStyle w:val="639"/>
        <w:keepNext/>
        <w:snapToGrid w:val="0"/>
        <w:spacing w:line="360" w:lineRule="auto"/>
        <w:ind w:firstLine="482"/>
        <w:rPr>
          <w:rFonts w:ascii="宋体" w:hAnsi="宋体" w:cs="宋体"/>
          <w:b/>
          <w:sz w:val="24"/>
        </w:rPr>
      </w:pPr>
      <w:r>
        <w:rPr>
          <w:rFonts w:hint="eastAsia" w:ascii="宋体" w:hAnsi="宋体" w:cs="宋体"/>
          <w:b/>
          <w:sz w:val="24"/>
        </w:rPr>
        <w:t>2.服务内容</w:t>
      </w:r>
    </w:p>
    <w:p w14:paraId="574827B5">
      <w:pPr>
        <w:pStyle w:val="639"/>
        <w:keepNext/>
        <w:snapToGrid w:val="0"/>
        <w:spacing w:line="360" w:lineRule="auto"/>
        <w:ind w:firstLine="482"/>
        <w:rPr>
          <w:rFonts w:ascii="宋体" w:hAnsi="宋体" w:cs="宋体"/>
          <w:b/>
          <w:sz w:val="24"/>
        </w:rPr>
      </w:pPr>
      <w:r>
        <w:rPr>
          <w:rFonts w:hint="eastAsia" w:ascii="宋体" w:hAnsi="宋体" w:cs="宋体"/>
          <w:b/>
          <w:sz w:val="24"/>
        </w:rPr>
        <w:t>2.1工作内容</w:t>
      </w:r>
    </w:p>
    <w:p w14:paraId="06281FBA">
      <w:pPr>
        <w:pStyle w:val="639"/>
        <w:keepNext/>
        <w:snapToGrid w:val="0"/>
        <w:spacing w:line="360" w:lineRule="auto"/>
        <w:ind w:firstLine="480"/>
        <w:rPr>
          <w:rFonts w:ascii="宋体" w:hAnsi="宋体" w:cs="宋体"/>
          <w:sz w:val="24"/>
        </w:rPr>
      </w:pPr>
      <w:r>
        <w:rPr>
          <w:rFonts w:hint="eastAsia" w:ascii="宋体" w:hAnsi="宋体" w:cs="宋体"/>
          <w:sz w:val="24"/>
        </w:rPr>
        <w:t>（1）参照自治区矿产资源规划开展北海市矿产资源总体规划（2026-2030年）重大专题研究，专题数量不少于3个，专题研究报告通过评审，相关工作在2025年10月底前完成。</w:t>
      </w:r>
    </w:p>
    <w:p w14:paraId="4C55D54C">
      <w:pPr>
        <w:pStyle w:val="639"/>
        <w:keepNext/>
        <w:snapToGrid w:val="0"/>
        <w:spacing w:line="360" w:lineRule="auto"/>
        <w:ind w:firstLine="480"/>
        <w:rPr>
          <w:rFonts w:ascii="宋体" w:hAnsi="宋体" w:cs="宋体"/>
          <w:sz w:val="24"/>
        </w:rPr>
      </w:pPr>
      <w:r>
        <w:rPr>
          <w:rFonts w:hint="eastAsia" w:ascii="宋体" w:hAnsi="宋体" w:cs="宋体"/>
          <w:sz w:val="24"/>
        </w:rPr>
        <w:t>（2）</w:t>
      </w:r>
      <w:r>
        <w:rPr>
          <w:rFonts w:hint="eastAsia" w:ascii="宋体" w:hAnsi="宋体" w:cs="宋体"/>
          <w:bCs/>
          <w:sz w:val="24"/>
        </w:rPr>
        <w:t>高质量编制《</w:t>
      </w:r>
      <w:r>
        <w:rPr>
          <w:rFonts w:hint="eastAsia" w:ascii="宋体" w:hAnsi="宋体" w:cs="宋体"/>
          <w:sz w:val="24"/>
          <w:u w:val="single"/>
        </w:rPr>
        <w:t>北海市矿产资源总体规划（2026-2030年）</w:t>
      </w:r>
      <w:r>
        <w:rPr>
          <w:rFonts w:hint="eastAsia" w:ascii="宋体" w:hAnsi="宋体" w:cs="宋体"/>
          <w:bCs/>
          <w:sz w:val="24"/>
        </w:rPr>
        <w:t>》，2026年1月底前完成预审稿，同步开展规划数据库建设</w:t>
      </w:r>
      <w:r>
        <w:rPr>
          <w:rFonts w:hint="eastAsia" w:ascii="宋体" w:hAnsi="宋体" w:cs="宋体"/>
          <w:sz w:val="24"/>
        </w:rPr>
        <w:t>。</w:t>
      </w:r>
    </w:p>
    <w:p w14:paraId="13E49D54">
      <w:pPr>
        <w:snapToGrid w:val="0"/>
        <w:spacing w:line="360" w:lineRule="auto"/>
        <w:ind w:firstLine="480" w:firstLineChars="200"/>
        <w:rPr>
          <w:rFonts w:ascii="宋体" w:hAnsi="宋体" w:cs="宋体"/>
          <w:bCs/>
          <w:sz w:val="24"/>
        </w:rPr>
      </w:pPr>
      <w:r>
        <w:rPr>
          <w:rFonts w:hint="eastAsia" w:ascii="宋体" w:hAnsi="宋体" w:cs="宋体"/>
          <w:bCs/>
          <w:sz w:val="24"/>
        </w:rPr>
        <w:t>（3）2026年5月底前修改完善规划送审稿和规划数据库。</w:t>
      </w:r>
    </w:p>
    <w:p w14:paraId="44745564">
      <w:pPr>
        <w:snapToGrid w:val="0"/>
        <w:spacing w:line="360" w:lineRule="auto"/>
        <w:ind w:firstLine="480" w:firstLineChars="200"/>
        <w:rPr>
          <w:rFonts w:ascii="宋体" w:hAnsi="宋体" w:cs="宋体"/>
          <w:sz w:val="24"/>
        </w:rPr>
      </w:pPr>
      <w:r>
        <w:rPr>
          <w:rFonts w:hint="eastAsia" w:ascii="宋体" w:hAnsi="宋体" w:cs="宋体"/>
          <w:sz w:val="24"/>
        </w:rPr>
        <w:t>（4）相关工作严格按照自治区自然资源厅规定的时间节点编写、送审及修改，按时提交成果并通过自治区自然资源厅和北海市人民政府的审批。</w:t>
      </w:r>
    </w:p>
    <w:p w14:paraId="3DFCA7CF">
      <w:pPr>
        <w:snapToGrid w:val="0"/>
        <w:spacing w:line="360" w:lineRule="auto"/>
        <w:ind w:firstLine="482" w:firstLineChars="200"/>
        <w:rPr>
          <w:rFonts w:ascii="宋体" w:hAnsi="宋体" w:cs="宋体"/>
          <w:b/>
          <w:sz w:val="24"/>
        </w:rPr>
      </w:pPr>
      <w:r>
        <w:rPr>
          <w:rFonts w:hint="eastAsia" w:ascii="宋体" w:hAnsi="宋体" w:cs="宋体"/>
          <w:b/>
          <w:sz w:val="24"/>
        </w:rPr>
        <w:t>2.2执行技术标准</w:t>
      </w:r>
    </w:p>
    <w:p w14:paraId="20BE78CF">
      <w:pPr>
        <w:snapToGrid w:val="0"/>
        <w:spacing w:line="360" w:lineRule="auto"/>
        <w:ind w:firstLine="480" w:firstLineChars="200"/>
        <w:rPr>
          <w:rFonts w:ascii="宋体" w:hAnsi="宋体" w:cs="宋体"/>
          <w:bCs/>
          <w:sz w:val="24"/>
        </w:rPr>
      </w:pPr>
      <w:r>
        <w:rPr>
          <w:rFonts w:hint="eastAsia" w:ascii="宋体" w:hAnsi="宋体" w:cs="宋体"/>
          <w:bCs/>
          <w:sz w:val="24"/>
        </w:rPr>
        <w:t>本次项目实施技术应符合包括但不限于下列最新版本的国家标准/规范要求。</w:t>
      </w:r>
    </w:p>
    <w:p w14:paraId="462D510D">
      <w:pPr>
        <w:numPr>
          <w:ilvl w:val="0"/>
          <w:numId w:val="7"/>
        </w:numPr>
        <w:snapToGrid w:val="0"/>
        <w:spacing w:line="360" w:lineRule="auto"/>
        <w:ind w:firstLine="480" w:firstLineChars="200"/>
        <w:rPr>
          <w:rFonts w:ascii="宋体" w:hAnsi="宋体" w:cs="宋体"/>
          <w:bCs/>
          <w:sz w:val="24"/>
        </w:rPr>
      </w:pPr>
      <w:r>
        <w:rPr>
          <w:rFonts w:hint="eastAsia" w:ascii="宋体" w:hAnsi="宋体" w:cs="宋体"/>
          <w:bCs/>
          <w:sz w:val="24"/>
        </w:rPr>
        <w:t>《自然资源部办公厅关于做好“十五五”省级矿产资源规划编制前期工作的函》（自然资办函〔2024〕1816号）；</w:t>
      </w:r>
    </w:p>
    <w:p w14:paraId="538B2DDF">
      <w:pPr>
        <w:numPr>
          <w:ilvl w:val="0"/>
          <w:numId w:val="7"/>
        </w:numPr>
        <w:snapToGrid w:val="0"/>
        <w:spacing w:line="360" w:lineRule="auto"/>
        <w:ind w:firstLine="480" w:firstLineChars="200"/>
        <w:rPr>
          <w:rFonts w:ascii="宋体" w:hAnsi="宋体" w:cs="宋体"/>
          <w:bCs/>
          <w:sz w:val="24"/>
        </w:rPr>
      </w:pPr>
      <w:r>
        <w:rPr>
          <w:rFonts w:hint="eastAsia" w:ascii="宋体" w:hAnsi="宋体" w:cs="宋体"/>
          <w:bCs/>
          <w:sz w:val="24"/>
        </w:rPr>
        <w:t>《广西壮族自治区自然资源厅办公室关于印发&lt;全区“十五五”矿产资源规划编制工作方案&gt;的通知》（桂自然资办〔2024〕218号）；</w:t>
      </w:r>
    </w:p>
    <w:p w14:paraId="1D6BAF29">
      <w:pPr>
        <w:numPr>
          <w:ilvl w:val="0"/>
          <w:numId w:val="7"/>
        </w:numPr>
        <w:snapToGrid w:val="0"/>
        <w:spacing w:line="360" w:lineRule="auto"/>
        <w:ind w:firstLine="480" w:firstLineChars="200"/>
        <w:rPr>
          <w:rFonts w:ascii="宋体" w:hAnsi="宋体" w:cs="宋体"/>
          <w:bCs/>
          <w:sz w:val="24"/>
        </w:rPr>
      </w:pPr>
      <w:r>
        <w:rPr>
          <w:rFonts w:hint="eastAsia" w:ascii="宋体" w:hAnsi="宋体" w:cs="宋体"/>
          <w:bCs/>
          <w:sz w:val="24"/>
        </w:rPr>
        <w:t>《省级矿产资源总体规划编制技术规程》（DZ/T0444-2023）；</w:t>
      </w:r>
    </w:p>
    <w:p w14:paraId="472B87FE">
      <w:pPr>
        <w:numPr>
          <w:ilvl w:val="0"/>
          <w:numId w:val="7"/>
        </w:numPr>
        <w:snapToGrid w:val="0"/>
        <w:spacing w:line="360" w:lineRule="auto"/>
        <w:ind w:firstLine="480" w:firstLineChars="200"/>
        <w:rPr>
          <w:rFonts w:ascii="宋体" w:hAnsi="宋体" w:cs="宋体"/>
          <w:bCs/>
          <w:sz w:val="24"/>
        </w:rPr>
      </w:pPr>
      <w:r>
        <w:rPr>
          <w:rFonts w:hint="eastAsia" w:ascii="宋体" w:hAnsi="宋体" w:cs="宋体"/>
          <w:bCs/>
          <w:sz w:val="24"/>
        </w:rPr>
        <w:t>《矿产资源规划数据库建设指南》；</w:t>
      </w:r>
    </w:p>
    <w:p w14:paraId="6C0CFBC7">
      <w:pPr>
        <w:numPr>
          <w:ilvl w:val="0"/>
          <w:numId w:val="7"/>
        </w:numPr>
        <w:snapToGrid w:val="0"/>
        <w:spacing w:line="360" w:lineRule="auto"/>
        <w:ind w:firstLine="480" w:firstLineChars="200"/>
        <w:rPr>
          <w:rFonts w:ascii="宋体" w:hAnsi="宋体" w:cs="宋体"/>
          <w:bCs/>
          <w:sz w:val="24"/>
        </w:rPr>
      </w:pPr>
      <w:r>
        <w:rPr>
          <w:rFonts w:hint="eastAsia" w:ascii="宋体" w:hAnsi="宋体" w:cs="宋体"/>
          <w:bCs/>
          <w:sz w:val="24"/>
        </w:rPr>
        <w:t>《矿产资源规划数据标准》DZ/T 0226-2020；</w:t>
      </w:r>
    </w:p>
    <w:p w14:paraId="4923FFB2">
      <w:pPr>
        <w:numPr>
          <w:ilvl w:val="0"/>
          <w:numId w:val="7"/>
        </w:numPr>
        <w:snapToGrid w:val="0"/>
        <w:spacing w:line="360" w:lineRule="auto"/>
        <w:ind w:firstLine="480" w:firstLineChars="200"/>
        <w:rPr>
          <w:rFonts w:ascii="宋体" w:hAnsi="宋体" w:cs="宋体"/>
          <w:bCs/>
          <w:sz w:val="24"/>
        </w:rPr>
      </w:pPr>
      <w:r>
        <w:rPr>
          <w:rFonts w:hint="eastAsia" w:ascii="宋体" w:hAnsi="宋体" w:cs="宋体"/>
          <w:bCs/>
          <w:sz w:val="24"/>
        </w:rPr>
        <w:t>《规划环境影响评价条例》；</w:t>
      </w:r>
    </w:p>
    <w:p w14:paraId="051539FE">
      <w:pPr>
        <w:snapToGrid w:val="0"/>
        <w:spacing w:line="360" w:lineRule="auto"/>
        <w:ind w:firstLine="480" w:firstLineChars="200"/>
        <w:rPr>
          <w:rFonts w:ascii="宋体" w:hAnsi="宋体" w:cs="宋体"/>
          <w:b/>
          <w:sz w:val="24"/>
        </w:rPr>
      </w:pPr>
      <w:r>
        <w:rPr>
          <w:rFonts w:hint="eastAsia" w:ascii="宋体" w:hAnsi="宋体" w:cs="宋体"/>
          <w:bCs/>
          <w:sz w:val="24"/>
        </w:rPr>
        <w:t>（实施过程中若国家、自治区出台新的技术规范、政策或文件，应以最新文件要求为准。）</w:t>
      </w:r>
      <w:r>
        <w:rPr>
          <w:rFonts w:hint="eastAsia" w:ascii="宋体" w:hAnsi="宋体" w:cs="宋体"/>
          <w:b/>
          <w:sz w:val="24"/>
        </w:rPr>
        <w:t>2.3提交成果</w:t>
      </w:r>
    </w:p>
    <w:p w14:paraId="1A5E6F16">
      <w:pPr>
        <w:numPr>
          <w:ilvl w:val="0"/>
          <w:numId w:val="8"/>
        </w:numPr>
        <w:snapToGrid w:val="0"/>
        <w:spacing w:line="360" w:lineRule="auto"/>
        <w:ind w:firstLine="480" w:firstLineChars="200"/>
        <w:rPr>
          <w:rFonts w:ascii="宋体" w:hAnsi="宋体" w:cs="宋体"/>
          <w:bCs/>
          <w:sz w:val="24"/>
        </w:rPr>
      </w:pPr>
      <w:r>
        <w:rPr>
          <w:rFonts w:hint="eastAsia" w:ascii="宋体" w:hAnsi="宋体" w:cs="宋体"/>
          <w:bCs/>
          <w:sz w:val="24"/>
        </w:rPr>
        <w:t>前期重大规划专题研究成果（不少于3个专题）；</w:t>
      </w:r>
    </w:p>
    <w:p w14:paraId="33D8601B">
      <w:pPr>
        <w:numPr>
          <w:ilvl w:val="0"/>
          <w:numId w:val="8"/>
        </w:numPr>
        <w:snapToGrid w:val="0"/>
        <w:spacing w:line="360" w:lineRule="auto"/>
        <w:ind w:firstLine="480" w:firstLineChars="200"/>
        <w:rPr>
          <w:rFonts w:ascii="宋体" w:hAnsi="宋体" w:cs="宋体"/>
          <w:bCs/>
          <w:sz w:val="24"/>
        </w:rPr>
      </w:pPr>
      <w:r>
        <w:rPr>
          <w:rFonts w:hint="eastAsia" w:ascii="宋体" w:hAnsi="宋体" w:cs="宋体"/>
          <w:bCs/>
          <w:sz w:val="24"/>
        </w:rPr>
        <w:t>《北海市矿产资源总体规划（2026-2030年）》成果（含规划环境影响评价）；</w:t>
      </w:r>
    </w:p>
    <w:p w14:paraId="0EEBBFBB">
      <w:pPr>
        <w:numPr>
          <w:ilvl w:val="0"/>
          <w:numId w:val="8"/>
        </w:numPr>
        <w:snapToGrid w:val="0"/>
        <w:spacing w:line="360" w:lineRule="auto"/>
        <w:ind w:firstLine="480" w:firstLineChars="200"/>
        <w:rPr>
          <w:rFonts w:ascii="宋体" w:hAnsi="宋体" w:cs="宋体"/>
          <w:b/>
          <w:bCs/>
          <w:sz w:val="24"/>
        </w:rPr>
      </w:pPr>
      <w:r>
        <w:rPr>
          <w:rFonts w:hint="eastAsia" w:ascii="宋体" w:hAnsi="宋体" w:cs="宋体"/>
          <w:bCs/>
          <w:sz w:val="24"/>
        </w:rPr>
        <w:t>北海市矿产资源规划数据库成果。</w:t>
      </w:r>
    </w:p>
    <w:p w14:paraId="05272D32">
      <w:pPr>
        <w:numPr>
          <w:ilvl w:val="0"/>
          <w:numId w:val="9"/>
        </w:numPr>
        <w:snapToGrid w:val="0"/>
        <w:spacing w:line="360" w:lineRule="auto"/>
        <w:ind w:firstLine="482" w:firstLineChars="200"/>
        <w:rPr>
          <w:rFonts w:ascii="宋体" w:hAnsi="宋体" w:cs="宋体"/>
          <w:b/>
          <w:bCs/>
          <w:sz w:val="24"/>
        </w:rPr>
      </w:pPr>
      <w:r>
        <w:rPr>
          <w:rFonts w:hint="eastAsia" w:ascii="宋体" w:hAnsi="宋体" w:cs="宋体"/>
          <w:b/>
          <w:bCs/>
          <w:sz w:val="24"/>
        </w:rPr>
        <w:t xml:space="preserve"> 合同款</w:t>
      </w:r>
    </w:p>
    <w:p w14:paraId="4AFD9CD9">
      <w:pPr>
        <w:snapToGrid w:val="0"/>
        <w:spacing w:line="360" w:lineRule="auto"/>
        <w:ind w:firstLine="480" w:firstLineChars="200"/>
        <w:rPr>
          <w:rFonts w:ascii="宋体" w:hAnsi="宋体" w:cs="宋体"/>
          <w:sz w:val="24"/>
        </w:rPr>
      </w:pPr>
      <w:r>
        <w:rPr>
          <w:rFonts w:hint="eastAsia" w:ascii="宋体" w:hAnsi="宋体" w:cs="宋体"/>
          <w:sz w:val="24"/>
        </w:rPr>
        <w:t>1.本项目采用固定总价合同方式，合同金额为：</w:t>
      </w:r>
      <w:r>
        <w:rPr>
          <w:rFonts w:hint="eastAsia" w:ascii="宋体" w:hAnsi="宋体" w:cs="宋体"/>
          <w:sz w:val="24"/>
          <w:u w:val="single"/>
        </w:rPr>
        <w:softHyphen/>
      </w:r>
      <w:r>
        <w:rPr>
          <w:rFonts w:hint="eastAsia" w:ascii="宋体" w:hAnsi="宋体" w:cs="宋体"/>
          <w:sz w:val="24"/>
          <w:u w:val="single"/>
        </w:rPr>
        <w:softHyphen/>
      </w:r>
      <w:r>
        <w:rPr>
          <w:rFonts w:hint="eastAsia" w:ascii="宋体" w:hAnsi="宋体" w:cs="宋体"/>
          <w:sz w:val="24"/>
          <w:u w:val="single"/>
        </w:rPr>
        <w:softHyphen/>
      </w:r>
      <w:r>
        <w:rPr>
          <w:rFonts w:hint="eastAsia" w:ascii="宋体" w:hAnsi="宋体" w:cs="宋体"/>
          <w:sz w:val="24"/>
          <w:u w:val="single"/>
        </w:rPr>
        <w:t xml:space="preserve">                     </w:t>
      </w:r>
      <w:r>
        <w:rPr>
          <w:rFonts w:hint="eastAsia" w:ascii="宋体" w:hAnsi="宋体" w:cs="宋体"/>
          <w:sz w:val="24"/>
        </w:rPr>
        <w:t>。</w:t>
      </w:r>
    </w:p>
    <w:p w14:paraId="7E7707D2">
      <w:pPr>
        <w:keepNext/>
        <w:snapToGrid w:val="0"/>
        <w:spacing w:line="360" w:lineRule="auto"/>
        <w:ind w:firstLine="480" w:firstLineChars="200"/>
        <w:rPr>
          <w:rFonts w:ascii="宋体" w:hAnsi="宋体" w:cs="宋体"/>
          <w:sz w:val="24"/>
        </w:rPr>
      </w:pPr>
      <w:r>
        <w:rPr>
          <w:rFonts w:hint="eastAsia" w:ascii="宋体" w:hAnsi="宋体" w:cs="宋体"/>
          <w:sz w:val="24"/>
        </w:rPr>
        <w:t>2.合同合计金额包括但不限于</w:t>
      </w:r>
      <w:r>
        <w:rPr>
          <w:rFonts w:hint="eastAsia" w:ascii="宋体" w:hAnsi="宋体" w:cs="宋体"/>
          <w:kern w:val="0"/>
          <w:sz w:val="24"/>
        </w:rPr>
        <w:t>：服务费、</w:t>
      </w:r>
      <w:r>
        <w:rPr>
          <w:rFonts w:hint="eastAsia" w:ascii="宋体" w:hAnsi="宋体" w:cs="宋体"/>
          <w:bCs/>
          <w:sz w:val="24"/>
        </w:rPr>
        <w:t>前期专题研究、规划数据库建设、基础数据收集及调研、编绘、组织、策划</w:t>
      </w:r>
      <w:r>
        <w:rPr>
          <w:rFonts w:hint="eastAsia" w:ascii="宋体" w:hAnsi="宋体" w:cs="宋体"/>
          <w:kern w:val="0"/>
          <w:sz w:val="24"/>
        </w:rPr>
        <w:t>、管理费、交通费、验收费、利润、税金、保险、后续服务支持及政策咨询及其它与完成本项目有关的可预见及不可预见的所有成本、费用的总和。除甲方认可的特殊情况外，甲方不再为本项目另付其它任何费用给乙方。</w:t>
      </w:r>
    </w:p>
    <w:p w14:paraId="3773FF12">
      <w:pPr>
        <w:keepNext/>
        <w:snapToGrid w:val="0"/>
        <w:spacing w:line="360" w:lineRule="auto"/>
        <w:ind w:firstLine="482" w:firstLineChars="200"/>
        <w:rPr>
          <w:rFonts w:ascii="宋体" w:hAnsi="宋体" w:cs="宋体"/>
          <w:sz w:val="24"/>
        </w:rPr>
      </w:pPr>
      <w:r>
        <w:rPr>
          <w:rFonts w:hint="eastAsia" w:ascii="宋体" w:hAnsi="宋体" w:cs="宋体"/>
          <w:b/>
          <w:sz w:val="24"/>
        </w:rPr>
        <w:t>第三条　成果交付</w:t>
      </w:r>
    </w:p>
    <w:p w14:paraId="780D3213">
      <w:pPr>
        <w:keepNext/>
        <w:snapToGrid w:val="0"/>
        <w:spacing w:line="360" w:lineRule="auto"/>
        <w:ind w:firstLine="480" w:firstLineChars="200"/>
        <w:rPr>
          <w:rFonts w:ascii="宋体" w:hAnsi="宋体" w:cs="宋体"/>
          <w:sz w:val="24"/>
        </w:rPr>
      </w:pPr>
      <w:r>
        <w:rPr>
          <w:rFonts w:hint="eastAsia" w:ascii="宋体" w:hAnsi="宋体" w:cs="宋体"/>
          <w:sz w:val="24"/>
        </w:rPr>
        <w:t>1.提交服务成果时间：</w:t>
      </w:r>
      <w:r>
        <w:rPr>
          <w:rFonts w:hint="eastAsia" w:ascii="宋体" w:hAnsi="宋体" w:cs="宋体"/>
          <w:sz w:val="24"/>
          <w:u w:val="single"/>
        </w:rPr>
        <w:t>自合同签订生效，按本合同第一条2.1工作内容规定的时间节点提交服务成果</w:t>
      </w:r>
      <w:r>
        <w:rPr>
          <w:rFonts w:hint="eastAsia" w:ascii="宋体" w:hAnsi="宋体" w:cs="宋体"/>
          <w:sz w:val="24"/>
        </w:rPr>
        <w:t>。</w:t>
      </w:r>
    </w:p>
    <w:p w14:paraId="2D46E942">
      <w:pPr>
        <w:keepNext/>
        <w:snapToGrid w:val="0"/>
        <w:spacing w:line="360" w:lineRule="auto"/>
        <w:ind w:firstLine="480" w:firstLineChars="200"/>
        <w:rPr>
          <w:rFonts w:ascii="宋体" w:hAnsi="宋体" w:cs="宋体"/>
          <w:sz w:val="24"/>
        </w:rPr>
      </w:pPr>
      <w:r>
        <w:rPr>
          <w:rFonts w:hint="eastAsia" w:ascii="宋体" w:hAnsi="宋体" w:cs="宋体"/>
          <w:sz w:val="24"/>
        </w:rPr>
        <w:t>2.提交服务成果地点：</w:t>
      </w:r>
      <w:r>
        <w:rPr>
          <w:rFonts w:hint="eastAsia" w:ascii="宋体" w:hAnsi="宋体" w:cs="宋体"/>
          <w:sz w:val="24"/>
          <w:u w:val="single"/>
        </w:rPr>
        <w:t>甲方指定地点</w:t>
      </w:r>
      <w:r>
        <w:rPr>
          <w:rFonts w:hint="eastAsia" w:ascii="宋体" w:hAnsi="宋体" w:cs="宋体"/>
          <w:sz w:val="24"/>
        </w:rPr>
        <w:t>。</w:t>
      </w:r>
    </w:p>
    <w:p w14:paraId="146F4140">
      <w:pPr>
        <w:tabs>
          <w:tab w:val="center" w:pos="4153"/>
          <w:tab w:val="right" w:pos="8306"/>
        </w:tabs>
        <w:adjustRightInd/>
        <w:snapToGrid w:val="0"/>
        <w:spacing w:line="360" w:lineRule="auto"/>
        <w:ind w:firstLine="482" w:firstLineChars="200"/>
        <w:rPr>
          <w:rFonts w:ascii="宋体" w:hAnsi="宋体" w:cs="宋体"/>
          <w:b/>
          <w:sz w:val="24"/>
        </w:rPr>
      </w:pPr>
      <w:r>
        <w:rPr>
          <w:rFonts w:hint="eastAsia" w:ascii="宋体" w:hAnsi="宋体" w:cs="宋体"/>
          <w:b/>
          <w:sz w:val="24"/>
        </w:rPr>
        <w:t>第四条  付款方式及履约保证金</w:t>
      </w:r>
    </w:p>
    <w:p w14:paraId="0B26F78A">
      <w:pPr>
        <w:tabs>
          <w:tab w:val="center" w:pos="4153"/>
          <w:tab w:val="right" w:pos="8306"/>
        </w:tabs>
        <w:adjustRightInd/>
        <w:snapToGrid w:val="0"/>
        <w:spacing w:line="360" w:lineRule="auto"/>
        <w:ind w:firstLine="480" w:firstLineChars="200"/>
        <w:rPr>
          <w:rFonts w:ascii="宋体" w:hAnsi="宋体" w:cs="宋体"/>
          <w:sz w:val="24"/>
        </w:rPr>
      </w:pPr>
      <w:r>
        <w:rPr>
          <w:rFonts w:hint="eastAsia" w:ascii="宋体" w:hAnsi="宋体" w:cs="宋体"/>
          <w:sz w:val="24"/>
        </w:rPr>
        <w:t>1.资金性质：市本级</w:t>
      </w:r>
      <w:r>
        <w:rPr>
          <w:rFonts w:hint="eastAsia" w:ascii="宋体" w:hAnsi="宋体" w:cs="宋体"/>
          <w:sz w:val="24"/>
          <w:u w:val="single"/>
        </w:rPr>
        <w:t>财政资金</w:t>
      </w:r>
      <w:r>
        <w:rPr>
          <w:rFonts w:hint="eastAsia" w:ascii="宋体" w:hAnsi="宋体" w:cs="宋体"/>
          <w:sz w:val="24"/>
        </w:rPr>
        <w:t>。</w:t>
      </w:r>
    </w:p>
    <w:p w14:paraId="70F320F4">
      <w:pPr>
        <w:tabs>
          <w:tab w:val="center" w:pos="4153"/>
          <w:tab w:val="right" w:pos="8306"/>
        </w:tabs>
        <w:adjustRightInd/>
        <w:snapToGrid w:val="0"/>
        <w:spacing w:line="360" w:lineRule="auto"/>
        <w:ind w:firstLine="480" w:firstLineChars="200"/>
        <w:rPr>
          <w:rFonts w:ascii="宋体" w:hAnsi="宋体" w:cs="宋体"/>
          <w:sz w:val="24"/>
        </w:rPr>
      </w:pPr>
      <w:r>
        <w:rPr>
          <w:rFonts w:hint="eastAsia" w:ascii="宋体" w:hAnsi="宋体" w:cs="宋体"/>
          <w:sz w:val="24"/>
        </w:rPr>
        <w:t>2.付款方式：</w:t>
      </w:r>
    </w:p>
    <w:p w14:paraId="3A4416D8">
      <w:pPr>
        <w:tabs>
          <w:tab w:val="center" w:pos="4153"/>
          <w:tab w:val="right" w:pos="8306"/>
        </w:tabs>
        <w:adjustRightInd/>
        <w:snapToGrid w:val="0"/>
        <w:spacing w:line="360" w:lineRule="auto"/>
        <w:ind w:firstLine="480" w:firstLineChars="200"/>
        <w:rPr>
          <w:rFonts w:ascii="宋体" w:hAnsi="宋体" w:cs="宋体"/>
          <w:sz w:val="24"/>
        </w:rPr>
      </w:pPr>
      <w:r>
        <w:rPr>
          <w:rFonts w:hint="eastAsia" w:ascii="宋体" w:hAnsi="宋体" w:cs="宋体"/>
          <w:sz w:val="24"/>
        </w:rPr>
        <w:t>（1）第一期项目经费：双方签订服务合同，财政经费到位后7天内甲方向乙方约定的账户支付30%合同款。</w:t>
      </w:r>
    </w:p>
    <w:p w14:paraId="612D2D04">
      <w:pPr>
        <w:tabs>
          <w:tab w:val="center" w:pos="4153"/>
          <w:tab w:val="right" w:pos="8306"/>
        </w:tabs>
        <w:adjustRightInd/>
        <w:snapToGrid w:val="0"/>
        <w:spacing w:line="360" w:lineRule="auto"/>
        <w:ind w:firstLine="480" w:firstLineChars="200"/>
        <w:rPr>
          <w:rFonts w:ascii="宋体" w:hAnsi="宋体" w:cs="宋体"/>
          <w:sz w:val="24"/>
        </w:rPr>
      </w:pPr>
      <w:r>
        <w:rPr>
          <w:rFonts w:hint="eastAsia" w:ascii="宋体" w:hAnsi="宋体" w:cs="宋体"/>
          <w:sz w:val="24"/>
        </w:rPr>
        <w:t>（2）第二期项目经费：乙方完成规划送审稿（指经北海市人民政府审核同意，报送自治区自然资源厅的审批稿）编制，可向甲方提出拨付申请，甲方收到乙方申请并财政经费到位后，7日内进行确认并向乙方约定的账户另行支付50%合同款。</w:t>
      </w:r>
    </w:p>
    <w:p w14:paraId="1D24D669">
      <w:pPr>
        <w:tabs>
          <w:tab w:val="center" w:pos="4153"/>
          <w:tab w:val="right" w:pos="8306"/>
        </w:tabs>
        <w:adjustRightInd/>
        <w:snapToGrid w:val="0"/>
        <w:spacing w:line="360" w:lineRule="auto"/>
        <w:ind w:firstLine="480" w:firstLineChars="200"/>
        <w:rPr>
          <w:rFonts w:ascii="宋体" w:hAnsi="宋体" w:cs="宋体"/>
          <w:sz w:val="24"/>
        </w:rPr>
      </w:pPr>
      <w:r>
        <w:rPr>
          <w:rFonts w:hint="eastAsia" w:ascii="宋体" w:hAnsi="宋体" w:cs="宋体"/>
          <w:sz w:val="24"/>
        </w:rPr>
        <w:t>（3）第三期项目经费：规划送审稿通过自治区自然资源厅和北海市人民政府审批并经甲方确认后，乙方向甲方提出申请拨付剩余20%合同款，甲方收到乙方申请并财政经费到位后，7日内进行确认并向乙方约定的账户支付剩余20%合同款。</w:t>
      </w:r>
    </w:p>
    <w:p w14:paraId="29423976">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乙方须根据甲方的要求在付款前开具对应金额的正式有效的税务发票。</w:t>
      </w:r>
    </w:p>
    <w:p w14:paraId="6CA329FF">
      <w:pPr>
        <w:numPr>
          <w:ilvl w:val="255"/>
          <w:numId w:val="0"/>
        </w:numPr>
        <w:tabs>
          <w:tab w:val="center" w:pos="4153"/>
          <w:tab w:val="right" w:pos="8306"/>
        </w:tabs>
        <w:adjustRightInd/>
        <w:snapToGrid w:val="0"/>
        <w:spacing w:line="360" w:lineRule="auto"/>
        <w:ind w:firstLine="480" w:firstLineChars="200"/>
        <w:rPr>
          <w:rFonts w:ascii="宋体" w:hAnsi="宋体" w:cs="宋体"/>
          <w:sz w:val="24"/>
        </w:rPr>
      </w:pPr>
      <w:r>
        <w:rPr>
          <w:rFonts w:hint="eastAsia" w:ascii="宋体" w:hAnsi="宋体" w:cs="宋体"/>
          <w:sz w:val="24"/>
        </w:rPr>
        <w:t>3.履约保证金：</w:t>
      </w:r>
      <w:r>
        <w:rPr>
          <w:rFonts w:hint="eastAsia" w:ascii="宋体" w:hAnsi="宋体" w:cs="宋体"/>
          <w:sz w:val="24"/>
          <w:u w:val="single"/>
        </w:rPr>
        <w:t xml:space="preserve">  无   </w:t>
      </w:r>
      <w:r>
        <w:rPr>
          <w:rFonts w:hint="eastAsia" w:ascii="宋体" w:hAnsi="宋体" w:cs="宋体"/>
          <w:sz w:val="24"/>
        </w:rPr>
        <w:t>。</w:t>
      </w:r>
    </w:p>
    <w:p w14:paraId="4A8F1C70">
      <w:pPr>
        <w:tabs>
          <w:tab w:val="center" w:pos="4153"/>
          <w:tab w:val="right" w:pos="8306"/>
        </w:tabs>
        <w:adjustRightInd/>
        <w:snapToGrid w:val="0"/>
        <w:spacing w:line="360" w:lineRule="auto"/>
        <w:ind w:firstLine="482" w:firstLineChars="200"/>
        <w:rPr>
          <w:rFonts w:ascii="宋体" w:hAnsi="宋体" w:cs="宋体"/>
          <w:b/>
          <w:sz w:val="24"/>
        </w:rPr>
      </w:pPr>
      <w:r>
        <w:rPr>
          <w:rFonts w:hint="eastAsia" w:ascii="宋体" w:hAnsi="宋体" w:cs="宋体"/>
          <w:b/>
          <w:sz w:val="24"/>
        </w:rPr>
        <w:t xml:space="preserve">第五条  税费  </w:t>
      </w:r>
    </w:p>
    <w:p w14:paraId="6F42D7D1">
      <w:pPr>
        <w:tabs>
          <w:tab w:val="center" w:pos="4153"/>
          <w:tab w:val="right" w:pos="8306"/>
        </w:tabs>
        <w:adjustRightInd/>
        <w:snapToGrid w:val="0"/>
        <w:spacing w:line="360" w:lineRule="auto"/>
        <w:ind w:firstLine="480" w:firstLineChars="200"/>
        <w:rPr>
          <w:rFonts w:ascii="宋体" w:hAnsi="宋体" w:cs="宋体"/>
          <w:b/>
          <w:sz w:val="24"/>
        </w:rPr>
      </w:pPr>
      <w:r>
        <w:rPr>
          <w:rFonts w:hint="eastAsia" w:ascii="宋体" w:hAnsi="宋体" w:cs="宋体"/>
          <w:bCs/>
          <w:sz w:val="24"/>
        </w:rPr>
        <w:t>本合同执行中相关的一切税费均由乙方负担。</w:t>
      </w:r>
    </w:p>
    <w:p w14:paraId="725E52AD">
      <w:pPr>
        <w:tabs>
          <w:tab w:val="center" w:pos="4153"/>
          <w:tab w:val="right" w:pos="8306"/>
        </w:tabs>
        <w:snapToGrid w:val="0"/>
        <w:spacing w:line="360" w:lineRule="auto"/>
        <w:ind w:firstLine="482" w:firstLineChars="200"/>
        <w:rPr>
          <w:rFonts w:ascii="宋体" w:hAnsi="宋体" w:cs="宋体"/>
          <w:b/>
          <w:sz w:val="24"/>
        </w:rPr>
      </w:pPr>
      <w:r>
        <w:rPr>
          <w:rFonts w:hint="eastAsia" w:ascii="宋体" w:hAnsi="宋体" w:cs="宋体"/>
          <w:b/>
          <w:sz w:val="24"/>
        </w:rPr>
        <w:t xml:space="preserve">    第六条 双方的权利和义务</w:t>
      </w:r>
    </w:p>
    <w:p w14:paraId="2796AA77">
      <w:pPr>
        <w:numPr>
          <w:ilvl w:val="255"/>
          <w:numId w:val="0"/>
        </w:numPr>
        <w:tabs>
          <w:tab w:val="center" w:pos="4153"/>
          <w:tab w:val="right" w:pos="8306"/>
        </w:tabs>
        <w:snapToGrid w:val="0"/>
        <w:spacing w:line="360" w:lineRule="auto"/>
        <w:ind w:firstLine="482" w:firstLineChars="200"/>
        <w:rPr>
          <w:rFonts w:ascii="宋体" w:hAnsi="宋体" w:cs="宋体"/>
          <w:sz w:val="24"/>
        </w:rPr>
      </w:pPr>
      <w:r>
        <w:rPr>
          <w:rFonts w:hint="eastAsia" w:ascii="宋体" w:hAnsi="宋体" w:cs="宋体"/>
          <w:b/>
          <w:bCs/>
          <w:sz w:val="24"/>
        </w:rPr>
        <w:t>1.甲方的权利和义务</w:t>
      </w:r>
    </w:p>
    <w:p w14:paraId="5A165532">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 xml:space="preserve">1.1甲方有权随时检查乙方的服务履行情况，并向乙方提出修改意见。  </w:t>
      </w:r>
    </w:p>
    <w:p w14:paraId="25CF4152">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1.2当发生乙方服务违约时，则甲方有权按本合同第八条的规定，在支付乙方服务款项中进行扣款。 </w:t>
      </w:r>
    </w:p>
    <w:p w14:paraId="1B09BEAF">
      <w:pPr>
        <w:tabs>
          <w:tab w:val="center" w:pos="4153"/>
          <w:tab w:val="right" w:pos="8306"/>
        </w:tabs>
        <w:snapToGrid w:val="0"/>
        <w:spacing w:line="360" w:lineRule="auto"/>
        <w:ind w:firstLine="480" w:firstLineChars="200"/>
        <w:rPr>
          <w:rFonts w:ascii="宋体" w:hAnsi="宋体" w:cs="宋体"/>
          <w:bCs/>
          <w:sz w:val="24"/>
        </w:rPr>
      </w:pPr>
      <w:r>
        <w:rPr>
          <w:rFonts w:hint="eastAsia" w:ascii="宋体" w:hAnsi="宋体" w:cs="宋体"/>
          <w:sz w:val="24"/>
        </w:rPr>
        <w:t>1.3</w:t>
      </w:r>
      <w:r>
        <w:rPr>
          <w:rFonts w:hint="eastAsia" w:ascii="宋体" w:hAnsi="宋体" w:cs="宋体"/>
          <w:bCs/>
          <w:sz w:val="24"/>
        </w:rPr>
        <w:t>乙方提供不符合本合同规定的服务成果，甲方有权拒绝接受。</w:t>
      </w:r>
    </w:p>
    <w:p w14:paraId="5FE4F585">
      <w:pPr>
        <w:tabs>
          <w:tab w:val="center" w:pos="4153"/>
          <w:tab w:val="right" w:pos="8306"/>
        </w:tabs>
        <w:snapToGrid w:val="0"/>
        <w:spacing w:line="360" w:lineRule="auto"/>
        <w:ind w:firstLine="480" w:firstLineChars="200"/>
        <w:rPr>
          <w:rFonts w:ascii="宋体" w:hAnsi="宋体" w:cs="宋体"/>
          <w:sz w:val="24"/>
        </w:rPr>
      </w:pPr>
      <w:r>
        <w:rPr>
          <w:rFonts w:hint="eastAsia" w:ascii="宋体" w:hAnsi="宋体" w:cs="宋体"/>
          <w:sz w:val="24"/>
        </w:rPr>
        <w:t>1.4甲方应按合同规定及时向乙方支付服务费用。</w:t>
      </w:r>
    </w:p>
    <w:p w14:paraId="6DABE720">
      <w:pPr>
        <w:pStyle w:val="641"/>
        <w:keepNext/>
        <w:shd w:val="clear" w:color="auto" w:fill="FCFCFC"/>
        <w:snapToGrid w:val="0"/>
        <w:spacing w:before="0" w:beforeAutospacing="0" w:after="0" w:afterAutospacing="0" w:line="360" w:lineRule="auto"/>
        <w:ind w:firstLine="482" w:firstLineChars="200"/>
        <w:jc w:val="both"/>
        <w:rPr>
          <w:b/>
          <w:bCs/>
        </w:rPr>
      </w:pPr>
      <w:r>
        <w:rPr>
          <w:rFonts w:hint="eastAsia"/>
          <w:b/>
          <w:bCs/>
        </w:rPr>
        <w:t xml:space="preserve">2.乙方的权利和义务 </w:t>
      </w:r>
    </w:p>
    <w:p w14:paraId="76CEA178">
      <w:pPr>
        <w:pStyle w:val="640"/>
        <w:keepNext/>
        <w:shd w:val="clear" w:color="auto" w:fill="FCFCFC"/>
        <w:snapToGrid w:val="0"/>
        <w:spacing w:before="0" w:beforeAutospacing="0" w:after="0" w:afterAutospacing="0" w:line="360" w:lineRule="auto"/>
        <w:ind w:firstLine="480" w:firstLineChars="200"/>
        <w:jc w:val="both"/>
      </w:pPr>
      <w:r>
        <w:rPr>
          <w:rFonts w:hint="eastAsia"/>
        </w:rPr>
        <w:t>2.1乙方有权要求甲方按时支付服务费用。</w:t>
      </w:r>
    </w:p>
    <w:p w14:paraId="701579B1">
      <w:pPr>
        <w:pStyle w:val="640"/>
        <w:keepNext/>
        <w:shd w:val="clear" w:color="auto" w:fill="FCFCFC"/>
        <w:snapToGrid w:val="0"/>
        <w:spacing w:before="0" w:beforeAutospacing="0" w:after="0" w:afterAutospacing="0" w:line="360" w:lineRule="auto"/>
        <w:ind w:firstLine="480" w:firstLineChars="200"/>
        <w:jc w:val="both"/>
      </w:pPr>
      <w:r>
        <w:rPr>
          <w:rFonts w:hint="eastAsia"/>
        </w:rPr>
        <w:t xml:space="preserve">2.2乙方必须严格按甲方的要求保质保量地完成本合同规定的各项服务内容，并按甲方的要求对项目实施过程中出现的问题及时进行整改。如由于乙方原因造成失误，甲方有权追究乙方相应责任。  </w:t>
      </w:r>
    </w:p>
    <w:p w14:paraId="02EA7A4F">
      <w:pPr>
        <w:pStyle w:val="640"/>
        <w:keepNext/>
        <w:shd w:val="clear" w:color="auto" w:fill="FCFCFC"/>
        <w:snapToGrid w:val="0"/>
        <w:spacing w:before="0" w:beforeAutospacing="0" w:after="0" w:afterAutospacing="0" w:line="360" w:lineRule="auto"/>
        <w:ind w:firstLine="480" w:firstLineChars="200"/>
        <w:jc w:val="both"/>
      </w:pPr>
      <w:r>
        <w:rPr>
          <w:rFonts w:hint="eastAsia"/>
        </w:rPr>
        <w:t xml:space="preserve">2.3乙方在合同期内做好后勤保障及安全保障工作，自行承担由本项目实施期间所引发的全部安全责任。 </w:t>
      </w:r>
    </w:p>
    <w:p w14:paraId="7862D7AD">
      <w:pPr>
        <w:pStyle w:val="640"/>
        <w:keepNext/>
        <w:shd w:val="clear" w:color="auto" w:fill="FCFCFC"/>
        <w:snapToGrid w:val="0"/>
        <w:spacing w:before="0" w:beforeAutospacing="0" w:after="0" w:afterAutospacing="0" w:line="360" w:lineRule="auto"/>
        <w:ind w:firstLine="480" w:firstLineChars="200"/>
        <w:jc w:val="both"/>
      </w:pPr>
      <w:r>
        <w:rPr>
          <w:rFonts w:hint="eastAsia"/>
        </w:rPr>
        <w:t>2.4在合同期内，由于乙方原因造成的一切纠纷，概与甲方无关。</w:t>
      </w:r>
    </w:p>
    <w:p w14:paraId="02F903C9">
      <w:pPr>
        <w:pStyle w:val="640"/>
        <w:keepNext/>
        <w:shd w:val="clear" w:color="auto" w:fill="FCFCFC"/>
        <w:snapToGrid w:val="0"/>
        <w:spacing w:before="0" w:beforeAutospacing="0" w:after="0" w:afterAutospacing="0" w:line="360" w:lineRule="auto"/>
        <w:ind w:firstLine="480" w:firstLineChars="200"/>
        <w:jc w:val="both"/>
      </w:pPr>
      <w:r>
        <w:rPr>
          <w:rFonts w:hint="eastAsia"/>
        </w:rPr>
        <w:t>2.5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2612EAD9">
      <w:pPr>
        <w:pStyle w:val="640"/>
        <w:keepNext/>
        <w:shd w:val="clear" w:color="auto" w:fill="FCFCFC"/>
        <w:snapToGrid w:val="0"/>
        <w:spacing w:before="0" w:beforeAutospacing="0" w:after="0" w:afterAutospacing="0" w:line="360" w:lineRule="auto"/>
        <w:ind w:firstLine="480" w:firstLineChars="200"/>
        <w:jc w:val="both"/>
      </w:pPr>
      <w:r>
        <w:rPr>
          <w:rFonts w:hint="eastAsia"/>
        </w:rPr>
        <w:t>2.6乙方发生任何服务的变更均须向甲方提出交书面报审报告。</w:t>
      </w:r>
    </w:p>
    <w:p w14:paraId="3EC83C7C">
      <w:pPr>
        <w:pStyle w:val="640"/>
        <w:keepNext/>
        <w:shd w:val="clear" w:color="auto" w:fill="FCFCFC"/>
        <w:snapToGrid w:val="0"/>
        <w:spacing w:before="0" w:beforeAutospacing="0" w:after="0" w:afterAutospacing="0" w:line="360" w:lineRule="auto"/>
        <w:ind w:firstLine="480" w:firstLineChars="200"/>
        <w:jc w:val="both"/>
      </w:pPr>
      <w:r>
        <w:rPr>
          <w:rFonts w:hint="eastAsia"/>
        </w:rPr>
        <w:t>2.7本项目所有的成果文件的所有权归甲方所有；乙方对甲方提供的所有资料及本项目的中间过程资料、相关成果资料负有保密责任，不得泄露给第三者，也不得超越合同范围使用或转让，否则甲方有权追究乙方因此造成的相关经济损失的责任。</w:t>
      </w:r>
    </w:p>
    <w:p w14:paraId="22C52DA0">
      <w:pPr>
        <w:pStyle w:val="31"/>
        <w:keepNext/>
        <w:snapToGrid w:val="0"/>
        <w:spacing w:line="360" w:lineRule="auto"/>
        <w:ind w:firstLine="482" w:firstLineChars="200"/>
        <w:rPr>
          <w:rFonts w:cs="宋体"/>
          <w:b/>
          <w:sz w:val="24"/>
          <w:szCs w:val="24"/>
        </w:rPr>
      </w:pPr>
      <w:r>
        <w:rPr>
          <w:rFonts w:hint="eastAsia" w:cs="宋体"/>
          <w:b/>
          <w:sz w:val="24"/>
          <w:szCs w:val="24"/>
        </w:rPr>
        <w:t>第七条  验收</w:t>
      </w:r>
    </w:p>
    <w:p w14:paraId="01741F08">
      <w:pPr>
        <w:pStyle w:val="31"/>
        <w:keepNext/>
        <w:snapToGrid w:val="0"/>
        <w:spacing w:line="360" w:lineRule="auto"/>
        <w:ind w:firstLine="480" w:firstLineChars="200"/>
        <w:rPr>
          <w:rFonts w:cs="宋体"/>
          <w:sz w:val="24"/>
          <w:szCs w:val="24"/>
        </w:rPr>
      </w:pPr>
      <w:r>
        <w:rPr>
          <w:rFonts w:hint="eastAsia" w:cs="宋体"/>
          <w:sz w:val="24"/>
          <w:szCs w:val="24"/>
        </w:rPr>
        <w:t>1.乙方必须按时、按要求完成本项目的各项服务内容。</w:t>
      </w:r>
    </w:p>
    <w:p w14:paraId="5ED72975">
      <w:pPr>
        <w:pStyle w:val="31"/>
        <w:keepNext/>
        <w:snapToGrid w:val="0"/>
        <w:spacing w:line="360" w:lineRule="auto"/>
        <w:ind w:firstLine="480" w:firstLineChars="200"/>
        <w:rPr>
          <w:rFonts w:cs="宋体"/>
          <w:sz w:val="24"/>
          <w:szCs w:val="24"/>
        </w:rPr>
      </w:pPr>
      <w:r>
        <w:rPr>
          <w:rFonts w:hint="eastAsia" w:cs="宋体"/>
          <w:sz w:val="24"/>
          <w:szCs w:val="24"/>
        </w:rPr>
        <w:t>2.本项目服务成果通过自治区自然资源厅和北海市人民政府审查，并经甲方确认即为甲方验收通过。</w:t>
      </w:r>
    </w:p>
    <w:p w14:paraId="7F5E4624">
      <w:pPr>
        <w:pStyle w:val="31"/>
        <w:keepNext/>
        <w:snapToGrid w:val="0"/>
        <w:spacing w:line="360" w:lineRule="auto"/>
        <w:ind w:firstLine="480" w:firstLineChars="200"/>
        <w:rPr>
          <w:rFonts w:cs="宋体"/>
          <w:sz w:val="24"/>
          <w:szCs w:val="24"/>
        </w:rPr>
      </w:pPr>
      <w:r>
        <w:rPr>
          <w:rFonts w:hint="eastAsia" w:cs="宋体"/>
          <w:sz w:val="24"/>
          <w:szCs w:val="24"/>
        </w:rPr>
        <w:t>3.如果服务成果经自治区自然资源厅和北海市人民政府审核不合格，乙方应按甲方要求在规定时间内整改完毕，并再次提请自治区自然资源厅和北海市人民政府审核。如果再次审核仍不合格，甲方有权单方面解除合同，并有权要求乙方向甲方支付违约金，违约金按每追加验收一次为该项目应付合同款项的3%计收，若因此而解除合同，乙方需赔偿由此给甲方造成的一切损失。</w:t>
      </w:r>
    </w:p>
    <w:p w14:paraId="5EB5DA2C">
      <w:pPr>
        <w:keepNext/>
        <w:snapToGrid w:val="0"/>
        <w:spacing w:line="360" w:lineRule="auto"/>
        <w:ind w:firstLine="482" w:firstLineChars="200"/>
        <w:rPr>
          <w:rFonts w:ascii="宋体" w:hAnsi="宋体" w:cs="宋体"/>
          <w:b/>
          <w:sz w:val="24"/>
        </w:rPr>
      </w:pPr>
      <w:r>
        <w:rPr>
          <w:rFonts w:hint="eastAsia" w:ascii="宋体" w:hAnsi="宋体" w:cs="宋体"/>
          <w:b/>
          <w:sz w:val="24"/>
        </w:rPr>
        <w:t>第八条　违约责任</w:t>
      </w:r>
    </w:p>
    <w:p w14:paraId="017FB702">
      <w:pPr>
        <w:pStyle w:val="31"/>
        <w:keepNext/>
        <w:snapToGrid w:val="0"/>
        <w:spacing w:line="360" w:lineRule="auto"/>
        <w:ind w:firstLine="480" w:firstLineChars="200"/>
        <w:rPr>
          <w:rFonts w:cs="宋体"/>
          <w:sz w:val="24"/>
          <w:szCs w:val="24"/>
        </w:rPr>
      </w:pPr>
      <w:r>
        <w:rPr>
          <w:rFonts w:hint="eastAsia" w:cs="宋体"/>
          <w:sz w:val="24"/>
          <w:szCs w:val="24"/>
        </w:rPr>
        <w:t>1.甲方无正当理由拒收服务成果的，甲方向乙方偿付拒收服务费总值的5%违约金。</w:t>
      </w:r>
    </w:p>
    <w:p w14:paraId="1B9C8638">
      <w:pPr>
        <w:pStyle w:val="31"/>
        <w:keepNext/>
        <w:snapToGrid w:val="0"/>
        <w:spacing w:line="360" w:lineRule="auto"/>
        <w:ind w:firstLine="480" w:firstLineChars="200"/>
        <w:rPr>
          <w:rFonts w:cs="宋体"/>
          <w:sz w:val="24"/>
          <w:szCs w:val="24"/>
        </w:rPr>
      </w:pPr>
      <w:r>
        <w:rPr>
          <w:rFonts w:hint="eastAsia" w:cs="宋体"/>
          <w:sz w:val="24"/>
          <w:szCs w:val="24"/>
        </w:rPr>
        <w:t>2.乙方逾期交付服务成果的，乙方应每日向甲方支付逾期提供服务成果当期项目经费总额3‰的违约金，由甲方从待付当期项目经费中扣除。逾期超过约定日期10个工作日不能提供服务成果的，甲方可单方解除本合同。乙方因逾期提供服务成果或因其他违约行为导致甲方解除合同的，乙方应向甲方支付合同总值5%的违约金，如造成甲方损失超过违约金的，超出部分由乙方继续承担赔偿责任。</w:t>
      </w:r>
    </w:p>
    <w:p w14:paraId="5ED5D88D">
      <w:pPr>
        <w:pStyle w:val="31"/>
        <w:keepNext/>
        <w:snapToGrid w:val="0"/>
        <w:spacing w:line="360" w:lineRule="auto"/>
        <w:ind w:firstLine="480" w:firstLineChars="200"/>
        <w:rPr>
          <w:rFonts w:cs="宋体"/>
          <w:sz w:val="24"/>
          <w:szCs w:val="24"/>
        </w:rPr>
      </w:pPr>
      <w:r>
        <w:rPr>
          <w:rFonts w:hint="eastAsia" w:cs="宋体"/>
          <w:sz w:val="24"/>
          <w:szCs w:val="24"/>
        </w:rPr>
        <w:t>3.若乙方的原因导致本合同解除的，乙方自接到解除合同通知书之日起应在五个工作日内将甲方提供的资料、数据交还甲方，否则将承担由此给甲方造成的损失。</w:t>
      </w:r>
    </w:p>
    <w:p w14:paraId="4CE18621">
      <w:pPr>
        <w:pStyle w:val="31"/>
        <w:keepNext/>
        <w:snapToGrid w:val="0"/>
        <w:spacing w:line="360" w:lineRule="auto"/>
        <w:ind w:firstLine="480" w:firstLineChars="200"/>
        <w:rPr>
          <w:rFonts w:cs="宋体"/>
          <w:sz w:val="24"/>
          <w:szCs w:val="24"/>
        </w:rPr>
      </w:pPr>
      <w:r>
        <w:rPr>
          <w:rFonts w:hint="eastAsia" w:cs="宋体"/>
          <w:sz w:val="24"/>
          <w:szCs w:val="24"/>
        </w:rPr>
        <w:t>4.乙方提供的服务需要具备相应资质的，乙方应具备相应的资质等级，若乙方不具备相应的资质等级导致本合同全部或部分无效的，除返回甲方支付的费用外，乙方还应按照合同价款的30%承担违约责任。</w:t>
      </w:r>
    </w:p>
    <w:p w14:paraId="02E38D8A">
      <w:pPr>
        <w:pStyle w:val="31"/>
        <w:keepNext/>
        <w:snapToGrid w:val="0"/>
        <w:spacing w:line="360" w:lineRule="auto"/>
        <w:ind w:firstLine="480" w:firstLineChars="200"/>
        <w:rPr>
          <w:rFonts w:cs="宋体"/>
          <w:sz w:val="24"/>
          <w:szCs w:val="24"/>
        </w:rPr>
      </w:pPr>
      <w:r>
        <w:rPr>
          <w:rFonts w:hint="eastAsia" w:cs="宋体"/>
          <w:sz w:val="24"/>
          <w:szCs w:val="24"/>
        </w:rPr>
        <w:t>5.乙方在未经甲方书面同意，不得将本合同约定服务全部或部分转承包或分解后转包任何第三人履行，违反本条约定，甲方可单方面解除本合同，乙方除返还支付费用外，乙方还应按照合同价款的30%承担违约责任。</w:t>
      </w:r>
    </w:p>
    <w:p w14:paraId="6EB989AC">
      <w:pPr>
        <w:pStyle w:val="31"/>
        <w:keepNext/>
        <w:snapToGrid w:val="0"/>
        <w:spacing w:line="360" w:lineRule="auto"/>
        <w:ind w:firstLine="480" w:firstLineChars="200"/>
        <w:rPr>
          <w:rFonts w:cs="宋体"/>
          <w:sz w:val="24"/>
          <w:szCs w:val="24"/>
        </w:rPr>
      </w:pPr>
      <w:r>
        <w:rPr>
          <w:rFonts w:hint="eastAsia" w:cs="宋体"/>
          <w:sz w:val="24"/>
          <w:szCs w:val="24"/>
        </w:rPr>
        <w:t>6.乙方应严格履行保密义务，若乙方的原因导致相关信息泄露给其他第三方的，由此产生的责任，由乙方自行承担。</w:t>
      </w:r>
    </w:p>
    <w:p w14:paraId="5EE38192">
      <w:pPr>
        <w:pStyle w:val="31"/>
        <w:keepNext/>
        <w:snapToGrid w:val="0"/>
        <w:spacing w:line="360" w:lineRule="auto"/>
        <w:ind w:firstLine="480" w:firstLineChars="200"/>
        <w:rPr>
          <w:rFonts w:cs="宋体"/>
          <w:sz w:val="24"/>
          <w:szCs w:val="24"/>
        </w:rPr>
      </w:pPr>
      <w:r>
        <w:rPr>
          <w:rFonts w:hint="eastAsia" w:cs="宋体"/>
          <w:sz w:val="24"/>
          <w:szCs w:val="24"/>
        </w:rPr>
        <w:t>7.其它违约行为按违约服务成果款额5%收取违约金。</w:t>
      </w:r>
    </w:p>
    <w:p w14:paraId="58EEB925">
      <w:pPr>
        <w:pStyle w:val="31"/>
        <w:keepNext/>
        <w:snapToGrid w:val="0"/>
        <w:spacing w:line="360" w:lineRule="auto"/>
        <w:ind w:firstLine="480" w:firstLineChars="200"/>
        <w:rPr>
          <w:rFonts w:cs="宋体"/>
          <w:sz w:val="24"/>
          <w:szCs w:val="24"/>
        </w:rPr>
      </w:pPr>
      <w:r>
        <w:rPr>
          <w:rFonts w:hint="eastAsia" w:cs="宋体"/>
          <w:sz w:val="24"/>
          <w:szCs w:val="24"/>
        </w:rPr>
        <w:t>8.乙方支付的违约金不足以弥补甲方损失的，还应承担赔偿责任。</w:t>
      </w:r>
    </w:p>
    <w:p w14:paraId="5941AAFD">
      <w:pPr>
        <w:pStyle w:val="31"/>
        <w:keepNext/>
        <w:snapToGrid w:val="0"/>
        <w:spacing w:line="360" w:lineRule="auto"/>
        <w:ind w:firstLine="482" w:firstLineChars="200"/>
        <w:rPr>
          <w:rFonts w:cs="宋体"/>
          <w:b/>
          <w:sz w:val="24"/>
          <w:szCs w:val="24"/>
        </w:rPr>
      </w:pPr>
      <w:r>
        <w:rPr>
          <w:rFonts w:hint="eastAsia" w:cs="宋体"/>
          <w:b/>
          <w:sz w:val="24"/>
          <w:szCs w:val="24"/>
        </w:rPr>
        <w:t>第九条  不可抗力事件处理</w:t>
      </w:r>
    </w:p>
    <w:p w14:paraId="474990FD">
      <w:pPr>
        <w:pStyle w:val="31"/>
        <w:keepNext/>
        <w:snapToGrid w:val="0"/>
        <w:spacing w:line="360" w:lineRule="auto"/>
        <w:ind w:firstLine="480" w:firstLineChars="200"/>
        <w:rPr>
          <w:rFonts w:cs="宋体"/>
          <w:sz w:val="24"/>
          <w:szCs w:val="24"/>
        </w:rPr>
      </w:pPr>
      <w:r>
        <w:rPr>
          <w:rFonts w:hint="eastAsia" w:cs="宋体"/>
          <w:sz w:val="24"/>
          <w:szCs w:val="24"/>
        </w:rPr>
        <w:t>1.在合同有效期内，任何一方因不可抗力事件导致不能履行合同，则合同履行期可延长，其延长期与不可抗力影响期相同。</w:t>
      </w:r>
    </w:p>
    <w:p w14:paraId="6C4C1505">
      <w:pPr>
        <w:pStyle w:val="31"/>
        <w:keepNext/>
        <w:snapToGrid w:val="0"/>
        <w:spacing w:line="360" w:lineRule="auto"/>
        <w:ind w:firstLine="480" w:firstLineChars="200"/>
        <w:rPr>
          <w:rFonts w:cs="宋体"/>
          <w:sz w:val="24"/>
          <w:szCs w:val="24"/>
        </w:rPr>
      </w:pPr>
      <w:r>
        <w:rPr>
          <w:rFonts w:hint="eastAsia" w:cs="宋体"/>
          <w:sz w:val="24"/>
          <w:szCs w:val="24"/>
        </w:rPr>
        <w:t>2.不可抗力事件发生后，应立即通知对方，并寄送有关权威机构出具的证明。</w:t>
      </w:r>
    </w:p>
    <w:p w14:paraId="3DCF5C39">
      <w:pPr>
        <w:pStyle w:val="31"/>
        <w:keepNext/>
        <w:snapToGrid w:val="0"/>
        <w:spacing w:line="360" w:lineRule="auto"/>
        <w:ind w:firstLine="480" w:firstLineChars="200"/>
        <w:rPr>
          <w:rFonts w:cs="宋体"/>
          <w:sz w:val="24"/>
          <w:szCs w:val="24"/>
        </w:rPr>
      </w:pPr>
      <w:r>
        <w:rPr>
          <w:rFonts w:hint="eastAsia" w:cs="宋体"/>
          <w:sz w:val="24"/>
          <w:szCs w:val="24"/>
        </w:rPr>
        <w:t>3.不可抗力事件延续一百二十天以上，双方应通过友好协商，确定是否继续履行合同。</w:t>
      </w:r>
    </w:p>
    <w:p w14:paraId="5711D6D7">
      <w:pPr>
        <w:keepNext/>
        <w:snapToGrid w:val="0"/>
        <w:spacing w:line="360" w:lineRule="auto"/>
        <w:ind w:firstLine="482" w:firstLineChars="200"/>
        <w:rPr>
          <w:rFonts w:ascii="宋体" w:hAnsi="宋体" w:cs="宋体"/>
          <w:sz w:val="24"/>
        </w:rPr>
      </w:pPr>
      <w:r>
        <w:rPr>
          <w:rFonts w:hint="eastAsia" w:ascii="宋体" w:hAnsi="宋体" w:cs="宋体"/>
          <w:b/>
          <w:sz w:val="24"/>
        </w:rPr>
        <w:t>第十条  合同争议解决</w:t>
      </w:r>
    </w:p>
    <w:p w14:paraId="626BD1AB">
      <w:pPr>
        <w:pStyle w:val="31"/>
        <w:keepNext/>
        <w:snapToGrid w:val="0"/>
        <w:spacing w:line="360" w:lineRule="auto"/>
        <w:ind w:firstLine="480" w:firstLineChars="200"/>
        <w:rPr>
          <w:rFonts w:cs="宋体"/>
          <w:sz w:val="24"/>
          <w:szCs w:val="24"/>
        </w:rPr>
      </w:pPr>
      <w:r>
        <w:rPr>
          <w:rFonts w:hint="eastAsia" w:cs="宋体"/>
          <w:sz w:val="24"/>
          <w:szCs w:val="24"/>
        </w:rPr>
        <w:t>1.因服务成果质量问题发生争议的，应邀请国家认可的质量检测机构对服务成果质量进行鉴定，鉴定费用由乙方先行垫付。经鉴定，服务符合标准或要求的，鉴定费由甲方部门承担；服务不符合标准或要求的，鉴定费由乙方承担。</w:t>
      </w:r>
    </w:p>
    <w:p w14:paraId="5D57659C">
      <w:pPr>
        <w:pStyle w:val="31"/>
        <w:keepNext/>
        <w:snapToGrid w:val="0"/>
        <w:spacing w:line="360" w:lineRule="auto"/>
        <w:ind w:firstLine="480" w:firstLineChars="200"/>
        <w:rPr>
          <w:rFonts w:cs="宋体"/>
          <w:b/>
          <w:sz w:val="24"/>
          <w:szCs w:val="24"/>
        </w:rPr>
      </w:pPr>
      <w:r>
        <w:rPr>
          <w:rFonts w:hint="eastAsia" w:cs="宋体"/>
          <w:sz w:val="24"/>
          <w:szCs w:val="24"/>
        </w:rPr>
        <w:t>2.因履行本合同引起的或与本合同有关的争议，甲乙双方应首先通过友好协商解决，如果协商不能解决，可依法向</w:t>
      </w:r>
      <w:r>
        <w:rPr>
          <w:rFonts w:hint="eastAsia" w:cs="宋体"/>
          <w:spacing w:val="4"/>
          <w:sz w:val="24"/>
          <w:szCs w:val="24"/>
          <w:u w:val="single"/>
        </w:rPr>
        <w:t xml:space="preserve">甲方所在地人民法院提起诉讼   </w:t>
      </w:r>
      <w:r>
        <w:rPr>
          <w:rFonts w:hint="eastAsia" w:cs="宋体"/>
          <w:bCs/>
          <w:sz w:val="24"/>
          <w:szCs w:val="24"/>
          <w:u w:val="single"/>
        </w:rPr>
        <w:t xml:space="preserve"> </w:t>
      </w:r>
      <w:r>
        <w:rPr>
          <w:rFonts w:hint="eastAsia" w:cs="宋体"/>
          <w:bCs/>
          <w:sz w:val="24"/>
          <w:szCs w:val="24"/>
        </w:rPr>
        <w:t>。</w:t>
      </w:r>
    </w:p>
    <w:p w14:paraId="7CE1FF5D">
      <w:pPr>
        <w:keepNext/>
        <w:snapToGrid w:val="0"/>
        <w:spacing w:line="360" w:lineRule="auto"/>
        <w:ind w:firstLine="480" w:firstLineChars="200"/>
        <w:rPr>
          <w:rFonts w:ascii="宋体" w:hAnsi="宋体" w:cs="宋体"/>
          <w:sz w:val="24"/>
        </w:rPr>
      </w:pPr>
      <w:r>
        <w:rPr>
          <w:rFonts w:hint="eastAsia" w:ascii="宋体" w:hAnsi="宋体" w:cs="宋体"/>
          <w:sz w:val="24"/>
        </w:rPr>
        <w:t>3.诉讼期间，本合同继续履行，但甲方提出解除合同的诉讼请求或是确认合同已经解除的诉讼请求的除外。</w:t>
      </w:r>
    </w:p>
    <w:p w14:paraId="050E8FFF">
      <w:pPr>
        <w:pStyle w:val="31"/>
        <w:keepNext/>
        <w:snapToGrid w:val="0"/>
        <w:spacing w:line="360" w:lineRule="auto"/>
        <w:ind w:firstLine="482" w:firstLineChars="200"/>
        <w:rPr>
          <w:rFonts w:cs="宋体"/>
          <w:b/>
          <w:sz w:val="24"/>
          <w:szCs w:val="24"/>
        </w:rPr>
      </w:pPr>
      <w:r>
        <w:rPr>
          <w:rFonts w:hint="eastAsia" w:cs="宋体"/>
          <w:b/>
          <w:sz w:val="24"/>
          <w:szCs w:val="24"/>
        </w:rPr>
        <w:t>第十一条  合同生效及其它</w:t>
      </w:r>
    </w:p>
    <w:p w14:paraId="1AB6CAD5">
      <w:pPr>
        <w:pStyle w:val="31"/>
        <w:keepNext/>
        <w:snapToGrid w:val="0"/>
        <w:spacing w:line="360" w:lineRule="auto"/>
        <w:ind w:firstLine="480" w:firstLineChars="200"/>
        <w:rPr>
          <w:rFonts w:cs="宋体"/>
          <w:sz w:val="24"/>
          <w:szCs w:val="24"/>
        </w:rPr>
      </w:pPr>
      <w:r>
        <w:rPr>
          <w:rFonts w:hint="eastAsia" w:cs="宋体"/>
          <w:sz w:val="24"/>
          <w:szCs w:val="24"/>
        </w:rPr>
        <w:t>1.合同经双方法定代表人（负责人）或授权代表（委托代理人）签字并加盖单位公章后生效。</w:t>
      </w:r>
    </w:p>
    <w:p w14:paraId="719012C3">
      <w:pPr>
        <w:pStyle w:val="31"/>
        <w:keepNext/>
        <w:snapToGrid w:val="0"/>
        <w:spacing w:line="360" w:lineRule="auto"/>
        <w:ind w:firstLine="480" w:firstLineChars="200"/>
        <w:rPr>
          <w:rFonts w:cs="宋体"/>
          <w:sz w:val="24"/>
          <w:szCs w:val="24"/>
        </w:rPr>
      </w:pPr>
      <w:r>
        <w:rPr>
          <w:rFonts w:hint="eastAsia" w:cs="宋体"/>
          <w:sz w:val="24"/>
          <w:szCs w:val="24"/>
        </w:rPr>
        <w:t>2.本合同未尽事宜，遵照《中华人民共和国民法典》有关条文执行。</w:t>
      </w:r>
    </w:p>
    <w:p w14:paraId="3F2CA452">
      <w:pPr>
        <w:keepNext/>
        <w:snapToGrid w:val="0"/>
        <w:spacing w:line="360" w:lineRule="auto"/>
        <w:ind w:firstLine="482" w:firstLineChars="200"/>
        <w:rPr>
          <w:rFonts w:ascii="宋体" w:hAnsi="宋体" w:cs="宋体"/>
          <w:b/>
          <w:sz w:val="24"/>
        </w:rPr>
      </w:pPr>
      <w:r>
        <w:rPr>
          <w:rFonts w:hint="eastAsia" w:ascii="宋体" w:hAnsi="宋体" w:cs="宋体"/>
          <w:b/>
          <w:sz w:val="24"/>
        </w:rPr>
        <w:t>第十二条　合同的变更、终止与转让</w:t>
      </w:r>
    </w:p>
    <w:p w14:paraId="2EA8C3C5">
      <w:pPr>
        <w:keepNext/>
        <w:snapToGrid w:val="0"/>
        <w:spacing w:line="360" w:lineRule="auto"/>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1.除《中华人民共和国政府采购法》第五十条规定的情形外，本合同一经签订，甲乙双方不得擅自变更、中止或终止。</w:t>
      </w:r>
    </w:p>
    <w:p w14:paraId="1B6B1836">
      <w:pPr>
        <w:pStyle w:val="31"/>
        <w:keepNext/>
        <w:snapToGrid w:val="0"/>
        <w:spacing w:line="360" w:lineRule="auto"/>
        <w:ind w:firstLine="480" w:firstLineChars="200"/>
        <w:rPr>
          <w:rFonts w:cs="宋体"/>
          <w:b/>
          <w:sz w:val="24"/>
          <w:szCs w:val="24"/>
        </w:rPr>
      </w:pPr>
      <w:r>
        <w:rPr>
          <w:rFonts w:hint="eastAsia" w:cs="宋体"/>
          <w:sz w:val="24"/>
          <w:szCs w:val="24"/>
        </w:rPr>
        <w:t>2.乙方不得擅自转让其应履行的合同义务。</w:t>
      </w:r>
    </w:p>
    <w:p w14:paraId="768C9992">
      <w:pPr>
        <w:keepNext/>
        <w:snapToGrid w:val="0"/>
        <w:spacing w:line="360" w:lineRule="auto"/>
        <w:ind w:firstLine="482" w:firstLineChars="200"/>
        <w:rPr>
          <w:rFonts w:ascii="宋体" w:hAnsi="宋体" w:cs="宋体"/>
          <w:sz w:val="24"/>
        </w:rPr>
      </w:pPr>
      <w:r>
        <w:rPr>
          <w:rFonts w:hint="eastAsia" w:ascii="宋体" w:hAnsi="宋体" w:cs="宋体"/>
          <w:b/>
          <w:sz w:val="24"/>
        </w:rPr>
        <w:t>第十三条　</w:t>
      </w:r>
      <w:r>
        <w:rPr>
          <w:rFonts w:hint="eastAsia" w:ascii="宋体" w:hAnsi="宋体" w:cs="宋体"/>
          <w:sz w:val="24"/>
        </w:rPr>
        <w:t>本合同一式</w:t>
      </w:r>
      <w:r>
        <w:rPr>
          <w:rFonts w:hint="eastAsia" w:ascii="宋体" w:hAnsi="宋体" w:cs="宋体"/>
          <w:b/>
          <w:bCs/>
          <w:sz w:val="24"/>
          <w:u w:val="single"/>
        </w:rPr>
        <w:t>伍</w:t>
      </w:r>
      <w:r>
        <w:rPr>
          <w:rFonts w:hint="eastAsia" w:ascii="宋体" w:hAnsi="宋体" w:cs="宋体"/>
          <w:sz w:val="24"/>
        </w:rPr>
        <w:t>份，具有同等的法律效律，其中甲方执</w:t>
      </w:r>
      <w:r>
        <w:rPr>
          <w:rFonts w:hint="eastAsia" w:ascii="宋体" w:hAnsi="宋体" w:cs="宋体"/>
          <w:b/>
          <w:bCs/>
          <w:sz w:val="24"/>
          <w:u w:val="single"/>
        </w:rPr>
        <w:t>叁</w:t>
      </w:r>
      <w:r>
        <w:rPr>
          <w:rFonts w:hint="eastAsia" w:ascii="宋体" w:hAnsi="宋体" w:cs="宋体"/>
          <w:sz w:val="24"/>
        </w:rPr>
        <w:t>份，乙方执</w:t>
      </w:r>
      <w:r>
        <w:rPr>
          <w:rFonts w:hint="eastAsia" w:ascii="宋体" w:hAnsi="宋体" w:cs="宋体"/>
          <w:b/>
          <w:bCs/>
          <w:sz w:val="24"/>
          <w:u w:val="single"/>
        </w:rPr>
        <w:t>贰</w:t>
      </w:r>
      <w:r>
        <w:rPr>
          <w:rFonts w:hint="eastAsia" w:ascii="宋体" w:hAnsi="宋体" w:cs="宋体"/>
          <w:sz w:val="24"/>
        </w:rPr>
        <w:t>份。</w:t>
      </w:r>
    </w:p>
    <w:p w14:paraId="0AEC5A99">
      <w:pPr>
        <w:pStyle w:val="37"/>
        <w:spacing w:line="360" w:lineRule="auto"/>
        <w:ind w:firstLine="480" w:firstLineChars="200"/>
        <w:jc w:val="both"/>
        <w:rPr>
          <w:rFonts w:ascii="宋体" w:hAnsi="宋体" w:cs="宋体"/>
          <w:sz w:val="24"/>
          <w:szCs w:val="24"/>
        </w:rPr>
      </w:pPr>
    </w:p>
    <w:p w14:paraId="285C4A11">
      <w:pPr>
        <w:keepNext/>
        <w:snapToGrid w:val="0"/>
        <w:spacing w:line="240" w:lineRule="exact"/>
        <w:rPr>
          <w:rFonts w:ascii="宋体" w:hAnsi="宋体" w:cs="宋体"/>
          <w:szCs w:val="21"/>
        </w:rPr>
      </w:pPr>
    </w:p>
    <w:p w14:paraId="779247A3">
      <w:pPr>
        <w:keepNext/>
        <w:snapToGrid w:val="0"/>
        <w:spacing w:line="240" w:lineRule="exact"/>
        <w:rPr>
          <w:rFonts w:ascii="宋体" w:hAnsi="宋体" w:cs="宋体"/>
          <w:szCs w:val="21"/>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4836"/>
      </w:tblGrid>
      <w:tr w14:paraId="08E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4781" w:type="dxa"/>
            <w:vAlign w:val="center"/>
          </w:tcPr>
          <w:p w14:paraId="41D333C6">
            <w:pPr>
              <w:keepNext/>
              <w:snapToGrid w:val="0"/>
              <w:spacing w:line="360" w:lineRule="exact"/>
              <w:jc w:val="left"/>
              <w:rPr>
                <w:rFonts w:ascii="宋体" w:hAnsi="宋体" w:cs="宋体"/>
                <w:szCs w:val="21"/>
              </w:rPr>
            </w:pPr>
            <w:r>
              <w:rPr>
                <w:rFonts w:hint="eastAsia" w:ascii="宋体" w:hAnsi="宋体" w:cs="宋体"/>
                <w:szCs w:val="21"/>
              </w:rPr>
              <w:t xml:space="preserve">甲方（公章）：北海市自然资源局          </w:t>
            </w:r>
          </w:p>
          <w:p w14:paraId="5E75FAA2">
            <w:pPr>
              <w:keepNext/>
              <w:snapToGrid w:val="0"/>
              <w:spacing w:line="360" w:lineRule="exact"/>
              <w:ind w:firstLine="945" w:firstLineChars="450"/>
              <w:jc w:val="right"/>
              <w:rPr>
                <w:rFonts w:ascii="宋体" w:hAnsi="宋体" w:cs="宋体"/>
                <w:szCs w:val="21"/>
              </w:rPr>
            </w:pPr>
          </w:p>
          <w:p w14:paraId="6F1D1288">
            <w:pPr>
              <w:keepNext/>
              <w:snapToGrid w:val="0"/>
              <w:spacing w:line="360" w:lineRule="exact"/>
              <w:rPr>
                <w:rFonts w:ascii="宋体" w:hAnsi="宋体" w:cs="宋体"/>
                <w:szCs w:val="21"/>
              </w:rPr>
            </w:pPr>
          </w:p>
          <w:p w14:paraId="495CEB02">
            <w:pPr>
              <w:keepNext/>
              <w:snapToGrid w:val="0"/>
              <w:spacing w:line="360" w:lineRule="exact"/>
              <w:ind w:right="105"/>
              <w:jc w:val="right"/>
              <w:rPr>
                <w:rFonts w:ascii="宋体" w:hAnsi="宋体" w:cs="宋体"/>
                <w:szCs w:val="21"/>
              </w:rPr>
            </w:pPr>
          </w:p>
        </w:tc>
        <w:tc>
          <w:tcPr>
            <w:tcW w:w="4836" w:type="dxa"/>
            <w:vAlign w:val="center"/>
          </w:tcPr>
          <w:p w14:paraId="0CB09275">
            <w:pPr>
              <w:keepNext/>
              <w:spacing w:line="360" w:lineRule="exact"/>
              <w:ind w:left="-105" w:leftChars="-50" w:right="-105" w:rightChars="-50" w:firstLine="105" w:firstLineChars="50"/>
              <w:rPr>
                <w:rFonts w:ascii="宋体" w:hAnsi="宋体" w:cs="宋体"/>
                <w:szCs w:val="21"/>
              </w:rPr>
            </w:pPr>
            <w:r>
              <w:rPr>
                <w:rFonts w:hint="eastAsia" w:ascii="宋体" w:hAnsi="宋体" w:cs="宋体"/>
                <w:szCs w:val="21"/>
              </w:rPr>
              <w:t xml:space="preserve">乙方（公章）： </w:t>
            </w:r>
          </w:p>
          <w:p w14:paraId="6CEF471A">
            <w:pPr>
              <w:keepNext/>
              <w:spacing w:line="360" w:lineRule="exact"/>
              <w:ind w:left="-105" w:leftChars="-50" w:right="-105" w:rightChars="-50" w:firstLine="105" w:firstLineChars="50"/>
              <w:rPr>
                <w:rFonts w:ascii="宋体" w:hAnsi="宋体" w:cs="宋体"/>
                <w:szCs w:val="21"/>
              </w:rPr>
            </w:pPr>
            <w:r>
              <w:rPr>
                <w:rFonts w:hint="eastAsia" w:ascii="宋体" w:hAnsi="宋体" w:cs="宋体"/>
                <w:szCs w:val="21"/>
              </w:rPr>
              <w:t xml:space="preserve">                </w:t>
            </w:r>
          </w:p>
          <w:p w14:paraId="32879DEB">
            <w:pPr>
              <w:keepNext/>
              <w:spacing w:line="360" w:lineRule="exact"/>
              <w:ind w:right="-105" w:rightChars="-50"/>
              <w:rPr>
                <w:rFonts w:ascii="宋体" w:hAnsi="宋体" w:cs="宋体"/>
                <w:szCs w:val="21"/>
              </w:rPr>
            </w:pPr>
          </w:p>
          <w:p w14:paraId="17C20263">
            <w:pPr>
              <w:keepNext/>
              <w:snapToGrid w:val="0"/>
              <w:spacing w:line="360" w:lineRule="exact"/>
              <w:ind w:firstLine="3465" w:firstLineChars="1650"/>
              <w:rPr>
                <w:rFonts w:ascii="宋体" w:hAnsi="宋体" w:cs="宋体"/>
                <w:szCs w:val="21"/>
              </w:rPr>
            </w:pPr>
          </w:p>
        </w:tc>
      </w:tr>
      <w:tr w14:paraId="544B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4781" w:type="dxa"/>
            <w:vAlign w:val="center"/>
          </w:tcPr>
          <w:p w14:paraId="6B67760A">
            <w:pPr>
              <w:keepNext/>
              <w:snapToGrid w:val="0"/>
              <w:spacing w:line="360" w:lineRule="exact"/>
              <w:rPr>
                <w:rFonts w:ascii="宋体" w:hAnsi="宋体" w:cs="宋体"/>
                <w:szCs w:val="21"/>
              </w:rPr>
            </w:pPr>
            <w:r>
              <w:rPr>
                <w:rFonts w:hint="eastAsia" w:ascii="宋体" w:hAnsi="宋体" w:cs="宋体"/>
                <w:szCs w:val="21"/>
              </w:rPr>
              <w:t>单位地址：北海市海城区四川南路73号</w:t>
            </w:r>
          </w:p>
        </w:tc>
        <w:tc>
          <w:tcPr>
            <w:tcW w:w="4836" w:type="dxa"/>
            <w:vAlign w:val="center"/>
          </w:tcPr>
          <w:p w14:paraId="7B284E2C">
            <w:pPr>
              <w:keepNext/>
              <w:snapToGrid w:val="0"/>
              <w:spacing w:line="360" w:lineRule="exact"/>
              <w:rPr>
                <w:rFonts w:ascii="宋体" w:hAnsi="宋体" w:cs="宋体"/>
                <w:szCs w:val="21"/>
              </w:rPr>
            </w:pPr>
            <w:r>
              <w:rPr>
                <w:rFonts w:hint="eastAsia" w:ascii="宋体" w:hAnsi="宋体" w:cs="宋体"/>
                <w:szCs w:val="21"/>
              </w:rPr>
              <w:t>单位地址：</w:t>
            </w:r>
          </w:p>
        </w:tc>
      </w:tr>
      <w:tr w14:paraId="2B59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781" w:type="dxa"/>
            <w:vAlign w:val="center"/>
          </w:tcPr>
          <w:p w14:paraId="7F008490">
            <w:pPr>
              <w:keepNext/>
              <w:snapToGrid w:val="0"/>
              <w:spacing w:line="360" w:lineRule="exact"/>
              <w:rPr>
                <w:rFonts w:ascii="宋体" w:hAnsi="宋体" w:cs="宋体"/>
                <w:szCs w:val="21"/>
              </w:rPr>
            </w:pPr>
            <w:r>
              <w:rPr>
                <w:rFonts w:hint="eastAsia" w:ascii="宋体" w:hAnsi="宋体" w:cs="宋体"/>
                <w:szCs w:val="21"/>
              </w:rPr>
              <w:t>统一社会信用代码：12450000498502728P</w:t>
            </w:r>
          </w:p>
        </w:tc>
        <w:tc>
          <w:tcPr>
            <w:tcW w:w="4836" w:type="dxa"/>
            <w:vAlign w:val="center"/>
          </w:tcPr>
          <w:p w14:paraId="51EA7A0E">
            <w:pPr>
              <w:keepNext/>
              <w:snapToGrid w:val="0"/>
              <w:spacing w:line="360" w:lineRule="exact"/>
              <w:rPr>
                <w:rFonts w:ascii="宋体" w:hAnsi="宋体" w:cs="宋体"/>
                <w:szCs w:val="21"/>
              </w:rPr>
            </w:pPr>
            <w:r>
              <w:rPr>
                <w:rFonts w:hint="eastAsia" w:ascii="宋体" w:hAnsi="宋体" w:cs="宋体"/>
                <w:szCs w:val="21"/>
              </w:rPr>
              <w:t>统一社会信用代码：</w:t>
            </w:r>
          </w:p>
        </w:tc>
      </w:tr>
      <w:tr w14:paraId="1D61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exact"/>
          <w:jc w:val="center"/>
        </w:trPr>
        <w:tc>
          <w:tcPr>
            <w:tcW w:w="4781" w:type="dxa"/>
            <w:vAlign w:val="center"/>
          </w:tcPr>
          <w:p w14:paraId="192F1B5C">
            <w:pPr>
              <w:keepNext/>
              <w:snapToGrid w:val="0"/>
              <w:spacing w:line="400" w:lineRule="exact"/>
              <w:rPr>
                <w:rFonts w:ascii="宋体" w:hAnsi="宋体" w:cs="宋体"/>
                <w:szCs w:val="21"/>
              </w:rPr>
            </w:pPr>
            <w:r>
              <w:rPr>
                <w:rFonts w:hint="eastAsia" w:ascii="宋体" w:hAnsi="宋体" w:cs="宋体"/>
                <w:szCs w:val="21"/>
              </w:rPr>
              <w:t>法定代表人（签字）：</w:t>
            </w:r>
          </w:p>
          <w:p w14:paraId="3F3962D3">
            <w:pPr>
              <w:keepNext/>
              <w:snapToGrid w:val="0"/>
              <w:spacing w:line="400" w:lineRule="exact"/>
              <w:rPr>
                <w:rFonts w:ascii="宋体" w:hAnsi="宋体" w:cs="宋体"/>
                <w:szCs w:val="21"/>
              </w:rPr>
            </w:pPr>
            <w:r>
              <w:rPr>
                <w:rFonts w:hint="eastAsia" w:ascii="宋体" w:hAnsi="宋体" w:cs="宋体"/>
                <w:szCs w:val="21"/>
              </w:rPr>
              <w:t>或委托代理人（签字）：</w:t>
            </w:r>
          </w:p>
        </w:tc>
        <w:tc>
          <w:tcPr>
            <w:tcW w:w="4836" w:type="dxa"/>
            <w:vAlign w:val="center"/>
          </w:tcPr>
          <w:p w14:paraId="179120A8">
            <w:pPr>
              <w:keepNext/>
              <w:snapToGrid w:val="0"/>
              <w:spacing w:line="360" w:lineRule="exact"/>
              <w:rPr>
                <w:rFonts w:ascii="宋体" w:hAnsi="宋体" w:cs="宋体"/>
                <w:szCs w:val="21"/>
              </w:rPr>
            </w:pPr>
            <w:r>
              <w:rPr>
                <w:rFonts w:hint="eastAsia" w:ascii="宋体" w:hAnsi="宋体" w:cs="宋体"/>
                <w:szCs w:val="21"/>
              </w:rPr>
              <w:t>法定代表人（签字）：</w:t>
            </w:r>
          </w:p>
          <w:p w14:paraId="359E8501">
            <w:pPr>
              <w:keepNext/>
              <w:snapToGrid w:val="0"/>
              <w:spacing w:line="360" w:lineRule="exact"/>
              <w:rPr>
                <w:rFonts w:ascii="宋体" w:hAnsi="宋体" w:cs="宋体"/>
                <w:szCs w:val="21"/>
              </w:rPr>
            </w:pPr>
            <w:r>
              <w:rPr>
                <w:rFonts w:hint="eastAsia" w:ascii="宋体" w:hAnsi="宋体" w:cs="宋体"/>
                <w:szCs w:val="21"/>
              </w:rPr>
              <w:t>或委托代理人（签字）：</w:t>
            </w:r>
          </w:p>
        </w:tc>
      </w:tr>
      <w:tr w14:paraId="3B62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4781" w:type="dxa"/>
            <w:vAlign w:val="center"/>
          </w:tcPr>
          <w:p w14:paraId="37A63E62">
            <w:pPr>
              <w:keepNext/>
              <w:snapToGrid w:val="0"/>
              <w:spacing w:line="360" w:lineRule="exact"/>
              <w:rPr>
                <w:rFonts w:ascii="宋体" w:hAnsi="宋体" w:cs="宋体"/>
                <w:szCs w:val="21"/>
              </w:rPr>
            </w:pPr>
            <w:r>
              <w:rPr>
                <w:rFonts w:hint="eastAsia" w:ascii="宋体" w:hAnsi="宋体" w:cs="宋体"/>
                <w:szCs w:val="21"/>
              </w:rPr>
              <w:t>电话：</w:t>
            </w:r>
          </w:p>
        </w:tc>
        <w:tc>
          <w:tcPr>
            <w:tcW w:w="4836" w:type="dxa"/>
            <w:vAlign w:val="center"/>
          </w:tcPr>
          <w:p w14:paraId="7FB41A4D">
            <w:pPr>
              <w:keepNext/>
              <w:snapToGrid w:val="0"/>
              <w:spacing w:line="360" w:lineRule="exact"/>
              <w:rPr>
                <w:rFonts w:ascii="宋体" w:hAnsi="宋体" w:cs="宋体"/>
                <w:szCs w:val="21"/>
              </w:rPr>
            </w:pPr>
            <w:r>
              <w:rPr>
                <w:rFonts w:hint="eastAsia" w:ascii="宋体" w:hAnsi="宋体" w:cs="宋体"/>
                <w:szCs w:val="21"/>
              </w:rPr>
              <w:t>电话：</w:t>
            </w:r>
          </w:p>
        </w:tc>
      </w:tr>
      <w:tr w14:paraId="428B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exact"/>
          <w:jc w:val="center"/>
        </w:trPr>
        <w:tc>
          <w:tcPr>
            <w:tcW w:w="4781" w:type="dxa"/>
            <w:vAlign w:val="center"/>
          </w:tcPr>
          <w:p w14:paraId="39CC13D1">
            <w:pPr>
              <w:keepNext/>
              <w:snapToGrid w:val="0"/>
              <w:spacing w:line="360" w:lineRule="exact"/>
              <w:rPr>
                <w:rFonts w:ascii="宋体" w:hAnsi="宋体" w:cs="宋体"/>
                <w:szCs w:val="21"/>
              </w:rPr>
            </w:pPr>
            <w:r>
              <w:rPr>
                <w:rFonts w:hint="eastAsia" w:ascii="宋体" w:hAnsi="宋体" w:cs="宋体"/>
                <w:szCs w:val="21"/>
              </w:rPr>
              <w:t>电子邮箱：</w:t>
            </w:r>
          </w:p>
        </w:tc>
        <w:tc>
          <w:tcPr>
            <w:tcW w:w="4836" w:type="dxa"/>
            <w:vAlign w:val="center"/>
          </w:tcPr>
          <w:p w14:paraId="65211E14">
            <w:pPr>
              <w:keepNext/>
              <w:snapToGrid w:val="0"/>
              <w:spacing w:line="360" w:lineRule="exact"/>
              <w:rPr>
                <w:rFonts w:ascii="宋体" w:hAnsi="宋体" w:cs="宋体"/>
                <w:szCs w:val="21"/>
              </w:rPr>
            </w:pPr>
            <w:r>
              <w:rPr>
                <w:rFonts w:hint="eastAsia" w:ascii="宋体" w:hAnsi="宋体" w:cs="宋体"/>
                <w:szCs w:val="21"/>
              </w:rPr>
              <w:t>电子邮箱：</w:t>
            </w:r>
          </w:p>
        </w:tc>
      </w:tr>
      <w:tr w14:paraId="0240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4781" w:type="dxa"/>
            <w:vAlign w:val="center"/>
          </w:tcPr>
          <w:p w14:paraId="076B7242">
            <w:pPr>
              <w:keepNext/>
              <w:snapToGrid w:val="0"/>
              <w:spacing w:line="360" w:lineRule="exact"/>
              <w:rPr>
                <w:rFonts w:ascii="宋体" w:hAnsi="宋体" w:cs="宋体"/>
                <w:szCs w:val="21"/>
              </w:rPr>
            </w:pPr>
            <w:r>
              <w:rPr>
                <w:rFonts w:hint="eastAsia" w:ascii="宋体" w:hAnsi="宋体" w:cs="宋体"/>
                <w:szCs w:val="21"/>
              </w:rPr>
              <w:t>开户银行：</w:t>
            </w:r>
          </w:p>
        </w:tc>
        <w:tc>
          <w:tcPr>
            <w:tcW w:w="4836" w:type="dxa"/>
            <w:vAlign w:val="center"/>
          </w:tcPr>
          <w:p w14:paraId="400B080C">
            <w:pPr>
              <w:keepNext/>
              <w:snapToGrid w:val="0"/>
              <w:spacing w:line="360" w:lineRule="exact"/>
              <w:rPr>
                <w:rFonts w:ascii="宋体" w:hAnsi="宋体" w:cs="宋体"/>
                <w:szCs w:val="21"/>
              </w:rPr>
            </w:pPr>
            <w:r>
              <w:rPr>
                <w:rFonts w:hint="eastAsia" w:ascii="宋体" w:hAnsi="宋体" w:cs="宋体"/>
                <w:szCs w:val="21"/>
              </w:rPr>
              <w:t>开户银行：</w:t>
            </w:r>
          </w:p>
        </w:tc>
      </w:tr>
      <w:tr w14:paraId="66B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exact"/>
          <w:jc w:val="center"/>
        </w:trPr>
        <w:tc>
          <w:tcPr>
            <w:tcW w:w="4781" w:type="dxa"/>
            <w:vAlign w:val="center"/>
          </w:tcPr>
          <w:p w14:paraId="004BBB56">
            <w:pPr>
              <w:keepNext/>
              <w:snapToGrid w:val="0"/>
              <w:spacing w:line="360" w:lineRule="exact"/>
              <w:rPr>
                <w:rFonts w:ascii="宋体" w:hAnsi="宋体" w:cs="宋体"/>
                <w:szCs w:val="21"/>
              </w:rPr>
            </w:pPr>
            <w:r>
              <w:rPr>
                <w:rFonts w:hint="eastAsia" w:ascii="宋体" w:hAnsi="宋体" w:cs="宋体"/>
                <w:szCs w:val="21"/>
              </w:rPr>
              <w:t>账号：</w:t>
            </w:r>
          </w:p>
        </w:tc>
        <w:tc>
          <w:tcPr>
            <w:tcW w:w="4836" w:type="dxa"/>
            <w:vAlign w:val="center"/>
          </w:tcPr>
          <w:p w14:paraId="745E74B5">
            <w:pPr>
              <w:keepNext/>
              <w:snapToGrid w:val="0"/>
              <w:spacing w:line="360" w:lineRule="exact"/>
              <w:rPr>
                <w:rFonts w:ascii="宋体" w:hAnsi="宋体" w:cs="宋体"/>
                <w:szCs w:val="21"/>
              </w:rPr>
            </w:pPr>
            <w:r>
              <w:rPr>
                <w:rFonts w:hint="eastAsia" w:ascii="宋体" w:hAnsi="宋体" w:cs="宋体"/>
                <w:szCs w:val="21"/>
              </w:rPr>
              <w:t>账号：</w:t>
            </w:r>
          </w:p>
        </w:tc>
      </w:tr>
      <w:tr w14:paraId="77F4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jc w:val="center"/>
        </w:trPr>
        <w:tc>
          <w:tcPr>
            <w:tcW w:w="4781" w:type="dxa"/>
            <w:vAlign w:val="center"/>
          </w:tcPr>
          <w:p w14:paraId="140EBEEA">
            <w:pPr>
              <w:keepNext/>
              <w:snapToGrid w:val="0"/>
              <w:spacing w:line="360" w:lineRule="exact"/>
              <w:rPr>
                <w:rFonts w:ascii="宋体" w:hAnsi="宋体" w:cs="宋体"/>
                <w:szCs w:val="21"/>
              </w:rPr>
            </w:pPr>
            <w:r>
              <w:rPr>
                <w:rFonts w:hint="eastAsia" w:ascii="宋体" w:hAnsi="宋体" w:cs="宋体"/>
                <w:szCs w:val="21"/>
              </w:rPr>
              <w:t>邮政编码：</w:t>
            </w:r>
          </w:p>
        </w:tc>
        <w:tc>
          <w:tcPr>
            <w:tcW w:w="4836" w:type="dxa"/>
            <w:vAlign w:val="center"/>
          </w:tcPr>
          <w:p w14:paraId="14BED4C0">
            <w:pPr>
              <w:keepNext/>
              <w:snapToGrid w:val="0"/>
              <w:spacing w:line="360" w:lineRule="exact"/>
              <w:rPr>
                <w:rFonts w:ascii="宋体" w:hAnsi="宋体" w:cs="宋体"/>
                <w:szCs w:val="21"/>
              </w:rPr>
            </w:pPr>
            <w:r>
              <w:rPr>
                <w:rFonts w:hint="eastAsia" w:ascii="宋体" w:hAnsi="宋体" w:cs="宋体"/>
                <w:szCs w:val="21"/>
              </w:rPr>
              <w:t>邮政编码：</w:t>
            </w:r>
          </w:p>
        </w:tc>
      </w:tr>
      <w:tr w14:paraId="7F21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4781" w:type="dxa"/>
            <w:vAlign w:val="center"/>
          </w:tcPr>
          <w:p w14:paraId="7D51BF40">
            <w:pPr>
              <w:keepNext/>
              <w:snapToGrid w:val="0"/>
              <w:spacing w:line="360" w:lineRule="exact"/>
              <w:rPr>
                <w:rFonts w:ascii="宋体" w:hAnsi="宋体" w:cs="宋体"/>
                <w:szCs w:val="21"/>
              </w:rPr>
            </w:pPr>
            <w:r>
              <w:rPr>
                <w:rFonts w:hint="eastAsia" w:ascii="宋体" w:hAnsi="宋体" w:cs="宋体"/>
                <w:szCs w:val="21"/>
              </w:rPr>
              <w:t xml:space="preserve">经办人：      </w:t>
            </w:r>
          </w:p>
          <w:p w14:paraId="4422FBF3">
            <w:pPr>
              <w:keepNext/>
              <w:snapToGrid w:val="0"/>
              <w:spacing w:line="360" w:lineRule="exact"/>
              <w:rPr>
                <w:rFonts w:ascii="宋体" w:hAnsi="宋体" w:cs="宋体"/>
                <w:szCs w:val="21"/>
              </w:rPr>
            </w:pPr>
            <w:r>
              <w:rPr>
                <w:rFonts w:hint="eastAsia" w:ascii="宋体" w:hAnsi="宋体" w:cs="宋体"/>
                <w:szCs w:val="21"/>
              </w:rPr>
              <w:t xml:space="preserve">       </w:t>
            </w:r>
          </w:p>
          <w:p w14:paraId="0D28834E">
            <w:pPr>
              <w:keepNext/>
              <w:snapToGrid w:val="0"/>
              <w:spacing w:line="360" w:lineRule="exact"/>
              <w:ind w:firstLine="3150" w:firstLineChars="1500"/>
              <w:rPr>
                <w:rFonts w:ascii="宋体" w:hAnsi="宋体" w:cs="宋体"/>
                <w:szCs w:val="21"/>
              </w:rPr>
            </w:pPr>
            <w:r>
              <w:rPr>
                <w:rFonts w:hint="eastAsia" w:ascii="宋体" w:hAnsi="宋体" w:cs="宋体"/>
                <w:szCs w:val="21"/>
              </w:rPr>
              <w:t>年   月   日</w:t>
            </w:r>
          </w:p>
        </w:tc>
        <w:tc>
          <w:tcPr>
            <w:tcW w:w="4836" w:type="dxa"/>
            <w:vAlign w:val="center"/>
          </w:tcPr>
          <w:p w14:paraId="6641FBA2">
            <w:pPr>
              <w:keepNext/>
              <w:snapToGrid w:val="0"/>
              <w:spacing w:line="360" w:lineRule="exact"/>
              <w:rPr>
                <w:rFonts w:ascii="宋体" w:hAnsi="宋体" w:cs="宋体"/>
                <w:szCs w:val="21"/>
              </w:rPr>
            </w:pPr>
            <w:r>
              <w:rPr>
                <w:rFonts w:hint="eastAsia" w:ascii="宋体" w:hAnsi="宋体" w:cs="宋体"/>
                <w:szCs w:val="21"/>
              </w:rPr>
              <w:t xml:space="preserve">经办人：    </w:t>
            </w:r>
          </w:p>
          <w:p w14:paraId="0C5F6DD1">
            <w:pPr>
              <w:keepNext/>
              <w:snapToGrid w:val="0"/>
              <w:spacing w:line="360" w:lineRule="exact"/>
              <w:rPr>
                <w:rFonts w:ascii="宋体" w:hAnsi="宋体" w:cs="宋体"/>
                <w:szCs w:val="21"/>
              </w:rPr>
            </w:pPr>
          </w:p>
          <w:p w14:paraId="440496FC">
            <w:pPr>
              <w:keepNext/>
              <w:snapToGrid w:val="0"/>
              <w:spacing w:line="360" w:lineRule="exact"/>
              <w:ind w:firstLine="2940" w:firstLineChars="1400"/>
              <w:jc w:val="right"/>
              <w:rPr>
                <w:rFonts w:ascii="宋体" w:hAnsi="宋体" w:cs="宋体"/>
                <w:szCs w:val="21"/>
              </w:rPr>
            </w:pPr>
            <w:r>
              <w:rPr>
                <w:rFonts w:hint="eastAsia" w:ascii="宋体" w:hAnsi="宋体" w:cs="宋体"/>
                <w:szCs w:val="21"/>
              </w:rPr>
              <w:t>年   月   日</w:t>
            </w:r>
          </w:p>
        </w:tc>
      </w:tr>
    </w:tbl>
    <w:p w14:paraId="33050392">
      <w:pPr>
        <w:snapToGrid w:val="0"/>
        <w:spacing w:line="360" w:lineRule="exact"/>
        <w:jc w:val="center"/>
        <w:rPr>
          <w:rFonts w:ascii="宋体" w:hAnsi="宋体"/>
          <w:b/>
          <w:sz w:val="32"/>
          <w:szCs w:val="32"/>
        </w:rPr>
      </w:pPr>
    </w:p>
    <w:p w14:paraId="6266C7B0">
      <w:pPr>
        <w:snapToGrid w:val="0"/>
        <w:spacing w:line="360" w:lineRule="exact"/>
        <w:jc w:val="center"/>
        <w:rPr>
          <w:rFonts w:ascii="宋体" w:hAnsi="宋体"/>
          <w:b/>
          <w:sz w:val="32"/>
          <w:szCs w:val="32"/>
        </w:rPr>
      </w:pPr>
    </w:p>
    <w:p w14:paraId="5E0F816B">
      <w:pPr>
        <w:spacing w:line="480" w:lineRule="auto"/>
        <w:jc w:val="both"/>
        <w:rPr>
          <w:rFonts w:ascii="宋体" w:hAnsi="宋体" w:cs="宋体"/>
          <w:b/>
          <w:sz w:val="24"/>
        </w:rPr>
      </w:pPr>
    </w:p>
    <w:p w14:paraId="13E4C435">
      <w:pPr>
        <w:rPr>
          <w:rFonts w:cs="仿宋_GB2312" w:asciiTheme="minorEastAsia" w:hAnsiTheme="minorEastAsia" w:eastAsiaTheme="minorEastAsia"/>
          <w:b/>
          <w:sz w:val="36"/>
          <w:szCs w:val="20"/>
        </w:rPr>
      </w:pPr>
      <w:bookmarkStart w:id="88" w:name="_Toc25226"/>
      <w:bookmarkStart w:id="89" w:name="_Toc12922"/>
      <w:r>
        <w:rPr>
          <w:rFonts w:hint="eastAsia" w:cs="仿宋_GB2312" w:asciiTheme="minorEastAsia" w:hAnsiTheme="minorEastAsia" w:eastAsiaTheme="minorEastAsia"/>
          <w:b/>
          <w:sz w:val="36"/>
          <w:szCs w:val="20"/>
        </w:rPr>
        <w:br w:type="page"/>
      </w:r>
    </w:p>
    <w:p w14:paraId="4A47F307">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86"/>
      <w:r>
        <w:rPr>
          <w:rFonts w:hint="eastAsia" w:cs="仿宋_GB2312" w:asciiTheme="minorEastAsia" w:hAnsiTheme="minorEastAsia" w:eastAsiaTheme="minorEastAsia"/>
          <w:b/>
          <w:sz w:val="36"/>
          <w:szCs w:val="20"/>
        </w:rPr>
        <w:t xml:space="preserve"> </w:t>
      </w:r>
      <w:bookmarkEnd w:id="87"/>
      <w:r>
        <w:rPr>
          <w:rFonts w:hint="eastAsia" w:cs="仿宋_GB2312" w:asciiTheme="minorEastAsia" w:hAnsiTheme="minorEastAsia" w:eastAsiaTheme="minorEastAsia"/>
          <w:b/>
          <w:sz w:val="36"/>
          <w:szCs w:val="20"/>
        </w:rPr>
        <w:t>应提交的有关格式范例</w:t>
      </w:r>
      <w:bookmarkEnd w:id="88"/>
      <w:bookmarkEnd w:id="89"/>
    </w:p>
    <w:p w14:paraId="45434236">
      <w:pPr>
        <w:spacing w:line="360" w:lineRule="auto"/>
        <w:outlineLvl w:val="1"/>
        <w:rPr>
          <w:rFonts w:ascii="宋体" w:hAnsi="宋体" w:cs="宋体"/>
          <w:sz w:val="36"/>
          <w:szCs w:val="36"/>
        </w:rPr>
      </w:pPr>
      <w:bookmarkStart w:id="90" w:name="_Toc31211"/>
      <w:r>
        <w:rPr>
          <w:rFonts w:hint="eastAsia" w:ascii="宋体" w:hAnsi="宋体" w:cs="宋体"/>
          <w:sz w:val="36"/>
          <w:szCs w:val="36"/>
        </w:rPr>
        <w:t>(一)资格文件</w:t>
      </w:r>
      <w:bookmarkEnd w:id="90"/>
    </w:p>
    <w:p w14:paraId="404FF652">
      <w:pPr>
        <w:snapToGrid w:val="0"/>
        <w:spacing w:line="360" w:lineRule="auto"/>
        <w:ind w:right="480"/>
        <w:jc w:val="center"/>
        <w:rPr>
          <w:rFonts w:ascii="宋体" w:hAnsi="宋体" w:cs="宋体"/>
          <w:b/>
          <w:bCs/>
          <w:sz w:val="32"/>
          <w:szCs w:val="32"/>
        </w:rPr>
      </w:pPr>
    </w:p>
    <w:p w14:paraId="56A9866C">
      <w:pPr>
        <w:snapToGrid w:val="0"/>
        <w:spacing w:line="360" w:lineRule="auto"/>
        <w:ind w:right="480"/>
        <w:jc w:val="center"/>
        <w:rPr>
          <w:rFonts w:ascii="宋体" w:hAnsi="宋体" w:cs="宋体"/>
          <w:b/>
          <w:bCs/>
          <w:sz w:val="32"/>
          <w:szCs w:val="32"/>
        </w:rPr>
      </w:pPr>
      <w:r>
        <w:rPr>
          <w:rFonts w:hint="eastAsia" w:ascii="宋体" w:hAnsi="宋体" w:cs="宋体"/>
          <w:b/>
          <w:bCs/>
          <w:sz w:val="32"/>
          <w:szCs w:val="32"/>
        </w:rPr>
        <w:t>北海市政府采购供应商信用承诺函（格式）</w:t>
      </w:r>
    </w:p>
    <w:p w14:paraId="4096C6E2">
      <w:pPr>
        <w:snapToGrid w:val="0"/>
        <w:spacing w:line="360" w:lineRule="auto"/>
        <w:rPr>
          <w:rFonts w:ascii="宋体" w:hAnsi="宋体" w:cs="宋体"/>
          <w:sz w:val="24"/>
        </w:rPr>
      </w:pPr>
    </w:p>
    <w:p w14:paraId="7358AA49">
      <w:pPr>
        <w:snapToGrid w:val="0"/>
        <w:spacing w:line="360" w:lineRule="auto"/>
        <w:ind w:right="480"/>
        <w:rPr>
          <w:rFonts w:ascii="宋体" w:hAnsi="宋体" w:cs="宋体"/>
          <w:sz w:val="24"/>
        </w:rPr>
      </w:pPr>
      <w:r>
        <w:rPr>
          <w:rFonts w:hint="eastAsia" w:ascii="宋体" w:hAnsi="宋体" w:cs="宋体"/>
          <w:sz w:val="24"/>
        </w:rPr>
        <w:t>（采购人）、（采购代理机构） ：</w:t>
      </w:r>
    </w:p>
    <w:p w14:paraId="2B8998B9">
      <w:pPr>
        <w:snapToGrid w:val="0"/>
        <w:spacing w:line="360" w:lineRule="auto"/>
        <w:ind w:right="480"/>
        <w:rPr>
          <w:rFonts w:ascii="宋体" w:hAnsi="宋体" w:cs="宋体"/>
          <w:sz w:val="24"/>
        </w:rPr>
      </w:pPr>
      <w:r>
        <w:rPr>
          <w:rFonts w:hint="eastAsia" w:ascii="宋体" w:hAnsi="宋体" w:cs="宋体"/>
          <w:sz w:val="24"/>
        </w:rPr>
        <w:t>供应商名称：</w:t>
      </w:r>
    </w:p>
    <w:p w14:paraId="58B4C1C1">
      <w:pPr>
        <w:snapToGrid w:val="0"/>
        <w:spacing w:line="360" w:lineRule="auto"/>
        <w:ind w:right="480"/>
        <w:rPr>
          <w:rFonts w:ascii="宋体" w:hAnsi="宋体" w:cs="宋体"/>
          <w:sz w:val="24"/>
        </w:rPr>
      </w:pPr>
      <w:r>
        <w:rPr>
          <w:rFonts w:hint="eastAsia" w:ascii="宋体" w:hAnsi="宋体" w:cs="宋体"/>
          <w:sz w:val="24"/>
        </w:rPr>
        <w:t>统一社会信用代码：</w:t>
      </w:r>
    </w:p>
    <w:p w14:paraId="2979ED12">
      <w:pPr>
        <w:snapToGrid w:val="0"/>
        <w:spacing w:line="360" w:lineRule="auto"/>
        <w:ind w:right="480"/>
        <w:rPr>
          <w:rFonts w:ascii="宋体" w:hAnsi="宋体" w:cs="宋体"/>
          <w:sz w:val="24"/>
        </w:rPr>
      </w:pPr>
      <w:r>
        <w:rPr>
          <w:rFonts w:hint="eastAsia" w:ascii="宋体" w:hAnsi="宋体" w:cs="宋体"/>
          <w:sz w:val="24"/>
        </w:rPr>
        <w:t>供应商地址：</w:t>
      </w:r>
    </w:p>
    <w:p w14:paraId="45888ADA">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243B9B2">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1B3795BE">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3E7856B7">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29A38944">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01D5C6EE">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13D480B">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27018E97">
      <w:pPr>
        <w:snapToGrid w:val="0"/>
        <w:spacing w:line="360" w:lineRule="auto"/>
        <w:ind w:right="480"/>
        <w:rPr>
          <w:rFonts w:ascii="宋体" w:hAnsi="宋体" w:cs="宋体"/>
          <w:sz w:val="24"/>
        </w:rPr>
      </w:pPr>
    </w:p>
    <w:p w14:paraId="01C7F100">
      <w:pPr>
        <w:spacing w:line="360" w:lineRule="auto"/>
        <w:ind w:firstLine="3600" w:firstLineChars="1500"/>
        <w:rPr>
          <w:rFonts w:ascii="宋体" w:hAnsi="宋体" w:cs="宋体"/>
          <w:sz w:val="24"/>
        </w:rPr>
      </w:pPr>
      <w:r>
        <w:rPr>
          <w:rFonts w:hint="eastAsia" w:ascii="宋体" w:hAnsi="宋体" w:cs="宋体"/>
          <w:sz w:val="24"/>
        </w:rPr>
        <w:t>磋商供应商名称（公章）：</w:t>
      </w:r>
    </w:p>
    <w:p w14:paraId="6E752B88">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2013EE25">
      <w:pPr>
        <w:spacing w:line="360" w:lineRule="auto"/>
        <w:jc w:val="center"/>
        <w:rPr>
          <w:rFonts w:cs="仿宋_GB2312" w:asciiTheme="minorEastAsia" w:hAnsiTheme="minorEastAsia" w:eastAsiaTheme="minorEastAsia"/>
          <w:b/>
          <w:kern w:val="0"/>
          <w:sz w:val="32"/>
          <w:szCs w:val="32"/>
        </w:rPr>
      </w:pPr>
      <w:r>
        <w:rPr>
          <w:rFonts w:hint="eastAsia" w:ascii="宋体" w:hAnsi="宋体" w:cs="宋体"/>
          <w:sz w:val="24"/>
        </w:rPr>
        <w:t xml:space="preserve">     日期：  年   月   日</w:t>
      </w:r>
    </w:p>
    <w:p w14:paraId="37A3B944">
      <w:pPr>
        <w:spacing w:line="360" w:lineRule="auto"/>
        <w:jc w:val="center"/>
        <w:rPr>
          <w:rFonts w:cs="仿宋_GB2312" w:asciiTheme="minorEastAsia" w:hAnsiTheme="minorEastAsia" w:eastAsiaTheme="minorEastAsia"/>
          <w:b/>
          <w:kern w:val="0"/>
          <w:sz w:val="32"/>
          <w:szCs w:val="32"/>
        </w:rPr>
      </w:pPr>
    </w:p>
    <w:p w14:paraId="1F07258B">
      <w:pPr>
        <w:spacing w:line="360" w:lineRule="auto"/>
        <w:rPr>
          <w:rFonts w:cs="仿宋_GB2312" w:asciiTheme="minorEastAsia" w:hAnsiTheme="minorEastAsia" w:eastAsiaTheme="minorEastAsia"/>
          <w:b/>
          <w:kern w:val="0"/>
          <w:sz w:val="32"/>
          <w:szCs w:val="32"/>
        </w:rPr>
      </w:pPr>
    </w:p>
    <w:p w14:paraId="7038160B">
      <w:pPr>
        <w:rPr>
          <w:rFonts w:ascii="宋体" w:hAnsi="宋体" w:cs="宋体"/>
          <w:sz w:val="36"/>
          <w:szCs w:val="36"/>
        </w:rPr>
      </w:pPr>
      <w:bookmarkStart w:id="91" w:name="_Toc30426"/>
      <w:r>
        <w:rPr>
          <w:rFonts w:hint="eastAsia" w:ascii="宋体" w:hAnsi="宋体" w:cs="宋体"/>
          <w:sz w:val="36"/>
          <w:szCs w:val="36"/>
        </w:rPr>
        <w:br w:type="page"/>
      </w:r>
    </w:p>
    <w:p w14:paraId="32B287F4">
      <w:pPr>
        <w:widowControl/>
        <w:adjustRightInd/>
        <w:jc w:val="left"/>
        <w:outlineLvl w:val="1"/>
        <w:rPr>
          <w:rFonts w:ascii="宋体" w:hAnsi="宋体" w:cs="宋体"/>
          <w:sz w:val="36"/>
          <w:szCs w:val="36"/>
        </w:rPr>
      </w:pPr>
      <w:r>
        <w:rPr>
          <w:rFonts w:hint="eastAsia" w:ascii="宋体" w:hAnsi="宋体" w:cs="宋体"/>
          <w:sz w:val="36"/>
          <w:szCs w:val="36"/>
        </w:rPr>
        <w:t>(二)报价文件</w:t>
      </w:r>
      <w:bookmarkEnd w:id="91"/>
    </w:p>
    <w:p w14:paraId="06165B1C">
      <w:pPr>
        <w:snapToGrid w:val="0"/>
        <w:spacing w:before="120" w:beforeLines="50" w:after="50"/>
        <w:jc w:val="center"/>
        <w:rPr>
          <w:rFonts w:ascii="宋体" w:hAnsi="宋体" w:cs="宋体"/>
          <w:bCs/>
          <w:sz w:val="44"/>
          <w:szCs w:val="44"/>
        </w:rPr>
      </w:pPr>
    </w:p>
    <w:p w14:paraId="22B1EEE1">
      <w:pPr>
        <w:snapToGrid w:val="0"/>
        <w:spacing w:before="120" w:beforeLines="50" w:after="50"/>
        <w:jc w:val="center"/>
        <w:rPr>
          <w:rFonts w:ascii="宋体" w:hAnsi="宋体" w:cs="宋体"/>
          <w:bCs/>
          <w:sz w:val="44"/>
          <w:szCs w:val="44"/>
        </w:rPr>
      </w:pPr>
    </w:p>
    <w:p w14:paraId="1F25FFF0">
      <w:pPr>
        <w:snapToGrid w:val="0"/>
        <w:spacing w:before="120" w:beforeLines="50" w:after="50"/>
        <w:jc w:val="center"/>
        <w:rPr>
          <w:rFonts w:ascii="宋体" w:hAnsi="宋体" w:cs="宋体"/>
          <w:bCs/>
          <w:sz w:val="44"/>
          <w:szCs w:val="44"/>
        </w:rPr>
      </w:pPr>
    </w:p>
    <w:p w14:paraId="0FD857A2">
      <w:pPr>
        <w:snapToGrid w:val="0"/>
        <w:spacing w:before="120" w:beforeLines="50" w:after="50"/>
        <w:jc w:val="center"/>
        <w:rPr>
          <w:rFonts w:ascii="宋体" w:hAnsi="宋体" w:cs="宋体"/>
          <w:bCs/>
          <w:sz w:val="44"/>
          <w:szCs w:val="44"/>
        </w:rPr>
      </w:pPr>
      <w:r>
        <w:rPr>
          <w:rFonts w:hint="eastAsia" w:ascii="宋体" w:hAnsi="宋体" w:cs="宋体"/>
          <w:bCs/>
          <w:sz w:val="44"/>
          <w:szCs w:val="44"/>
        </w:rPr>
        <w:t>报  价  文  件</w:t>
      </w:r>
    </w:p>
    <w:p w14:paraId="79A6933A">
      <w:pPr>
        <w:snapToGrid w:val="0"/>
        <w:spacing w:before="120" w:beforeLines="50" w:after="50"/>
        <w:jc w:val="center"/>
        <w:rPr>
          <w:rFonts w:ascii="宋体" w:hAnsi="宋体" w:cs="宋体"/>
          <w:bCs/>
          <w:sz w:val="24"/>
          <w:szCs w:val="20"/>
        </w:rPr>
      </w:pPr>
      <w:r>
        <w:rPr>
          <w:rFonts w:hint="eastAsia" w:ascii="宋体" w:hAnsi="宋体" w:cs="宋体"/>
          <w:b/>
          <w:sz w:val="44"/>
          <w:szCs w:val="44"/>
        </w:rPr>
        <w:t>（电子交易）</w:t>
      </w:r>
    </w:p>
    <w:p w14:paraId="066B0CD0">
      <w:pPr>
        <w:snapToGrid w:val="0"/>
        <w:spacing w:before="120" w:beforeLines="50" w:after="50"/>
        <w:rPr>
          <w:rFonts w:ascii="宋体" w:hAnsi="宋体" w:cs="宋体"/>
          <w:bCs/>
          <w:sz w:val="24"/>
          <w:szCs w:val="20"/>
        </w:rPr>
      </w:pPr>
    </w:p>
    <w:p w14:paraId="53D73B0A">
      <w:pPr>
        <w:snapToGrid w:val="0"/>
        <w:spacing w:before="120" w:beforeLines="50" w:after="50"/>
        <w:rPr>
          <w:rFonts w:ascii="宋体" w:hAnsi="宋体" w:cs="宋体"/>
          <w:bCs/>
          <w:sz w:val="24"/>
          <w:szCs w:val="20"/>
        </w:rPr>
      </w:pPr>
    </w:p>
    <w:p w14:paraId="0300C04F">
      <w:pPr>
        <w:snapToGrid w:val="0"/>
        <w:spacing w:before="120" w:beforeLines="50" w:after="50"/>
        <w:rPr>
          <w:rFonts w:ascii="宋体" w:hAnsi="宋体" w:cs="宋体"/>
          <w:bCs/>
          <w:sz w:val="24"/>
          <w:szCs w:val="20"/>
        </w:rPr>
      </w:pPr>
    </w:p>
    <w:p w14:paraId="4EDE49BA">
      <w:pPr>
        <w:snapToGrid w:val="0"/>
        <w:spacing w:before="120" w:beforeLines="50" w:after="50"/>
        <w:rPr>
          <w:rFonts w:ascii="宋体" w:hAnsi="宋体" w:cs="宋体"/>
          <w:bCs/>
          <w:sz w:val="24"/>
          <w:szCs w:val="20"/>
        </w:rPr>
      </w:pPr>
    </w:p>
    <w:p w14:paraId="40BF32CC">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020C9EDE">
      <w:pPr>
        <w:snapToGrid w:val="0"/>
        <w:spacing w:before="120" w:beforeLines="50" w:after="50"/>
        <w:ind w:firstLine="720" w:firstLineChars="225"/>
        <w:rPr>
          <w:rFonts w:ascii="宋体" w:hAnsi="宋体" w:cs="宋体"/>
          <w:bCs/>
          <w:sz w:val="32"/>
          <w:szCs w:val="32"/>
        </w:rPr>
      </w:pPr>
    </w:p>
    <w:p w14:paraId="39376D8F">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1E72E8A9">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3954607B">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7506144A">
      <w:pPr>
        <w:snapToGrid w:val="0"/>
        <w:spacing w:before="120" w:beforeLines="50" w:after="50"/>
        <w:ind w:firstLine="720" w:firstLineChars="225"/>
        <w:rPr>
          <w:rFonts w:ascii="宋体" w:hAnsi="宋体" w:cs="宋体"/>
          <w:bCs/>
          <w:sz w:val="32"/>
          <w:szCs w:val="32"/>
        </w:rPr>
      </w:pPr>
    </w:p>
    <w:p w14:paraId="05455146">
      <w:pPr>
        <w:pStyle w:val="15"/>
        <w:spacing w:before="50" w:after="50"/>
        <w:ind w:firstLine="720" w:firstLineChars="225"/>
        <w:rPr>
          <w:rFonts w:hAnsi="宋体" w:cs="宋体"/>
          <w:bCs/>
          <w:color w:val="auto"/>
          <w:sz w:val="32"/>
          <w:szCs w:val="32"/>
        </w:rPr>
      </w:pPr>
      <w:r>
        <w:rPr>
          <w:rFonts w:hint="eastAsia" w:hAnsi="宋体" w:cs="宋体"/>
          <w:bCs/>
          <w:color w:val="auto"/>
          <w:sz w:val="32"/>
          <w:szCs w:val="32"/>
        </w:rPr>
        <w:t>供应商名称：</w:t>
      </w:r>
    </w:p>
    <w:p w14:paraId="4F4B9D9B">
      <w:pPr>
        <w:snapToGrid w:val="0"/>
        <w:spacing w:before="120" w:beforeLines="50" w:after="50"/>
        <w:ind w:firstLine="640" w:firstLineChars="200"/>
        <w:rPr>
          <w:rFonts w:ascii="宋体" w:hAnsi="宋体" w:cs="宋体"/>
          <w:bCs/>
          <w:sz w:val="32"/>
          <w:szCs w:val="32"/>
        </w:rPr>
      </w:pPr>
    </w:p>
    <w:p w14:paraId="22EA1F79">
      <w:pPr>
        <w:pStyle w:val="15"/>
        <w:spacing w:before="50" w:after="50"/>
        <w:ind w:firstLine="720" w:firstLineChars="225"/>
        <w:rPr>
          <w:rFonts w:hAnsi="宋体" w:cs="宋体"/>
          <w:bCs/>
          <w:color w:val="auto"/>
          <w:sz w:val="32"/>
          <w:szCs w:val="32"/>
        </w:rPr>
      </w:pPr>
    </w:p>
    <w:p w14:paraId="0AC62879">
      <w:pPr>
        <w:pStyle w:val="15"/>
        <w:spacing w:before="50" w:after="50"/>
        <w:ind w:firstLine="720" w:firstLineChars="225"/>
        <w:rPr>
          <w:rFonts w:hAnsi="宋体" w:cs="宋体"/>
          <w:bCs/>
          <w:color w:val="auto"/>
          <w:sz w:val="32"/>
          <w:szCs w:val="32"/>
        </w:rPr>
      </w:pPr>
    </w:p>
    <w:p w14:paraId="6F0B5051">
      <w:pPr>
        <w:pStyle w:val="15"/>
        <w:spacing w:before="50" w:after="50"/>
        <w:ind w:firstLine="1280" w:firstLineChars="400"/>
        <w:rPr>
          <w:rFonts w:hAnsi="宋体" w:cs="宋体"/>
          <w:bCs/>
          <w:color w:val="auto"/>
          <w:sz w:val="32"/>
          <w:szCs w:val="32"/>
        </w:rPr>
      </w:pPr>
    </w:p>
    <w:p w14:paraId="201533A1">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686A793C">
      <w:pPr>
        <w:snapToGrid w:val="0"/>
        <w:spacing w:before="120" w:beforeLines="50" w:after="50"/>
        <w:rPr>
          <w:rFonts w:ascii="宋体" w:hAnsi="宋体" w:cs="宋体"/>
          <w:sz w:val="32"/>
          <w:szCs w:val="32"/>
        </w:rPr>
      </w:pPr>
    </w:p>
    <w:p w14:paraId="57B9D327">
      <w:pPr>
        <w:rPr>
          <w:b/>
          <w:sz w:val="32"/>
          <w:szCs w:val="32"/>
        </w:rPr>
      </w:pPr>
      <w:r>
        <w:rPr>
          <w:rFonts w:hint="eastAsia"/>
          <w:b/>
          <w:sz w:val="32"/>
          <w:szCs w:val="32"/>
        </w:rPr>
        <w:br w:type="page"/>
      </w:r>
    </w:p>
    <w:p w14:paraId="0EE66FA3">
      <w:pPr>
        <w:pStyle w:val="633"/>
        <w:jc w:val="center"/>
        <w:rPr>
          <w:b/>
          <w:sz w:val="32"/>
          <w:szCs w:val="32"/>
        </w:rPr>
      </w:pPr>
      <w:r>
        <w:rPr>
          <w:rFonts w:hint="eastAsia"/>
          <w:b/>
          <w:sz w:val="32"/>
          <w:szCs w:val="32"/>
        </w:rPr>
        <w:t>报价一览表</w:t>
      </w:r>
    </w:p>
    <w:p w14:paraId="39558C58">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21F5D46D">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sz w:val="24"/>
          <w:u w:val="single"/>
        </w:rPr>
        <w:t>（项目名称）【项目编号：（采购编号）】</w:t>
      </w:r>
      <w:r>
        <w:rPr>
          <w:rFonts w:hint="eastAsia" w:cs="仿宋_GB2312" w:asciiTheme="minorEastAsia" w:hAnsiTheme="minorEastAsia" w:eastAsiaTheme="minorEastAsia"/>
          <w:kern w:val="0"/>
          <w:sz w:val="24"/>
          <w:lang w:val="zh-CN"/>
        </w:rPr>
        <w:t>的实施。</w:t>
      </w:r>
    </w:p>
    <w:p w14:paraId="6EE325DF">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报价一览表(单位为</w:t>
      </w:r>
      <w:r>
        <w:rPr>
          <w:rFonts w:hint="eastAsia" w:cs="仿宋_GB2312" w:asciiTheme="minorEastAsia" w:hAnsiTheme="minorEastAsia" w:eastAsiaTheme="minorEastAsia"/>
          <w:b/>
          <w:kern w:val="0"/>
          <w:sz w:val="24"/>
        </w:rPr>
        <w:t>元</w:t>
      </w:r>
      <w:r>
        <w:rPr>
          <w:rFonts w:hint="eastAsia" w:cs="仿宋_GB2312" w:asciiTheme="minorEastAsia" w:hAnsiTheme="minorEastAsia" w:eastAsiaTheme="minorEastAsia"/>
          <w:b/>
          <w:kern w:val="0"/>
          <w:sz w:val="24"/>
          <w:lang w:val="zh-CN"/>
        </w:rPr>
        <w:t>)</w:t>
      </w:r>
    </w:p>
    <w:tbl>
      <w:tblPr>
        <w:tblStyle w:val="61"/>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913"/>
        <w:gridCol w:w="1508"/>
        <w:gridCol w:w="1359"/>
        <w:gridCol w:w="2479"/>
        <w:gridCol w:w="1594"/>
      </w:tblGrid>
      <w:tr w14:paraId="6AA9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56" w:type="pct"/>
            <w:vAlign w:val="center"/>
          </w:tcPr>
          <w:p w14:paraId="1B30D8C5">
            <w:pPr>
              <w:spacing w:line="360" w:lineRule="auto"/>
              <w:jc w:val="center"/>
              <w:rPr>
                <w:rFonts w:ascii="宋体" w:hAnsi="宋体" w:cs="宋体"/>
                <w:b/>
                <w:sz w:val="24"/>
              </w:rPr>
            </w:pPr>
            <w:r>
              <w:rPr>
                <w:rFonts w:hint="eastAsia" w:ascii="宋体" w:hAnsi="宋体" w:cs="宋体"/>
                <w:b/>
                <w:sz w:val="24"/>
              </w:rPr>
              <w:t>序号</w:t>
            </w:r>
          </w:p>
        </w:tc>
        <w:tc>
          <w:tcPr>
            <w:tcW w:w="1025" w:type="pct"/>
            <w:vAlign w:val="center"/>
          </w:tcPr>
          <w:p w14:paraId="3BF8C1AD">
            <w:pPr>
              <w:spacing w:line="360" w:lineRule="auto"/>
              <w:jc w:val="center"/>
              <w:rPr>
                <w:rFonts w:ascii="宋体" w:hAnsi="宋体" w:cs="宋体"/>
                <w:b/>
                <w:sz w:val="24"/>
              </w:rPr>
            </w:pPr>
            <w:r>
              <w:rPr>
                <w:rFonts w:hint="eastAsia" w:ascii="宋体" w:hAnsi="宋体"/>
                <w:b/>
                <w:sz w:val="24"/>
              </w:rPr>
              <w:t>标的的名称</w:t>
            </w:r>
          </w:p>
        </w:tc>
        <w:tc>
          <w:tcPr>
            <w:tcW w:w="808" w:type="pct"/>
            <w:vAlign w:val="center"/>
          </w:tcPr>
          <w:p w14:paraId="512AE7F5">
            <w:pPr>
              <w:spacing w:line="360" w:lineRule="auto"/>
              <w:jc w:val="center"/>
              <w:rPr>
                <w:rFonts w:ascii="宋体" w:hAnsi="宋体" w:cs="宋体"/>
                <w:b/>
                <w:sz w:val="24"/>
              </w:rPr>
            </w:pPr>
            <w:r>
              <w:rPr>
                <w:rFonts w:hint="eastAsia" w:ascii="宋体" w:hAnsi="宋体" w:cs="宋体"/>
                <w:b/>
                <w:sz w:val="24"/>
              </w:rPr>
              <w:t>数量及单位</w:t>
            </w:r>
          </w:p>
        </w:tc>
        <w:tc>
          <w:tcPr>
            <w:tcW w:w="728" w:type="pct"/>
            <w:vAlign w:val="center"/>
          </w:tcPr>
          <w:p w14:paraId="7611813C">
            <w:pPr>
              <w:spacing w:line="360" w:lineRule="auto"/>
              <w:jc w:val="center"/>
              <w:rPr>
                <w:rFonts w:ascii="宋体" w:hAnsi="宋体" w:cs="宋体"/>
                <w:b/>
                <w:sz w:val="24"/>
              </w:rPr>
            </w:pPr>
            <w:r>
              <w:rPr>
                <w:rFonts w:hint="eastAsia" w:ascii="宋体" w:hAnsi="宋体" w:cs="宋体"/>
                <w:b/>
                <w:sz w:val="24"/>
              </w:rPr>
              <w:t>服务期限</w:t>
            </w:r>
          </w:p>
        </w:tc>
        <w:tc>
          <w:tcPr>
            <w:tcW w:w="1328" w:type="pct"/>
            <w:vAlign w:val="center"/>
          </w:tcPr>
          <w:p w14:paraId="1897D5D5">
            <w:pPr>
              <w:spacing w:line="360" w:lineRule="auto"/>
              <w:jc w:val="center"/>
              <w:rPr>
                <w:rFonts w:ascii="宋体" w:hAnsi="宋体" w:cs="宋体"/>
                <w:b/>
                <w:sz w:val="24"/>
              </w:rPr>
            </w:pPr>
            <w:r>
              <w:rPr>
                <w:rFonts w:hint="eastAsia" w:ascii="宋体" w:hAnsi="宋体" w:cs="宋体"/>
                <w:b/>
                <w:sz w:val="24"/>
              </w:rPr>
              <w:t>竞标报价（元）</w:t>
            </w:r>
          </w:p>
        </w:tc>
        <w:tc>
          <w:tcPr>
            <w:tcW w:w="854" w:type="pct"/>
            <w:vAlign w:val="center"/>
          </w:tcPr>
          <w:p w14:paraId="13F309C0">
            <w:pPr>
              <w:spacing w:line="360" w:lineRule="auto"/>
              <w:jc w:val="center"/>
              <w:rPr>
                <w:rFonts w:ascii="宋体" w:hAnsi="宋体" w:cs="宋体"/>
                <w:b/>
                <w:sz w:val="24"/>
              </w:rPr>
            </w:pPr>
          </w:p>
          <w:p w14:paraId="6DC9B528">
            <w:pPr>
              <w:spacing w:line="360" w:lineRule="auto"/>
              <w:jc w:val="center"/>
              <w:rPr>
                <w:rFonts w:ascii="宋体" w:hAnsi="宋体" w:cs="宋体"/>
                <w:b/>
                <w:sz w:val="24"/>
              </w:rPr>
            </w:pPr>
            <w:r>
              <w:rPr>
                <w:rFonts w:hint="eastAsia" w:ascii="宋体" w:hAnsi="宋体" w:cs="宋体"/>
                <w:b/>
                <w:sz w:val="24"/>
              </w:rPr>
              <w:t>备注</w:t>
            </w:r>
          </w:p>
          <w:p w14:paraId="6E37B863">
            <w:pPr>
              <w:spacing w:line="360" w:lineRule="auto"/>
              <w:jc w:val="center"/>
              <w:rPr>
                <w:rFonts w:ascii="宋体" w:hAnsi="宋体" w:cs="宋体"/>
                <w:b/>
                <w:sz w:val="24"/>
              </w:rPr>
            </w:pPr>
          </w:p>
        </w:tc>
      </w:tr>
      <w:tr w14:paraId="27D1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56" w:type="pct"/>
            <w:vAlign w:val="center"/>
          </w:tcPr>
          <w:p w14:paraId="0A7A3A26">
            <w:pPr>
              <w:spacing w:line="360" w:lineRule="auto"/>
              <w:jc w:val="center"/>
              <w:rPr>
                <w:rFonts w:ascii="宋体" w:hAnsi="宋体" w:cs="宋体"/>
                <w:b/>
                <w:sz w:val="24"/>
              </w:rPr>
            </w:pPr>
            <w:r>
              <w:rPr>
                <w:rFonts w:hint="eastAsia" w:ascii="宋体" w:hAnsi="宋体" w:cs="宋体"/>
                <w:b/>
                <w:sz w:val="24"/>
              </w:rPr>
              <w:t>1</w:t>
            </w:r>
          </w:p>
        </w:tc>
        <w:tc>
          <w:tcPr>
            <w:tcW w:w="1025" w:type="pct"/>
            <w:vAlign w:val="center"/>
          </w:tcPr>
          <w:p w14:paraId="0E15702A">
            <w:pPr>
              <w:spacing w:line="360" w:lineRule="auto"/>
              <w:jc w:val="center"/>
              <w:rPr>
                <w:rFonts w:ascii="宋体" w:hAnsi="宋体"/>
                <w:b/>
                <w:sz w:val="24"/>
              </w:rPr>
            </w:pPr>
          </w:p>
        </w:tc>
        <w:tc>
          <w:tcPr>
            <w:tcW w:w="808" w:type="pct"/>
            <w:vAlign w:val="center"/>
          </w:tcPr>
          <w:p w14:paraId="677CC31D">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1项</w:t>
            </w:r>
          </w:p>
        </w:tc>
        <w:tc>
          <w:tcPr>
            <w:tcW w:w="728" w:type="pct"/>
            <w:vAlign w:val="center"/>
          </w:tcPr>
          <w:p w14:paraId="385610CB">
            <w:pPr>
              <w:spacing w:line="360" w:lineRule="auto"/>
              <w:jc w:val="center"/>
              <w:rPr>
                <w:rFonts w:ascii="宋体" w:hAnsi="宋体" w:cs="宋体"/>
                <w:b/>
                <w:sz w:val="24"/>
              </w:rPr>
            </w:pPr>
          </w:p>
        </w:tc>
        <w:tc>
          <w:tcPr>
            <w:tcW w:w="1328" w:type="pct"/>
            <w:vAlign w:val="center"/>
          </w:tcPr>
          <w:p w14:paraId="58CF0CBE">
            <w:pPr>
              <w:spacing w:line="360" w:lineRule="auto"/>
              <w:jc w:val="center"/>
              <w:rPr>
                <w:rFonts w:ascii="宋体" w:hAnsi="宋体" w:cs="宋体"/>
                <w:b/>
                <w:sz w:val="24"/>
              </w:rPr>
            </w:pPr>
          </w:p>
        </w:tc>
        <w:tc>
          <w:tcPr>
            <w:tcW w:w="854" w:type="pct"/>
            <w:vAlign w:val="center"/>
          </w:tcPr>
          <w:p w14:paraId="1A28BC6D">
            <w:pPr>
              <w:spacing w:line="360" w:lineRule="auto"/>
              <w:jc w:val="center"/>
              <w:rPr>
                <w:rFonts w:ascii="宋体" w:hAnsi="宋体" w:cs="宋体"/>
                <w:b/>
                <w:sz w:val="24"/>
              </w:rPr>
            </w:pPr>
          </w:p>
        </w:tc>
      </w:tr>
      <w:tr w14:paraId="0BBE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89" w:type="pct"/>
            <w:gridSpan w:val="3"/>
            <w:vAlign w:val="center"/>
          </w:tcPr>
          <w:p w14:paraId="288ADF9B">
            <w:pPr>
              <w:spacing w:line="360" w:lineRule="auto"/>
              <w:jc w:val="center"/>
              <w:rPr>
                <w:rFonts w:ascii="宋体" w:hAnsi="宋体" w:cs="宋体"/>
                <w:b/>
                <w:sz w:val="24"/>
              </w:rPr>
            </w:pPr>
            <w:r>
              <w:rPr>
                <w:rFonts w:hint="eastAsia" w:ascii="宋体" w:hAnsi="宋体" w:cs="宋体"/>
                <w:b/>
                <w:sz w:val="24"/>
              </w:rPr>
              <w:t>竞标报价（大写）</w:t>
            </w:r>
          </w:p>
        </w:tc>
        <w:tc>
          <w:tcPr>
            <w:tcW w:w="2910" w:type="pct"/>
            <w:gridSpan w:val="3"/>
          </w:tcPr>
          <w:p w14:paraId="72B1029D">
            <w:pPr>
              <w:spacing w:line="360" w:lineRule="auto"/>
              <w:jc w:val="center"/>
              <w:rPr>
                <w:rFonts w:ascii="宋体" w:hAnsi="宋体" w:cs="宋体"/>
                <w:sz w:val="24"/>
              </w:rPr>
            </w:pPr>
          </w:p>
        </w:tc>
      </w:tr>
    </w:tbl>
    <w:p w14:paraId="1CF371AC">
      <w:pPr>
        <w:spacing w:line="288" w:lineRule="auto"/>
        <w:ind w:left="-2" w:leftChars="-1" w:firstLine="480" w:firstLineChars="200"/>
        <w:rPr>
          <w:rFonts w:cs="仿宋_GB2312" w:asciiTheme="minorEastAsia" w:hAnsiTheme="minorEastAsia" w:eastAsiaTheme="minorEastAsia"/>
          <w:sz w:val="24"/>
        </w:rPr>
      </w:pPr>
    </w:p>
    <w:p w14:paraId="425C87C9">
      <w:pPr>
        <w:spacing w:line="288"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72D1FB9D">
      <w:pPr>
        <w:snapToGrid w:val="0"/>
        <w:spacing w:line="288"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7CAEAED1">
      <w:pPr>
        <w:snapToGrid w:val="0"/>
        <w:spacing w:line="288"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主要成交标的名称、服务范围、服务要求、服务期限、服务标准等予以公示</w:t>
      </w:r>
      <w:r>
        <w:rPr>
          <w:rFonts w:hint="eastAsia" w:cs="仿宋_GB2312" w:asciiTheme="minorEastAsia" w:hAnsiTheme="minorEastAsia" w:eastAsiaTheme="minorEastAsia"/>
          <w:kern w:val="0"/>
          <w:sz w:val="24"/>
          <w:lang w:val="zh-CN"/>
        </w:rPr>
        <w:t>。</w:t>
      </w:r>
    </w:p>
    <w:p w14:paraId="547580A2">
      <w:pPr>
        <w:spacing w:line="288"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3AD4B8AB">
      <w:pPr>
        <w:spacing w:line="360" w:lineRule="auto"/>
        <w:ind w:right="-874" w:rightChars="-416"/>
        <w:rPr>
          <w:rFonts w:cs="仿宋_GB2312" w:asciiTheme="minorEastAsia" w:hAnsiTheme="minorEastAsia" w:eastAsiaTheme="minorEastAsia"/>
          <w:sz w:val="24"/>
        </w:rPr>
      </w:pPr>
    </w:p>
    <w:p w14:paraId="0DBD4E97">
      <w:pPr>
        <w:autoSpaceDE w:val="0"/>
        <w:autoSpaceDN w:val="0"/>
        <w:spacing w:line="360" w:lineRule="auto"/>
        <w:ind w:firstLine="4536" w:firstLineChars="189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磋商供应商名称(公章)：</w:t>
      </w:r>
    </w:p>
    <w:p w14:paraId="327CC1DC">
      <w:pPr>
        <w:autoSpaceDE w:val="0"/>
        <w:autoSpaceDN w:val="0"/>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法定代表人（负责人）或委托代理人(签名)：</w:t>
      </w:r>
    </w:p>
    <w:p w14:paraId="7725E7F0">
      <w:pPr>
        <w:spacing w:line="360" w:lineRule="auto"/>
        <w:jc w:val="center"/>
        <w:rPr>
          <w:rFonts w:asciiTheme="minorEastAsia" w:hAnsiTheme="minorEastAsia" w:eastAsiaTheme="minorEastAsia"/>
          <w:sz w:val="24"/>
        </w:rPr>
      </w:pP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043FEC49">
      <w:pPr>
        <w:rPr>
          <w:rFonts w:ascii="宋体" w:hAnsi="宋体" w:cs="宋体"/>
          <w:sz w:val="36"/>
          <w:szCs w:val="36"/>
        </w:rPr>
      </w:pPr>
      <w:bookmarkStart w:id="92" w:name="_Toc14409"/>
      <w:r>
        <w:rPr>
          <w:rFonts w:hint="eastAsia" w:ascii="宋体" w:hAnsi="宋体" w:cs="宋体"/>
          <w:sz w:val="36"/>
          <w:szCs w:val="36"/>
        </w:rPr>
        <w:br w:type="page"/>
      </w:r>
    </w:p>
    <w:p w14:paraId="23585702">
      <w:pPr>
        <w:spacing w:line="360" w:lineRule="auto"/>
        <w:outlineLvl w:val="1"/>
        <w:rPr>
          <w:rFonts w:ascii="宋体" w:hAnsi="宋体" w:cs="宋体"/>
          <w:sz w:val="36"/>
          <w:szCs w:val="36"/>
        </w:rPr>
      </w:pPr>
      <w:r>
        <w:rPr>
          <w:rFonts w:hint="eastAsia" w:ascii="宋体" w:hAnsi="宋体" w:cs="宋体"/>
          <w:sz w:val="36"/>
          <w:szCs w:val="36"/>
        </w:rPr>
        <w:t>(三)商务技术文件</w:t>
      </w:r>
      <w:bookmarkEnd w:id="92"/>
    </w:p>
    <w:p w14:paraId="0F0E9AD5">
      <w:pPr>
        <w:snapToGrid w:val="0"/>
        <w:spacing w:before="120" w:beforeLines="50" w:after="50"/>
        <w:jc w:val="center"/>
        <w:rPr>
          <w:rFonts w:ascii="宋体" w:hAnsi="宋体" w:cs="宋体"/>
          <w:bCs/>
          <w:sz w:val="44"/>
          <w:szCs w:val="44"/>
        </w:rPr>
      </w:pPr>
    </w:p>
    <w:p w14:paraId="3E568C36">
      <w:pPr>
        <w:snapToGrid w:val="0"/>
        <w:spacing w:before="120" w:beforeLines="50" w:after="50"/>
        <w:jc w:val="center"/>
        <w:rPr>
          <w:rFonts w:ascii="宋体" w:hAnsi="宋体" w:cs="宋体"/>
          <w:bCs/>
          <w:sz w:val="44"/>
          <w:szCs w:val="44"/>
        </w:rPr>
      </w:pPr>
      <w:r>
        <w:rPr>
          <w:rFonts w:hint="eastAsia" w:ascii="宋体" w:hAnsi="宋体" w:cs="宋体"/>
          <w:bCs/>
          <w:sz w:val="44"/>
          <w:szCs w:val="44"/>
        </w:rPr>
        <w:t>商  务  技  术  文  件</w:t>
      </w:r>
    </w:p>
    <w:p w14:paraId="194DBB40">
      <w:pPr>
        <w:snapToGrid w:val="0"/>
        <w:spacing w:before="120" w:beforeLines="50" w:after="50"/>
        <w:jc w:val="center"/>
        <w:rPr>
          <w:rFonts w:ascii="宋体" w:hAnsi="宋体" w:cs="宋体"/>
          <w:bCs/>
          <w:sz w:val="24"/>
          <w:szCs w:val="20"/>
        </w:rPr>
      </w:pPr>
      <w:r>
        <w:rPr>
          <w:rFonts w:hint="eastAsia" w:ascii="宋体" w:hAnsi="宋体" w:cs="宋体"/>
          <w:b/>
          <w:sz w:val="44"/>
          <w:szCs w:val="44"/>
        </w:rPr>
        <w:t>（电子交易）</w:t>
      </w:r>
    </w:p>
    <w:p w14:paraId="5615529A">
      <w:pPr>
        <w:snapToGrid w:val="0"/>
        <w:spacing w:before="120" w:beforeLines="50" w:after="50"/>
        <w:rPr>
          <w:rFonts w:ascii="宋体" w:hAnsi="宋体" w:cs="宋体"/>
          <w:bCs/>
          <w:sz w:val="24"/>
          <w:szCs w:val="20"/>
        </w:rPr>
      </w:pPr>
    </w:p>
    <w:p w14:paraId="0B0EBB4F">
      <w:pPr>
        <w:snapToGrid w:val="0"/>
        <w:spacing w:before="120" w:beforeLines="50" w:after="50"/>
        <w:rPr>
          <w:rFonts w:ascii="宋体" w:hAnsi="宋体" w:cs="宋体"/>
          <w:bCs/>
          <w:sz w:val="24"/>
          <w:szCs w:val="20"/>
        </w:rPr>
      </w:pPr>
    </w:p>
    <w:p w14:paraId="4F34859D">
      <w:pPr>
        <w:snapToGrid w:val="0"/>
        <w:spacing w:before="120" w:beforeLines="50" w:after="50"/>
        <w:rPr>
          <w:rFonts w:ascii="宋体" w:hAnsi="宋体" w:cs="宋体"/>
          <w:bCs/>
          <w:sz w:val="24"/>
          <w:szCs w:val="20"/>
        </w:rPr>
      </w:pPr>
    </w:p>
    <w:p w14:paraId="2CF6AF8E">
      <w:pPr>
        <w:snapToGrid w:val="0"/>
        <w:spacing w:before="120" w:beforeLines="50" w:after="50"/>
        <w:rPr>
          <w:rFonts w:ascii="宋体" w:hAnsi="宋体" w:cs="宋体"/>
          <w:bCs/>
          <w:sz w:val="24"/>
          <w:szCs w:val="20"/>
        </w:rPr>
      </w:pPr>
    </w:p>
    <w:p w14:paraId="0EB9940F">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0071C324">
      <w:pPr>
        <w:snapToGrid w:val="0"/>
        <w:spacing w:before="120" w:beforeLines="50" w:after="50"/>
        <w:ind w:firstLine="720" w:firstLineChars="225"/>
        <w:rPr>
          <w:rFonts w:ascii="宋体" w:hAnsi="宋体" w:cs="宋体"/>
          <w:bCs/>
          <w:sz w:val="32"/>
          <w:szCs w:val="32"/>
        </w:rPr>
      </w:pPr>
    </w:p>
    <w:p w14:paraId="2757FEB1">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75D29222">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2A3D12C8">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04065E99">
      <w:pPr>
        <w:snapToGrid w:val="0"/>
        <w:spacing w:before="120" w:beforeLines="50" w:after="50"/>
        <w:ind w:firstLine="720" w:firstLineChars="225"/>
        <w:rPr>
          <w:rFonts w:ascii="宋体" w:hAnsi="宋体" w:cs="宋体"/>
          <w:bCs/>
          <w:sz w:val="32"/>
          <w:szCs w:val="32"/>
        </w:rPr>
      </w:pPr>
    </w:p>
    <w:p w14:paraId="0367C231">
      <w:pPr>
        <w:pStyle w:val="15"/>
        <w:spacing w:before="50" w:after="50"/>
        <w:ind w:firstLine="720" w:firstLineChars="225"/>
        <w:rPr>
          <w:rFonts w:hAnsi="宋体" w:cs="宋体"/>
          <w:bCs/>
          <w:color w:val="auto"/>
          <w:sz w:val="32"/>
          <w:szCs w:val="32"/>
        </w:rPr>
      </w:pPr>
      <w:r>
        <w:rPr>
          <w:rFonts w:hint="eastAsia" w:hAnsi="宋体" w:cs="宋体"/>
          <w:bCs/>
          <w:color w:val="auto"/>
          <w:sz w:val="32"/>
          <w:szCs w:val="32"/>
        </w:rPr>
        <w:t>供应商名称：</w:t>
      </w:r>
    </w:p>
    <w:p w14:paraId="3E918487">
      <w:pPr>
        <w:snapToGrid w:val="0"/>
        <w:spacing w:before="120" w:beforeLines="50" w:after="50"/>
        <w:ind w:firstLine="640" w:firstLineChars="200"/>
        <w:rPr>
          <w:rFonts w:ascii="宋体" w:hAnsi="宋体" w:cs="宋体"/>
          <w:bCs/>
          <w:sz w:val="32"/>
          <w:szCs w:val="32"/>
        </w:rPr>
      </w:pPr>
    </w:p>
    <w:p w14:paraId="6F9607C1">
      <w:pPr>
        <w:pStyle w:val="15"/>
        <w:spacing w:before="50" w:after="50"/>
        <w:ind w:firstLine="720" w:firstLineChars="225"/>
        <w:rPr>
          <w:rFonts w:hAnsi="宋体" w:cs="宋体"/>
          <w:bCs/>
          <w:color w:val="auto"/>
          <w:sz w:val="32"/>
          <w:szCs w:val="32"/>
        </w:rPr>
      </w:pPr>
    </w:p>
    <w:p w14:paraId="69B479B6">
      <w:pPr>
        <w:pStyle w:val="15"/>
        <w:spacing w:before="50" w:after="50"/>
        <w:ind w:firstLine="720" w:firstLineChars="225"/>
        <w:rPr>
          <w:rFonts w:hAnsi="宋体" w:cs="宋体"/>
          <w:bCs/>
          <w:color w:val="auto"/>
          <w:sz w:val="32"/>
          <w:szCs w:val="32"/>
        </w:rPr>
      </w:pPr>
    </w:p>
    <w:p w14:paraId="4BAE2C09">
      <w:pPr>
        <w:pStyle w:val="15"/>
        <w:spacing w:before="50" w:after="50"/>
        <w:ind w:firstLine="1280" w:firstLineChars="400"/>
        <w:rPr>
          <w:rFonts w:hAnsi="宋体" w:cs="宋体"/>
          <w:bCs/>
          <w:color w:val="auto"/>
          <w:sz w:val="32"/>
          <w:szCs w:val="32"/>
        </w:rPr>
      </w:pPr>
    </w:p>
    <w:p w14:paraId="73DC24D7">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14:paraId="5F7E488F">
      <w:pPr>
        <w:snapToGrid w:val="0"/>
        <w:spacing w:line="360" w:lineRule="auto"/>
        <w:ind w:right="480"/>
        <w:jc w:val="center"/>
        <w:rPr>
          <w:rFonts w:ascii="宋体" w:hAnsi="宋体" w:cs="宋体"/>
          <w:b/>
          <w:kern w:val="0"/>
          <w:sz w:val="32"/>
          <w:szCs w:val="32"/>
          <w:lang w:val="zh-CN"/>
        </w:rPr>
        <w:sectPr>
          <w:footerReference r:id="rId7" w:type="first"/>
          <w:footerReference r:id="rId6" w:type="default"/>
          <w:pgSz w:w="11906" w:h="16838"/>
          <w:pgMar w:top="1417" w:right="1080" w:bottom="1417" w:left="1920" w:header="680" w:footer="680" w:gutter="0"/>
          <w:cols w:space="0" w:num="1"/>
          <w:docGrid w:linePitch="312" w:charSpace="0"/>
        </w:sectPr>
      </w:pPr>
    </w:p>
    <w:p w14:paraId="0AB28AE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响应</w:t>
      </w:r>
      <w:r>
        <w:rPr>
          <w:rFonts w:hint="eastAsia" w:cs="仿宋_GB2312" w:asciiTheme="minorEastAsia" w:hAnsiTheme="minorEastAsia" w:eastAsiaTheme="minorEastAsia"/>
          <w:b/>
          <w:sz w:val="32"/>
          <w:szCs w:val="32"/>
        </w:rPr>
        <w:t>函</w:t>
      </w:r>
    </w:p>
    <w:p w14:paraId="7E87FB3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41BE30E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3866A406">
      <w:pPr>
        <w:pStyle w:val="106"/>
        <w:numPr>
          <w:ilvl w:val="0"/>
          <w:numId w:val="10"/>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（不少于60天），</w:t>
      </w:r>
      <w:r>
        <w:rPr>
          <w:rFonts w:hint="eastAsia" w:cs="仿宋_GB2312" w:asciiTheme="minorEastAsia" w:hAnsiTheme="minorEastAsia" w:eastAsiaTheme="minorEastAsia"/>
        </w:rPr>
        <w:t>本响应文件在响应有效期满之前均具有约束力。</w:t>
      </w:r>
    </w:p>
    <w:p w14:paraId="54AF440F">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62D2D108">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4CAA1B17">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34DE0C82">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4592B82F">
      <w:pPr>
        <w:numPr>
          <w:ilvl w:val="0"/>
          <w:numId w:val="10"/>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8B0BE90">
      <w:pPr>
        <w:numPr>
          <w:ilvl w:val="0"/>
          <w:numId w:val="10"/>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1F8B6BD6">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42B4BC3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2AA4A0A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08B331DC">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5D8C7194">
      <w:pPr>
        <w:numPr>
          <w:ilvl w:val="0"/>
          <w:numId w:val="10"/>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FEE1E7E">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1D14BEE9">
      <w:pPr>
        <w:spacing w:line="360" w:lineRule="auto"/>
        <w:ind w:firstLine="3600" w:firstLineChars="1500"/>
        <w:rPr>
          <w:rFonts w:ascii="宋体" w:hAnsi="宋体" w:cs="宋体"/>
          <w:sz w:val="24"/>
        </w:rPr>
      </w:pPr>
      <w:r>
        <w:rPr>
          <w:rFonts w:hint="eastAsia" w:ascii="宋体" w:hAnsi="宋体" w:cs="宋体"/>
          <w:sz w:val="24"/>
        </w:rPr>
        <w:t>磋商供应商名称（公章）：</w:t>
      </w:r>
    </w:p>
    <w:p w14:paraId="3FECC34A">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790CD521">
      <w:pPr>
        <w:spacing w:line="360" w:lineRule="auto"/>
        <w:jc w:val="center"/>
        <w:rPr>
          <w:rFonts w:ascii="宋体" w:hAnsi="宋体" w:cs="宋体"/>
          <w:sz w:val="24"/>
        </w:rPr>
      </w:pPr>
      <w:r>
        <w:rPr>
          <w:rFonts w:hint="eastAsia" w:ascii="宋体" w:hAnsi="宋体" w:cs="宋体"/>
          <w:sz w:val="24"/>
        </w:rPr>
        <w:t xml:space="preserve">     日期：  年   月   日</w:t>
      </w:r>
    </w:p>
    <w:p w14:paraId="7C595EBA">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B93FCA3">
      <w:pPr>
        <w:autoSpaceDE w:val="0"/>
        <w:autoSpaceDN w:val="0"/>
        <w:spacing w:line="360" w:lineRule="auto"/>
        <w:rPr>
          <w:rFonts w:cs="仿宋_GB2312" w:asciiTheme="minorEastAsia" w:hAnsiTheme="minorEastAsia" w:eastAsiaTheme="minorEastAsia"/>
          <w:kern w:val="0"/>
          <w:sz w:val="24"/>
        </w:rPr>
      </w:pPr>
    </w:p>
    <w:p w14:paraId="474F9E74">
      <w:pPr>
        <w:pStyle w:val="116"/>
        <w:keepNext w:val="0"/>
        <w:pageBreakBefore w:val="0"/>
        <w:tabs>
          <w:tab w:val="clear" w:pos="720"/>
        </w:tabs>
        <w:jc w:val="both"/>
        <w:outlineLvl w:val="9"/>
        <w:rPr>
          <w:rFonts w:cs="仿宋_GB2312" w:asciiTheme="minorEastAsia" w:hAnsiTheme="minorEastAsia" w:eastAsiaTheme="minorEastAsia"/>
          <w:sz w:val="24"/>
          <w:szCs w:val="24"/>
        </w:rPr>
      </w:pPr>
    </w:p>
    <w:p w14:paraId="547EAC8B">
      <w:pPr>
        <w:spacing w:line="360" w:lineRule="auto"/>
        <w:rPr>
          <w:rFonts w:cs="仿宋_GB2312" w:asciiTheme="minorEastAsia" w:hAnsiTheme="minorEastAsia" w:eastAsiaTheme="minorEastAsia"/>
          <w:sz w:val="24"/>
        </w:rPr>
      </w:pPr>
    </w:p>
    <w:p w14:paraId="1AAE39A0">
      <w:pPr>
        <w:spacing w:line="360" w:lineRule="auto"/>
        <w:rPr>
          <w:rFonts w:cs="仿宋_GB2312" w:asciiTheme="minorEastAsia" w:hAnsiTheme="minorEastAsia" w:eastAsiaTheme="minorEastAsia"/>
          <w:sz w:val="18"/>
          <w:szCs w:val="18"/>
        </w:rPr>
      </w:pPr>
    </w:p>
    <w:p w14:paraId="28E55C89">
      <w:pP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14:paraId="021BAA19">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宋体" w:asciiTheme="minorEastAsia" w:hAnsiTheme="minorEastAsia" w:eastAsiaTheme="minorEastAsia"/>
          <w:b/>
          <w:kern w:val="0"/>
          <w:sz w:val="32"/>
          <w:szCs w:val="32"/>
          <w:lang w:val="zh-CN"/>
        </w:rPr>
        <w:t>政府采购供应商廉洁自律承诺书</w:t>
      </w:r>
    </w:p>
    <w:p w14:paraId="7A5928A4">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kern w:val="0"/>
          <w:sz w:val="24"/>
          <w:lang w:val="zh-CN"/>
        </w:rPr>
        <w:t xml:space="preserve">：    </w:t>
      </w:r>
    </w:p>
    <w:p w14:paraId="49791830">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45A1B68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67E4A27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4938F93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29BD4185">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C8747EF">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4CDF73A4">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33642FE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58F464E">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0488E273">
      <w:pPr>
        <w:autoSpaceDE w:val="0"/>
        <w:autoSpaceDN w:val="0"/>
        <w:spacing w:line="360" w:lineRule="auto"/>
        <w:ind w:left="2"/>
        <w:jc w:val="left"/>
        <w:rPr>
          <w:rFonts w:cs="仿宋_GB2312" w:asciiTheme="minorEastAsia" w:hAnsiTheme="minorEastAsia" w:eastAsiaTheme="minorEastAsia"/>
          <w:kern w:val="0"/>
          <w:sz w:val="24"/>
          <w:lang w:val="zh-CN"/>
        </w:rPr>
      </w:pPr>
    </w:p>
    <w:p w14:paraId="12640D87">
      <w:pPr>
        <w:autoSpaceDE w:val="0"/>
        <w:autoSpaceDN w:val="0"/>
        <w:spacing w:line="360" w:lineRule="auto"/>
        <w:ind w:left="2"/>
        <w:jc w:val="left"/>
        <w:rPr>
          <w:rFonts w:cs="仿宋_GB2312" w:asciiTheme="minorEastAsia" w:hAnsiTheme="minorEastAsia" w:eastAsiaTheme="minorEastAsia"/>
          <w:kern w:val="0"/>
          <w:sz w:val="24"/>
          <w:lang w:val="zh-CN"/>
        </w:rPr>
      </w:pPr>
    </w:p>
    <w:p w14:paraId="2367ACEA">
      <w:pPr>
        <w:autoSpaceDE w:val="0"/>
        <w:autoSpaceDN w:val="0"/>
        <w:spacing w:line="360" w:lineRule="auto"/>
        <w:ind w:left="2"/>
        <w:jc w:val="left"/>
        <w:rPr>
          <w:rFonts w:cs="仿宋_GB2312" w:asciiTheme="minorEastAsia" w:hAnsiTheme="minorEastAsia" w:eastAsiaTheme="minorEastAsia"/>
          <w:kern w:val="0"/>
          <w:sz w:val="24"/>
          <w:lang w:val="zh-CN"/>
        </w:rPr>
      </w:pPr>
    </w:p>
    <w:p w14:paraId="5B6161AD">
      <w:pPr>
        <w:autoSpaceDE w:val="0"/>
        <w:autoSpaceDN w:val="0"/>
        <w:spacing w:line="360"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14:paraId="41ED0D6D">
      <w:pPr>
        <w:autoSpaceDE w:val="0"/>
        <w:autoSpaceDN w:val="0"/>
        <w:spacing w:line="360"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3E28F7CC">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44B727D9">
      <w:pPr>
        <w:rPr>
          <w:rFonts w:ascii="宋体" w:hAnsi="宋体" w:cs="宋体"/>
          <w:b/>
          <w:bCs/>
          <w:sz w:val="32"/>
          <w:szCs w:val="32"/>
        </w:rPr>
      </w:pPr>
    </w:p>
    <w:p w14:paraId="41808866">
      <w:pPr>
        <w:ind w:firstLine="1911" w:firstLineChars="595"/>
        <w:jc w:val="center"/>
        <w:rPr>
          <w:rFonts w:ascii="宋体" w:hAnsi="宋体" w:cs="宋体"/>
          <w:b/>
          <w:bCs/>
          <w:sz w:val="32"/>
          <w:szCs w:val="32"/>
        </w:rPr>
      </w:pPr>
    </w:p>
    <w:p w14:paraId="7AFD7F5A">
      <w:pPr>
        <w:rPr>
          <w:rFonts w:ascii="宋体" w:hAnsi="宋体" w:cs="宋体"/>
          <w:b/>
          <w:kern w:val="0"/>
          <w:sz w:val="32"/>
          <w:szCs w:val="21"/>
        </w:rPr>
      </w:pPr>
      <w:r>
        <w:rPr>
          <w:rFonts w:hint="eastAsia" w:ascii="宋体" w:hAnsi="宋体" w:cs="宋体"/>
          <w:b/>
          <w:kern w:val="0"/>
          <w:sz w:val="32"/>
          <w:szCs w:val="21"/>
        </w:rPr>
        <w:br w:type="page"/>
      </w:r>
    </w:p>
    <w:p w14:paraId="6A0B98C7">
      <w:pPr>
        <w:jc w:val="center"/>
        <w:rPr>
          <w:rFonts w:ascii="宋体" w:hAnsi="宋体" w:cs="宋体"/>
          <w:b/>
          <w:kern w:val="0"/>
          <w:sz w:val="32"/>
          <w:szCs w:val="21"/>
        </w:rPr>
      </w:pPr>
      <w:r>
        <w:rPr>
          <w:rFonts w:hint="eastAsia" w:ascii="宋体" w:hAnsi="宋体" w:cs="宋体"/>
          <w:b/>
          <w:kern w:val="0"/>
          <w:sz w:val="32"/>
          <w:szCs w:val="21"/>
        </w:rPr>
        <w:t>承诺函</w:t>
      </w:r>
    </w:p>
    <w:p w14:paraId="59F0F883">
      <w:pPr>
        <w:snapToGrid w:val="0"/>
        <w:spacing w:line="288"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C7A9ADA">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我方作为本次采购项目的磋商供应商，根据磋商文件要求，现郑重承诺如下：</w:t>
      </w:r>
    </w:p>
    <w:p w14:paraId="569347D4">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14:paraId="6B37776A">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二、参加本次磋商采购活动，不存在与单位负责人为同一人或者存在直接控股、管理关系的其他供应商参与同一合同项下的政府采购活动的行为。</w:t>
      </w:r>
    </w:p>
    <w:p w14:paraId="49ED10D2">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26AB371C">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四、参加本次磋商采购活动，不存在和其他供应商在同一合同项下的采购项目中，同时委托同一个自然人、同一家庭的人员、同一单位的人员作为代理人的行为。</w:t>
      </w:r>
    </w:p>
    <w:p w14:paraId="116DF974">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五、响应文件中提供的能够给予我方带来优惠、好处的任何材料资料和技术、服务、商务、响应产品等响应承诺情况都是真实的、有效的、合法的。</w:t>
      </w:r>
    </w:p>
    <w:p w14:paraId="4307872B">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14:paraId="12D96706">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395201F5">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八、参加本次磋商采购活动，我方完全同意磋商文件第三部分关于“磋商费用”、“合同分包”、“合同转包”、“履约保证金”的实质性要求，并承诺严格按照磋商文件要求履行。</w:t>
      </w:r>
    </w:p>
    <w:p w14:paraId="1A21F75D">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241B58B8">
      <w:pPr>
        <w:widowControl/>
        <w:adjustRightInd/>
        <w:spacing w:line="288"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我方对上述承诺的内容事项真实性负责。如经查实上述承诺的内容事项存在虚假，我方愿意接受以提供虚假材料谋取成交追究法律责任。</w:t>
      </w:r>
    </w:p>
    <w:p w14:paraId="48274B95">
      <w:pPr>
        <w:widowControl/>
        <w:adjustRightInd/>
        <w:spacing w:line="288" w:lineRule="auto"/>
        <w:ind w:firstLine="480" w:firstLineChars="200"/>
        <w:jc w:val="left"/>
        <w:rPr>
          <w:rFonts w:ascii="宋体" w:hAnsi="宋体" w:cs="宋体"/>
          <w:kern w:val="0"/>
          <w:sz w:val="24"/>
        </w:rPr>
      </w:pPr>
    </w:p>
    <w:p w14:paraId="268B6A92">
      <w:pPr>
        <w:autoSpaceDE w:val="0"/>
        <w:autoSpaceDN w:val="0"/>
        <w:spacing w:line="288" w:lineRule="auto"/>
        <w:ind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磋商供应商名称(公章)： </w:t>
      </w:r>
    </w:p>
    <w:p w14:paraId="4D843BE7">
      <w:pPr>
        <w:autoSpaceDE w:val="0"/>
        <w:autoSpaceDN w:val="0"/>
        <w:spacing w:line="288" w:lineRule="auto"/>
        <w:ind w:left="2" w:leftChars="1" w:firstLine="4536" w:firstLineChars="189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法定代表人（负责人）或委托代理人(签名)：              </w:t>
      </w:r>
    </w:p>
    <w:p w14:paraId="64FAF717">
      <w:pPr>
        <w:spacing w:line="288"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0AE615F5">
      <w:pPr>
        <w:spacing w:line="288" w:lineRule="auto"/>
        <w:ind w:right="420"/>
        <w:rPr>
          <w:rFonts w:ascii="宋体" w:hAnsi="宋体" w:cs="宋体"/>
          <w:sz w:val="24"/>
        </w:rPr>
      </w:pPr>
      <w:r>
        <w:rPr>
          <w:rFonts w:hint="eastAsia" w:ascii="宋体" w:hAnsi="宋体" w:cs="宋体"/>
          <w:sz w:val="24"/>
        </w:rPr>
        <w:t>注：按本格式和要求提供。</w:t>
      </w:r>
    </w:p>
    <w:p w14:paraId="37E5215C">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sectPr>
          <w:footerReference r:id="rId8" w:type="default"/>
          <w:pgSz w:w="11906" w:h="16838"/>
          <w:pgMar w:top="1417" w:right="1080" w:bottom="1417" w:left="1080" w:header="680" w:footer="680" w:gutter="0"/>
          <w:cols w:space="0" w:num="1"/>
          <w:docGrid w:linePitch="312" w:charSpace="0"/>
        </w:sectPr>
      </w:pPr>
    </w:p>
    <w:p w14:paraId="6C3D9997">
      <w:pPr>
        <w:spacing w:line="360" w:lineRule="auto"/>
        <w:ind w:right="-874" w:rightChars="-416"/>
        <w:jc w:val="center"/>
        <w:rPr>
          <w:rFonts w:ascii="宋体" w:hAnsi="宋体" w:cs="宋体"/>
          <w:b/>
          <w:sz w:val="32"/>
          <w:szCs w:val="32"/>
        </w:rPr>
      </w:pPr>
      <w:r>
        <w:rPr>
          <w:rFonts w:hint="eastAsia" w:ascii="宋体" w:hAnsi="宋体" w:cs="宋体"/>
          <w:b/>
          <w:sz w:val="32"/>
          <w:szCs w:val="32"/>
        </w:rPr>
        <w:t>无串通竞标行为的承诺函</w:t>
      </w:r>
    </w:p>
    <w:p w14:paraId="123A2786">
      <w:pPr>
        <w:spacing w:line="360" w:lineRule="auto"/>
        <w:ind w:firstLine="640" w:firstLineChars="200"/>
        <w:contextualSpacing/>
        <w:rPr>
          <w:rFonts w:ascii="宋体" w:hAnsi="宋体" w:cs="宋体"/>
          <w:sz w:val="32"/>
          <w:szCs w:val="32"/>
        </w:rPr>
      </w:pPr>
    </w:p>
    <w:p w14:paraId="5C0B0849">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14:paraId="2E49B2BC">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14:paraId="5C5AA472">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14:paraId="1C639490">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14:paraId="33472869">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4BE624A7">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14:paraId="5718F2B5">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14:paraId="7323F400">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14:paraId="45549391">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58AE0D59">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14:paraId="2842E9D9">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A11ED7E">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CD0D571">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4298FB49">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14:paraId="01ECF1F2">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A0A7CE5">
      <w:pPr>
        <w:spacing w:line="360" w:lineRule="auto"/>
        <w:ind w:firstLine="480" w:firstLineChars="200"/>
        <w:contextualSpacing/>
        <w:rPr>
          <w:rFonts w:ascii="宋体" w:hAnsi="宋体" w:cs="宋体"/>
          <w:sz w:val="24"/>
        </w:rPr>
      </w:pPr>
    </w:p>
    <w:p w14:paraId="7F664EEE">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12EF0D67">
      <w:pPr>
        <w:spacing w:line="360" w:lineRule="auto"/>
        <w:contextualSpacing/>
        <w:rPr>
          <w:rFonts w:ascii="宋体" w:hAnsi="宋体" w:cs="宋体"/>
          <w:sz w:val="24"/>
        </w:rPr>
      </w:pPr>
    </w:p>
    <w:p w14:paraId="77E1F584">
      <w:pPr>
        <w:spacing w:line="360" w:lineRule="auto"/>
        <w:ind w:firstLine="3600" w:firstLineChars="1500"/>
        <w:contextualSpacing/>
        <w:rPr>
          <w:rFonts w:ascii="宋体" w:hAnsi="宋体" w:cs="宋体"/>
          <w:sz w:val="24"/>
        </w:rPr>
      </w:pPr>
      <w:r>
        <w:rPr>
          <w:rFonts w:hint="eastAsia" w:ascii="宋体" w:hAnsi="宋体" w:cs="宋体"/>
          <w:sz w:val="24"/>
        </w:rPr>
        <w:t xml:space="preserve"> </w:t>
      </w:r>
      <w:r>
        <w:rPr>
          <w:rFonts w:hint="eastAsia" w:ascii="宋体" w:hAnsi="宋体" w:cs="宋体"/>
          <w:kern w:val="0"/>
          <w:sz w:val="24"/>
        </w:rPr>
        <w:t>磋商</w:t>
      </w:r>
      <w:r>
        <w:rPr>
          <w:rFonts w:hint="eastAsia" w:ascii="宋体" w:hAnsi="宋体" w:cs="宋体"/>
          <w:kern w:val="0"/>
          <w:sz w:val="24"/>
          <w:lang w:val="zh-CN"/>
        </w:rPr>
        <w:t>供应商名称(公章)</w:t>
      </w:r>
      <w:r>
        <w:rPr>
          <w:rFonts w:hint="eastAsia" w:ascii="宋体" w:hAnsi="宋体" w:cs="宋体"/>
          <w:sz w:val="24"/>
        </w:rPr>
        <w:t>：</w:t>
      </w:r>
      <w:r>
        <w:rPr>
          <w:rFonts w:hint="eastAsia" w:ascii="宋体" w:hAnsi="宋体" w:cs="宋体"/>
          <w:sz w:val="24"/>
          <w:u w:val="single"/>
        </w:rPr>
        <w:t xml:space="preserve">                 </w:t>
      </w:r>
    </w:p>
    <w:p w14:paraId="3294C5A3">
      <w:pPr>
        <w:widowControl/>
        <w:spacing w:line="360" w:lineRule="auto"/>
        <w:jc w:val="center"/>
        <w:rPr>
          <w:rFonts w:ascii="宋体" w:hAnsi="宋体" w:cs="宋体"/>
          <w:sz w:val="24"/>
        </w:rPr>
      </w:pPr>
      <w:r>
        <w:rPr>
          <w:rFonts w:hint="eastAsia" w:ascii="宋体" w:hAnsi="宋体" w:cs="宋体"/>
          <w:sz w:val="24"/>
        </w:rPr>
        <w:t xml:space="preserve">                               年   月   日</w:t>
      </w:r>
    </w:p>
    <w:p w14:paraId="106EBB49">
      <w:pPr>
        <w:widowControl/>
        <w:spacing w:line="360" w:lineRule="auto"/>
        <w:jc w:val="center"/>
        <w:rPr>
          <w:rFonts w:ascii="宋体" w:hAnsi="宋体" w:cs="宋体"/>
          <w:sz w:val="24"/>
        </w:rPr>
      </w:pPr>
    </w:p>
    <w:p w14:paraId="0313946C">
      <w:pPr>
        <w:widowControl/>
        <w:spacing w:line="360" w:lineRule="auto"/>
        <w:jc w:val="center"/>
        <w:rPr>
          <w:rFonts w:ascii="宋体" w:hAnsi="宋体" w:cs="宋体"/>
          <w:sz w:val="24"/>
        </w:rPr>
      </w:pPr>
    </w:p>
    <w:p w14:paraId="2131AFDB">
      <w:pPr>
        <w:rPr>
          <w:rFonts w:ascii="宋体" w:hAnsi="宋体" w:cs="宋体"/>
          <w:b/>
          <w:kern w:val="0"/>
          <w:sz w:val="32"/>
          <w:szCs w:val="32"/>
          <w:lang w:val="zh-CN"/>
        </w:rPr>
      </w:pPr>
      <w:r>
        <w:rPr>
          <w:rFonts w:hint="eastAsia" w:ascii="宋体" w:hAnsi="宋体" w:cs="宋体"/>
          <w:b/>
          <w:kern w:val="0"/>
          <w:sz w:val="32"/>
          <w:szCs w:val="32"/>
          <w:lang w:val="zh-CN"/>
        </w:rPr>
        <w:br w:type="page"/>
      </w:r>
    </w:p>
    <w:p w14:paraId="0A341604">
      <w:pPr>
        <w:widowControl/>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法人授权书</w:t>
      </w:r>
    </w:p>
    <w:p w14:paraId="0B3D5D7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C365E30">
      <w:pPr>
        <w:snapToGrid w:val="0"/>
        <w:spacing w:line="360" w:lineRule="auto"/>
        <w:ind w:firstLine="576"/>
        <w:rPr>
          <w:rFonts w:ascii="宋体" w:hAnsi="宋体" w:cs="宋体"/>
          <w:kern w:val="0"/>
          <w:sz w:val="24"/>
        </w:rPr>
      </w:pPr>
      <w:r>
        <w:rPr>
          <w:rFonts w:hint="eastAsia" w:ascii="宋体" w:hAnsi="宋体" w:cs="宋体"/>
          <w:kern w:val="0"/>
          <w:sz w:val="24"/>
          <w:lang w:val="zh-CN"/>
        </w:rPr>
        <w:t>兹委派我公司</w:t>
      </w:r>
      <w:r>
        <w:rPr>
          <w:rFonts w:hint="eastAsia" w:ascii="宋体" w:hAnsi="宋体" w:cs="宋体"/>
          <w:kern w:val="0"/>
          <w:sz w:val="24"/>
          <w:u w:val="single"/>
          <w:lang w:val="zh-CN"/>
        </w:rPr>
        <w:t xml:space="preserve">                </w:t>
      </w:r>
      <w:r>
        <w:rPr>
          <w:rFonts w:hint="eastAsia" w:ascii="宋体" w:hAnsi="宋体" w:cs="宋体"/>
          <w:kern w:val="0"/>
          <w:sz w:val="24"/>
          <w:lang w:val="zh-CN"/>
        </w:rPr>
        <w:t>先生/女士(其在本公司的职务是：</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，联系电话：</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传真：</w:t>
      </w:r>
      <w:r>
        <w:rPr>
          <w:rFonts w:hint="eastAsia" w:ascii="宋体" w:hAnsi="宋体" w:cs="宋体"/>
          <w:kern w:val="0"/>
          <w:sz w:val="24"/>
          <w:u w:val="single"/>
          <w:lang w:val="zh-CN"/>
        </w:rPr>
        <w:t xml:space="preserve">           </w:t>
      </w:r>
      <w:r>
        <w:rPr>
          <w:rFonts w:hint="eastAsia" w:ascii="宋体" w:hAnsi="宋体" w:cs="宋体"/>
          <w:kern w:val="0"/>
          <w:sz w:val="24"/>
          <w:lang w:val="zh-CN"/>
        </w:rPr>
        <w:t>)，代表我公司全权处理</w:t>
      </w:r>
      <w:r>
        <w:rPr>
          <w:rFonts w:hint="eastAsia" w:ascii="宋体" w:hAnsi="宋体" w:cs="宋体"/>
          <w:sz w:val="24"/>
        </w:rPr>
        <w:t>（项目名称）【项目编号：（采购编号）】</w:t>
      </w:r>
      <w:r>
        <w:rPr>
          <w:rFonts w:hint="eastAsia" w:ascii="宋体" w:hAnsi="宋体" w:cs="宋体"/>
          <w:kern w:val="0"/>
          <w:sz w:val="24"/>
          <w:lang w:val="zh-CN"/>
        </w:rPr>
        <w:t>政府采购响应的一切事项，若成交则全权代表本公司签订相关合同，并负责处理合同履行等事宜。</w:t>
      </w:r>
    </w:p>
    <w:p w14:paraId="5CC842B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本委托书有效期：自    年 月  日起至    年  月  日止。</w:t>
      </w:r>
    </w:p>
    <w:p w14:paraId="09B50456">
      <w:pPr>
        <w:snapToGrid w:val="0"/>
        <w:spacing w:line="360" w:lineRule="auto"/>
        <w:rPr>
          <w:rFonts w:ascii="宋体" w:hAnsi="宋体" w:cs="宋体"/>
          <w:kern w:val="0"/>
          <w:sz w:val="24"/>
        </w:rPr>
      </w:pPr>
      <w:r>
        <w:rPr>
          <w:rFonts w:hint="eastAsia" w:ascii="宋体" w:hAnsi="宋体" w:cs="宋体"/>
          <w:kern w:val="0"/>
          <w:sz w:val="24"/>
          <w:lang w:val="zh-CN"/>
        </w:rPr>
        <w:t xml:space="preserve">    特此告知。</w:t>
      </w:r>
    </w:p>
    <w:p w14:paraId="00740926">
      <w:pPr>
        <w:spacing w:line="360"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 xml:space="preserve">附：法定代表人身份证明及委托代理人有效身份证正反面复印件                                                </w:t>
      </w:r>
    </w:p>
    <w:p w14:paraId="7E8FA93A">
      <w:pPr>
        <w:spacing w:line="360" w:lineRule="auto"/>
        <w:rPr>
          <w:rFonts w:ascii="宋体" w:hAnsi="宋体" w:cs="宋体"/>
          <w:kern w:val="0"/>
          <w:sz w:val="24"/>
          <w:lang w:val="zh-CN"/>
        </w:rPr>
      </w:pPr>
    </w:p>
    <w:p w14:paraId="685C1FA3">
      <w:pPr>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sz w:val="24"/>
        </w:rPr>
        <w:t>磋商供应商名称（公章）：</w:t>
      </w:r>
    </w:p>
    <w:p w14:paraId="3136A87A">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18EA1841">
      <w:pPr>
        <w:snapToGrid w:val="0"/>
        <w:spacing w:line="360" w:lineRule="auto"/>
        <w:jc w:val="right"/>
        <w:rPr>
          <w:rFonts w:ascii="宋体" w:hAnsi="宋体" w:cs="宋体"/>
          <w:kern w:val="0"/>
          <w:sz w:val="24"/>
          <w:lang w:val="zh-CN"/>
        </w:rPr>
      </w:pPr>
      <w:r>
        <w:rPr>
          <w:rFonts w:hint="eastAsia" w:ascii="宋体" w:hAnsi="宋体" w:cs="宋体"/>
          <w:kern w:val="0"/>
          <w:sz w:val="24"/>
          <w:lang w:val="zh-CN"/>
        </w:rPr>
        <w:t xml:space="preserve">                                       签发日期：  年  月   日</w:t>
      </w:r>
    </w:p>
    <w:p w14:paraId="67B13779">
      <w:pPr>
        <w:widowControl/>
        <w:adjustRightInd/>
        <w:jc w:val="left"/>
        <w:rPr>
          <w:rFonts w:ascii="宋体" w:hAnsi="宋体" w:cs="宋体"/>
          <w:b/>
          <w:kern w:val="0"/>
          <w:sz w:val="32"/>
          <w:szCs w:val="32"/>
          <w:lang w:val="zh-CN"/>
        </w:rPr>
      </w:pPr>
    </w:p>
    <w:p w14:paraId="14AA1033">
      <w:pPr>
        <w:pStyle w:val="620"/>
        <w:spacing w:line="360" w:lineRule="auto"/>
        <w:rPr>
          <w:rFonts w:hAnsi="宋体" w:cs="宋体"/>
          <w:bCs/>
          <w:sz w:val="24"/>
          <w:szCs w:val="24"/>
        </w:rPr>
      </w:pPr>
      <w:r>
        <w:rPr>
          <w:rFonts w:hint="eastAsia" w:hAnsi="宋体" w:cs="宋体"/>
          <w:bCs/>
          <w:sz w:val="24"/>
          <w:szCs w:val="24"/>
        </w:rPr>
        <w:t xml:space="preserve">  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E80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3C35F0">
            <w:pPr>
              <w:pStyle w:val="620"/>
              <w:spacing w:line="360" w:lineRule="auto"/>
              <w:rPr>
                <w:rFonts w:hAnsi="宋体" w:cs="宋体"/>
                <w:bCs/>
                <w:sz w:val="24"/>
                <w:szCs w:val="24"/>
              </w:rPr>
            </w:pPr>
            <w:r>
              <w:rPr>
                <w:rFonts w:hint="eastAsia" w:hAnsi="宋体" w:cs="宋体"/>
                <w:bCs/>
                <w:sz w:val="24"/>
                <w:szCs w:val="24"/>
              </w:rPr>
              <w:t>正面：                                 反面：</w:t>
            </w:r>
          </w:p>
          <w:p w14:paraId="2FEE27FB">
            <w:pPr>
              <w:pStyle w:val="620"/>
              <w:spacing w:line="360" w:lineRule="auto"/>
              <w:rPr>
                <w:rFonts w:hAnsi="宋体" w:cs="宋体"/>
                <w:bCs/>
                <w:sz w:val="24"/>
                <w:szCs w:val="24"/>
              </w:rPr>
            </w:pPr>
          </w:p>
        </w:tc>
      </w:tr>
    </w:tbl>
    <w:p w14:paraId="07E01157">
      <w:pPr>
        <w:snapToGrid w:val="0"/>
        <w:spacing w:line="360" w:lineRule="auto"/>
        <w:ind w:firstLine="576"/>
        <w:jc w:val="right"/>
        <w:rPr>
          <w:rFonts w:ascii="宋体" w:hAnsi="宋体" w:cs="宋体"/>
          <w:kern w:val="0"/>
          <w:sz w:val="24"/>
          <w:lang w:val="zh-CN"/>
        </w:rPr>
      </w:pPr>
    </w:p>
    <w:p w14:paraId="3A05D92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w:t>
      </w:r>
    </w:p>
    <w:p w14:paraId="0D685688">
      <w:pPr>
        <w:widowControl/>
        <w:adjustRightInd/>
        <w:jc w:val="center"/>
        <w:rPr>
          <w:rFonts w:ascii="宋体" w:hAnsi="宋体" w:cs="宋体"/>
          <w:b/>
          <w:kern w:val="0"/>
          <w:sz w:val="32"/>
          <w:szCs w:val="32"/>
          <w:lang w:val="zh-CN"/>
        </w:rPr>
      </w:pPr>
    </w:p>
    <w:p w14:paraId="76CC5D12">
      <w:pPr>
        <w:rPr>
          <w:rFonts w:ascii="宋体" w:hAnsi="宋体" w:cs="宋体"/>
          <w:b/>
          <w:kern w:val="0"/>
          <w:sz w:val="32"/>
          <w:szCs w:val="32"/>
          <w:lang w:val="zh-CN"/>
        </w:rPr>
      </w:pPr>
      <w:r>
        <w:rPr>
          <w:rFonts w:hint="eastAsia" w:ascii="宋体" w:hAnsi="宋体" w:cs="宋体"/>
          <w:b/>
          <w:kern w:val="0"/>
          <w:sz w:val="32"/>
          <w:szCs w:val="32"/>
          <w:lang w:val="zh-CN"/>
        </w:rPr>
        <w:br w:type="page"/>
      </w:r>
    </w:p>
    <w:p w14:paraId="191B6830">
      <w:pPr>
        <w:widowControl/>
        <w:adjustRightInd/>
        <w:jc w:val="center"/>
        <w:rPr>
          <w:rFonts w:ascii="宋体" w:hAnsi="宋体" w:cs="宋体"/>
          <w:b/>
          <w:kern w:val="0"/>
          <w:sz w:val="32"/>
          <w:szCs w:val="32"/>
          <w:lang w:val="zh-CN"/>
        </w:rPr>
      </w:pPr>
      <w:r>
        <w:rPr>
          <w:rFonts w:hint="eastAsia" w:ascii="宋体" w:hAnsi="宋体" w:cs="宋体"/>
          <w:b/>
          <w:kern w:val="0"/>
          <w:sz w:val="32"/>
          <w:szCs w:val="32"/>
          <w:lang w:val="zh-CN"/>
        </w:rPr>
        <w:t>法定代表人证明书</w:t>
      </w:r>
    </w:p>
    <w:p w14:paraId="4B78BB99">
      <w:pPr>
        <w:spacing w:line="360" w:lineRule="auto"/>
        <w:ind w:left="540"/>
        <w:contextualSpacing/>
        <w:rPr>
          <w:rFonts w:ascii="宋体" w:hAnsi="宋体" w:cs="宋体"/>
          <w:sz w:val="32"/>
          <w:szCs w:val="32"/>
        </w:rPr>
      </w:pPr>
    </w:p>
    <w:p w14:paraId="71C1C554">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31BC252C">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19EAD3FE">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60D363EE">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28AD8531">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23DB7993">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35D3CEE6">
      <w:pPr>
        <w:spacing w:line="360" w:lineRule="auto"/>
        <w:ind w:left="540"/>
        <w:contextualSpacing/>
        <w:rPr>
          <w:rFonts w:ascii="宋体" w:hAnsi="宋体" w:cs="宋体"/>
          <w:sz w:val="24"/>
        </w:rPr>
      </w:pPr>
      <w:r>
        <w:rPr>
          <w:rFonts w:hint="eastAsia" w:ascii="宋体" w:hAnsi="宋体" w:cs="宋体"/>
          <w:sz w:val="24"/>
        </w:rPr>
        <w:t>特此证明。</w:t>
      </w:r>
    </w:p>
    <w:p w14:paraId="19B526DF">
      <w:pPr>
        <w:spacing w:line="360" w:lineRule="auto"/>
        <w:ind w:left="540"/>
        <w:contextualSpacing/>
        <w:rPr>
          <w:rFonts w:ascii="宋体" w:hAnsi="宋体" w:cs="宋体"/>
          <w:sz w:val="24"/>
        </w:rPr>
      </w:pPr>
    </w:p>
    <w:p w14:paraId="55A10044">
      <w:pPr>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sz w:val="24"/>
        </w:rPr>
        <w:t>磋商供应商名称（公章）：</w:t>
      </w:r>
    </w:p>
    <w:p w14:paraId="1C9426F1">
      <w:pPr>
        <w:spacing w:line="360" w:lineRule="auto"/>
        <w:ind w:left="540"/>
        <w:contextualSpacing/>
        <w:rPr>
          <w:rFonts w:ascii="宋体" w:hAnsi="宋体" w:cs="宋体"/>
          <w:sz w:val="24"/>
        </w:rPr>
      </w:pPr>
      <w:r>
        <w:rPr>
          <w:rFonts w:hint="eastAsia" w:ascii="宋体" w:hAnsi="宋体" w:cs="宋体"/>
          <w:sz w:val="24"/>
        </w:rPr>
        <w:t xml:space="preserve">                                       法定代表人（负责人） (签名)：</w:t>
      </w:r>
    </w:p>
    <w:p w14:paraId="7AA6B726">
      <w:pPr>
        <w:spacing w:line="360" w:lineRule="auto"/>
        <w:ind w:left="540"/>
        <w:contextualSpacing/>
        <w:rPr>
          <w:rFonts w:ascii="宋体" w:hAnsi="宋体" w:cs="宋体"/>
          <w:sz w:val="24"/>
        </w:rPr>
      </w:pPr>
    </w:p>
    <w:p w14:paraId="68CD3792">
      <w:pPr>
        <w:pStyle w:val="620"/>
        <w:spacing w:line="360" w:lineRule="auto"/>
        <w:rPr>
          <w:rFonts w:hAnsi="宋体" w:cs="宋体"/>
          <w:bCs/>
          <w:sz w:val="24"/>
          <w:szCs w:val="24"/>
        </w:rPr>
      </w:pPr>
      <w:r>
        <w:rPr>
          <w:rFonts w:hint="eastAsia" w:hAnsi="宋体" w:cs="宋体"/>
          <w:bCs/>
          <w:sz w:val="24"/>
          <w:szCs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F06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D9C52A">
            <w:pPr>
              <w:pStyle w:val="620"/>
              <w:spacing w:line="360" w:lineRule="auto"/>
              <w:rPr>
                <w:rFonts w:hAnsi="宋体" w:cs="宋体"/>
                <w:bCs/>
                <w:sz w:val="24"/>
                <w:szCs w:val="24"/>
              </w:rPr>
            </w:pPr>
            <w:r>
              <w:rPr>
                <w:rFonts w:hint="eastAsia" w:hAnsi="宋体" w:cs="宋体"/>
                <w:bCs/>
                <w:sz w:val="24"/>
                <w:szCs w:val="24"/>
              </w:rPr>
              <w:t>正面：                                 反面：</w:t>
            </w:r>
          </w:p>
          <w:p w14:paraId="746DB006">
            <w:pPr>
              <w:pStyle w:val="620"/>
              <w:spacing w:line="360" w:lineRule="auto"/>
              <w:rPr>
                <w:rFonts w:hAnsi="宋体" w:cs="宋体"/>
                <w:bCs/>
                <w:sz w:val="24"/>
                <w:szCs w:val="24"/>
              </w:rPr>
            </w:pPr>
          </w:p>
        </w:tc>
      </w:tr>
    </w:tbl>
    <w:p w14:paraId="34C87A6F">
      <w:pPr>
        <w:spacing w:line="360" w:lineRule="auto"/>
        <w:contextualSpacing/>
        <w:jc w:val="center"/>
        <w:rPr>
          <w:rFonts w:ascii="宋体" w:hAnsi="宋体" w:cs="宋体"/>
          <w:b/>
          <w:sz w:val="24"/>
        </w:rPr>
      </w:pPr>
    </w:p>
    <w:p w14:paraId="0A0DD18A">
      <w:pPr>
        <w:spacing w:line="360" w:lineRule="auto"/>
        <w:contextualSpacing/>
        <w:jc w:val="center"/>
        <w:rPr>
          <w:rFonts w:ascii="宋体" w:hAnsi="宋体" w:cs="宋体"/>
          <w:b/>
          <w:sz w:val="24"/>
        </w:rPr>
      </w:pPr>
    </w:p>
    <w:p w14:paraId="4F2C4D1C">
      <w:pPr>
        <w:spacing w:line="360" w:lineRule="auto"/>
        <w:contextualSpacing/>
        <w:rPr>
          <w:rFonts w:ascii="宋体" w:hAnsi="宋体" w:cs="宋体"/>
          <w:b/>
          <w:sz w:val="24"/>
        </w:rPr>
      </w:pPr>
    </w:p>
    <w:p w14:paraId="71970AED">
      <w:pPr>
        <w:rPr>
          <w:rFonts w:ascii="宋体" w:hAnsi="宋体" w:cs="宋体"/>
          <w:b/>
          <w:bCs/>
          <w:sz w:val="32"/>
          <w:szCs w:val="32"/>
        </w:rPr>
      </w:pPr>
      <w:r>
        <w:rPr>
          <w:rFonts w:hint="eastAsia" w:ascii="宋体" w:hAnsi="宋体" w:cs="宋体"/>
          <w:b/>
          <w:bCs/>
          <w:sz w:val="32"/>
          <w:szCs w:val="32"/>
        </w:rPr>
        <w:br w:type="page"/>
      </w:r>
    </w:p>
    <w:p w14:paraId="4A8B2B8B">
      <w:pPr>
        <w:spacing w:line="360" w:lineRule="auto"/>
        <w:jc w:val="center"/>
        <w:rPr>
          <w:rFonts w:ascii="宋体" w:hAnsi="宋体" w:cs="宋体"/>
          <w:b/>
          <w:bCs/>
          <w:sz w:val="32"/>
          <w:szCs w:val="32"/>
        </w:rPr>
      </w:pPr>
      <w:r>
        <w:rPr>
          <w:rFonts w:hint="eastAsia" w:ascii="宋体" w:hAnsi="宋体" w:cs="宋体"/>
          <w:b/>
          <w:bCs/>
          <w:sz w:val="32"/>
          <w:szCs w:val="32"/>
        </w:rPr>
        <w:t>商务条款偏离表</w:t>
      </w:r>
    </w:p>
    <w:p w14:paraId="581260AA">
      <w:pPr>
        <w:spacing w:line="360" w:lineRule="auto"/>
        <w:jc w:val="center"/>
        <w:rPr>
          <w:rFonts w:ascii="宋体" w:hAnsi="宋体"/>
          <w:sz w:val="24"/>
        </w:rPr>
      </w:pPr>
      <w:r>
        <w:rPr>
          <w:rFonts w:hint="eastAsia" w:ascii="宋体" w:hAnsi="宋体" w:cs="宋体"/>
          <w:b/>
          <w:bCs/>
          <w:sz w:val="32"/>
          <w:szCs w:val="32"/>
        </w:rPr>
        <w:t>(注：按采购需求具体条款修改)</w:t>
      </w:r>
    </w:p>
    <w:tbl>
      <w:tblPr>
        <w:tblStyle w:val="61"/>
        <w:tblpPr w:leftFromText="180" w:rightFromText="180" w:vertAnchor="text" w:horzAnchor="margin" w:tblpY="311"/>
        <w:tblOverlap w:val="never"/>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31"/>
        <w:gridCol w:w="2855"/>
        <w:gridCol w:w="2817"/>
        <w:gridCol w:w="1957"/>
      </w:tblGrid>
      <w:tr w14:paraId="349C2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70" w:type="pct"/>
            <w:tcBorders>
              <w:top w:val="single" w:color="auto" w:sz="4" w:space="0"/>
              <w:left w:val="single" w:color="auto" w:sz="4" w:space="0"/>
              <w:bottom w:val="single" w:color="auto" w:sz="4" w:space="0"/>
              <w:right w:val="single" w:color="auto" w:sz="4" w:space="0"/>
            </w:tcBorders>
            <w:vAlign w:val="center"/>
          </w:tcPr>
          <w:p w14:paraId="54134C8C">
            <w:pPr>
              <w:snapToGrid w:val="0"/>
              <w:spacing w:before="120" w:beforeLines="50" w:line="360" w:lineRule="auto"/>
              <w:jc w:val="center"/>
              <w:rPr>
                <w:rFonts w:ascii="宋体" w:hAnsi="宋体" w:cs="仿宋_GB2312"/>
                <w:sz w:val="24"/>
              </w:rPr>
            </w:pPr>
            <w:r>
              <w:rPr>
                <w:rFonts w:hint="eastAsia" w:ascii="宋体" w:hAnsi="宋体" w:cs="仿宋_GB2312"/>
                <w:sz w:val="24"/>
              </w:rPr>
              <w:t>项目</w:t>
            </w:r>
          </w:p>
        </w:tc>
        <w:tc>
          <w:tcPr>
            <w:tcW w:w="1433" w:type="pct"/>
            <w:tcBorders>
              <w:top w:val="single" w:color="auto" w:sz="4" w:space="0"/>
              <w:left w:val="single" w:color="auto" w:sz="4" w:space="0"/>
              <w:bottom w:val="single" w:color="auto" w:sz="4" w:space="0"/>
              <w:right w:val="single" w:color="auto" w:sz="4" w:space="0"/>
            </w:tcBorders>
            <w:vAlign w:val="center"/>
          </w:tcPr>
          <w:p w14:paraId="036C7B31">
            <w:pPr>
              <w:snapToGrid w:val="0"/>
              <w:spacing w:before="120" w:beforeLines="50" w:line="360" w:lineRule="auto"/>
              <w:jc w:val="center"/>
              <w:rPr>
                <w:rFonts w:ascii="宋体" w:hAnsi="宋体" w:cs="仿宋_GB2312"/>
                <w:sz w:val="24"/>
              </w:rPr>
            </w:pPr>
            <w:r>
              <w:rPr>
                <w:rFonts w:hint="eastAsia" w:ascii="宋体" w:hAnsi="宋体" w:cs="仿宋_GB2312"/>
                <w:sz w:val="24"/>
              </w:rPr>
              <w:t>竞争性磋商文件商务条款要求</w:t>
            </w:r>
          </w:p>
        </w:tc>
        <w:tc>
          <w:tcPr>
            <w:tcW w:w="1414" w:type="pct"/>
            <w:tcBorders>
              <w:top w:val="single" w:color="auto" w:sz="4" w:space="0"/>
              <w:left w:val="single" w:color="auto" w:sz="4" w:space="0"/>
              <w:bottom w:val="single" w:color="auto" w:sz="4" w:space="0"/>
              <w:right w:val="single" w:color="auto" w:sz="4" w:space="0"/>
            </w:tcBorders>
            <w:vAlign w:val="center"/>
          </w:tcPr>
          <w:p w14:paraId="73BEC297">
            <w:pPr>
              <w:snapToGrid w:val="0"/>
              <w:spacing w:before="120" w:beforeLines="50" w:line="360" w:lineRule="auto"/>
              <w:jc w:val="center"/>
              <w:rPr>
                <w:rFonts w:ascii="宋体" w:hAnsi="宋体" w:cs="仿宋_GB2312"/>
                <w:sz w:val="24"/>
              </w:rPr>
            </w:pPr>
            <w:r>
              <w:rPr>
                <w:rFonts w:hint="eastAsia" w:ascii="宋体" w:hAnsi="宋体" w:cs="仿宋_GB2312"/>
                <w:sz w:val="24"/>
              </w:rPr>
              <w:t>供应商的响应</w:t>
            </w:r>
          </w:p>
        </w:tc>
        <w:tc>
          <w:tcPr>
            <w:tcW w:w="982" w:type="pct"/>
            <w:tcBorders>
              <w:top w:val="single" w:color="auto" w:sz="4" w:space="0"/>
              <w:left w:val="single" w:color="auto" w:sz="4" w:space="0"/>
              <w:bottom w:val="single" w:color="auto" w:sz="4" w:space="0"/>
              <w:right w:val="single" w:color="auto" w:sz="4" w:space="0"/>
            </w:tcBorders>
            <w:vAlign w:val="center"/>
          </w:tcPr>
          <w:p w14:paraId="783C191B">
            <w:pPr>
              <w:snapToGrid w:val="0"/>
              <w:spacing w:before="120" w:beforeLines="50" w:line="360" w:lineRule="auto"/>
              <w:jc w:val="center"/>
              <w:rPr>
                <w:rFonts w:ascii="宋体" w:hAnsi="宋体" w:cs="仿宋_GB2312"/>
                <w:sz w:val="24"/>
              </w:rPr>
            </w:pPr>
            <w:r>
              <w:rPr>
                <w:rFonts w:hint="eastAsia" w:ascii="宋体" w:hAnsi="宋体" w:cs="仿宋_GB2312"/>
                <w:sz w:val="24"/>
              </w:rPr>
              <w:t>偏离说明</w:t>
            </w:r>
          </w:p>
        </w:tc>
      </w:tr>
      <w:tr w14:paraId="11647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70" w:type="pct"/>
            <w:tcBorders>
              <w:top w:val="single" w:color="auto" w:sz="4" w:space="0"/>
              <w:left w:val="single" w:color="auto" w:sz="4" w:space="0"/>
              <w:bottom w:val="single" w:color="auto" w:sz="4" w:space="0"/>
              <w:right w:val="single" w:color="auto" w:sz="4" w:space="0"/>
            </w:tcBorders>
            <w:vAlign w:val="center"/>
          </w:tcPr>
          <w:p w14:paraId="650CFD70">
            <w:pPr>
              <w:spacing w:line="360" w:lineRule="auto"/>
              <w:jc w:val="center"/>
              <w:rPr>
                <w:rFonts w:ascii="宋体" w:hAnsi="宋体" w:cs="仿宋_GB2312"/>
                <w:sz w:val="24"/>
              </w:rPr>
            </w:pPr>
          </w:p>
        </w:tc>
        <w:tc>
          <w:tcPr>
            <w:tcW w:w="1433" w:type="pct"/>
            <w:tcBorders>
              <w:top w:val="single" w:color="auto" w:sz="4" w:space="0"/>
              <w:left w:val="single" w:color="auto" w:sz="4" w:space="0"/>
              <w:bottom w:val="single" w:color="auto" w:sz="4" w:space="0"/>
              <w:right w:val="single" w:color="auto" w:sz="4" w:space="0"/>
            </w:tcBorders>
            <w:vAlign w:val="center"/>
          </w:tcPr>
          <w:p w14:paraId="3E639F62">
            <w:pPr>
              <w:snapToGrid w:val="0"/>
              <w:spacing w:before="120" w:beforeLines="50" w:line="360" w:lineRule="auto"/>
              <w:jc w:val="center"/>
              <w:rPr>
                <w:rFonts w:ascii="宋体" w:hAnsi="宋体" w:cs="仿宋_GB2312"/>
                <w:sz w:val="24"/>
              </w:rPr>
            </w:pPr>
          </w:p>
        </w:tc>
        <w:tc>
          <w:tcPr>
            <w:tcW w:w="1414" w:type="pct"/>
            <w:tcBorders>
              <w:top w:val="single" w:color="auto" w:sz="4" w:space="0"/>
              <w:left w:val="single" w:color="auto" w:sz="4" w:space="0"/>
              <w:bottom w:val="single" w:color="auto" w:sz="4" w:space="0"/>
              <w:right w:val="single" w:color="auto" w:sz="4" w:space="0"/>
            </w:tcBorders>
            <w:vAlign w:val="center"/>
          </w:tcPr>
          <w:p w14:paraId="0EE64972">
            <w:pPr>
              <w:snapToGrid w:val="0"/>
              <w:spacing w:before="120"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14:paraId="339C61E6">
            <w:pPr>
              <w:snapToGrid w:val="0"/>
              <w:spacing w:before="120" w:beforeLines="50" w:line="360" w:lineRule="auto"/>
              <w:jc w:val="center"/>
              <w:rPr>
                <w:rFonts w:ascii="宋体" w:hAnsi="宋体" w:cs="仿宋_GB2312"/>
                <w:sz w:val="24"/>
              </w:rPr>
            </w:pPr>
          </w:p>
        </w:tc>
      </w:tr>
      <w:tr w14:paraId="3B784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170" w:type="pct"/>
            <w:tcBorders>
              <w:top w:val="single" w:color="auto" w:sz="4" w:space="0"/>
              <w:left w:val="single" w:color="auto" w:sz="4" w:space="0"/>
              <w:bottom w:val="single" w:color="auto" w:sz="4" w:space="0"/>
              <w:right w:val="single" w:color="auto" w:sz="4" w:space="0"/>
            </w:tcBorders>
            <w:vAlign w:val="center"/>
          </w:tcPr>
          <w:p w14:paraId="559B79B2">
            <w:pPr>
              <w:spacing w:line="360" w:lineRule="auto"/>
              <w:jc w:val="center"/>
              <w:rPr>
                <w:rFonts w:ascii="宋体" w:hAnsi="宋体" w:cs="仿宋_GB2312"/>
                <w:sz w:val="24"/>
              </w:rPr>
            </w:pPr>
          </w:p>
        </w:tc>
        <w:tc>
          <w:tcPr>
            <w:tcW w:w="1433" w:type="pct"/>
            <w:tcBorders>
              <w:top w:val="single" w:color="auto" w:sz="4" w:space="0"/>
              <w:left w:val="single" w:color="auto" w:sz="4" w:space="0"/>
              <w:bottom w:val="single" w:color="auto" w:sz="4" w:space="0"/>
              <w:right w:val="single" w:color="auto" w:sz="4" w:space="0"/>
            </w:tcBorders>
            <w:vAlign w:val="center"/>
          </w:tcPr>
          <w:p w14:paraId="48988731">
            <w:pPr>
              <w:snapToGrid w:val="0"/>
              <w:spacing w:before="120" w:beforeLines="50" w:line="360" w:lineRule="auto"/>
              <w:jc w:val="center"/>
              <w:rPr>
                <w:rFonts w:ascii="宋体" w:hAnsi="宋体" w:cs="仿宋_GB2312"/>
                <w:sz w:val="24"/>
              </w:rPr>
            </w:pPr>
          </w:p>
        </w:tc>
        <w:tc>
          <w:tcPr>
            <w:tcW w:w="1414" w:type="pct"/>
            <w:tcBorders>
              <w:top w:val="single" w:color="auto" w:sz="4" w:space="0"/>
              <w:left w:val="single" w:color="auto" w:sz="4" w:space="0"/>
              <w:bottom w:val="single" w:color="auto" w:sz="4" w:space="0"/>
              <w:right w:val="single" w:color="auto" w:sz="4" w:space="0"/>
            </w:tcBorders>
            <w:vAlign w:val="center"/>
          </w:tcPr>
          <w:p w14:paraId="1E87415D">
            <w:pPr>
              <w:snapToGrid w:val="0"/>
              <w:spacing w:before="120"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14:paraId="45E3491A">
            <w:pPr>
              <w:snapToGrid w:val="0"/>
              <w:spacing w:before="120" w:beforeLines="50" w:line="360" w:lineRule="auto"/>
              <w:jc w:val="center"/>
              <w:rPr>
                <w:rFonts w:ascii="宋体" w:hAnsi="宋体" w:cs="仿宋_GB2312"/>
                <w:sz w:val="24"/>
              </w:rPr>
            </w:pPr>
          </w:p>
        </w:tc>
      </w:tr>
      <w:tr w14:paraId="259A5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170" w:type="pct"/>
            <w:tcBorders>
              <w:top w:val="single" w:color="auto" w:sz="4" w:space="0"/>
              <w:left w:val="single" w:color="auto" w:sz="4" w:space="0"/>
              <w:bottom w:val="single" w:color="auto" w:sz="4" w:space="0"/>
              <w:right w:val="single" w:color="auto" w:sz="4" w:space="0"/>
            </w:tcBorders>
            <w:vAlign w:val="center"/>
          </w:tcPr>
          <w:p w14:paraId="11254795">
            <w:pPr>
              <w:spacing w:line="360" w:lineRule="auto"/>
              <w:jc w:val="center"/>
              <w:rPr>
                <w:rFonts w:ascii="宋体" w:hAnsi="宋体" w:cs="仿宋_GB2312"/>
                <w:sz w:val="24"/>
              </w:rPr>
            </w:pPr>
          </w:p>
        </w:tc>
        <w:tc>
          <w:tcPr>
            <w:tcW w:w="1433" w:type="pct"/>
            <w:tcBorders>
              <w:top w:val="single" w:color="auto" w:sz="4" w:space="0"/>
              <w:left w:val="single" w:color="auto" w:sz="4" w:space="0"/>
              <w:bottom w:val="single" w:color="auto" w:sz="4" w:space="0"/>
              <w:right w:val="single" w:color="auto" w:sz="4" w:space="0"/>
            </w:tcBorders>
            <w:vAlign w:val="center"/>
          </w:tcPr>
          <w:p w14:paraId="5E37CCD5">
            <w:pPr>
              <w:snapToGrid w:val="0"/>
              <w:spacing w:before="120" w:beforeLines="50" w:line="360" w:lineRule="auto"/>
              <w:jc w:val="center"/>
              <w:rPr>
                <w:rFonts w:ascii="宋体" w:hAnsi="宋体" w:cs="仿宋_GB2312"/>
                <w:sz w:val="24"/>
              </w:rPr>
            </w:pPr>
          </w:p>
        </w:tc>
        <w:tc>
          <w:tcPr>
            <w:tcW w:w="1414" w:type="pct"/>
            <w:tcBorders>
              <w:top w:val="single" w:color="auto" w:sz="4" w:space="0"/>
              <w:left w:val="single" w:color="auto" w:sz="4" w:space="0"/>
              <w:bottom w:val="single" w:color="auto" w:sz="4" w:space="0"/>
              <w:right w:val="single" w:color="auto" w:sz="4" w:space="0"/>
            </w:tcBorders>
            <w:vAlign w:val="center"/>
          </w:tcPr>
          <w:p w14:paraId="1DB9FFF1">
            <w:pPr>
              <w:snapToGrid w:val="0"/>
              <w:spacing w:before="120" w:beforeLines="50" w:line="360" w:lineRule="auto"/>
              <w:ind w:left="43"/>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14:paraId="039C7DFF">
            <w:pPr>
              <w:snapToGrid w:val="0"/>
              <w:spacing w:before="120" w:beforeLines="50" w:line="360" w:lineRule="auto"/>
              <w:ind w:left="43"/>
              <w:jc w:val="center"/>
              <w:rPr>
                <w:rFonts w:ascii="宋体" w:hAnsi="宋体" w:cs="仿宋_GB2312"/>
                <w:sz w:val="24"/>
              </w:rPr>
            </w:pPr>
          </w:p>
        </w:tc>
      </w:tr>
      <w:tr w14:paraId="71CAE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70" w:type="pct"/>
            <w:tcBorders>
              <w:top w:val="single" w:color="auto" w:sz="4" w:space="0"/>
              <w:left w:val="single" w:color="auto" w:sz="4" w:space="0"/>
              <w:bottom w:val="single" w:color="auto" w:sz="4" w:space="0"/>
              <w:right w:val="single" w:color="auto" w:sz="4" w:space="0"/>
            </w:tcBorders>
            <w:vAlign w:val="center"/>
          </w:tcPr>
          <w:p w14:paraId="2C22D4D4">
            <w:pPr>
              <w:spacing w:line="360" w:lineRule="auto"/>
              <w:jc w:val="center"/>
              <w:rPr>
                <w:rFonts w:ascii="宋体" w:hAnsi="宋体" w:cs="仿宋_GB2312"/>
                <w:sz w:val="24"/>
              </w:rPr>
            </w:pPr>
          </w:p>
        </w:tc>
        <w:tc>
          <w:tcPr>
            <w:tcW w:w="1433" w:type="pct"/>
            <w:tcBorders>
              <w:top w:val="single" w:color="auto" w:sz="4" w:space="0"/>
              <w:left w:val="single" w:color="auto" w:sz="4" w:space="0"/>
              <w:bottom w:val="single" w:color="auto" w:sz="4" w:space="0"/>
              <w:right w:val="single" w:color="auto" w:sz="4" w:space="0"/>
            </w:tcBorders>
            <w:vAlign w:val="center"/>
          </w:tcPr>
          <w:p w14:paraId="4F4BA2B4">
            <w:pPr>
              <w:snapToGrid w:val="0"/>
              <w:spacing w:before="120" w:beforeLines="50" w:line="360" w:lineRule="auto"/>
              <w:jc w:val="center"/>
              <w:rPr>
                <w:rFonts w:ascii="宋体" w:hAnsi="宋体" w:cs="仿宋_GB2312"/>
                <w:sz w:val="24"/>
              </w:rPr>
            </w:pPr>
          </w:p>
        </w:tc>
        <w:tc>
          <w:tcPr>
            <w:tcW w:w="1414" w:type="pct"/>
            <w:tcBorders>
              <w:top w:val="single" w:color="auto" w:sz="4" w:space="0"/>
              <w:left w:val="single" w:color="auto" w:sz="4" w:space="0"/>
              <w:bottom w:val="single" w:color="auto" w:sz="4" w:space="0"/>
              <w:right w:val="single" w:color="auto" w:sz="4" w:space="0"/>
            </w:tcBorders>
            <w:vAlign w:val="center"/>
          </w:tcPr>
          <w:p w14:paraId="23ADBD7E">
            <w:pPr>
              <w:snapToGrid w:val="0"/>
              <w:spacing w:before="120"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14:paraId="5B4B460A">
            <w:pPr>
              <w:snapToGrid w:val="0"/>
              <w:spacing w:before="120" w:beforeLines="50" w:line="360" w:lineRule="auto"/>
              <w:jc w:val="center"/>
              <w:rPr>
                <w:rFonts w:ascii="宋体" w:hAnsi="宋体" w:cs="仿宋_GB2312"/>
                <w:sz w:val="24"/>
              </w:rPr>
            </w:pPr>
          </w:p>
        </w:tc>
      </w:tr>
      <w:tr w14:paraId="13BA7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0" w:type="pct"/>
            <w:tcBorders>
              <w:top w:val="single" w:color="auto" w:sz="4" w:space="0"/>
              <w:left w:val="single" w:color="auto" w:sz="4" w:space="0"/>
              <w:bottom w:val="single" w:color="auto" w:sz="4" w:space="0"/>
              <w:right w:val="single" w:color="auto" w:sz="4" w:space="0"/>
            </w:tcBorders>
            <w:vAlign w:val="center"/>
          </w:tcPr>
          <w:p w14:paraId="0F38B1C2">
            <w:pPr>
              <w:snapToGrid w:val="0"/>
              <w:spacing w:before="120" w:beforeLines="50" w:line="360" w:lineRule="auto"/>
              <w:jc w:val="center"/>
              <w:rPr>
                <w:rFonts w:ascii="宋体" w:hAnsi="宋体" w:cs="仿宋_GB2312"/>
                <w:sz w:val="24"/>
              </w:rPr>
            </w:pPr>
            <w:r>
              <w:rPr>
                <w:rFonts w:hint="eastAsia" w:ascii="宋体" w:hAnsi="宋体" w:cs="仿宋_GB2312"/>
                <w:sz w:val="24"/>
              </w:rPr>
              <w:t>…</w:t>
            </w:r>
          </w:p>
        </w:tc>
        <w:tc>
          <w:tcPr>
            <w:tcW w:w="1433" w:type="pct"/>
            <w:tcBorders>
              <w:top w:val="single" w:color="auto" w:sz="4" w:space="0"/>
              <w:left w:val="single" w:color="auto" w:sz="4" w:space="0"/>
              <w:bottom w:val="single" w:color="auto" w:sz="4" w:space="0"/>
              <w:right w:val="single" w:color="auto" w:sz="4" w:space="0"/>
            </w:tcBorders>
            <w:vAlign w:val="center"/>
          </w:tcPr>
          <w:p w14:paraId="0D080804">
            <w:pPr>
              <w:snapToGrid w:val="0"/>
              <w:spacing w:before="120" w:beforeLines="50" w:line="360" w:lineRule="auto"/>
              <w:jc w:val="center"/>
              <w:rPr>
                <w:rFonts w:ascii="宋体" w:hAnsi="宋体" w:cs="仿宋_GB2312"/>
                <w:sz w:val="24"/>
              </w:rPr>
            </w:pPr>
          </w:p>
        </w:tc>
        <w:tc>
          <w:tcPr>
            <w:tcW w:w="1414" w:type="pct"/>
            <w:tcBorders>
              <w:top w:val="single" w:color="auto" w:sz="4" w:space="0"/>
              <w:left w:val="single" w:color="auto" w:sz="4" w:space="0"/>
              <w:bottom w:val="single" w:color="auto" w:sz="4" w:space="0"/>
              <w:right w:val="single" w:color="auto" w:sz="4" w:space="0"/>
            </w:tcBorders>
            <w:vAlign w:val="center"/>
          </w:tcPr>
          <w:p w14:paraId="08283F33">
            <w:pPr>
              <w:snapToGrid w:val="0"/>
              <w:spacing w:before="120" w:beforeLines="50" w:line="360" w:lineRule="auto"/>
              <w:jc w:val="center"/>
              <w:rPr>
                <w:rFonts w:ascii="宋体" w:hAnsi="宋体" w:cs="仿宋_GB2312"/>
                <w:sz w:val="24"/>
              </w:rPr>
            </w:pPr>
          </w:p>
        </w:tc>
        <w:tc>
          <w:tcPr>
            <w:tcW w:w="982" w:type="pct"/>
            <w:tcBorders>
              <w:top w:val="single" w:color="auto" w:sz="4" w:space="0"/>
              <w:left w:val="single" w:color="auto" w:sz="4" w:space="0"/>
              <w:bottom w:val="single" w:color="auto" w:sz="4" w:space="0"/>
              <w:right w:val="single" w:color="auto" w:sz="4" w:space="0"/>
            </w:tcBorders>
            <w:vAlign w:val="center"/>
          </w:tcPr>
          <w:p w14:paraId="0B0D2E6B">
            <w:pPr>
              <w:snapToGrid w:val="0"/>
              <w:spacing w:before="120" w:beforeLines="50" w:line="360" w:lineRule="auto"/>
              <w:jc w:val="center"/>
              <w:rPr>
                <w:rFonts w:ascii="宋体" w:hAnsi="宋体" w:cs="仿宋_GB2312"/>
                <w:sz w:val="24"/>
              </w:rPr>
            </w:pPr>
          </w:p>
        </w:tc>
      </w:tr>
    </w:tbl>
    <w:p w14:paraId="74512006">
      <w:pPr>
        <w:pStyle w:val="21"/>
        <w:spacing w:line="360" w:lineRule="auto"/>
        <w:contextualSpacing/>
        <w:jc w:val="both"/>
        <w:rPr>
          <w:rFonts w:ascii="宋体" w:hAnsi="宋体"/>
          <w:kern w:val="0"/>
          <w:sz w:val="24"/>
          <w:szCs w:val="24"/>
        </w:rPr>
      </w:pPr>
      <w:r>
        <w:rPr>
          <w:rFonts w:hint="eastAsia" w:ascii="宋体" w:hAnsi="宋体"/>
          <w:kern w:val="0"/>
          <w:sz w:val="24"/>
          <w:szCs w:val="24"/>
        </w:rPr>
        <w:t>注：</w:t>
      </w:r>
    </w:p>
    <w:p w14:paraId="6746888E">
      <w:pPr>
        <w:pStyle w:val="21"/>
        <w:spacing w:line="360" w:lineRule="auto"/>
        <w:contextualSpacing/>
        <w:jc w:val="left"/>
        <w:rPr>
          <w:rFonts w:ascii="宋体" w:hAnsi="宋体"/>
          <w:kern w:val="0"/>
          <w:sz w:val="24"/>
          <w:szCs w:val="24"/>
        </w:rPr>
      </w:pPr>
      <w:r>
        <w:rPr>
          <w:rFonts w:hint="eastAsia" w:ascii="宋体" w:hAnsi="宋体"/>
          <w:kern w:val="0"/>
          <w:sz w:val="24"/>
          <w:szCs w:val="24"/>
        </w:rPr>
        <w:t>1. 说明：应对照磋商文件“第四部分 采购需求”中的商务条款逐条明确响应，并作出偏离说明。</w:t>
      </w:r>
    </w:p>
    <w:p w14:paraId="17F18B87">
      <w:pPr>
        <w:pStyle w:val="21"/>
        <w:spacing w:line="360" w:lineRule="auto"/>
        <w:contextualSpacing/>
        <w:jc w:val="left"/>
        <w:rPr>
          <w:rFonts w:ascii="宋体" w:hAnsi="宋体"/>
          <w:kern w:val="0"/>
          <w:sz w:val="24"/>
          <w:szCs w:val="24"/>
        </w:rPr>
      </w:pPr>
      <w:r>
        <w:rPr>
          <w:rFonts w:hint="eastAsia" w:ascii="宋体" w:hAnsi="宋体"/>
          <w:kern w:val="0"/>
          <w:sz w:val="24"/>
          <w:szCs w:val="24"/>
        </w:rPr>
        <w:t>2.供应商应根据自身的承诺，对照磋商文件要求在“偏离说明”中注明“正偏离”、“负偏离”或者“无偏离”。既不属于“正偏离”也不属于“负偏离”即为“无偏离”。</w:t>
      </w:r>
    </w:p>
    <w:p w14:paraId="288268A6">
      <w:pPr>
        <w:spacing w:line="360" w:lineRule="auto"/>
        <w:contextualSpacing/>
        <w:jc w:val="left"/>
        <w:rPr>
          <w:rFonts w:ascii="宋体" w:hAnsi="宋体" w:cs="仿宋_GB2312"/>
          <w:sz w:val="24"/>
          <w:u w:val="single"/>
        </w:rPr>
      </w:pPr>
    </w:p>
    <w:p w14:paraId="2DF58165">
      <w:pPr>
        <w:spacing w:line="360" w:lineRule="auto"/>
        <w:contextualSpacing/>
        <w:jc w:val="left"/>
        <w:rPr>
          <w:rFonts w:ascii="宋体" w:hAnsi="宋体" w:cs="仿宋_GB2312"/>
          <w:sz w:val="24"/>
          <w:u w:val="single"/>
        </w:rPr>
      </w:pPr>
    </w:p>
    <w:p w14:paraId="3E71D868">
      <w:pPr>
        <w:spacing w:line="360" w:lineRule="auto"/>
        <w:ind w:right="-817" w:rightChars="-389"/>
        <w:contextualSpacing/>
        <w:rPr>
          <w:rFonts w:ascii="宋体" w:hAnsi="宋体" w:cs="仿宋_GB2312"/>
          <w:sz w:val="24"/>
        </w:rPr>
      </w:pPr>
    </w:p>
    <w:p w14:paraId="3087EA05">
      <w:pPr>
        <w:spacing w:line="360" w:lineRule="auto"/>
        <w:ind w:right="-817" w:rightChars="-389"/>
        <w:contextualSpacing/>
        <w:jc w:val="center"/>
        <w:rPr>
          <w:rFonts w:ascii="宋体" w:hAnsi="宋体" w:cs="仿宋_GB2312"/>
          <w:sz w:val="24"/>
        </w:rPr>
      </w:pPr>
      <w:r>
        <w:rPr>
          <w:rFonts w:hint="eastAsia" w:ascii="宋体" w:hAnsi="宋体" w:cs="宋体"/>
          <w:kern w:val="0"/>
          <w:sz w:val="24"/>
          <w:lang w:val="zh-CN"/>
        </w:rPr>
        <w:t>法定代表人（负责人）或委托代理人(签名)</w:t>
      </w:r>
      <w:r>
        <w:rPr>
          <w:rFonts w:hint="eastAsia" w:ascii="宋体" w:hAnsi="宋体" w:cs="仿宋_GB2312"/>
          <w:sz w:val="24"/>
        </w:rPr>
        <w:t>：</w:t>
      </w:r>
    </w:p>
    <w:p w14:paraId="69298C4B">
      <w:pPr>
        <w:spacing w:line="360" w:lineRule="auto"/>
        <w:ind w:right="-817" w:rightChars="-389" w:firstLine="3600" w:firstLineChars="1500"/>
        <w:contextualSpacing/>
        <w:rPr>
          <w:rFonts w:ascii="宋体" w:hAnsi="宋体" w:cs="仿宋_GB2312"/>
          <w:sz w:val="24"/>
        </w:rPr>
      </w:pPr>
      <w:r>
        <w:rPr>
          <w:rFonts w:hint="eastAsia" w:ascii="宋体" w:hAnsi="宋体" w:cs="仿宋_GB2312"/>
          <w:sz w:val="24"/>
        </w:rPr>
        <w:t xml:space="preserve">磋商供应商名称（公章）：      </w:t>
      </w:r>
    </w:p>
    <w:p w14:paraId="79F80836">
      <w:pPr>
        <w:spacing w:line="360" w:lineRule="auto"/>
        <w:ind w:right="-817" w:rightChars="-389" w:firstLine="3600" w:firstLineChars="1500"/>
        <w:contextualSpacing/>
        <w:rPr>
          <w:rFonts w:ascii="宋体" w:hAnsi="宋体" w:cs="仿宋_GB2312"/>
          <w:sz w:val="24"/>
        </w:rPr>
      </w:pPr>
      <w:r>
        <w:rPr>
          <w:rFonts w:hint="eastAsia" w:ascii="宋体" w:hAnsi="宋体" w:cs="仿宋_GB2312"/>
          <w:sz w:val="24"/>
        </w:rPr>
        <w:t>日期：   年   月   日</w:t>
      </w:r>
    </w:p>
    <w:p w14:paraId="3B600032">
      <w:pPr>
        <w:snapToGrid w:val="0"/>
        <w:spacing w:line="360" w:lineRule="auto"/>
        <w:jc w:val="center"/>
        <w:rPr>
          <w:rFonts w:ascii="宋体" w:hAnsi="宋体" w:cs="宋体"/>
          <w:b/>
          <w:kern w:val="0"/>
          <w:sz w:val="32"/>
          <w:szCs w:val="32"/>
          <w:lang w:val="zh-CN"/>
        </w:rPr>
      </w:pPr>
    </w:p>
    <w:p w14:paraId="6CF44C50">
      <w:pPr>
        <w:snapToGrid w:val="0"/>
        <w:spacing w:line="360" w:lineRule="auto"/>
        <w:jc w:val="center"/>
        <w:rPr>
          <w:rFonts w:ascii="宋体" w:hAnsi="宋体" w:cs="宋体"/>
          <w:b/>
          <w:kern w:val="0"/>
          <w:sz w:val="32"/>
          <w:szCs w:val="32"/>
          <w:lang w:val="zh-CN"/>
        </w:rPr>
      </w:pPr>
    </w:p>
    <w:p w14:paraId="73208435">
      <w:pPr>
        <w:snapToGrid w:val="0"/>
        <w:spacing w:line="360" w:lineRule="auto"/>
        <w:jc w:val="center"/>
        <w:rPr>
          <w:rFonts w:ascii="宋体" w:hAnsi="宋体" w:cs="宋体"/>
          <w:b/>
          <w:kern w:val="0"/>
          <w:sz w:val="32"/>
          <w:szCs w:val="32"/>
          <w:lang w:val="zh-CN"/>
        </w:rPr>
      </w:pPr>
    </w:p>
    <w:p w14:paraId="417CDBDE">
      <w:pPr>
        <w:rPr>
          <w:rFonts w:ascii="宋体" w:hAnsi="宋体" w:cs="宋体"/>
          <w:b/>
          <w:bCs/>
          <w:sz w:val="32"/>
          <w:szCs w:val="32"/>
        </w:rPr>
      </w:pPr>
      <w:r>
        <w:rPr>
          <w:rFonts w:hint="eastAsia" w:ascii="宋体" w:hAnsi="宋体" w:cs="宋体"/>
          <w:b/>
          <w:bCs/>
          <w:sz w:val="32"/>
          <w:szCs w:val="32"/>
        </w:rPr>
        <w:br w:type="page"/>
      </w:r>
    </w:p>
    <w:p w14:paraId="6E0B9BCD">
      <w:pPr>
        <w:spacing w:line="360" w:lineRule="auto"/>
        <w:jc w:val="center"/>
        <w:rPr>
          <w:rFonts w:ascii="宋体" w:hAnsi="宋体" w:cs="宋体"/>
          <w:b/>
          <w:bCs/>
          <w:sz w:val="32"/>
          <w:szCs w:val="32"/>
        </w:rPr>
      </w:pPr>
      <w:r>
        <w:rPr>
          <w:rFonts w:hint="eastAsia" w:ascii="宋体" w:hAnsi="宋体" w:cs="宋体"/>
          <w:b/>
          <w:bCs/>
          <w:sz w:val="32"/>
          <w:szCs w:val="32"/>
        </w:rPr>
        <w:t>技术需求偏离表</w:t>
      </w:r>
    </w:p>
    <w:tbl>
      <w:tblPr>
        <w:tblStyle w:val="6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002"/>
        <w:gridCol w:w="3327"/>
        <w:gridCol w:w="2995"/>
        <w:gridCol w:w="1632"/>
      </w:tblGrid>
      <w:tr w14:paraId="3C00F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03" w:type="pct"/>
            <w:vAlign w:val="center"/>
          </w:tcPr>
          <w:p w14:paraId="4E65049A">
            <w:pPr>
              <w:pStyle w:val="23"/>
              <w:spacing w:line="360" w:lineRule="auto"/>
              <w:ind w:firstLine="0" w:firstLineChars="0"/>
              <w:jc w:val="center"/>
              <w:rPr>
                <w:rFonts w:cs="仿宋_GB2312"/>
              </w:rPr>
            </w:pPr>
            <w:r>
              <w:rPr>
                <w:rFonts w:hint="eastAsia" w:cs="仿宋_GB2312"/>
              </w:rPr>
              <w:t>序号</w:t>
            </w:r>
          </w:p>
        </w:tc>
        <w:tc>
          <w:tcPr>
            <w:tcW w:w="503" w:type="pct"/>
            <w:tcBorders>
              <w:right w:val="single" w:color="auto" w:sz="4" w:space="0"/>
            </w:tcBorders>
            <w:vAlign w:val="center"/>
          </w:tcPr>
          <w:p w14:paraId="146E6EFA">
            <w:pPr>
              <w:pStyle w:val="23"/>
              <w:spacing w:line="360" w:lineRule="auto"/>
              <w:ind w:firstLine="0" w:firstLineChars="0"/>
              <w:jc w:val="center"/>
              <w:rPr>
                <w:rFonts w:cs="仿宋_GB2312"/>
              </w:rPr>
            </w:pPr>
            <w:r>
              <w:rPr>
                <w:rFonts w:hint="eastAsia" w:cs="仿宋_GB2312"/>
              </w:rPr>
              <w:t>名称</w:t>
            </w:r>
          </w:p>
        </w:tc>
        <w:tc>
          <w:tcPr>
            <w:tcW w:w="1670" w:type="pct"/>
            <w:tcBorders>
              <w:left w:val="single" w:color="auto" w:sz="4" w:space="0"/>
            </w:tcBorders>
            <w:vAlign w:val="center"/>
          </w:tcPr>
          <w:p w14:paraId="6BA416ED">
            <w:pPr>
              <w:pStyle w:val="23"/>
              <w:spacing w:line="360" w:lineRule="auto"/>
              <w:ind w:firstLine="0" w:firstLineChars="0"/>
              <w:jc w:val="center"/>
              <w:rPr>
                <w:rFonts w:cs="仿宋_GB2312"/>
              </w:rPr>
            </w:pPr>
            <w:r>
              <w:rPr>
                <w:rFonts w:hint="eastAsia" w:cs="仿宋_GB2312"/>
              </w:rPr>
              <w:t>竞争性磋商文件要求</w:t>
            </w:r>
          </w:p>
        </w:tc>
        <w:tc>
          <w:tcPr>
            <w:tcW w:w="1503" w:type="pct"/>
            <w:vAlign w:val="center"/>
          </w:tcPr>
          <w:p w14:paraId="11108573">
            <w:pPr>
              <w:pStyle w:val="23"/>
              <w:spacing w:line="360" w:lineRule="auto"/>
              <w:ind w:firstLine="0" w:firstLineChars="0"/>
              <w:jc w:val="center"/>
              <w:rPr>
                <w:rFonts w:cs="仿宋_GB2312"/>
              </w:rPr>
            </w:pPr>
            <w:r>
              <w:rPr>
                <w:rFonts w:hint="eastAsia" w:cs="仿宋_GB2312"/>
              </w:rPr>
              <w:t>竞标响应</w:t>
            </w:r>
          </w:p>
        </w:tc>
        <w:tc>
          <w:tcPr>
            <w:tcW w:w="819" w:type="pct"/>
            <w:vAlign w:val="center"/>
          </w:tcPr>
          <w:p w14:paraId="41DC504A">
            <w:pPr>
              <w:pStyle w:val="23"/>
              <w:spacing w:line="360" w:lineRule="auto"/>
              <w:ind w:firstLine="0" w:firstLineChars="0"/>
              <w:jc w:val="center"/>
              <w:rPr>
                <w:rFonts w:cs="仿宋_GB2312"/>
              </w:rPr>
            </w:pPr>
            <w:r>
              <w:rPr>
                <w:rFonts w:hint="eastAsia" w:cs="仿宋_GB2312"/>
              </w:rPr>
              <w:t>偏离说明</w:t>
            </w:r>
          </w:p>
        </w:tc>
      </w:tr>
      <w:tr w14:paraId="6FB67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03" w:type="pct"/>
            <w:vAlign w:val="center"/>
          </w:tcPr>
          <w:p w14:paraId="0B8E8184">
            <w:pPr>
              <w:pStyle w:val="23"/>
              <w:spacing w:line="360" w:lineRule="auto"/>
              <w:ind w:firstLine="0" w:firstLineChars="0"/>
              <w:jc w:val="center"/>
              <w:rPr>
                <w:rFonts w:cs="仿宋_GB2312"/>
              </w:rPr>
            </w:pPr>
            <w:r>
              <w:rPr>
                <w:rFonts w:hint="eastAsia" w:cs="仿宋_GB2312"/>
              </w:rPr>
              <w:t>1</w:t>
            </w:r>
          </w:p>
        </w:tc>
        <w:tc>
          <w:tcPr>
            <w:tcW w:w="503" w:type="pct"/>
            <w:tcBorders>
              <w:right w:val="single" w:color="auto" w:sz="4" w:space="0"/>
            </w:tcBorders>
            <w:vAlign w:val="center"/>
          </w:tcPr>
          <w:p w14:paraId="750B5042">
            <w:pPr>
              <w:pStyle w:val="23"/>
              <w:spacing w:line="360" w:lineRule="auto"/>
              <w:ind w:firstLine="0" w:firstLineChars="0"/>
              <w:jc w:val="center"/>
              <w:rPr>
                <w:rFonts w:cs="仿宋_GB2312"/>
              </w:rPr>
            </w:pPr>
          </w:p>
        </w:tc>
        <w:tc>
          <w:tcPr>
            <w:tcW w:w="1670" w:type="pct"/>
            <w:tcBorders>
              <w:left w:val="single" w:color="auto" w:sz="4" w:space="0"/>
            </w:tcBorders>
            <w:vAlign w:val="center"/>
          </w:tcPr>
          <w:p w14:paraId="4E12F3BB">
            <w:pPr>
              <w:pStyle w:val="23"/>
              <w:spacing w:line="360" w:lineRule="auto"/>
              <w:ind w:firstLine="0" w:firstLineChars="0"/>
              <w:jc w:val="center"/>
              <w:rPr>
                <w:rFonts w:cs="仿宋_GB2312"/>
              </w:rPr>
            </w:pPr>
          </w:p>
        </w:tc>
        <w:tc>
          <w:tcPr>
            <w:tcW w:w="1503" w:type="pct"/>
            <w:vAlign w:val="center"/>
          </w:tcPr>
          <w:p w14:paraId="481D1B3C">
            <w:pPr>
              <w:pStyle w:val="23"/>
              <w:spacing w:line="360" w:lineRule="auto"/>
              <w:ind w:firstLine="0" w:firstLineChars="0"/>
              <w:jc w:val="center"/>
              <w:rPr>
                <w:rFonts w:cs="仿宋_GB2312"/>
              </w:rPr>
            </w:pPr>
          </w:p>
        </w:tc>
        <w:tc>
          <w:tcPr>
            <w:tcW w:w="819" w:type="pct"/>
            <w:vAlign w:val="center"/>
          </w:tcPr>
          <w:p w14:paraId="1FAA9F85">
            <w:pPr>
              <w:pStyle w:val="23"/>
              <w:spacing w:line="360" w:lineRule="auto"/>
              <w:ind w:firstLine="0" w:firstLineChars="0"/>
              <w:jc w:val="center"/>
              <w:rPr>
                <w:rFonts w:cs="仿宋_GB2312"/>
              </w:rPr>
            </w:pPr>
          </w:p>
        </w:tc>
      </w:tr>
      <w:tr w14:paraId="3B4CA8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03" w:type="pct"/>
            <w:vAlign w:val="center"/>
          </w:tcPr>
          <w:p w14:paraId="46536E3E">
            <w:pPr>
              <w:pStyle w:val="23"/>
              <w:spacing w:line="360" w:lineRule="auto"/>
              <w:ind w:firstLine="0" w:firstLineChars="0"/>
              <w:jc w:val="center"/>
              <w:rPr>
                <w:rFonts w:cs="仿宋_GB2312"/>
              </w:rPr>
            </w:pPr>
            <w:r>
              <w:rPr>
                <w:rFonts w:hint="eastAsia" w:cs="仿宋_GB2312"/>
              </w:rPr>
              <w:t>2</w:t>
            </w:r>
          </w:p>
        </w:tc>
        <w:tc>
          <w:tcPr>
            <w:tcW w:w="503" w:type="pct"/>
            <w:tcBorders>
              <w:right w:val="single" w:color="auto" w:sz="4" w:space="0"/>
            </w:tcBorders>
            <w:vAlign w:val="center"/>
          </w:tcPr>
          <w:p w14:paraId="09B911AD">
            <w:pPr>
              <w:pStyle w:val="23"/>
              <w:spacing w:line="360" w:lineRule="auto"/>
              <w:ind w:firstLine="0" w:firstLineChars="0"/>
              <w:jc w:val="center"/>
              <w:rPr>
                <w:rFonts w:cs="仿宋_GB2312"/>
              </w:rPr>
            </w:pPr>
          </w:p>
        </w:tc>
        <w:tc>
          <w:tcPr>
            <w:tcW w:w="1670" w:type="pct"/>
            <w:tcBorders>
              <w:left w:val="single" w:color="auto" w:sz="4" w:space="0"/>
            </w:tcBorders>
            <w:vAlign w:val="center"/>
          </w:tcPr>
          <w:p w14:paraId="1BE7C276">
            <w:pPr>
              <w:pStyle w:val="23"/>
              <w:spacing w:line="360" w:lineRule="auto"/>
              <w:ind w:firstLine="0" w:firstLineChars="0"/>
              <w:jc w:val="center"/>
              <w:rPr>
                <w:rFonts w:cs="仿宋_GB2312"/>
              </w:rPr>
            </w:pPr>
          </w:p>
        </w:tc>
        <w:tc>
          <w:tcPr>
            <w:tcW w:w="1503" w:type="pct"/>
            <w:vAlign w:val="center"/>
          </w:tcPr>
          <w:p w14:paraId="251BED94">
            <w:pPr>
              <w:pStyle w:val="23"/>
              <w:spacing w:line="360" w:lineRule="auto"/>
              <w:ind w:firstLine="0" w:firstLineChars="0"/>
              <w:jc w:val="center"/>
              <w:rPr>
                <w:rFonts w:cs="仿宋_GB2312"/>
              </w:rPr>
            </w:pPr>
          </w:p>
        </w:tc>
        <w:tc>
          <w:tcPr>
            <w:tcW w:w="819" w:type="pct"/>
            <w:vAlign w:val="center"/>
          </w:tcPr>
          <w:p w14:paraId="3B760FE5">
            <w:pPr>
              <w:pStyle w:val="23"/>
              <w:spacing w:line="360" w:lineRule="auto"/>
              <w:ind w:firstLine="0" w:firstLineChars="0"/>
              <w:jc w:val="center"/>
              <w:rPr>
                <w:rFonts w:cs="仿宋_GB2312"/>
              </w:rPr>
            </w:pPr>
          </w:p>
        </w:tc>
      </w:tr>
      <w:tr w14:paraId="6C890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03" w:type="pct"/>
            <w:vAlign w:val="center"/>
          </w:tcPr>
          <w:p w14:paraId="06F557F5">
            <w:pPr>
              <w:pStyle w:val="23"/>
              <w:spacing w:line="360" w:lineRule="auto"/>
              <w:ind w:firstLine="0" w:firstLineChars="0"/>
              <w:jc w:val="center"/>
              <w:rPr>
                <w:rFonts w:cs="仿宋_GB2312"/>
              </w:rPr>
            </w:pPr>
            <w:r>
              <w:rPr>
                <w:rFonts w:hint="eastAsia" w:cs="仿宋_GB2312"/>
              </w:rPr>
              <w:t>3</w:t>
            </w:r>
          </w:p>
        </w:tc>
        <w:tc>
          <w:tcPr>
            <w:tcW w:w="503" w:type="pct"/>
            <w:tcBorders>
              <w:right w:val="single" w:color="auto" w:sz="4" w:space="0"/>
            </w:tcBorders>
            <w:vAlign w:val="center"/>
          </w:tcPr>
          <w:p w14:paraId="0D3C196A">
            <w:pPr>
              <w:pStyle w:val="23"/>
              <w:spacing w:line="360" w:lineRule="auto"/>
              <w:ind w:firstLine="0" w:firstLineChars="0"/>
              <w:jc w:val="center"/>
              <w:rPr>
                <w:rFonts w:cs="仿宋_GB2312"/>
              </w:rPr>
            </w:pPr>
          </w:p>
        </w:tc>
        <w:tc>
          <w:tcPr>
            <w:tcW w:w="1670" w:type="pct"/>
            <w:tcBorders>
              <w:left w:val="single" w:color="auto" w:sz="4" w:space="0"/>
            </w:tcBorders>
            <w:vAlign w:val="center"/>
          </w:tcPr>
          <w:p w14:paraId="55A7AEF4">
            <w:pPr>
              <w:pStyle w:val="23"/>
              <w:spacing w:line="360" w:lineRule="auto"/>
              <w:ind w:firstLine="0" w:firstLineChars="0"/>
              <w:jc w:val="center"/>
              <w:rPr>
                <w:rFonts w:cs="仿宋_GB2312"/>
              </w:rPr>
            </w:pPr>
          </w:p>
        </w:tc>
        <w:tc>
          <w:tcPr>
            <w:tcW w:w="1503" w:type="pct"/>
            <w:vAlign w:val="center"/>
          </w:tcPr>
          <w:p w14:paraId="1CEFB05E">
            <w:pPr>
              <w:pStyle w:val="23"/>
              <w:spacing w:line="360" w:lineRule="auto"/>
              <w:ind w:firstLine="0" w:firstLineChars="0"/>
              <w:jc w:val="center"/>
              <w:rPr>
                <w:rFonts w:cs="仿宋_GB2312"/>
              </w:rPr>
            </w:pPr>
          </w:p>
        </w:tc>
        <w:tc>
          <w:tcPr>
            <w:tcW w:w="819" w:type="pct"/>
            <w:vAlign w:val="center"/>
          </w:tcPr>
          <w:p w14:paraId="324DC4F1">
            <w:pPr>
              <w:pStyle w:val="23"/>
              <w:spacing w:line="360" w:lineRule="auto"/>
              <w:ind w:firstLine="0" w:firstLineChars="0"/>
              <w:jc w:val="center"/>
              <w:rPr>
                <w:rFonts w:cs="仿宋_GB2312"/>
              </w:rPr>
            </w:pPr>
          </w:p>
        </w:tc>
      </w:tr>
      <w:tr w14:paraId="09649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03" w:type="pct"/>
            <w:vAlign w:val="center"/>
          </w:tcPr>
          <w:p w14:paraId="60CEE0FD">
            <w:pPr>
              <w:pStyle w:val="23"/>
              <w:spacing w:line="360" w:lineRule="auto"/>
              <w:ind w:firstLine="0" w:firstLineChars="0"/>
              <w:jc w:val="center"/>
              <w:rPr>
                <w:rFonts w:cs="仿宋_GB2312"/>
              </w:rPr>
            </w:pPr>
            <w:r>
              <w:rPr>
                <w:rFonts w:hint="eastAsia" w:cs="仿宋_GB2312"/>
              </w:rPr>
              <w:t>4</w:t>
            </w:r>
          </w:p>
        </w:tc>
        <w:tc>
          <w:tcPr>
            <w:tcW w:w="503" w:type="pct"/>
            <w:tcBorders>
              <w:right w:val="single" w:color="auto" w:sz="4" w:space="0"/>
            </w:tcBorders>
            <w:vAlign w:val="center"/>
          </w:tcPr>
          <w:p w14:paraId="7B9A2A57">
            <w:pPr>
              <w:pStyle w:val="23"/>
              <w:spacing w:line="360" w:lineRule="auto"/>
              <w:ind w:firstLine="0" w:firstLineChars="0"/>
              <w:jc w:val="center"/>
              <w:rPr>
                <w:rFonts w:cs="仿宋_GB2312"/>
              </w:rPr>
            </w:pPr>
          </w:p>
        </w:tc>
        <w:tc>
          <w:tcPr>
            <w:tcW w:w="1670" w:type="pct"/>
            <w:tcBorders>
              <w:left w:val="single" w:color="auto" w:sz="4" w:space="0"/>
            </w:tcBorders>
            <w:vAlign w:val="center"/>
          </w:tcPr>
          <w:p w14:paraId="6457430A">
            <w:pPr>
              <w:pStyle w:val="23"/>
              <w:spacing w:line="360" w:lineRule="auto"/>
              <w:ind w:firstLine="0" w:firstLineChars="0"/>
              <w:jc w:val="center"/>
              <w:rPr>
                <w:rFonts w:cs="仿宋_GB2312"/>
              </w:rPr>
            </w:pPr>
          </w:p>
        </w:tc>
        <w:tc>
          <w:tcPr>
            <w:tcW w:w="1503" w:type="pct"/>
            <w:vAlign w:val="center"/>
          </w:tcPr>
          <w:p w14:paraId="02B3C528">
            <w:pPr>
              <w:pStyle w:val="23"/>
              <w:spacing w:line="360" w:lineRule="auto"/>
              <w:ind w:firstLine="0" w:firstLineChars="0"/>
              <w:jc w:val="center"/>
              <w:rPr>
                <w:rFonts w:cs="仿宋_GB2312"/>
              </w:rPr>
            </w:pPr>
          </w:p>
        </w:tc>
        <w:tc>
          <w:tcPr>
            <w:tcW w:w="819" w:type="pct"/>
            <w:vAlign w:val="center"/>
          </w:tcPr>
          <w:p w14:paraId="459F3FEF">
            <w:pPr>
              <w:pStyle w:val="23"/>
              <w:spacing w:line="360" w:lineRule="auto"/>
              <w:ind w:firstLine="0" w:firstLineChars="0"/>
              <w:jc w:val="center"/>
              <w:rPr>
                <w:rFonts w:cs="仿宋_GB2312"/>
              </w:rPr>
            </w:pPr>
          </w:p>
        </w:tc>
      </w:tr>
      <w:tr w14:paraId="4AACD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503" w:type="pct"/>
            <w:vAlign w:val="center"/>
          </w:tcPr>
          <w:p w14:paraId="738FC4ED">
            <w:pPr>
              <w:pStyle w:val="23"/>
              <w:spacing w:line="360" w:lineRule="auto"/>
              <w:ind w:firstLine="0" w:firstLineChars="0"/>
              <w:jc w:val="center"/>
              <w:rPr>
                <w:rFonts w:cs="仿宋_GB2312"/>
              </w:rPr>
            </w:pPr>
            <w:r>
              <w:rPr>
                <w:rFonts w:hint="eastAsia" w:cs="仿宋_GB2312"/>
              </w:rPr>
              <w:t>5</w:t>
            </w:r>
          </w:p>
        </w:tc>
        <w:tc>
          <w:tcPr>
            <w:tcW w:w="503" w:type="pct"/>
            <w:tcBorders>
              <w:right w:val="single" w:color="auto" w:sz="4" w:space="0"/>
            </w:tcBorders>
            <w:vAlign w:val="center"/>
          </w:tcPr>
          <w:p w14:paraId="6D82BA9F">
            <w:pPr>
              <w:pStyle w:val="23"/>
              <w:spacing w:line="360" w:lineRule="auto"/>
              <w:ind w:firstLine="0" w:firstLineChars="0"/>
              <w:jc w:val="center"/>
              <w:rPr>
                <w:rFonts w:cs="仿宋_GB2312"/>
              </w:rPr>
            </w:pPr>
          </w:p>
        </w:tc>
        <w:tc>
          <w:tcPr>
            <w:tcW w:w="1670" w:type="pct"/>
            <w:tcBorders>
              <w:left w:val="single" w:color="auto" w:sz="4" w:space="0"/>
            </w:tcBorders>
            <w:vAlign w:val="center"/>
          </w:tcPr>
          <w:p w14:paraId="4B3E4FC9">
            <w:pPr>
              <w:pStyle w:val="23"/>
              <w:spacing w:line="360" w:lineRule="auto"/>
              <w:ind w:firstLine="0" w:firstLineChars="0"/>
              <w:jc w:val="center"/>
              <w:rPr>
                <w:rFonts w:cs="仿宋_GB2312"/>
              </w:rPr>
            </w:pPr>
          </w:p>
        </w:tc>
        <w:tc>
          <w:tcPr>
            <w:tcW w:w="1503" w:type="pct"/>
            <w:vAlign w:val="center"/>
          </w:tcPr>
          <w:p w14:paraId="3087ACC2">
            <w:pPr>
              <w:pStyle w:val="23"/>
              <w:spacing w:line="360" w:lineRule="auto"/>
              <w:ind w:firstLine="0" w:firstLineChars="0"/>
              <w:jc w:val="center"/>
              <w:rPr>
                <w:rFonts w:cs="仿宋_GB2312"/>
              </w:rPr>
            </w:pPr>
          </w:p>
        </w:tc>
        <w:tc>
          <w:tcPr>
            <w:tcW w:w="819" w:type="pct"/>
            <w:vAlign w:val="center"/>
          </w:tcPr>
          <w:p w14:paraId="5FFB670A">
            <w:pPr>
              <w:pStyle w:val="23"/>
              <w:spacing w:line="360" w:lineRule="auto"/>
              <w:ind w:firstLine="0" w:firstLineChars="0"/>
              <w:jc w:val="center"/>
              <w:rPr>
                <w:rFonts w:cs="仿宋_GB2312"/>
              </w:rPr>
            </w:pPr>
          </w:p>
        </w:tc>
      </w:tr>
      <w:tr w14:paraId="74391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03" w:type="pct"/>
            <w:vAlign w:val="center"/>
          </w:tcPr>
          <w:p w14:paraId="64FF3954">
            <w:pPr>
              <w:pStyle w:val="23"/>
              <w:spacing w:line="360" w:lineRule="auto"/>
              <w:ind w:firstLine="0" w:firstLineChars="0"/>
              <w:jc w:val="center"/>
              <w:rPr>
                <w:rFonts w:cs="仿宋_GB2312"/>
              </w:rPr>
            </w:pPr>
            <w:r>
              <w:rPr>
                <w:rFonts w:hint="eastAsia" w:cs="仿宋_GB2312"/>
              </w:rPr>
              <w:t>…</w:t>
            </w:r>
          </w:p>
        </w:tc>
        <w:tc>
          <w:tcPr>
            <w:tcW w:w="503" w:type="pct"/>
            <w:tcBorders>
              <w:right w:val="single" w:color="auto" w:sz="4" w:space="0"/>
            </w:tcBorders>
            <w:vAlign w:val="center"/>
          </w:tcPr>
          <w:p w14:paraId="2E4739BD">
            <w:pPr>
              <w:pStyle w:val="23"/>
              <w:spacing w:line="360" w:lineRule="auto"/>
              <w:ind w:firstLine="0" w:firstLineChars="0"/>
              <w:jc w:val="center"/>
              <w:rPr>
                <w:rFonts w:cs="仿宋_GB2312"/>
              </w:rPr>
            </w:pPr>
          </w:p>
        </w:tc>
        <w:tc>
          <w:tcPr>
            <w:tcW w:w="1670" w:type="pct"/>
            <w:tcBorders>
              <w:left w:val="single" w:color="auto" w:sz="4" w:space="0"/>
            </w:tcBorders>
            <w:vAlign w:val="center"/>
          </w:tcPr>
          <w:p w14:paraId="7D7EC28D">
            <w:pPr>
              <w:pStyle w:val="23"/>
              <w:spacing w:line="360" w:lineRule="auto"/>
              <w:ind w:firstLine="0" w:firstLineChars="0"/>
              <w:jc w:val="center"/>
              <w:rPr>
                <w:rFonts w:cs="仿宋_GB2312"/>
              </w:rPr>
            </w:pPr>
          </w:p>
        </w:tc>
        <w:tc>
          <w:tcPr>
            <w:tcW w:w="1503" w:type="pct"/>
            <w:vAlign w:val="center"/>
          </w:tcPr>
          <w:p w14:paraId="02FA9296">
            <w:pPr>
              <w:pStyle w:val="23"/>
              <w:spacing w:line="360" w:lineRule="auto"/>
              <w:ind w:firstLine="0" w:firstLineChars="0"/>
              <w:jc w:val="center"/>
              <w:rPr>
                <w:rFonts w:cs="仿宋_GB2312"/>
              </w:rPr>
            </w:pPr>
          </w:p>
        </w:tc>
        <w:tc>
          <w:tcPr>
            <w:tcW w:w="819" w:type="pct"/>
            <w:tcBorders>
              <w:right w:val="single" w:color="auto" w:sz="4" w:space="0"/>
            </w:tcBorders>
            <w:vAlign w:val="center"/>
          </w:tcPr>
          <w:p w14:paraId="61D6459A">
            <w:pPr>
              <w:pStyle w:val="23"/>
              <w:spacing w:line="360" w:lineRule="auto"/>
              <w:ind w:firstLine="0" w:firstLineChars="0"/>
              <w:jc w:val="center"/>
              <w:rPr>
                <w:rFonts w:cs="仿宋_GB2312"/>
              </w:rPr>
            </w:pPr>
          </w:p>
        </w:tc>
      </w:tr>
    </w:tbl>
    <w:p w14:paraId="4E6FF5B2">
      <w:pPr>
        <w:pStyle w:val="23"/>
        <w:spacing w:line="360" w:lineRule="auto"/>
        <w:ind w:firstLine="0" w:firstLineChars="0"/>
        <w:contextualSpacing/>
        <w:rPr>
          <w:rFonts w:cs="仿宋_GB2312"/>
        </w:rPr>
      </w:pPr>
      <w:r>
        <w:rPr>
          <w:rFonts w:hint="eastAsia" w:cs="仿宋_GB2312"/>
        </w:rPr>
        <w:t>注：</w:t>
      </w:r>
    </w:p>
    <w:p w14:paraId="383190CC">
      <w:pPr>
        <w:pStyle w:val="23"/>
        <w:spacing w:line="360" w:lineRule="auto"/>
        <w:ind w:firstLine="0" w:firstLineChars="0"/>
        <w:contextualSpacing/>
        <w:rPr>
          <w:rFonts w:cs="仿宋_GB2312"/>
        </w:rPr>
      </w:pPr>
      <w:r>
        <w:rPr>
          <w:rFonts w:hint="eastAsia" w:cs="仿宋_GB2312"/>
        </w:rPr>
        <w:t>1. 说明：应对照磋商文件“</w:t>
      </w:r>
      <w:r>
        <w:rPr>
          <w:rFonts w:hint="eastAsia"/>
          <w:kern w:val="0"/>
        </w:rPr>
        <w:t>第四部分</w:t>
      </w:r>
      <w:r>
        <w:rPr>
          <w:rFonts w:hint="eastAsia" w:cs="仿宋_GB2312"/>
        </w:rPr>
        <w:t xml:space="preserve"> 采购需求”中的技术需求逐条实质性响应，并作出偏离说明。</w:t>
      </w:r>
    </w:p>
    <w:p w14:paraId="608CA17F">
      <w:pPr>
        <w:pStyle w:val="23"/>
        <w:spacing w:line="360" w:lineRule="auto"/>
        <w:ind w:firstLine="0" w:firstLineChars="0"/>
        <w:contextualSpacing/>
        <w:rPr>
          <w:rFonts w:cs="仿宋_GB2312"/>
        </w:rPr>
      </w:pPr>
      <w:r>
        <w:rPr>
          <w:rFonts w:hint="eastAsia" w:cs="仿宋_GB2312"/>
        </w:rPr>
        <w:t>2.供应商应根据竞标设备的性能指标，对照磋商文件要求，在“偏离说明”中注明“正偏离”、“负偏离”或者“无偏离”。既不属于“正偏离”也不属于“负偏离”即为“无偏离”。</w:t>
      </w:r>
    </w:p>
    <w:p w14:paraId="0E1C789B">
      <w:pPr>
        <w:pStyle w:val="23"/>
        <w:spacing w:line="360" w:lineRule="auto"/>
        <w:ind w:firstLine="0" w:firstLineChars="0"/>
        <w:contextualSpacing/>
        <w:rPr>
          <w:rFonts w:cs="仿宋_GB2312"/>
        </w:rPr>
      </w:pPr>
    </w:p>
    <w:p w14:paraId="754B8243">
      <w:pPr>
        <w:spacing w:line="360" w:lineRule="auto"/>
        <w:ind w:right="-817" w:rightChars="-389"/>
        <w:contextualSpacing/>
        <w:rPr>
          <w:rFonts w:ascii="宋体" w:hAnsi="宋体" w:cs="仿宋_GB2312"/>
          <w:sz w:val="24"/>
        </w:rPr>
      </w:pPr>
    </w:p>
    <w:p w14:paraId="6CD127C4">
      <w:pPr>
        <w:spacing w:line="360" w:lineRule="auto"/>
        <w:ind w:right="-817" w:rightChars="-389"/>
        <w:contextualSpacing/>
        <w:rPr>
          <w:rFonts w:ascii="宋体" w:hAnsi="宋体" w:cs="仿宋_GB2312"/>
          <w:sz w:val="24"/>
        </w:rPr>
      </w:pPr>
      <w:r>
        <w:rPr>
          <w:rFonts w:hint="eastAsia" w:ascii="宋体" w:hAnsi="宋体" w:cs="宋体"/>
          <w:kern w:val="0"/>
          <w:sz w:val="24"/>
        </w:rPr>
        <w:t xml:space="preserve">              </w:t>
      </w:r>
      <w:r>
        <w:rPr>
          <w:rFonts w:hint="eastAsia" w:ascii="宋体" w:hAnsi="宋体" w:cs="宋体"/>
          <w:kern w:val="0"/>
          <w:sz w:val="24"/>
          <w:lang w:val="zh-CN"/>
        </w:rPr>
        <w:t>法定代表人（负责人）或委托代理人(签名)</w:t>
      </w:r>
      <w:r>
        <w:rPr>
          <w:rFonts w:hint="eastAsia" w:ascii="宋体" w:hAnsi="宋体" w:cs="仿宋_GB2312"/>
          <w:sz w:val="24"/>
        </w:rPr>
        <w:t>：</w:t>
      </w:r>
    </w:p>
    <w:p w14:paraId="2EEF8BE8">
      <w:pPr>
        <w:spacing w:line="360" w:lineRule="auto"/>
        <w:ind w:right="-817" w:rightChars="-389" w:firstLine="3600" w:firstLineChars="1500"/>
        <w:contextualSpacing/>
        <w:rPr>
          <w:rFonts w:ascii="宋体" w:hAnsi="宋体" w:cs="仿宋_GB2312"/>
          <w:sz w:val="24"/>
        </w:rPr>
      </w:pPr>
      <w:r>
        <w:rPr>
          <w:rFonts w:hint="eastAsia" w:ascii="宋体" w:hAnsi="宋体" w:cs="仿宋_GB2312"/>
          <w:sz w:val="24"/>
        </w:rPr>
        <w:t xml:space="preserve">磋商供应商名称（公章）：      </w:t>
      </w:r>
    </w:p>
    <w:p w14:paraId="36D706F1">
      <w:pPr>
        <w:spacing w:line="360" w:lineRule="auto"/>
        <w:ind w:right="-817" w:rightChars="-389" w:firstLine="3600" w:firstLineChars="1500"/>
        <w:contextualSpacing/>
        <w:rPr>
          <w:rFonts w:ascii="仿宋_GB2312" w:hAnsi="仿宋_GB2312" w:eastAsia="仿宋_GB2312" w:cs="仿宋_GB2312"/>
          <w:sz w:val="24"/>
        </w:rPr>
      </w:pPr>
      <w:r>
        <w:rPr>
          <w:rFonts w:hint="eastAsia" w:ascii="宋体" w:hAnsi="宋体" w:cs="仿宋_GB2312"/>
          <w:sz w:val="24"/>
        </w:rPr>
        <w:t>日期：   年   月   日</w:t>
      </w:r>
    </w:p>
    <w:p w14:paraId="72322636">
      <w:pPr>
        <w:snapToGrid w:val="0"/>
        <w:spacing w:line="360" w:lineRule="auto"/>
        <w:jc w:val="center"/>
        <w:rPr>
          <w:rFonts w:ascii="宋体" w:hAnsi="宋体" w:cs="宋体"/>
          <w:b/>
          <w:kern w:val="0"/>
          <w:sz w:val="24"/>
          <w:lang w:val="zh-CN"/>
        </w:rPr>
      </w:pPr>
    </w:p>
    <w:p w14:paraId="08F0DD95">
      <w:pPr>
        <w:snapToGrid w:val="0"/>
        <w:spacing w:before="120" w:beforeLines="50" w:after="50"/>
        <w:jc w:val="center"/>
        <w:rPr>
          <w:rFonts w:ascii="宋体" w:hAnsi="宋体" w:cs="宋体"/>
          <w:sz w:val="32"/>
          <w:szCs w:val="32"/>
        </w:rPr>
      </w:pPr>
    </w:p>
    <w:p w14:paraId="1B714944">
      <w:pPr>
        <w:snapToGrid w:val="0"/>
        <w:spacing w:before="120" w:beforeLines="50" w:after="50"/>
        <w:jc w:val="center"/>
        <w:rPr>
          <w:rFonts w:ascii="宋体" w:hAnsi="宋体" w:cs="宋体"/>
          <w:sz w:val="32"/>
          <w:szCs w:val="32"/>
        </w:rPr>
      </w:pPr>
    </w:p>
    <w:p w14:paraId="641468A7">
      <w:pPr>
        <w:pStyle w:val="22"/>
      </w:pPr>
    </w:p>
    <w:p w14:paraId="7DFFBC49">
      <w:pPr>
        <w:pStyle w:val="22"/>
      </w:pPr>
    </w:p>
    <w:p w14:paraId="56E732C1">
      <w:pPr>
        <w:pStyle w:val="22"/>
      </w:pPr>
    </w:p>
    <w:p w14:paraId="7E93083A">
      <w:pPr>
        <w:snapToGrid w:val="0"/>
        <w:spacing w:before="120" w:beforeLines="50" w:after="50"/>
        <w:jc w:val="center"/>
        <w:rPr>
          <w:rFonts w:ascii="宋体" w:hAnsi="宋体" w:cs="宋体"/>
          <w:sz w:val="32"/>
          <w:szCs w:val="32"/>
        </w:rPr>
      </w:pPr>
    </w:p>
    <w:p w14:paraId="69AF8B69">
      <w:pPr>
        <w:tabs>
          <w:tab w:val="left" w:pos="2790"/>
          <w:tab w:val="left" w:pos="4230"/>
        </w:tabs>
        <w:autoSpaceDE w:val="0"/>
        <w:autoSpaceDN w:val="0"/>
        <w:jc w:val="center"/>
        <w:rPr>
          <w:rFonts w:cs="仿宋_GB2312" w:asciiTheme="minorEastAsia" w:hAnsiTheme="minorEastAsia" w:eastAsiaTheme="minorEastAsia"/>
          <w:b/>
          <w:bCs/>
          <w:kern w:val="0"/>
          <w:sz w:val="32"/>
          <w:szCs w:val="32"/>
          <w:lang w:val="zh-CN"/>
        </w:rPr>
      </w:pPr>
    </w:p>
    <w:p w14:paraId="0E841C2E">
      <w:pP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br w:type="page"/>
      </w:r>
    </w:p>
    <w:p w14:paraId="7D39CCCD">
      <w:pPr>
        <w:tabs>
          <w:tab w:val="left" w:pos="2790"/>
          <w:tab w:val="left" w:pos="4230"/>
        </w:tabs>
        <w:autoSpaceDE w:val="0"/>
        <w:autoSpaceDN w:val="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实施方案</w:t>
      </w:r>
    </w:p>
    <w:p w14:paraId="2D72C83D">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27789810">
      <w:pPr>
        <w:spacing w:line="360" w:lineRule="auto"/>
        <w:rPr>
          <w:rFonts w:cs="仿宋_GB2312" w:asciiTheme="minorEastAsia" w:hAnsiTheme="minorEastAsia" w:eastAsiaTheme="minorEastAsia"/>
          <w:b/>
          <w:bCs/>
          <w:sz w:val="32"/>
          <w:szCs w:val="32"/>
        </w:rPr>
      </w:pPr>
    </w:p>
    <w:p w14:paraId="586E77BA">
      <w:pPr>
        <w:spacing w:line="360" w:lineRule="auto"/>
        <w:jc w:val="center"/>
        <w:rPr>
          <w:rFonts w:cs="仿宋_GB2312" w:asciiTheme="minorEastAsia" w:hAnsiTheme="minorEastAsia" w:eastAsiaTheme="minorEastAsia"/>
          <w:b/>
          <w:bCs/>
          <w:sz w:val="32"/>
          <w:szCs w:val="32"/>
        </w:rPr>
      </w:pPr>
    </w:p>
    <w:p w14:paraId="20F3F336">
      <w:pPr>
        <w:spacing w:line="360" w:lineRule="auto"/>
        <w:jc w:val="center"/>
        <w:rPr>
          <w:rFonts w:cs="仿宋_GB2312" w:asciiTheme="minorEastAsia" w:hAnsiTheme="minorEastAsia" w:eastAsiaTheme="minorEastAsia"/>
          <w:b/>
          <w:bCs/>
          <w:sz w:val="32"/>
          <w:szCs w:val="32"/>
        </w:rPr>
      </w:pPr>
    </w:p>
    <w:p w14:paraId="49C633E3">
      <w:pPr>
        <w:spacing w:line="360" w:lineRule="auto"/>
        <w:jc w:val="center"/>
        <w:rPr>
          <w:rFonts w:cs="仿宋_GB2312" w:asciiTheme="minorEastAsia" w:hAnsiTheme="minorEastAsia" w:eastAsiaTheme="minorEastAsia"/>
          <w:b/>
          <w:bCs/>
          <w:sz w:val="32"/>
          <w:szCs w:val="32"/>
        </w:rPr>
      </w:pPr>
    </w:p>
    <w:p w14:paraId="53C15A10">
      <w:pPr>
        <w:spacing w:line="360" w:lineRule="auto"/>
        <w:jc w:val="center"/>
        <w:rPr>
          <w:rFonts w:cs="仿宋_GB2312" w:asciiTheme="minorEastAsia" w:hAnsiTheme="minorEastAsia" w:eastAsiaTheme="minorEastAsia"/>
          <w:b/>
          <w:bCs/>
          <w:sz w:val="32"/>
          <w:szCs w:val="32"/>
        </w:rPr>
      </w:pPr>
    </w:p>
    <w:p w14:paraId="3BA90668">
      <w:pPr>
        <w:spacing w:line="360" w:lineRule="auto"/>
        <w:jc w:val="center"/>
        <w:rPr>
          <w:rFonts w:cs="仿宋_GB2312" w:asciiTheme="minorEastAsia" w:hAnsiTheme="minorEastAsia" w:eastAsiaTheme="minorEastAsia"/>
          <w:b/>
          <w:bCs/>
          <w:sz w:val="32"/>
          <w:szCs w:val="32"/>
        </w:rPr>
      </w:pPr>
    </w:p>
    <w:p w14:paraId="5E67A184">
      <w:pPr>
        <w:spacing w:line="360" w:lineRule="auto"/>
        <w:jc w:val="center"/>
        <w:rPr>
          <w:rFonts w:cs="仿宋_GB2312" w:asciiTheme="minorEastAsia" w:hAnsiTheme="minorEastAsia" w:eastAsiaTheme="minorEastAsia"/>
          <w:b/>
          <w:bCs/>
          <w:sz w:val="32"/>
          <w:szCs w:val="32"/>
        </w:rPr>
      </w:pPr>
    </w:p>
    <w:p w14:paraId="48AC27B5">
      <w:pPr>
        <w:spacing w:line="360" w:lineRule="auto"/>
        <w:jc w:val="center"/>
        <w:rPr>
          <w:rFonts w:cs="仿宋_GB2312" w:asciiTheme="minorEastAsia" w:hAnsiTheme="minorEastAsia" w:eastAsiaTheme="minorEastAsia"/>
          <w:b/>
          <w:bCs/>
          <w:sz w:val="32"/>
          <w:szCs w:val="32"/>
        </w:rPr>
      </w:pPr>
    </w:p>
    <w:p w14:paraId="0F7C3408">
      <w:pPr>
        <w:spacing w:line="360" w:lineRule="auto"/>
        <w:jc w:val="center"/>
        <w:rPr>
          <w:rFonts w:cs="仿宋_GB2312" w:asciiTheme="minorEastAsia" w:hAnsiTheme="minorEastAsia" w:eastAsiaTheme="minorEastAsia"/>
          <w:b/>
          <w:bCs/>
          <w:sz w:val="32"/>
          <w:szCs w:val="32"/>
        </w:rPr>
      </w:pPr>
    </w:p>
    <w:p w14:paraId="2AE4D240">
      <w:pPr>
        <w:spacing w:line="360" w:lineRule="auto"/>
        <w:jc w:val="center"/>
        <w:rPr>
          <w:rFonts w:cs="仿宋_GB2312" w:asciiTheme="minorEastAsia" w:hAnsiTheme="minorEastAsia" w:eastAsiaTheme="minorEastAsia"/>
          <w:b/>
          <w:bCs/>
          <w:sz w:val="32"/>
          <w:szCs w:val="32"/>
        </w:rPr>
      </w:pPr>
    </w:p>
    <w:p w14:paraId="2762B5B2">
      <w:pPr>
        <w:spacing w:line="360" w:lineRule="auto"/>
        <w:jc w:val="center"/>
        <w:rPr>
          <w:rFonts w:cs="仿宋_GB2312" w:asciiTheme="minorEastAsia" w:hAnsiTheme="minorEastAsia" w:eastAsiaTheme="minorEastAsia"/>
          <w:b/>
          <w:bCs/>
          <w:sz w:val="32"/>
          <w:szCs w:val="32"/>
        </w:rPr>
      </w:pPr>
    </w:p>
    <w:p w14:paraId="10E13C58">
      <w:pPr>
        <w:spacing w:line="360" w:lineRule="auto"/>
        <w:jc w:val="center"/>
        <w:rPr>
          <w:rFonts w:cs="仿宋_GB2312" w:asciiTheme="minorEastAsia" w:hAnsiTheme="minorEastAsia" w:eastAsiaTheme="minorEastAsia"/>
          <w:b/>
          <w:bCs/>
          <w:sz w:val="32"/>
          <w:szCs w:val="32"/>
        </w:rPr>
      </w:pPr>
    </w:p>
    <w:p w14:paraId="2BD4A4CE">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17C34C7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项目小组人员名单</w:t>
      </w:r>
    </w:p>
    <w:p w14:paraId="3A58BAE8">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79073C08">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1"/>
        <w:tblW w:w="4998" w:type="pct"/>
        <w:tblInd w:w="0" w:type="dxa"/>
        <w:tblLayout w:type="autofit"/>
        <w:tblCellMar>
          <w:top w:w="0" w:type="dxa"/>
          <w:left w:w="108" w:type="dxa"/>
          <w:bottom w:w="0" w:type="dxa"/>
          <w:right w:w="108" w:type="dxa"/>
        </w:tblCellMar>
      </w:tblPr>
      <w:tblGrid>
        <w:gridCol w:w="2739"/>
        <w:gridCol w:w="1709"/>
        <w:gridCol w:w="5510"/>
      </w:tblGrid>
      <w:tr w14:paraId="5B1B3E91">
        <w:tblPrEx>
          <w:tblCellMar>
            <w:top w:w="0" w:type="dxa"/>
            <w:left w:w="108" w:type="dxa"/>
            <w:bottom w:w="0" w:type="dxa"/>
            <w:right w:w="108" w:type="dxa"/>
          </w:tblCellMar>
        </w:tblPrEx>
        <w:trPr>
          <w:trHeight w:val="604" w:hRule="atLeast"/>
        </w:trPr>
        <w:tc>
          <w:tcPr>
            <w:tcW w:w="1375" w:type="pct"/>
            <w:tcBorders>
              <w:top w:val="single" w:color="auto" w:sz="6" w:space="0"/>
              <w:left w:val="single" w:color="auto" w:sz="6" w:space="0"/>
              <w:bottom w:val="single" w:color="auto" w:sz="6" w:space="0"/>
              <w:right w:val="single" w:color="auto" w:sz="6" w:space="0"/>
            </w:tcBorders>
            <w:vAlign w:val="center"/>
          </w:tcPr>
          <w:p w14:paraId="2596F25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858" w:type="pct"/>
            <w:tcBorders>
              <w:top w:val="single" w:color="auto" w:sz="6" w:space="0"/>
              <w:left w:val="single" w:color="auto" w:sz="6" w:space="0"/>
              <w:bottom w:val="single" w:color="auto" w:sz="6" w:space="0"/>
              <w:right w:val="single" w:color="auto" w:sz="4" w:space="0"/>
            </w:tcBorders>
            <w:shd w:val="clear" w:color="auto" w:fill="B3B3B3"/>
            <w:vAlign w:val="center"/>
          </w:tcPr>
          <w:p w14:paraId="2ADCFCE8">
            <w:pPr>
              <w:autoSpaceDE w:val="0"/>
              <w:autoSpaceDN w:val="0"/>
              <w:spacing w:line="360" w:lineRule="auto"/>
              <w:jc w:val="center"/>
              <w:rPr>
                <w:rFonts w:cs="仿宋_GB2312" w:asciiTheme="minorEastAsia" w:hAnsiTheme="minorEastAsia" w:eastAsiaTheme="minorEastAsia"/>
                <w:sz w:val="24"/>
              </w:rPr>
            </w:pPr>
          </w:p>
        </w:tc>
        <w:tc>
          <w:tcPr>
            <w:tcW w:w="2766" w:type="pct"/>
            <w:tcBorders>
              <w:top w:val="single" w:color="auto" w:sz="6" w:space="0"/>
              <w:left w:val="single" w:color="auto" w:sz="6" w:space="0"/>
              <w:bottom w:val="single" w:color="auto" w:sz="6" w:space="0"/>
              <w:right w:val="single" w:color="auto" w:sz="6" w:space="0"/>
            </w:tcBorders>
            <w:vAlign w:val="center"/>
          </w:tcPr>
          <w:p w14:paraId="7ADF1450">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3804FA22">
        <w:tblPrEx>
          <w:tblCellMar>
            <w:top w:w="0" w:type="dxa"/>
            <w:left w:w="108" w:type="dxa"/>
            <w:bottom w:w="0" w:type="dxa"/>
            <w:right w:w="108" w:type="dxa"/>
          </w:tblCellMar>
        </w:tblPrEx>
        <w:trPr>
          <w:cantSplit/>
          <w:trHeight w:val="345" w:hRule="atLeast"/>
        </w:trPr>
        <w:tc>
          <w:tcPr>
            <w:tcW w:w="1375" w:type="pct"/>
            <w:tcBorders>
              <w:top w:val="single" w:color="auto" w:sz="6" w:space="0"/>
              <w:left w:val="single" w:color="auto" w:sz="6" w:space="0"/>
              <w:bottom w:val="single" w:color="auto" w:sz="6" w:space="0"/>
              <w:right w:val="single" w:color="auto" w:sz="6" w:space="0"/>
            </w:tcBorders>
            <w:vAlign w:val="center"/>
          </w:tcPr>
          <w:p w14:paraId="3F3C241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858" w:type="pct"/>
            <w:tcBorders>
              <w:top w:val="single" w:color="auto" w:sz="6" w:space="0"/>
              <w:left w:val="single" w:color="auto" w:sz="6" w:space="0"/>
              <w:bottom w:val="single" w:color="auto" w:sz="6" w:space="0"/>
              <w:right w:val="single" w:color="auto" w:sz="4" w:space="0"/>
            </w:tcBorders>
            <w:vAlign w:val="center"/>
          </w:tcPr>
          <w:p w14:paraId="0141FB13">
            <w:pPr>
              <w:autoSpaceDE w:val="0"/>
              <w:autoSpaceDN w:val="0"/>
              <w:spacing w:line="360" w:lineRule="auto"/>
              <w:jc w:val="center"/>
              <w:rPr>
                <w:rFonts w:cs="仿宋_GB2312" w:asciiTheme="minorEastAsia" w:hAnsiTheme="minorEastAsia" w:eastAsiaTheme="minorEastAsia"/>
                <w:sz w:val="24"/>
              </w:rPr>
            </w:pPr>
          </w:p>
        </w:tc>
        <w:tc>
          <w:tcPr>
            <w:tcW w:w="2766" w:type="pct"/>
            <w:vMerge w:val="restart"/>
            <w:tcBorders>
              <w:top w:val="single" w:color="auto" w:sz="6" w:space="0"/>
              <w:left w:val="single" w:color="auto" w:sz="6" w:space="0"/>
              <w:bottom w:val="single" w:color="auto" w:sz="6" w:space="0"/>
              <w:right w:val="single" w:color="auto" w:sz="6" w:space="0"/>
            </w:tcBorders>
            <w:vAlign w:val="center"/>
          </w:tcPr>
          <w:p w14:paraId="5B49C485">
            <w:pPr>
              <w:autoSpaceDE w:val="0"/>
              <w:autoSpaceDN w:val="0"/>
              <w:spacing w:line="360" w:lineRule="auto"/>
              <w:jc w:val="center"/>
              <w:rPr>
                <w:rFonts w:cs="仿宋_GB2312" w:asciiTheme="minorEastAsia" w:hAnsiTheme="minorEastAsia" w:eastAsiaTheme="minorEastAsia"/>
                <w:sz w:val="24"/>
              </w:rPr>
            </w:pPr>
          </w:p>
        </w:tc>
      </w:tr>
      <w:tr w14:paraId="7C7F7B69">
        <w:tblPrEx>
          <w:tblCellMar>
            <w:top w:w="0" w:type="dxa"/>
            <w:left w:w="108" w:type="dxa"/>
            <w:bottom w:w="0" w:type="dxa"/>
            <w:right w:w="108" w:type="dxa"/>
          </w:tblCellMar>
        </w:tblPrEx>
        <w:trPr>
          <w:cantSplit/>
          <w:trHeight w:val="337" w:hRule="atLeast"/>
        </w:trPr>
        <w:tc>
          <w:tcPr>
            <w:tcW w:w="1375" w:type="pct"/>
            <w:tcBorders>
              <w:top w:val="single" w:color="auto" w:sz="6" w:space="0"/>
              <w:left w:val="single" w:color="auto" w:sz="6" w:space="0"/>
              <w:bottom w:val="single" w:color="auto" w:sz="6" w:space="0"/>
              <w:right w:val="single" w:color="auto" w:sz="6" w:space="0"/>
            </w:tcBorders>
            <w:vAlign w:val="center"/>
          </w:tcPr>
          <w:p w14:paraId="31FCCB29">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858" w:type="pct"/>
            <w:tcBorders>
              <w:top w:val="single" w:color="auto" w:sz="6" w:space="0"/>
              <w:left w:val="single" w:color="auto" w:sz="6" w:space="0"/>
              <w:bottom w:val="single" w:color="auto" w:sz="6" w:space="0"/>
              <w:right w:val="single" w:color="auto" w:sz="4" w:space="0"/>
            </w:tcBorders>
            <w:vAlign w:val="center"/>
          </w:tcPr>
          <w:p w14:paraId="4A0AB172">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17463C2E">
            <w:pPr>
              <w:autoSpaceDE w:val="0"/>
              <w:autoSpaceDN w:val="0"/>
              <w:spacing w:line="360" w:lineRule="auto"/>
              <w:jc w:val="center"/>
              <w:rPr>
                <w:rFonts w:cs="仿宋_GB2312" w:asciiTheme="minorEastAsia" w:hAnsiTheme="minorEastAsia" w:eastAsiaTheme="minorEastAsia"/>
                <w:sz w:val="24"/>
              </w:rPr>
            </w:pPr>
          </w:p>
        </w:tc>
      </w:tr>
      <w:tr w14:paraId="2A693647">
        <w:tblPrEx>
          <w:tblCellMar>
            <w:top w:w="0" w:type="dxa"/>
            <w:left w:w="108" w:type="dxa"/>
            <w:bottom w:w="0" w:type="dxa"/>
            <w:right w:w="108" w:type="dxa"/>
          </w:tblCellMar>
        </w:tblPrEx>
        <w:trPr>
          <w:cantSplit/>
          <w:trHeight w:val="345" w:hRule="atLeast"/>
        </w:trPr>
        <w:tc>
          <w:tcPr>
            <w:tcW w:w="1375" w:type="pct"/>
            <w:tcBorders>
              <w:top w:val="single" w:color="auto" w:sz="6" w:space="0"/>
              <w:left w:val="single" w:color="auto" w:sz="6" w:space="0"/>
              <w:bottom w:val="single" w:color="auto" w:sz="6" w:space="0"/>
              <w:right w:val="single" w:color="auto" w:sz="6" w:space="0"/>
            </w:tcBorders>
            <w:vAlign w:val="center"/>
          </w:tcPr>
          <w:p w14:paraId="41AE6F05">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858" w:type="pct"/>
            <w:tcBorders>
              <w:top w:val="single" w:color="auto" w:sz="6" w:space="0"/>
              <w:left w:val="single" w:color="auto" w:sz="6" w:space="0"/>
              <w:bottom w:val="single" w:color="auto" w:sz="6" w:space="0"/>
              <w:right w:val="single" w:color="auto" w:sz="4" w:space="0"/>
            </w:tcBorders>
            <w:vAlign w:val="center"/>
          </w:tcPr>
          <w:p w14:paraId="5BE5E0AA">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1CE8CF66">
            <w:pPr>
              <w:autoSpaceDE w:val="0"/>
              <w:autoSpaceDN w:val="0"/>
              <w:spacing w:line="360" w:lineRule="auto"/>
              <w:jc w:val="center"/>
              <w:rPr>
                <w:rFonts w:cs="仿宋_GB2312" w:asciiTheme="minorEastAsia" w:hAnsiTheme="minorEastAsia" w:eastAsiaTheme="minorEastAsia"/>
                <w:sz w:val="24"/>
              </w:rPr>
            </w:pPr>
          </w:p>
        </w:tc>
      </w:tr>
      <w:tr w14:paraId="5BDF8BF0">
        <w:tblPrEx>
          <w:tblCellMar>
            <w:top w:w="0" w:type="dxa"/>
            <w:left w:w="108" w:type="dxa"/>
            <w:bottom w:w="0" w:type="dxa"/>
            <w:right w:w="108" w:type="dxa"/>
          </w:tblCellMar>
        </w:tblPrEx>
        <w:trPr>
          <w:cantSplit/>
          <w:trHeight w:val="345" w:hRule="atLeast"/>
        </w:trPr>
        <w:tc>
          <w:tcPr>
            <w:tcW w:w="1375" w:type="pct"/>
            <w:tcBorders>
              <w:top w:val="single" w:color="auto" w:sz="6" w:space="0"/>
              <w:left w:val="single" w:color="auto" w:sz="6" w:space="0"/>
              <w:bottom w:val="single" w:color="auto" w:sz="6" w:space="0"/>
              <w:right w:val="single" w:color="auto" w:sz="6" w:space="0"/>
            </w:tcBorders>
            <w:vAlign w:val="center"/>
          </w:tcPr>
          <w:p w14:paraId="2153FA7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858" w:type="pct"/>
            <w:tcBorders>
              <w:top w:val="single" w:color="auto" w:sz="6" w:space="0"/>
              <w:left w:val="single" w:color="auto" w:sz="6" w:space="0"/>
              <w:bottom w:val="single" w:color="auto" w:sz="6" w:space="0"/>
              <w:right w:val="single" w:color="auto" w:sz="4" w:space="0"/>
            </w:tcBorders>
            <w:vAlign w:val="center"/>
          </w:tcPr>
          <w:p w14:paraId="2DBB80D1">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0D499B82">
            <w:pPr>
              <w:autoSpaceDE w:val="0"/>
              <w:autoSpaceDN w:val="0"/>
              <w:spacing w:line="360" w:lineRule="auto"/>
              <w:jc w:val="center"/>
              <w:rPr>
                <w:rFonts w:cs="仿宋_GB2312" w:asciiTheme="minorEastAsia" w:hAnsiTheme="minorEastAsia" w:eastAsiaTheme="minorEastAsia"/>
                <w:sz w:val="24"/>
              </w:rPr>
            </w:pPr>
          </w:p>
        </w:tc>
      </w:tr>
      <w:tr w14:paraId="693D32C2">
        <w:tblPrEx>
          <w:tblCellMar>
            <w:top w:w="0" w:type="dxa"/>
            <w:left w:w="108" w:type="dxa"/>
            <w:bottom w:w="0" w:type="dxa"/>
            <w:right w:w="108" w:type="dxa"/>
          </w:tblCellMar>
        </w:tblPrEx>
        <w:trPr>
          <w:cantSplit/>
          <w:trHeight w:val="422" w:hRule="atLeast"/>
        </w:trPr>
        <w:tc>
          <w:tcPr>
            <w:tcW w:w="1375" w:type="pct"/>
            <w:tcBorders>
              <w:top w:val="single" w:color="auto" w:sz="6" w:space="0"/>
              <w:left w:val="single" w:color="auto" w:sz="6" w:space="0"/>
              <w:bottom w:val="single" w:color="auto" w:sz="6" w:space="0"/>
              <w:right w:val="single" w:color="auto" w:sz="6" w:space="0"/>
            </w:tcBorders>
            <w:vAlign w:val="center"/>
          </w:tcPr>
          <w:p w14:paraId="2A085B7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858" w:type="pct"/>
            <w:tcBorders>
              <w:top w:val="single" w:color="auto" w:sz="6" w:space="0"/>
              <w:left w:val="single" w:color="auto" w:sz="6" w:space="0"/>
              <w:bottom w:val="single" w:color="auto" w:sz="6" w:space="0"/>
              <w:right w:val="single" w:color="auto" w:sz="4" w:space="0"/>
            </w:tcBorders>
            <w:vAlign w:val="center"/>
          </w:tcPr>
          <w:p w14:paraId="1DAABA6E">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39BED6A4">
            <w:pPr>
              <w:autoSpaceDE w:val="0"/>
              <w:autoSpaceDN w:val="0"/>
              <w:spacing w:line="360" w:lineRule="auto"/>
              <w:jc w:val="center"/>
              <w:rPr>
                <w:rFonts w:cs="仿宋_GB2312" w:asciiTheme="minorEastAsia" w:hAnsiTheme="minorEastAsia" w:eastAsiaTheme="minorEastAsia"/>
                <w:sz w:val="24"/>
              </w:rPr>
            </w:pPr>
          </w:p>
        </w:tc>
      </w:tr>
      <w:tr w14:paraId="5C322016">
        <w:tblPrEx>
          <w:tblCellMar>
            <w:top w:w="0" w:type="dxa"/>
            <w:left w:w="108" w:type="dxa"/>
            <w:bottom w:w="0" w:type="dxa"/>
            <w:right w:w="108" w:type="dxa"/>
          </w:tblCellMar>
        </w:tblPrEx>
        <w:trPr>
          <w:cantSplit/>
          <w:trHeight w:val="416" w:hRule="atLeast"/>
        </w:trPr>
        <w:tc>
          <w:tcPr>
            <w:tcW w:w="1375" w:type="pct"/>
            <w:tcBorders>
              <w:top w:val="single" w:color="auto" w:sz="6" w:space="0"/>
              <w:left w:val="single" w:color="auto" w:sz="6" w:space="0"/>
              <w:bottom w:val="single" w:color="auto" w:sz="6" w:space="0"/>
              <w:right w:val="single" w:color="auto" w:sz="6" w:space="0"/>
            </w:tcBorders>
            <w:vAlign w:val="center"/>
          </w:tcPr>
          <w:p w14:paraId="6BD12CDE">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858" w:type="pct"/>
            <w:tcBorders>
              <w:top w:val="single" w:color="auto" w:sz="6" w:space="0"/>
              <w:left w:val="single" w:color="auto" w:sz="6" w:space="0"/>
              <w:bottom w:val="single" w:color="auto" w:sz="6" w:space="0"/>
              <w:right w:val="single" w:color="auto" w:sz="4" w:space="0"/>
            </w:tcBorders>
            <w:vAlign w:val="center"/>
          </w:tcPr>
          <w:p w14:paraId="52B32C2B">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3EB260A3">
            <w:pPr>
              <w:autoSpaceDE w:val="0"/>
              <w:autoSpaceDN w:val="0"/>
              <w:spacing w:line="360" w:lineRule="auto"/>
              <w:jc w:val="center"/>
              <w:rPr>
                <w:rFonts w:cs="仿宋_GB2312" w:asciiTheme="minorEastAsia" w:hAnsiTheme="minorEastAsia" w:eastAsiaTheme="minorEastAsia"/>
                <w:sz w:val="24"/>
              </w:rPr>
            </w:pPr>
          </w:p>
        </w:tc>
      </w:tr>
      <w:tr w14:paraId="634E95CF">
        <w:trPr>
          <w:cantSplit/>
          <w:trHeight w:val="200" w:hRule="atLeast"/>
        </w:trPr>
        <w:tc>
          <w:tcPr>
            <w:tcW w:w="1375" w:type="pct"/>
            <w:tcBorders>
              <w:top w:val="single" w:color="auto" w:sz="6" w:space="0"/>
              <w:left w:val="single" w:color="auto" w:sz="6" w:space="0"/>
              <w:bottom w:val="single" w:color="auto" w:sz="6" w:space="0"/>
              <w:right w:val="single" w:color="auto" w:sz="6" w:space="0"/>
            </w:tcBorders>
            <w:vAlign w:val="center"/>
          </w:tcPr>
          <w:p w14:paraId="0A05C1C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858" w:type="pct"/>
            <w:tcBorders>
              <w:top w:val="single" w:color="auto" w:sz="6" w:space="0"/>
              <w:left w:val="single" w:color="auto" w:sz="6" w:space="0"/>
              <w:bottom w:val="single" w:color="auto" w:sz="6" w:space="0"/>
              <w:right w:val="single" w:color="auto" w:sz="4" w:space="0"/>
            </w:tcBorders>
            <w:vAlign w:val="center"/>
          </w:tcPr>
          <w:p w14:paraId="19E81509">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777BCC03">
            <w:pPr>
              <w:autoSpaceDE w:val="0"/>
              <w:autoSpaceDN w:val="0"/>
              <w:spacing w:line="360" w:lineRule="auto"/>
              <w:jc w:val="center"/>
              <w:rPr>
                <w:rFonts w:cs="仿宋_GB2312" w:asciiTheme="minorEastAsia" w:hAnsiTheme="minorEastAsia" w:eastAsiaTheme="minorEastAsia"/>
                <w:sz w:val="24"/>
              </w:rPr>
            </w:pPr>
          </w:p>
        </w:tc>
      </w:tr>
      <w:tr w14:paraId="2D404970">
        <w:tblPrEx>
          <w:tblCellMar>
            <w:top w:w="0" w:type="dxa"/>
            <w:left w:w="108" w:type="dxa"/>
            <w:bottom w:w="0" w:type="dxa"/>
            <w:right w:w="108" w:type="dxa"/>
          </w:tblCellMar>
        </w:tblPrEx>
        <w:trPr>
          <w:cantSplit/>
          <w:trHeight w:val="177" w:hRule="atLeast"/>
        </w:trPr>
        <w:tc>
          <w:tcPr>
            <w:tcW w:w="1375" w:type="pct"/>
            <w:tcBorders>
              <w:top w:val="single" w:color="auto" w:sz="6" w:space="0"/>
              <w:left w:val="single" w:color="auto" w:sz="6" w:space="0"/>
              <w:bottom w:val="single" w:color="auto" w:sz="6" w:space="0"/>
              <w:right w:val="single" w:color="auto" w:sz="6" w:space="0"/>
            </w:tcBorders>
            <w:vAlign w:val="center"/>
          </w:tcPr>
          <w:p w14:paraId="58D616D1">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858" w:type="pct"/>
            <w:tcBorders>
              <w:top w:val="single" w:color="auto" w:sz="6" w:space="0"/>
              <w:left w:val="single" w:color="auto" w:sz="6" w:space="0"/>
              <w:bottom w:val="single" w:color="auto" w:sz="6" w:space="0"/>
              <w:right w:val="single" w:color="auto" w:sz="4" w:space="0"/>
            </w:tcBorders>
            <w:vAlign w:val="center"/>
          </w:tcPr>
          <w:p w14:paraId="283629FE">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40F5B57D">
            <w:pPr>
              <w:autoSpaceDE w:val="0"/>
              <w:autoSpaceDN w:val="0"/>
              <w:spacing w:line="360" w:lineRule="auto"/>
              <w:jc w:val="center"/>
              <w:rPr>
                <w:rFonts w:cs="仿宋_GB2312" w:asciiTheme="minorEastAsia" w:hAnsiTheme="minorEastAsia" w:eastAsiaTheme="minorEastAsia"/>
                <w:sz w:val="24"/>
              </w:rPr>
            </w:pPr>
          </w:p>
        </w:tc>
      </w:tr>
      <w:tr w14:paraId="6F1E9CD9">
        <w:tblPrEx>
          <w:tblCellMar>
            <w:top w:w="0" w:type="dxa"/>
            <w:left w:w="108" w:type="dxa"/>
            <w:bottom w:w="0" w:type="dxa"/>
            <w:right w:w="108" w:type="dxa"/>
          </w:tblCellMar>
        </w:tblPrEx>
        <w:trPr>
          <w:cantSplit/>
          <w:trHeight w:val="473" w:hRule="atLeast"/>
        </w:trPr>
        <w:tc>
          <w:tcPr>
            <w:tcW w:w="1375" w:type="pct"/>
            <w:tcBorders>
              <w:top w:val="single" w:color="auto" w:sz="6" w:space="0"/>
              <w:left w:val="single" w:color="auto" w:sz="6" w:space="0"/>
              <w:bottom w:val="single" w:color="auto" w:sz="6" w:space="0"/>
              <w:right w:val="single" w:color="auto" w:sz="6" w:space="0"/>
            </w:tcBorders>
            <w:vAlign w:val="center"/>
          </w:tcPr>
          <w:p w14:paraId="164E1D0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858" w:type="pct"/>
            <w:tcBorders>
              <w:top w:val="single" w:color="auto" w:sz="6" w:space="0"/>
              <w:left w:val="single" w:color="auto" w:sz="6" w:space="0"/>
              <w:bottom w:val="single" w:color="auto" w:sz="6" w:space="0"/>
              <w:right w:val="single" w:color="auto" w:sz="4" w:space="0"/>
            </w:tcBorders>
            <w:vAlign w:val="center"/>
          </w:tcPr>
          <w:p w14:paraId="4DBCC9D2">
            <w:pPr>
              <w:autoSpaceDE w:val="0"/>
              <w:autoSpaceDN w:val="0"/>
              <w:spacing w:line="360" w:lineRule="auto"/>
              <w:jc w:val="center"/>
              <w:rPr>
                <w:rFonts w:cs="仿宋_GB2312" w:asciiTheme="minorEastAsia" w:hAnsiTheme="minorEastAsia" w:eastAsiaTheme="minorEastAsia"/>
                <w:sz w:val="24"/>
              </w:rPr>
            </w:pPr>
          </w:p>
        </w:tc>
        <w:tc>
          <w:tcPr>
            <w:tcW w:w="2766" w:type="pct"/>
            <w:vMerge w:val="continue"/>
            <w:tcBorders>
              <w:top w:val="single" w:color="auto" w:sz="6" w:space="0"/>
              <w:left w:val="single" w:color="auto" w:sz="6" w:space="0"/>
              <w:bottom w:val="single" w:color="auto" w:sz="6" w:space="0"/>
              <w:right w:val="single" w:color="auto" w:sz="6" w:space="0"/>
            </w:tcBorders>
            <w:vAlign w:val="center"/>
          </w:tcPr>
          <w:p w14:paraId="5E97582D">
            <w:pPr>
              <w:autoSpaceDE w:val="0"/>
              <w:autoSpaceDN w:val="0"/>
              <w:spacing w:line="360" w:lineRule="auto"/>
              <w:jc w:val="center"/>
              <w:rPr>
                <w:rFonts w:cs="仿宋_GB2312" w:asciiTheme="minorEastAsia" w:hAnsiTheme="minorEastAsia" w:eastAsiaTheme="minorEastAsia"/>
                <w:sz w:val="24"/>
              </w:rPr>
            </w:pPr>
          </w:p>
        </w:tc>
      </w:tr>
    </w:tbl>
    <w:p w14:paraId="04741D42">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75931A28">
      <w:pPr>
        <w:autoSpaceDE w:val="0"/>
        <w:autoSpaceDN w:val="0"/>
        <w:spacing w:line="360" w:lineRule="auto"/>
        <w:rPr>
          <w:rFonts w:cs="仿宋_GB2312" w:asciiTheme="minorEastAsia" w:hAnsiTheme="minorEastAsia" w:eastAsiaTheme="minorEastAsia"/>
          <w:b/>
          <w:szCs w:val="21"/>
        </w:rPr>
      </w:pPr>
    </w:p>
    <w:p w14:paraId="275F5EAD">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1"/>
        <w:tblW w:w="4998" w:type="pct"/>
        <w:tblInd w:w="0" w:type="dxa"/>
        <w:tblLayout w:type="autofit"/>
        <w:tblCellMar>
          <w:top w:w="0" w:type="dxa"/>
          <w:left w:w="108" w:type="dxa"/>
          <w:bottom w:w="0" w:type="dxa"/>
          <w:right w:w="108" w:type="dxa"/>
        </w:tblCellMar>
      </w:tblPr>
      <w:tblGrid>
        <w:gridCol w:w="524"/>
        <w:gridCol w:w="984"/>
        <w:gridCol w:w="518"/>
        <w:gridCol w:w="731"/>
        <w:gridCol w:w="1293"/>
        <w:gridCol w:w="1355"/>
        <w:gridCol w:w="1580"/>
        <w:gridCol w:w="1127"/>
        <w:gridCol w:w="1846"/>
      </w:tblGrid>
      <w:tr w14:paraId="444AA354">
        <w:tblPrEx>
          <w:tblCellMar>
            <w:top w:w="0" w:type="dxa"/>
            <w:left w:w="108" w:type="dxa"/>
            <w:bottom w:w="0" w:type="dxa"/>
            <w:right w:w="108" w:type="dxa"/>
          </w:tblCellMar>
        </w:tblPrEx>
        <w:tc>
          <w:tcPr>
            <w:tcW w:w="263" w:type="pct"/>
            <w:tcBorders>
              <w:top w:val="single" w:color="auto" w:sz="6" w:space="0"/>
              <w:left w:val="single" w:color="auto" w:sz="6" w:space="0"/>
              <w:bottom w:val="single" w:color="auto" w:sz="6" w:space="0"/>
              <w:right w:val="single" w:color="auto" w:sz="6" w:space="0"/>
            </w:tcBorders>
            <w:vAlign w:val="center"/>
          </w:tcPr>
          <w:p w14:paraId="10BFED4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494" w:type="pct"/>
            <w:tcBorders>
              <w:top w:val="single" w:color="auto" w:sz="6" w:space="0"/>
              <w:left w:val="single" w:color="auto" w:sz="6" w:space="0"/>
              <w:bottom w:val="single" w:color="auto" w:sz="6" w:space="0"/>
              <w:right w:val="single" w:color="auto" w:sz="6" w:space="0"/>
            </w:tcBorders>
            <w:vAlign w:val="center"/>
          </w:tcPr>
          <w:p w14:paraId="2DFEEC93">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260" w:type="pct"/>
            <w:tcBorders>
              <w:top w:val="single" w:color="auto" w:sz="6" w:space="0"/>
              <w:left w:val="single" w:color="auto" w:sz="6" w:space="0"/>
              <w:bottom w:val="single" w:color="auto" w:sz="6" w:space="0"/>
              <w:right w:val="single" w:color="auto" w:sz="6" w:space="0"/>
            </w:tcBorders>
            <w:vAlign w:val="center"/>
          </w:tcPr>
          <w:p w14:paraId="27C6A23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367" w:type="pct"/>
            <w:tcBorders>
              <w:top w:val="single" w:color="auto" w:sz="6" w:space="0"/>
              <w:left w:val="single" w:color="auto" w:sz="6" w:space="0"/>
              <w:bottom w:val="single" w:color="auto" w:sz="6" w:space="0"/>
              <w:right w:val="single" w:color="auto" w:sz="6" w:space="0"/>
            </w:tcBorders>
            <w:vAlign w:val="center"/>
          </w:tcPr>
          <w:p w14:paraId="0A48DCA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649" w:type="pct"/>
            <w:tcBorders>
              <w:top w:val="single" w:color="auto" w:sz="6" w:space="0"/>
              <w:left w:val="single" w:color="auto" w:sz="6" w:space="0"/>
              <w:bottom w:val="single" w:color="auto" w:sz="6" w:space="0"/>
              <w:right w:val="single" w:color="auto" w:sz="6" w:space="0"/>
            </w:tcBorders>
            <w:vAlign w:val="center"/>
          </w:tcPr>
          <w:p w14:paraId="28461557">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23AD6B3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680" w:type="pct"/>
            <w:tcBorders>
              <w:top w:val="single" w:color="auto" w:sz="6" w:space="0"/>
              <w:left w:val="single" w:color="auto" w:sz="6" w:space="0"/>
              <w:bottom w:val="single" w:color="auto" w:sz="6" w:space="0"/>
              <w:right w:val="single" w:color="auto" w:sz="6" w:space="0"/>
            </w:tcBorders>
            <w:vAlign w:val="center"/>
          </w:tcPr>
          <w:p w14:paraId="4EF626AB">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54364F3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793" w:type="pct"/>
            <w:tcBorders>
              <w:top w:val="single" w:color="auto" w:sz="6" w:space="0"/>
              <w:left w:val="single" w:color="auto" w:sz="6" w:space="0"/>
              <w:bottom w:val="single" w:color="auto" w:sz="6" w:space="0"/>
              <w:right w:val="single" w:color="auto" w:sz="6" w:space="0"/>
            </w:tcBorders>
            <w:vAlign w:val="center"/>
          </w:tcPr>
          <w:p w14:paraId="428A4D7F">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565" w:type="pct"/>
            <w:tcBorders>
              <w:top w:val="single" w:color="auto" w:sz="6" w:space="0"/>
              <w:left w:val="single" w:color="auto" w:sz="6" w:space="0"/>
              <w:bottom w:val="single" w:color="auto" w:sz="6" w:space="0"/>
              <w:right w:val="single" w:color="auto" w:sz="6" w:space="0"/>
            </w:tcBorders>
            <w:vAlign w:val="center"/>
          </w:tcPr>
          <w:p w14:paraId="4ECBCA6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926" w:type="pct"/>
            <w:tcBorders>
              <w:top w:val="single" w:color="auto" w:sz="6" w:space="0"/>
              <w:left w:val="single" w:color="auto" w:sz="6" w:space="0"/>
              <w:bottom w:val="single" w:color="auto" w:sz="6" w:space="0"/>
              <w:right w:val="single" w:color="auto" w:sz="6" w:space="0"/>
            </w:tcBorders>
            <w:vAlign w:val="center"/>
          </w:tcPr>
          <w:p w14:paraId="7B213712">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0A3DEDC3">
        <w:tblPrEx>
          <w:tblCellMar>
            <w:top w:w="0" w:type="dxa"/>
            <w:left w:w="108" w:type="dxa"/>
            <w:bottom w:w="0" w:type="dxa"/>
            <w:right w:w="108" w:type="dxa"/>
          </w:tblCellMar>
        </w:tblPrEx>
        <w:trPr>
          <w:trHeight w:val="479" w:hRule="atLeast"/>
        </w:trPr>
        <w:tc>
          <w:tcPr>
            <w:tcW w:w="263" w:type="pct"/>
            <w:tcBorders>
              <w:top w:val="single" w:color="auto" w:sz="6" w:space="0"/>
              <w:left w:val="single" w:color="auto" w:sz="6" w:space="0"/>
              <w:bottom w:val="single" w:color="auto" w:sz="6" w:space="0"/>
              <w:right w:val="single" w:color="auto" w:sz="6" w:space="0"/>
            </w:tcBorders>
          </w:tcPr>
          <w:p w14:paraId="7E6895AB">
            <w:pPr>
              <w:autoSpaceDE w:val="0"/>
              <w:autoSpaceDN w:val="0"/>
              <w:spacing w:line="360" w:lineRule="auto"/>
              <w:jc w:val="center"/>
              <w:rPr>
                <w:rFonts w:cs="仿宋_GB2312" w:asciiTheme="minorEastAsia" w:hAnsiTheme="minorEastAsia" w:eastAsiaTheme="minorEastAsia"/>
                <w:sz w:val="24"/>
              </w:rPr>
            </w:pPr>
          </w:p>
        </w:tc>
        <w:tc>
          <w:tcPr>
            <w:tcW w:w="494" w:type="pct"/>
            <w:tcBorders>
              <w:top w:val="single" w:color="auto" w:sz="6" w:space="0"/>
              <w:left w:val="single" w:color="auto" w:sz="6" w:space="0"/>
              <w:bottom w:val="single" w:color="auto" w:sz="6" w:space="0"/>
              <w:right w:val="single" w:color="auto" w:sz="6" w:space="0"/>
            </w:tcBorders>
          </w:tcPr>
          <w:p w14:paraId="0D42BE41">
            <w:pPr>
              <w:autoSpaceDE w:val="0"/>
              <w:autoSpaceDN w:val="0"/>
              <w:spacing w:line="360" w:lineRule="auto"/>
              <w:rPr>
                <w:rFonts w:cs="仿宋_GB2312" w:asciiTheme="minorEastAsia" w:hAnsiTheme="minorEastAsia" w:eastAsiaTheme="minorEastAsia"/>
                <w:sz w:val="24"/>
              </w:rPr>
            </w:pPr>
          </w:p>
        </w:tc>
        <w:tc>
          <w:tcPr>
            <w:tcW w:w="260" w:type="pct"/>
            <w:tcBorders>
              <w:top w:val="single" w:color="auto" w:sz="6" w:space="0"/>
              <w:left w:val="single" w:color="auto" w:sz="6" w:space="0"/>
              <w:bottom w:val="single" w:color="auto" w:sz="6" w:space="0"/>
              <w:right w:val="single" w:color="auto" w:sz="6" w:space="0"/>
            </w:tcBorders>
          </w:tcPr>
          <w:p w14:paraId="54898447">
            <w:pPr>
              <w:autoSpaceDE w:val="0"/>
              <w:autoSpaceDN w:val="0"/>
              <w:spacing w:line="360" w:lineRule="auto"/>
              <w:rPr>
                <w:rFonts w:cs="仿宋_GB2312" w:asciiTheme="minorEastAsia" w:hAnsiTheme="minorEastAsia" w:eastAsiaTheme="minorEastAsia"/>
                <w:sz w:val="24"/>
              </w:rPr>
            </w:pPr>
          </w:p>
        </w:tc>
        <w:tc>
          <w:tcPr>
            <w:tcW w:w="367" w:type="pct"/>
            <w:tcBorders>
              <w:top w:val="single" w:color="auto" w:sz="6" w:space="0"/>
              <w:left w:val="single" w:color="auto" w:sz="6" w:space="0"/>
              <w:bottom w:val="single" w:color="auto" w:sz="6" w:space="0"/>
              <w:right w:val="single" w:color="auto" w:sz="6" w:space="0"/>
            </w:tcBorders>
          </w:tcPr>
          <w:p w14:paraId="3AA46844">
            <w:pPr>
              <w:autoSpaceDE w:val="0"/>
              <w:autoSpaceDN w:val="0"/>
              <w:spacing w:line="360" w:lineRule="auto"/>
              <w:rPr>
                <w:rFonts w:cs="仿宋_GB2312" w:asciiTheme="minorEastAsia" w:hAnsiTheme="minorEastAsia" w:eastAsiaTheme="minorEastAsia"/>
                <w:sz w:val="24"/>
              </w:rPr>
            </w:pPr>
          </w:p>
        </w:tc>
        <w:tc>
          <w:tcPr>
            <w:tcW w:w="649" w:type="pct"/>
            <w:tcBorders>
              <w:top w:val="single" w:color="auto" w:sz="6" w:space="0"/>
              <w:left w:val="single" w:color="auto" w:sz="6" w:space="0"/>
              <w:bottom w:val="single" w:color="auto" w:sz="6" w:space="0"/>
              <w:right w:val="single" w:color="auto" w:sz="6" w:space="0"/>
            </w:tcBorders>
          </w:tcPr>
          <w:p w14:paraId="5040D5B0">
            <w:pPr>
              <w:autoSpaceDE w:val="0"/>
              <w:autoSpaceDN w:val="0"/>
              <w:spacing w:line="360" w:lineRule="auto"/>
              <w:rPr>
                <w:rFonts w:cs="仿宋_GB2312" w:asciiTheme="minorEastAsia" w:hAnsiTheme="minorEastAsia" w:eastAsiaTheme="minorEastAsia"/>
                <w:sz w:val="24"/>
              </w:rPr>
            </w:pPr>
          </w:p>
        </w:tc>
        <w:tc>
          <w:tcPr>
            <w:tcW w:w="680" w:type="pct"/>
            <w:tcBorders>
              <w:top w:val="single" w:color="auto" w:sz="6" w:space="0"/>
              <w:left w:val="single" w:color="auto" w:sz="6" w:space="0"/>
              <w:bottom w:val="single" w:color="auto" w:sz="6" w:space="0"/>
              <w:right w:val="single" w:color="auto" w:sz="6" w:space="0"/>
            </w:tcBorders>
          </w:tcPr>
          <w:p w14:paraId="6252AABC">
            <w:pPr>
              <w:autoSpaceDE w:val="0"/>
              <w:autoSpaceDN w:val="0"/>
              <w:spacing w:line="360" w:lineRule="auto"/>
              <w:rPr>
                <w:rFonts w:cs="仿宋_GB2312" w:asciiTheme="minorEastAsia" w:hAnsiTheme="minorEastAsia" w:eastAsiaTheme="minorEastAsia"/>
                <w:sz w:val="24"/>
              </w:rPr>
            </w:pPr>
          </w:p>
        </w:tc>
        <w:tc>
          <w:tcPr>
            <w:tcW w:w="793" w:type="pct"/>
            <w:tcBorders>
              <w:top w:val="single" w:color="auto" w:sz="6" w:space="0"/>
              <w:left w:val="single" w:color="auto" w:sz="6" w:space="0"/>
              <w:bottom w:val="single" w:color="auto" w:sz="6" w:space="0"/>
              <w:right w:val="single" w:color="auto" w:sz="6" w:space="0"/>
            </w:tcBorders>
          </w:tcPr>
          <w:p w14:paraId="186CDA6C">
            <w:pPr>
              <w:autoSpaceDE w:val="0"/>
              <w:autoSpaceDN w:val="0"/>
              <w:spacing w:line="360" w:lineRule="auto"/>
              <w:rPr>
                <w:rFonts w:cs="仿宋_GB2312" w:asciiTheme="minorEastAsia" w:hAnsiTheme="minorEastAsia" w:eastAsiaTheme="minorEastAsia"/>
                <w:sz w:val="24"/>
              </w:rPr>
            </w:pPr>
          </w:p>
        </w:tc>
        <w:tc>
          <w:tcPr>
            <w:tcW w:w="565" w:type="pct"/>
            <w:tcBorders>
              <w:top w:val="single" w:color="auto" w:sz="6" w:space="0"/>
              <w:left w:val="single" w:color="auto" w:sz="6" w:space="0"/>
              <w:bottom w:val="single" w:color="auto" w:sz="6" w:space="0"/>
              <w:right w:val="single" w:color="auto" w:sz="6" w:space="0"/>
            </w:tcBorders>
          </w:tcPr>
          <w:p w14:paraId="230418D5">
            <w:pPr>
              <w:autoSpaceDE w:val="0"/>
              <w:autoSpaceDN w:val="0"/>
              <w:spacing w:line="360" w:lineRule="auto"/>
              <w:rPr>
                <w:rFonts w:cs="仿宋_GB2312" w:asciiTheme="minorEastAsia" w:hAnsiTheme="minorEastAsia" w:eastAsiaTheme="minorEastAsia"/>
                <w:sz w:val="24"/>
              </w:rPr>
            </w:pPr>
          </w:p>
        </w:tc>
        <w:tc>
          <w:tcPr>
            <w:tcW w:w="926" w:type="pct"/>
            <w:tcBorders>
              <w:top w:val="single" w:color="auto" w:sz="6" w:space="0"/>
              <w:left w:val="single" w:color="auto" w:sz="6" w:space="0"/>
              <w:bottom w:val="single" w:color="auto" w:sz="6" w:space="0"/>
              <w:right w:val="single" w:color="auto" w:sz="6" w:space="0"/>
            </w:tcBorders>
          </w:tcPr>
          <w:p w14:paraId="6F3974AC">
            <w:pPr>
              <w:autoSpaceDE w:val="0"/>
              <w:autoSpaceDN w:val="0"/>
              <w:spacing w:line="360" w:lineRule="auto"/>
              <w:rPr>
                <w:rFonts w:cs="仿宋_GB2312" w:asciiTheme="minorEastAsia" w:hAnsiTheme="minorEastAsia" w:eastAsiaTheme="minorEastAsia"/>
                <w:sz w:val="24"/>
              </w:rPr>
            </w:pPr>
          </w:p>
        </w:tc>
      </w:tr>
      <w:tr w14:paraId="4586DE5A">
        <w:tblPrEx>
          <w:tblCellMar>
            <w:top w:w="0" w:type="dxa"/>
            <w:left w:w="108" w:type="dxa"/>
            <w:bottom w:w="0" w:type="dxa"/>
            <w:right w:w="108" w:type="dxa"/>
          </w:tblCellMar>
        </w:tblPrEx>
        <w:trPr>
          <w:trHeight w:val="473" w:hRule="atLeast"/>
        </w:trPr>
        <w:tc>
          <w:tcPr>
            <w:tcW w:w="263" w:type="pct"/>
            <w:tcBorders>
              <w:top w:val="single" w:color="auto" w:sz="6" w:space="0"/>
              <w:left w:val="single" w:color="auto" w:sz="6" w:space="0"/>
              <w:bottom w:val="single" w:color="auto" w:sz="6" w:space="0"/>
              <w:right w:val="single" w:color="auto" w:sz="6" w:space="0"/>
            </w:tcBorders>
          </w:tcPr>
          <w:p w14:paraId="04D70E50">
            <w:pPr>
              <w:autoSpaceDE w:val="0"/>
              <w:autoSpaceDN w:val="0"/>
              <w:spacing w:line="360" w:lineRule="auto"/>
              <w:jc w:val="center"/>
              <w:rPr>
                <w:rFonts w:cs="仿宋_GB2312" w:asciiTheme="minorEastAsia" w:hAnsiTheme="minorEastAsia" w:eastAsiaTheme="minorEastAsia"/>
                <w:sz w:val="24"/>
              </w:rPr>
            </w:pPr>
          </w:p>
        </w:tc>
        <w:tc>
          <w:tcPr>
            <w:tcW w:w="494" w:type="pct"/>
            <w:tcBorders>
              <w:top w:val="single" w:color="auto" w:sz="6" w:space="0"/>
              <w:left w:val="single" w:color="auto" w:sz="6" w:space="0"/>
              <w:bottom w:val="single" w:color="auto" w:sz="6" w:space="0"/>
              <w:right w:val="single" w:color="auto" w:sz="6" w:space="0"/>
            </w:tcBorders>
          </w:tcPr>
          <w:p w14:paraId="494CB694">
            <w:pPr>
              <w:autoSpaceDE w:val="0"/>
              <w:autoSpaceDN w:val="0"/>
              <w:spacing w:line="360" w:lineRule="auto"/>
              <w:rPr>
                <w:rFonts w:cs="仿宋_GB2312" w:asciiTheme="minorEastAsia" w:hAnsiTheme="minorEastAsia" w:eastAsiaTheme="minorEastAsia"/>
                <w:sz w:val="24"/>
              </w:rPr>
            </w:pPr>
          </w:p>
        </w:tc>
        <w:tc>
          <w:tcPr>
            <w:tcW w:w="260" w:type="pct"/>
            <w:tcBorders>
              <w:top w:val="single" w:color="auto" w:sz="6" w:space="0"/>
              <w:left w:val="single" w:color="auto" w:sz="6" w:space="0"/>
              <w:bottom w:val="single" w:color="auto" w:sz="6" w:space="0"/>
              <w:right w:val="single" w:color="auto" w:sz="6" w:space="0"/>
            </w:tcBorders>
          </w:tcPr>
          <w:p w14:paraId="1F05295A">
            <w:pPr>
              <w:autoSpaceDE w:val="0"/>
              <w:autoSpaceDN w:val="0"/>
              <w:spacing w:line="360" w:lineRule="auto"/>
              <w:rPr>
                <w:rFonts w:cs="仿宋_GB2312" w:asciiTheme="minorEastAsia" w:hAnsiTheme="minorEastAsia" w:eastAsiaTheme="minorEastAsia"/>
                <w:sz w:val="24"/>
              </w:rPr>
            </w:pPr>
          </w:p>
        </w:tc>
        <w:tc>
          <w:tcPr>
            <w:tcW w:w="367" w:type="pct"/>
            <w:tcBorders>
              <w:top w:val="single" w:color="auto" w:sz="6" w:space="0"/>
              <w:left w:val="single" w:color="auto" w:sz="6" w:space="0"/>
              <w:bottom w:val="single" w:color="auto" w:sz="6" w:space="0"/>
              <w:right w:val="single" w:color="auto" w:sz="6" w:space="0"/>
            </w:tcBorders>
          </w:tcPr>
          <w:p w14:paraId="24103684">
            <w:pPr>
              <w:autoSpaceDE w:val="0"/>
              <w:autoSpaceDN w:val="0"/>
              <w:spacing w:line="360" w:lineRule="auto"/>
              <w:rPr>
                <w:rFonts w:cs="仿宋_GB2312" w:asciiTheme="minorEastAsia" w:hAnsiTheme="minorEastAsia" w:eastAsiaTheme="minorEastAsia"/>
                <w:sz w:val="24"/>
              </w:rPr>
            </w:pPr>
          </w:p>
        </w:tc>
        <w:tc>
          <w:tcPr>
            <w:tcW w:w="649" w:type="pct"/>
            <w:tcBorders>
              <w:top w:val="single" w:color="auto" w:sz="6" w:space="0"/>
              <w:left w:val="single" w:color="auto" w:sz="6" w:space="0"/>
              <w:bottom w:val="single" w:color="auto" w:sz="6" w:space="0"/>
              <w:right w:val="single" w:color="auto" w:sz="6" w:space="0"/>
            </w:tcBorders>
          </w:tcPr>
          <w:p w14:paraId="1D08311C">
            <w:pPr>
              <w:autoSpaceDE w:val="0"/>
              <w:autoSpaceDN w:val="0"/>
              <w:spacing w:line="360" w:lineRule="auto"/>
              <w:rPr>
                <w:rFonts w:cs="仿宋_GB2312" w:asciiTheme="minorEastAsia" w:hAnsiTheme="minorEastAsia" w:eastAsiaTheme="minorEastAsia"/>
                <w:sz w:val="24"/>
              </w:rPr>
            </w:pPr>
          </w:p>
        </w:tc>
        <w:tc>
          <w:tcPr>
            <w:tcW w:w="680" w:type="pct"/>
            <w:tcBorders>
              <w:top w:val="single" w:color="auto" w:sz="6" w:space="0"/>
              <w:left w:val="single" w:color="auto" w:sz="6" w:space="0"/>
              <w:bottom w:val="single" w:color="auto" w:sz="6" w:space="0"/>
              <w:right w:val="single" w:color="auto" w:sz="6" w:space="0"/>
            </w:tcBorders>
          </w:tcPr>
          <w:p w14:paraId="5E50B9C4">
            <w:pPr>
              <w:autoSpaceDE w:val="0"/>
              <w:autoSpaceDN w:val="0"/>
              <w:spacing w:line="360" w:lineRule="auto"/>
              <w:rPr>
                <w:rFonts w:cs="仿宋_GB2312" w:asciiTheme="minorEastAsia" w:hAnsiTheme="minorEastAsia" w:eastAsiaTheme="minorEastAsia"/>
                <w:sz w:val="24"/>
              </w:rPr>
            </w:pPr>
          </w:p>
        </w:tc>
        <w:tc>
          <w:tcPr>
            <w:tcW w:w="793" w:type="pct"/>
            <w:tcBorders>
              <w:top w:val="single" w:color="auto" w:sz="6" w:space="0"/>
              <w:left w:val="single" w:color="auto" w:sz="6" w:space="0"/>
              <w:bottom w:val="single" w:color="auto" w:sz="6" w:space="0"/>
              <w:right w:val="single" w:color="auto" w:sz="6" w:space="0"/>
            </w:tcBorders>
          </w:tcPr>
          <w:p w14:paraId="59F36FB0">
            <w:pPr>
              <w:autoSpaceDE w:val="0"/>
              <w:autoSpaceDN w:val="0"/>
              <w:spacing w:line="360" w:lineRule="auto"/>
              <w:rPr>
                <w:rFonts w:cs="仿宋_GB2312" w:asciiTheme="minorEastAsia" w:hAnsiTheme="minorEastAsia" w:eastAsiaTheme="minorEastAsia"/>
                <w:sz w:val="24"/>
              </w:rPr>
            </w:pPr>
          </w:p>
        </w:tc>
        <w:tc>
          <w:tcPr>
            <w:tcW w:w="565" w:type="pct"/>
            <w:tcBorders>
              <w:top w:val="single" w:color="auto" w:sz="6" w:space="0"/>
              <w:left w:val="single" w:color="auto" w:sz="6" w:space="0"/>
              <w:bottom w:val="single" w:color="auto" w:sz="6" w:space="0"/>
              <w:right w:val="single" w:color="auto" w:sz="6" w:space="0"/>
            </w:tcBorders>
          </w:tcPr>
          <w:p w14:paraId="6B10AAD2">
            <w:pPr>
              <w:autoSpaceDE w:val="0"/>
              <w:autoSpaceDN w:val="0"/>
              <w:spacing w:line="360" w:lineRule="auto"/>
              <w:rPr>
                <w:rFonts w:cs="仿宋_GB2312" w:asciiTheme="minorEastAsia" w:hAnsiTheme="minorEastAsia" w:eastAsiaTheme="minorEastAsia"/>
                <w:sz w:val="24"/>
              </w:rPr>
            </w:pPr>
          </w:p>
        </w:tc>
        <w:tc>
          <w:tcPr>
            <w:tcW w:w="926" w:type="pct"/>
            <w:tcBorders>
              <w:top w:val="single" w:color="auto" w:sz="6" w:space="0"/>
              <w:left w:val="single" w:color="auto" w:sz="6" w:space="0"/>
              <w:bottom w:val="single" w:color="auto" w:sz="6" w:space="0"/>
              <w:right w:val="single" w:color="auto" w:sz="6" w:space="0"/>
            </w:tcBorders>
          </w:tcPr>
          <w:p w14:paraId="79762C1A">
            <w:pPr>
              <w:autoSpaceDE w:val="0"/>
              <w:autoSpaceDN w:val="0"/>
              <w:spacing w:line="360" w:lineRule="auto"/>
              <w:rPr>
                <w:rFonts w:cs="仿宋_GB2312" w:asciiTheme="minorEastAsia" w:hAnsiTheme="minorEastAsia" w:eastAsiaTheme="minorEastAsia"/>
                <w:sz w:val="24"/>
              </w:rPr>
            </w:pPr>
          </w:p>
        </w:tc>
      </w:tr>
      <w:tr w14:paraId="74BEEA20">
        <w:tblPrEx>
          <w:tblCellMar>
            <w:top w:w="0" w:type="dxa"/>
            <w:left w:w="108" w:type="dxa"/>
            <w:bottom w:w="0" w:type="dxa"/>
            <w:right w:w="108" w:type="dxa"/>
          </w:tblCellMar>
        </w:tblPrEx>
        <w:trPr>
          <w:trHeight w:val="339" w:hRule="atLeast"/>
        </w:trPr>
        <w:tc>
          <w:tcPr>
            <w:tcW w:w="263" w:type="pct"/>
            <w:tcBorders>
              <w:top w:val="single" w:color="auto" w:sz="6" w:space="0"/>
              <w:left w:val="single" w:color="auto" w:sz="6" w:space="0"/>
              <w:bottom w:val="single" w:color="auto" w:sz="6" w:space="0"/>
              <w:right w:val="single" w:color="auto" w:sz="6" w:space="0"/>
            </w:tcBorders>
          </w:tcPr>
          <w:p w14:paraId="620CF4BD">
            <w:pPr>
              <w:autoSpaceDE w:val="0"/>
              <w:autoSpaceDN w:val="0"/>
              <w:spacing w:line="360" w:lineRule="auto"/>
              <w:jc w:val="center"/>
              <w:rPr>
                <w:rFonts w:cs="仿宋_GB2312" w:asciiTheme="minorEastAsia" w:hAnsiTheme="minorEastAsia" w:eastAsiaTheme="minorEastAsia"/>
                <w:sz w:val="24"/>
              </w:rPr>
            </w:pPr>
          </w:p>
        </w:tc>
        <w:tc>
          <w:tcPr>
            <w:tcW w:w="494" w:type="pct"/>
            <w:tcBorders>
              <w:top w:val="single" w:color="auto" w:sz="6" w:space="0"/>
              <w:left w:val="single" w:color="auto" w:sz="6" w:space="0"/>
              <w:bottom w:val="single" w:color="auto" w:sz="6" w:space="0"/>
              <w:right w:val="single" w:color="auto" w:sz="6" w:space="0"/>
            </w:tcBorders>
          </w:tcPr>
          <w:p w14:paraId="2615F2E5">
            <w:pPr>
              <w:autoSpaceDE w:val="0"/>
              <w:autoSpaceDN w:val="0"/>
              <w:spacing w:line="360" w:lineRule="auto"/>
              <w:rPr>
                <w:rFonts w:cs="仿宋_GB2312" w:asciiTheme="minorEastAsia" w:hAnsiTheme="minorEastAsia" w:eastAsiaTheme="minorEastAsia"/>
                <w:sz w:val="24"/>
              </w:rPr>
            </w:pPr>
          </w:p>
        </w:tc>
        <w:tc>
          <w:tcPr>
            <w:tcW w:w="260" w:type="pct"/>
            <w:tcBorders>
              <w:top w:val="single" w:color="auto" w:sz="6" w:space="0"/>
              <w:left w:val="single" w:color="auto" w:sz="6" w:space="0"/>
              <w:bottom w:val="single" w:color="auto" w:sz="6" w:space="0"/>
              <w:right w:val="single" w:color="auto" w:sz="6" w:space="0"/>
            </w:tcBorders>
          </w:tcPr>
          <w:p w14:paraId="3313F4D0">
            <w:pPr>
              <w:autoSpaceDE w:val="0"/>
              <w:autoSpaceDN w:val="0"/>
              <w:spacing w:line="360" w:lineRule="auto"/>
              <w:rPr>
                <w:rFonts w:cs="仿宋_GB2312" w:asciiTheme="minorEastAsia" w:hAnsiTheme="minorEastAsia" w:eastAsiaTheme="minorEastAsia"/>
                <w:sz w:val="24"/>
              </w:rPr>
            </w:pPr>
          </w:p>
        </w:tc>
        <w:tc>
          <w:tcPr>
            <w:tcW w:w="367" w:type="pct"/>
            <w:tcBorders>
              <w:top w:val="single" w:color="auto" w:sz="6" w:space="0"/>
              <w:left w:val="single" w:color="auto" w:sz="6" w:space="0"/>
              <w:bottom w:val="single" w:color="auto" w:sz="6" w:space="0"/>
              <w:right w:val="single" w:color="auto" w:sz="6" w:space="0"/>
            </w:tcBorders>
          </w:tcPr>
          <w:p w14:paraId="1FA39D31">
            <w:pPr>
              <w:autoSpaceDE w:val="0"/>
              <w:autoSpaceDN w:val="0"/>
              <w:spacing w:line="360" w:lineRule="auto"/>
              <w:rPr>
                <w:rFonts w:cs="仿宋_GB2312" w:asciiTheme="minorEastAsia" w:hAnsiTheme="minorEastAsia" w:eastAsiaTheme="minorEastAsia"/>
                <w:sz w:val="24"/>
              </w:rPr>
            </w:pPr>
          </w:p>
        </w:tc>
        <w:tc>
          <w:tcPr>
            <w:tcW w:w="649" w:type="pct"/>
            <w:tcBorders>
              <w:top w:val="single" w:color="auto" w:sz="6" w:space="0"/>
              <w:left w:val="single" w:color="auto" w:sz="6" w:space="0"/>
              <w:bottom w:val="single" w:color="auto" w:sz="6" w:space="0"/>
              <w:right w:val="single" w:color="auto" w:sz="6" w:space="0"/>
            </w:tcBorders>
          </w:tcPr>
          <w:p w14:paraId="62D21B2B">
            <w:pPr>
              <w:autoSpaceDE w:val="0"/>
              <w:autoSpaceDN w:val="0"/>
              <w:spacing w:line="360" w:lineRule="auto"/>
              <w:rPr>
                <w:rFonts w:cs="仿宋_GB2312" w:asciiTheme="minorEastAsia" w:hAnsiTheme="minorEastAsia" w:eastAsiaTheme="minorEastAsia"/>
                <w:sz w:val="24"/>
              </w:rPr>
            </w:pPr>
          </w:p>
        </w:tc>
        <w:tc>
          <w:tcPr>
            <w:tcW w:w="680" w:type="pct"/>
            <w:tcBorders>
              <w:top w:val="single" w:color="auto" w:sz="6" w:space="0"/>
              <w:left w:val="single" w:color="auto" w:sz="6" w:space="0"/>
              <w:bottom w:val="single" w:color="auto" w:sz="6" w:space="0"/>
              <w:right w:val="single" w:color="auto" w:sz="6" w:space="0"/>
            </w:tcBorders>
          </w:tcPr>
          <w:p w14:paraId="31692D91">
            <w:pPr>
              <w:autoSpaceDE w:val="0"/>
              <w:autoSpaceDN w:val="0"/>
              <w:spacing w:line="360" w:lineRule="auto"/>
              <w:rPr>
                <w:rFonts w:cs="仿宋_GB2312" w:asciiTheme="minorEastAsia" w:hAnsiTheme="minorEastAsia" w:eastAsiaTheme="minorEastAsia"/>
                <w:sz w:val="24"/>
              </w:rPr>
            </w:pPr>
          </w:p>
        </w:tc>
        <w:tc>
          <w:tcPr>
            <w:tcW w:w="793" w:type="pct"/>
            <w:tcBorders>
              <w:top w:val="single" w:color="auto" w:sz="6" w:space="0"/>
              <w:left w:val="single" w:color="auto" w:sz="6" w:space="0"/>
              <w:bottom w:val="single" w:color="auto" w:sz="6" w:space="0"/>
              <w:right w:val="single" w:color="auto" w:sz="6" w:space="0"/>
            </w:tcBorders>
          </w:tcPr>
          <w:p w14:paraId="2B05F190">
            <w:pPr>
              <w:autoSpaceDE w:val="0"/>
              <w:autoSpaceDN w:val="0"/>
              <w:spacing w:line="360" w:lineRule="auto"/>
              <w:rPr>
                <w:rFonts w:cs="仿宋_GB2312" w:asciiTheme="minorEastAsia" w:hAnsiTheme="minorEastAsia" w:eastAsiaTheme="minorEastAsia"/>
                <w:sz w:val="24"/>
              </w:rPr>
            </w:pPr>
          </w:p>
        </w:tc>
        <w:tc>
          <w:tcPr>
            <w:tcW w:w="565" w:type="pct"/>
            <w:tcBorders>
              <w:top w:val="single" w:color="auto" w:sz="6" w:space="0"/>
              <w:left w:val="single" w:color="auto" w:sz="6" w:space="0"/>
              <w:bottom w:val="single" w:color="auto" w:sz="6" w:space="0"/>
              <w:right w:val="single" w:color="auto" w:sz="6" w:space="0"/>
            </w:tcBorders>
          </w:tcPr>
          <w:p w14:paraId="1E10EBA5">
            <w:pPr>
              <w:autoSpaceDE w:val="0"/>
              <w:autoSpaceDN w:val="0"/>
              <w:spacing w:line="360" w:lineRule="auto"/>
              <w:rPr>
                <w:rFonts w:cs="仿宋_GB2312" w:asciiTheme="minorEastAsia" w:hAnsiTheme="minorEastAsia" w:eastAsiaTheme="minorEastAsia"/>
                <w:sz w:val="24"/>
              </w:rPr>
            </w:pPr>
          </w:p>
        </w:tc>
        <w:tc>
          <w:tcPr>
            <w:tcW w:w="926" w:type="pct"/>
            <w:tcBorders>
              <w:top w:val="single" w:color="auto" w:sz="6" w:space="0"/>
              <w:left w:val="single" w:color="auto" w:sz="6" w:space="0"/>
              <w:bottom w:val="single" w:color="auto" w:sz="6" w:space="0"/>
              <w:right w:val="single" w:color="auto" w:sz="6" w:space="0"/>
            </w:tcBorders>
          </w:tcPr>
          <w:p w14:paraId="0A2CD39D">
            <w:pPr>
              <w:autoSpaceDE w:val="0"/>
              <w:autoSpaceDN w:val="0"/>
              <w:spacing w:line="360" w:lineRule="auto"/>
              <w:rPr>
                <w:rFonts w:cs="仿宋_GB2312" w:asciiTheme="minorEastAsia" w:hAnsiTheme="minorEastAsia" w:eastAsiaTheme="minorEastAsia"/>
                <w:sz w:val="24"/>
              </w:rPr>
            </w:pPr>
          </w:p>
        </w:tc>
      </w:tr>
    </w:tbl>
    <w:p w14:paraId="5B28C16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458FE53B">
      <w:pPr>
        <w:spacing w:line="360" w:lineRule="auto"/>
        <w:rPr>
          <w:rFonts w:cs="仿宋_GB2312" w:asciiTheme="minorEastAsia" w:hAnsiTheme="minorEastAsia" w:eastAsiaTheme="minorEastAsia"/>
          <w:b/>
          <w:sz w:val="24"/>
        </w:rPr>
      </w:pPr>
    </w:p>
    <w:p w14:paraId="3C59E25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5F4D48F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2F54DBA">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07B3A72D">
      <w:pPr>
        <w:spacing w:line="360" w:lineRule="auto"/>
        <w:outlineLvl w:val="1"/>
        <w:rPr>
          <w:rFonts w:cs="仿宋_GB2312" w:asciiTheme="minorEastAsia" w:hAnsiTheme="minorEastAsia" w:eastAsiaTheme="minorEastAsia"/>
          <w:b/>
          <w:sz w:val="32"/>
          <w:szCs w:val="32"/>
        </w:rPr>
      </w:pPr>
      <w:bookmarkStart w:id="93" w:name="_Toc1786"/>
      <w:r>
        <w:rPr>
          <w:rFonts w:hint="eastAsia" w:ascii="宋体" w:hAnsi="宋体" w:cs="宋体"/>
          <w:sz w:val="36"/>
          <w:szCs w:val="36"/>
        </w:rPr>
        <w:t>(</w:t>
      </w:r>
      <w:r>
        <w:rPr>
          <w:rFonts w:hint="eastAsia" w:ascii="宋体" w:hAnsi="宋体" w:cs="宋体"/>
          <w:sz w:val="36"/>
          <w:szCs w:val="36"/>
          <w:lang w:val="zh-CN"/>
        </w:rPr>
        <w:t>四</w:t>
      </w:r>
      <w:r>
        <w:rPr>
          <w:rFonts w:hint="eastAsia" w:ascii="宋体" w:hAnsi="宋体" w:cs="宋体"/>
          <w:sz w:val="36"/>
          <w:szCs w:val="36"/>
        </w:rPr>
        <w:t>)</w:t>
      </w:r>
      <w:r>
        <w:rPr>
          <w:rFonts w:hint="eastAsia" w:ascii="宋体" w:hAnsi="宋体" w:cs="宋体"/>
          <w:sz w:val="36"/>
          <w:szCs w:val="36"/>
          <w:lang w:val="zh-CN"/>
        </w:rPr>
        <w:t>其他文件</w:t>
      </w:r>
      <w:bookmarkEnd w:id="93"/>
    </w:p>
    <w:p w14:paraId="12210B38">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lang w:val="zh-CN"/>
        </w:rPr>
        <w:t>主要业绩证明</w:t>
      </w:r>
    </w:p>
    <w:p w14:paraId="18B81AB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24"/>
        </w:rPr>
        <w:t>（供应商自行编制表格）</w:t>
      </w:r>
    </w:p>
    <w:p w14:paraId="69E5C13C">
      <w:pPr>
        <w:autoSpaceDE w:val="0"/>
        <w:autoSpaceDN w:val="0"/>
        <w:spacing w:line="360" w:lineRule="auto"/>
        <w:ind w:firstLine="5280" w:firstLineChars="2200"/>
        <w:rPr>
          <w:rFonts w:cs="仿宋_GB2312" w:asciiTheme="minorEastAsia" w:hAnsiTheme="minorEastAsia" w:eastAsiaTheme="minorEastAsia"/>
          <w:kern w:val="0"/>
          <w:sz w:val="24"/>
        </w:rPr>
      </w:pPr>
    </w:p>
    <w:p w14:paraId="2E330413">
      <w:pPr>
        <w:autoSpaceDE w:val="0"/>
        <w:autoSpaceDN w:val="0"/>
        <w:spacing w:line="360" w:lineRule="auto"/>
        <w:ind w:firstLine="5280" w:firstLineChars="2200"/>
        <w:rPr>
          <w:rFonts w:cs="仿宋_GB2312" w:asciiTheme="minorEastAsia" w:hAnsiTheme="minorEastAsia" w:eastAsiaTheme="minorEastAsia"/>
          <w:kern w:val="0"/>
          <w:sz w:val="24"/>
        </w:rPr>
      </w:pPr>
    </w:p>
    <w:p w14:paraId="7630083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2BB92D55">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7A0CE4A0">
      <w:pPr>
        <w:spacing w:line="360" w:lineRule="auto"/>
        <w:jc w:val="center"/>
        <w:rPr>
          <w:rFonts w:cs="仿宋_GB2312" w:asciiTheme="minorEastAsia" w:hAnsiTheme="minorEastAsia" w:eastAsiaTheme="minorEastAsia"/>
          <w:b/>
          <w:bCs/>
          <w:sz w:val="32"/>
          <w:szCs w:val="32"/>
        </w:rPr>
      </w:pPr>
    </w:p>
    <w:p w14:paraId="5BABCAA8">
      <w:pPr>
        <w:spacing w:line="360" w:lineRule="auto"/>
        <w:jc w:val="center"/>
        <w:rPr>
          <w:rFonts w:cs="仿宋_GB2312" w:asciiTheme="minorEastAsia" w:hAnsiTheme="minorEastAsia" w:eastAsiaTheme="minorEastAsia"/>
          <w:b/>
          <w:bCs/>
          <w:sz w:val="24"/>
        </w:rPr>
      </w:pPr>
    </w:p>
    <w:p w14:paraId="688A64AC">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培训计划</w:t>
      </w:r>
    </w:p>
    <w:p w14:paraId="20450BE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3E75D17">
      <w:pPr>
        <w:autoSpaceDE w:val="0"/>
        <w:autoSpaceDN w:val="0"/>
        <w:spacing w:line="360" w:lineRule="auto"/>
        <w:rPr>
          <w:rFonts w:cs="仿宋_GB2312" w:asciiTheme="minorEastAsia" w:hAnsiTheme="minorEastAsia" w:eastAsiaTheme="minorEastAsia"/>
          <w:b/>
          <w:sz w:val="24"/>
        </w:rPr>
      </w:pPr>
    </w:p>
    <w:p w14:paraId="2DEAF49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kern w:val="0"/>
          <w:sz w:val="24"/>
        </w:rPr>
        <w:t xml:space="preserve">：                       </w:t>
      </w:r>
    </w:p>
    <w:p w14:paraId="29B68918">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AB62CB1">
      <w:pPr>
        <w:spacing w:line="360" w:lineRule="auto"/>
        <w:jc w:val="center"/>
        <w:rPr>
          <w:rFonts w:cs="仿宋_GB2312" w:asciiTheme="minorEastAsia" w:hAnsiTheme="minorEastAsia" w:eastAsiaTheme="minorEastAsia"/>
          <w:b/>
          <w:bCs/>
          <w:sz w:val="32"/>
          <w:szCs w:val="32"/>
        </w:rPr>
      </w:pPr>
    </w:p>
    <w:p w14:paraId="19DD6D60">
      <w:pPr>
        <w:spacing w:line="360" w:lineRule="auto"/>
        <w:jc w:val="center"/>
        <w:rPr>
          <w:rFonts w:cs="仿宋_GB2312" w:asciiTheme="minorEastAsia" w:hAnsiTheme="minorEastAsia" w:eastAsiaTheme="minorEastAsia"/>
          <w:kern w:val="0"/>
          <w:sz w:val="24"/>
        </w:rPr>
      </w:pPr>
    </w:p>
    <w:p w14:paraId="5EB9C501">
      <w:pPr>
        <w:spacing w:line="360" w:lineRule="auto"/>
        <w:jc w:val="center"/>
        <w:rPr>
          <w:rFonts w:cs="仿宋_GB2312" w:asciiTheme="minorEastAsia" w:hAnsiTheme="minorEastAsia" w:eastAsiaTheme="minorEastAsia"/>
          <w:b/>
          <w:bCs/>
          <w:sz w:val="32"/>
          <w:szCs w:val="32"/>
        </w:rPr>
      </w:pPr>
    </w:p>
    <w:p w14:paraId="17C79BFF">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5FB836F0">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392082F5">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2F4CCED1">
      <w:pPr>
        <w:spacing w:line="360" w:lineRule="auto"/>
        <w:outlineLvl w:val="1"/>
        <w:rPr>
          <w:rFonts w:cs="仿宋_GB2312" w:asciiTheme="minorEastAsia" w:hAnsiTheme="minorEastAsia" w:eastAsiaTheme="minorEastAsia"/>
          <w:b/>
          <w:sz w:val="32"/>
          <w:szCs w:val="32"/>
        </w:rPr>
      </w:pPr>
      <w:bookmarkStart w:id="94" w:name="_Toc28381"/>
      <w:r>
        <w:rPr>
          <w:rFonts w:hint="eastAsia" w:ascii="宋体" w:hAnsi="宋体" w:cs="宋体"/>
          <w:sz w:val="36"/>
          <w:szCs w:val="36"/>
          <w:lang w:val="zh-CN"/>
        </w:rPr>
        <w:t>(</w:t>
      </w:r>
      <w:r>
        <w:rPr>
          <w:rFonts w:hint="eastAsia" w:ascii="宋体" w:hAnsi="宋体" w:cs="宋体"/>
          <w:sz w:val="36"/>
          <w:szCs w:val="36"/>
        </w:rPr>
        <w:t>五</w:t>
      </w:r>
      <w:r>
        <w:rPr>
          <w:rFonts w:hint="eastAsia" w:ascii="宋体" w:hAnsi="宋体" w:cs="宋体"/>
          <w:sz w:val="36"/>
          <w:szCs w:val="36"/>
          <w:lang w:val="zh-CN"/>
        </w:rPr>
        <w:t>)</w:t>
      </w:r>
      <w:r>
        <w:rPr>
          <w:rFonts w:hint="eastAsia" w:ascii="宋体" w:hAnsi="宋体" w:cs="宋体"/>
          <w:sz w:val="36"/>
          <w:szCs w:val="36"/>
        </w:rPr>
        <w:t>相关附件</w:t>
      </w:r>
      <w:bookmarkEnd w:id="94"/>
    </w:p>
    <w:p w14:paraId="30A6EB4A">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0E9D34AD">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3FFA8C91">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09EF679A">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4066390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CA61F8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C14460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30D0298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CD6F55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D8EF2C2">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1003C26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7B45157F">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456988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29275D5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6633F58B">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725FBEC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5E266D4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033AEAE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0651620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7B2B5BE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9725D58">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4373C3D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4B2C3ABC">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7AD62A44">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05206918">
      <w:pPr>
        <w:spacing w:line="360" w:lineRule="auto"/>
        <w:rPr>
          <w:rFonts w:cs="仿宋_GB2312" w:asciiTheme="minorEastAsia" w:hAnsiTheme="minorEastAsia" w:eastAsiaTheme="minorEastAsia"/>
          <w:sz w:val="24"/>
        </w:rPr>
      </w:pPr>
    </w:p>
    <w:p w14:paraId="476C70E5">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2633DD5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2EBFAF9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0ABF40C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6624790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20446CA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7C09B58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1B8530D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5FAE8DA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467E1830">
      <w:pPr>
        <w:widowControl/>
        <w:spacing w:line="360" w:lineRule="auto"/>
        <w:ind w:firstLine="600" w:firstLineChars="200"/>
        <w:jc w:val="left"/>
        <w:rPr>
          <w:rFonts w:cs="仿宋_GB2312" w:asciiTheme="minorEastAsia" w:hAnsiTheme="minorEastAsia" w:eastAsiaTheme="minorEastAsia"/>
          <w:sz w:val="30"/>
          <w:szCs w:val="30"/>
        </w:rPr>
      </w:pPr>
    </w:p>
    <w:p w14:paraId="6E72CA51">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44C8804F">
      <w:pPr>
        <w:spacing w:line="360" w:lineRule="auto"/>
        <w:jc w:val="center"/>
        <w:rPr>
          <w:rFonts w:cs="仿宋_GB2312" w:asciiTheme="minorEastAsia" w:hAnsiTheme="minorEastAsia" w:eastAsiaTheme="minorEastAsia"/>
          <w:b/>
          <w:sz w:val="24"/>
        </w:rPr>
      </w:pPr>
    </w:p>
    <w:p w14:paraId="5AEF2C57">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2484F70D">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1C06615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3BD172F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D3358B2">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65DE9A00">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7C6DD3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1321AAC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0DA14A5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FACDD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5C767D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DE7316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595FA3F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45215F3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C4FAFA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8137E1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6ED987C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2A39EEE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0B8FBEA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2492149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32CAB5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33B6E5B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0A96F8D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5CD530C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79BC8ED0">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51BFC9E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5B29FC7">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70A879D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0A574A8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51D30F0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8F3A42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5EC6F1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7A6F7F4D">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273B00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4B34A42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D8B55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256C171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3EBE13A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1D05197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7AF4A6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4AC6B054">
      <w:pPr>
        <w:spacing w:line="360" w:lineRule="auto"/>
        <w:rPr>
          <w:rFonts w:cs="仿宋_GB2312" w:asciiTheme="minorEastAsia" w:hAnsiTheme="minorEastAsia" w:eastAsiaTheme="minorEastAsia"/>
          <w:b/>
          <w:sz w:val="24"/>
        </w:rPr>
      </w:pPr>
    </w:p>
    <w:p w14:paraId="43676EF7">
      <w:pPr>
        <w:spacing w:line="360" w:lineRule="auto"/>
        <w:rPr>
          <w:rFonts w:cs="仿宋_GB2312" w:asciiTheme="minorEastAsia" w:hAnsiTheme="minorEastAsia" w:eastAsiaTheme="minorEastAsia"/>
          <w:b/>
          <w:sz w:val="24"/>
        </w:rPr>
      </w:pPr>
    </w:p>
    <w:p w14:paraId="7218DB8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3EAA0C01">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1C9B4CEB">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0CE2A2F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6D91F40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134ABF4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3597E1E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1EC1303C">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746429D0">
      <w:pPr>
        <w:rPr>
          <w:rFonts w:cs="仿宋_GB2312" w:asciiTheme="minorEastAsia" w:hAnsiTheme="minorEastAsia" w:eastAsiaTheme="minorEastAsia"/>
          <w:b/>
          <w:sz w:val="24"/>
        </w:rPr>
      </w:pPr>
    </w:p>
    <w:p w14:paraId="41A4FD5C">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198825E">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02CE4916">
      <w:pPr>
        <w:spacing w:line="360" w:lineRule="auto"/>
        <w:rPr>
          <w:rFonts w:asciiTheme="minorEastAsia" w:hAnsiTheme="minorEastAsia" w:eastAsiaTheme="minorEastAsia"/>
          <w:b/>
          <w:spacing w:val="6"/>
          <w:sz w:val="32"/>
          <w:szCs w:val="32"/>
        </w:rPr>
      </w:pPr>
    </w:p>
    <w:p w14:paraId="3ED68B10">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47A1B5E3">
      <w:pPr>
        <w:spacing w:line="360" w:lineRule="auto"/>
        <w:rPr>
          <w:rFonts w:asciiTheme="minorEastAsia" w:hAnsiTheme="minorEastAsia" w:eastAsiaTheme="minorEastAsia"/>
          <w:b/>
          <w:spacing w:val="6"/>
          <w:sz w:val="30"/>
          <w:szCs w:val="30"/>
        </w:rPr>
      </w:pPr>
    </w:p>
    <w:p w14:paraId="21CBA47A">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1C719C1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4D7DC192">
      <w:pPr>
        <w:spacing w:line="360" w:lineRule="auto"/>
        <w:ind w:firstLine="480" w:firstLineChars="200"/>
        <w:rPr>
          <w:rFonts w:cs="仿宋_GB2312" w:asciiTheme="minorEastAsia" w:hAnsiTheme="minorEastAsia" w:eastAsiaTheme="minorEastAsia"/>
          <w:sz w:val="24"/>
        </w:rPr>
      </w:pPr>
    </w:p>
    <w:p w14:paraId="6C77E61D">
      <w:pPr>
        <w:spacing w:line="360" w:lineRule="auto"/>
        <w:ind w:firstLine="480" w:firstLineChars="200"/>
        <w:rPr>
          <w:rFonts w:cs="仿宋_GB2312" w:asciiTheme="minorEastAsia" w:hAnsiTheme="minorEastAsia" w:eastAsiaTheme="minorEastAsia"/>
          <w:sz w:val="24"/>
        </w:rPr>
      </w:pPr>
    </w:p>
    <w:p w14:paraId="4EC3CBD6">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磋商供应商名称(公章)</w:t>
      </w:r>
      <w:r>
        <w:rPr>
          <w:rFonts w:hint="eastAsia" w:cs="仿宋_GB2312" w:asciiTheme="minorEastAsia" w:hAnsiTheme="minorEastAsia" w:eastAsiaTheme="minorEastAsia"/>
          <w:sz w:val="24"/>
        </w:rPr>
        <w:t>：</w:t>
      </w:r>
    </w:p>
    <w:p w14:paraId="486FC0C3">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0242C186">
      <w:pPr>
        <w:spacing w:line="360" w:lineRule="auto"/>
        <w:ind w:firstLine="480" w:firstLineChars="200"/>
        <w:rPr>
          <w:rFonts w:cs="仿宋_GB2312" w:asciiTheme="minorEastAsia" w:hAnsiTheme="minorEastAsia" w:eastAsiaTheme="minorEastAsia"/>
          <w:sz w:val="24"/>
        </w:rPr>
      </w:pPr>
    </w:p>
    <w:p w14:paraId="5606EC7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2ABB488">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附件4：</w:t>
      </w:r>
    </w:p>
    <w:p w14:paraId="7039A191">
      <w:pPr>
        <w:adjustRightInd/>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6DF8218C">
      <w:pPr>
        <w:spacing w:line="360" w:lineRule="auto"/>
        <w:jc w:val="center"/>
        <w:rPr>
          <w:rFonts w:cs="宋体" w:asciiTheme="minorEastAsia" w:hAnsiTheme="minorEastAsia" w:eastAsiaTheme="minorEastAsia"/>
          <w:b/>
          <w:sz w:val="32"/>
          <w:szCs w:val="32"/>
        </w:rPr>
      </w:pPr>
    </w:p>
    <w:p w14:paraId="632BEB06">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6E42610">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1995085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056D7A87">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540231C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33BB976">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5546E9D7">
      <w:pPr>
        <w:spacing w:line="360" w:lineRule="auto"/>
        <w:ind w:right="1760"/>
        <w:jc w:val="right"/>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磋商供应商名称(公章)</w:t>
      </w:r>
      <w:r>
        <w:rPr>
          <w:rFonts w:hint="eastAsia" w:cs="宋体" w:asciiTheme="minorEastAsia" w:hAnsiTheme="minorEastAsia" w:eastAsiaTheme="minorEastAsia"/>
          <w:sz w:val="24"/>
        </w:rPr>
        <w:t>：</w:t>
      </w:r>
    </w:p>
    <w:p w14:paraId="1C85AE41">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14:paraId="4F7AC296">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3387DF91">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E9886CD">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C787177">
      <w:pPr>
        <w:spacing w:line="360" w:lineRule="auto"/>
        <w:rPr>
          <w:rFonts w:cs="仿宋_GB2312" w:asciiTheme="minorEastAsia" w:hAnsiTheme="minorEastAsia" w:eastAsiaTheme="minorEastAsia"/>
          <w:b/>
          <w:sz w:val="24"/>
        </w:rPr>
      </w:pPr>
    </w:p>
    <w:p w14:paraId="73A5B9F8">
      <w:pPr>
        <w:spacing w:line="360" w:lineRule="auto"/>
        <w:ind w:firstLine="482" w:firstLineChars="200"/>
        <w:rPr>
          <w:rFonts w:cs="仿宋_GB2312" w:asciiTheme="minorEastAsia" w:hAnsiTheme="minorEastAsia" w:eastAsiaTheme="minorEastAsia"/>
          <w:b/>
          <w:sz w:val="24"/>
        </w:rPr>
      </w:pPr>
    </w:p>
    <w:p w14:paraId="37DC53D5">
      <w:pPr>
        <w:spacing w:line="360" w:lineRule="auto"/>
        <w:ind w:firstLine="482" w:firstLineChars="200"/>
        <w:rPr>
          <w:rFonts w:cs="仿宋_GB2312" w:asciiTheme="minorEastAsia" w:hAnsiTheme="minorEastAsia" w:eastAsiaTheme="minorEastAsia"/>
          <w:b/>
          <w:sz w:val="24"/>
        </w:rPr>
      </w:pPr>
    </w:p>
    <w:p w14:paraId="1A88EC38">
      <w:pPr>
        <w:spacing w:line="360" w:lineRule="auto"/>
        <w:ind w:firstLine="482" w:firstLineChars="200"/>
        <w:rPr>
          <w:rFonts w:cs="仿宋_GB2312" w:asciiTheme="minorEastAsia" w:hAnsiTheme="minorEastAsia" w:eastAsiaTheme="minorEastAsia"/>
          <w:b/>
          <w:sz w:val="24"/>
        </w:rPr>
      </w:pPr>
    </w:p>
    <w:p w14:paraId="11DAF205">
      <w:pPr>
        <w:spacing w:line="360" w:lineRule="auto"/>
        <w:ind w:firstLine="482" w:firstLineChars="200"/>
        <w:rPr>
          <w:rFonts w:cs="仿宋_GB2312" w:asciiTheme="minorEastAsia" w:hAnsiTheme="minorEastAsia" w:eastAsiaTheme="minorEastAsia"/>
          <w:b/>
          <w:sz w:val="24"/>
        </w:rPr>
      </w:pPr>
    </w:p>
    <w:p w14:paraId="17835CD8">
      <w:pPr>
        <w:spacing w:line="360" w:lineRule="auto"/>
        <w:ind w:firstLine="482" w:firstLineChars="200"/>
        <w:rPr>
          <w:rFonts w:cs="仿宋_GB2312" w:asciiTheme="minorEastAsia" w:hAnsiTheme="minorEastAsia" w:eastAsiaTheme="minorEastAsia"/>
          <w:b/>
          <w:sz w:val="24"/>
        </w:rPr>
      </w:pPr>
    </w:p>
    <w:p w14:paraId="258D98B2">
      <w:pPr>
        <w:spacing w:line="360" w:lineRule="auto"/>
        <w:ind w:firstLine="482" w:firstLineChars="200"/>
        <w:rPr>
          <w:rFonts w:cs="仿宋_GB2312" w:asciiTheme="minorEastAsia" w:hAnsiTheme="minorEastAsia" w:eastAsiaTheme="minorEastAsia"/>
          <w:b/>
          <w:sz w:val="24"/>
        </w:rPr>
      </w:pPr>
    </w:p>
    <w:p w14:paraId="4427B06B">
      <w:pPr>
        <w:spacing w:line="360" w:lineRule="auto"/>
        <w:ind w:firstLine="482" w:firstLineChars="200"/>
        <w:rPr>
          <w:rFonts w:cs="仿宋_GB2312" w:asciiTheme="minorEastAsia" w:hAnsiTheme="minorEastAsia" w:eastAsiaTheme="minorEastAsia"/>
          <w:b/>
          <w:sz w:val="24"/>
        </w:rPr>
      </w:pPr>
    </w:p>
    <w:p w14:paraId="41A7C4D9">
      <w:pPr>
        <w:spacing w:line="360" w:lineRule="auto"/>
        <w:ind w:firstLine="482" w:firstLineChars="200"/>
        <w:rPr>
          <w:rFonts w:cs="仿宋_GB2312" w:asciiTheme="minorEastAsia" w:hAnsiTheme="minorEastAsia" w:eastAsiaTheme="minorEastAsia"/>
          <w:b/>
          <w:sz w:val="24"/>
        </w:rPr>
      </w:pPr>
    </w:p>
    <w:p w14:paraId="5C3799B7">
      <w:pPr>
        <w:spacing w:line="360" w:lineRule="auto"/>
        <w:ind w:firstLine="482" w:firstLineChars="200"/>
        <w:rPr>
          <w:rFonts w:cs="仿宋_GB2312" w:asciiTheme="minorEastAsia" w:hAnsiTheme="minorEastAsia" w:eastAsiaTheme="minorEastAsia"/>
          <w:b/>
          <w:sz w:val="24"/>
        </w:rPr>
      </w:pPr>
    </w:p>
    <w:p w14:paraId="5C10D600">
      <w:pPr>
        <w:spacing w:line="360" w:lineRule="auto"/>
        <w:ind w:firstLine="482" w:firstLineChars="200"/>
        <w:rPr>
          <w:rFonts w:cs="仿宋_GB2312" w:asciiTheme="minorEastAsia" w:hAnsiTheme="minorEastAsia" w:eastAsiaTheme="minorEastAsia"/>
          <w:b/>
          <w:sz w:val="24"/>
        </w:rPr>
      </w:pPr>
    </w:p>
    <w:p w14:paraId="0CEE93A5">
      <w:pPr>
        <w:spacing w:line="360" w:lineRule="auto"/>
        <w:ind w:firstLine="482" w:firstLineChars="200"/>
        <w:rPr>
          <w:rFonts w:cs="仿宋_GB2312" w:asciiTheme="minorEastAsia" w:hAnsiTheme="minorEastAsia" w:eastAsiaTheme="minorEastAsia"/>
          <w:b/>
          <w:sz w:val="24"/>
        </w:rPr>
      </w:pPr>
    </w:p>
    <w:p w14:paraId="37A2EC05">
      <w:pPr>
        <w:spacing w:line="360" w:lineRule="auto"/>
        <w:ind w:firstLine="482" w:firstLineChars="200"/>
        <w:rPr>
          <w:rFonts w:cs="仿宋_GB2312" w:asciiTheme="minorEastAsia" w:hAnsiTheme="minorEastAsia" w:eastAsiaTheme="minorEastAsia"/>
          <w:b/>
          <w:sz w:val="24"/>
        </w:rPr>
      </w:pPr>
    </w:p>
    <w:p w14:paraId="5B2AF419">
      <w:pPr>
        <w:spacing w:line="360" w:lineRule="auto"/>
        <w:rPr>
          <w:rFonts w:cs="仿宋_GB2312" w:asciiTheme="minorEastAsia" w:hAnsiTheme="minorEastAsia" w:eastAsiaTheme="minorEastAsia"/>
          <w:b/>
          <w:sz w:val="24"/>
        </w:rPr>
      </w:pPr>
    </w:p>
    <w:p w14:paraId="19E33C8D">
      <w:pPr>
        <w:spacing w:line="360" w:lineRule="auto"/>
        <w:ind w:firstLine="482" w:firstLineChars="200"/>
        <w:rPr>
          <w:rFonts w:cs="仿宋_GB2312" w:asciiTheme="minorEastAsia" w:hAnsiTheme="minorEastAsia" w:eastAsiaTheme="minorEastAsia"/>
          <w:b/>
          <w:sz w:val="24"/>
        </w:rPr>
      </w:pPr>
    </w:p>
    <w:p w14:paraId="3D969C0E">
      <w:pPr>
        <w:spacing w:line="360" w:lineRule="auto"/>
        <w:ind w:firstLine="482" w:firstLineChars="200"/>
        <w:rPr>
          <w:rFonts w:cs="仿宋_GB2312" w:asciiTheme="minorEastAsia" w:hAnsiTheme="minorEastAsia" w:eastAsiaTheme="minorEastAsia"/>
          <w:b/>
          <w:sz w:val="24"/>
        </w:rPr>
      </w:pPr>
    </w:p>
    <w:p w14:paraId="55ED8CB7">
      <w:pPr>
        <w:spacing w:line="360" w:lineRule="auto"/>
        <w:ind w:firstLine="482" w:firstLineChars="200"/>
        <w:rPr>
          <w:rFonts w:cs="仿宋_GB2312" w:asciiTheme="minorEastAsia" w:hAnsiTheme="minorEastAsia" w:eastAsiaTheme="minorEastAsia"/>
          <w:b/>
          <w:sz w:val="24"/>
        </w:rPr>
      </w:pPr>
    </w:p>
    <w:p w14:paraId="153C3B33">
      <w:pPr>
        <w:widowControl/>
        <w:adjustRightInd/>
        <w:jc w:val="left"/>
        <w:rPr>
          <w:rFonts w:cs="仿宋_GB2312" w:asciiTheme="minorEastAsia" w:hAnsiTheme="minorEastAsia" w:eastAsiaTheme="minorEastAsia"/>
          <w:b/>
          <w:bCs/>
          <w:sz w:val="30"/>
          <w:szCs w:val="30"/>
        </w:rPr>
      </w:pPr>
    </w:p>
    <w:p w14:paraId="42B7CA86">
      <w:pPr>
        <w:widowControl/>
        <w:adjustRightInd/>
        <w:jc w:val="left"/>
        <w:rPr>
          <w:rFonts w:cs="仿宋_GB2312" w:asciiTheme="minorEastAsia" w:hAnsiTheme="minorEastAsia" w:eastAsiaTheme="minorEastAsia"/>
          <w:b/>
          <w:sz w:val="36"/>
          <w:szCs w:val="36"/>
        </w:rPr>
      </w:pPr>
      <w:bookmarkStart w:id="95" w:name="_Toc16387"/>
      <w:bookmarkStart w:id="96" w:name="_Toc27415"/>
      <w:r>
        <w:rPr>
          <w:rFonts w:cs="仿宋_GB2312" w:asciiTheme="minorEastAsia" w:hAnsiTheme="minorEastAsia" w:eastAsiaTheme="minorEastAsia"/>
          <w:b/>
          <w:sz w:val="36"/>
          <w:szCs w:val="36"/>
        </w:rPr>
        <w:br w:type="page"/>
      </w:r>
    </w:p>
    <w:p w14:paraId="1FE15CF6">
      <w:pPr>
        <w:pStyle w:val="394"/>
        <w:ind w:firstLine="0" w:firstLineChars="0"/>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bookmarkEnd w:id="95"/>
      <w:bookmarkEnd w:id="96"/>
    </w:p>
    <w:p w14:paraId="23B7FA86">
      <w:pPr>
        <w:pStyle w:val="633"/>
        <w:jc w:val="center"/>
        <w:rPr>
          <w:b/>
          <w:sz w:val="32"/>
          <w:szCs w:val="32"/>
        </w:rPr>
      </w:pPr>
      <w:r>
        <w:rPr>
          <w:rFonts w:hint="eastAsia"/>
          <w:b/>
          <w:sz w:val="32"/>
          <w:szCs w:val="32"/>
        </w:rPr>
        <w:t>（一）最后报价一览表</w:t>
      </w:r>
    </w:p>
    <w:p w14:paraId="6412A026">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3996B7DC">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sz w:val="24"/>
          <w:u w:val="single"/>
        </w:rPr>
        <w:t>（项目名称）【项目编号：（采购编号）】</w:t>
      </w:r>
      <w:r>
        <w:rPr>
          <w:rFonts w:hint="eastAsia" w:cs="仿宋_GB2312" w:asciiTheme="minorEastAsia" w:hAnsiTheme="minorEastAsia" w:eastAsiaTheme="minorEastAsia"/>
          <w:kern w:val="0"/>
          <w:sz w:val="24"/>
          <w:lang w:val="zh-CN"/>
        </w:rPr>
        <w:t>的实施。</w:t>
      </w:r>
    </w:p>
    <w:p w14:paraId="66183588">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报价一览表(单位为</w:t>
      </w:r>
      <w:r>
        <w:rPr>
          <w:rFonts w:hint="eastAsia" w:cs="仿宋_GB2312" w:asciiTheme="minorEastAsia" w:hAnsiTheme="minorEastAsia" w:eastAsiaTheme="minorEastAsia"/>
          <w:b/>
          <w:kern w:val="0"/>
          <w:sz w:val="24"/>
        </w:rPr>
        <w:t>元</w:t>
      </w:r>
      <w:r>
        <w:rPr>
          <w:rFonts w:hint="eastAsia" w:cs="仿宋_GB2312" w:asciiTheme="minorEastAsia" w:hAnsiTheme="minorEastAsia" w:eastAsiaTheme="minorEastAsia"/>
          <w:b/>
          <w:kern w:val="0"/>
          <w:sz w:val="24"/>
          <w:lang w:val="zh-CN"/>
        </w:rPr>
        <w:t>)</w:t>
      </w:r>
    </w:p>
    <w:tbl>
      <w:tblPr>
        <w:tblStyle w:val="61"/>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089"/>
        <w:gridCol w:w="1647"/>
        <w:gridCol w:w="1484"/>
        <w:gridCol w:w="2707"/>
        <w:gridCol w:w="1741"/>
      </w:tblGrid>
      <w:tr w14:paraId="6A71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56" w:type="pct"/>
            <w:vAlign w:val="center"/>
          </w:tcPr>
          <w:p w14:paraId="49CA8E9A">
            <w:pPr>
              <w:spacing w:line="360" w:lineRule="auto"/>
              <w:jc w:val="center"/>
              <w:rPr>
                <w:rFonts w:ascii="宋体" w:hAnsi="宋体" w:cs="宋体"/>
                <w:b/>
                <w:sz w:val="24"/>
              </w:rPr>
            </w:pPr>
            <w:r>
              <w:rPr>
                <w:rFonts w:hint="eastAsia" w:ascii="宋体" w:hAnsi="宋体" w:cs="宋体"/>
                <w:b/>
                <w:sz w:val="24"/>
              </w:rPr>
              <w:t>序号</w:t>
            </w:r>
          </w:p>
        </w:tc>
        <w:tc>
          <w:tcPr>
            <w:tcW w:w="1025" w:type="pct"/>
            <w:vAlign w:val="center"/>
          </w:tcPr>
          <w:p w14:paraId="7ACD8EDF">
            <w:pPr>
              <w:spacing w:line="360" w:lineRule="auto"/>
              <w:jc w:val="center"/>
              <w:rPr>
                <w:rFonts w:ascii="宋体" w:hAnsi="宋体" w:cs="宋体"/>
                <w:b/>
                <w:sz w:val="24"/>
              </w:rPr>
            </w:pPr>
            <w:r>
              <w:rPr>
                <w:rFonts w:hint="eastAsia" w:ascii="宋体" w:hAnsi="宋体"/>
                <w:b/>
                <w:sz w:val="24"/>
              </w:rPr>
              <w:t>标的的名称</w:t>
            </w:r>
          </w:p>
        </w:tc>
        <w:tc>
          <w:tcPr>
            <w:tcW w:w="808" w:type="pct"/>
            <w:vAlign w:val="center"/>
          </w:tcPr>
          <w:p w14:paraId="3AEEF48D">
            <w:pPr>
              <w:spacing w:line="360" w:lineRule="auto"/>
              <w:jc w:val="center"/>
              <w:rPr>
                <w:rFonts w:ascii="宋体" w:hAnsi="宋体" w:cs="宋体"/>
                <w:b/>
                <w:sz w:val="24"/>
              </w:rPr>
            </w:pPr>
            <w:r>
              <w:rPr>
                <w:rFonts w:hint="eastAsia" w:ascii="宋体" w:hAnsi="宋体" w:cs="宋体"/>
                <w:b/>
                <w:sz w:val="24"/>
              </w:rPr>
              <w:t>数量及单位</w:t>
            </w:r>
          </w:p>
        </w:tc>
        <w:tc>
          <w:tcPr>
            <w:tcW w:w="728" w:type="pct"/>
            <w:vAlign w:val="center"/>
          </w:tcPr>
          <w:p w14:paraId="7C28A2A8">
            <w:pPr>
              <w:spacing w:line="360" w:lineRule="auto"/>
              <w:jc w:val="center"/>
              <w:rPr>
                <w:rFonts w:ascii="宋体" w:hAnsi="宋体" w:cs="宋体"/>
                <w:b/>
                <w:sz w:val="24"/>
              </w:rPr>
            </w:pPr>
            <w:r>
              <w:rPr>
                <w:rFonts w:hint="eastAsia" w:ascii="宋体" w:hAnsi="宋体" w:cs="宋体"/>
                <w:b/>
                <w:sz w:val="24"/>
              </w:rPr>
              <w:t>服务期限</w:t>
            </w:r>
          </w:p>
        </w:tc>
        <w:tc>
          <w:tcPr>
            <w:tcW w:w="1328" w:type="pct"/>
            <w:vAlign w:val="center"/>
          </w:tcPr>
          <w:p w14:paraId="3DF4F447">
            <w:pPr>
              <w:spacing w:line="360" w:lineRule="auto"/>
              <w:jc w:val="center"/>
              <w:rPr>
                <w:rFonts w:ascii="宋体" w:hAnsi="宋体" w:cs="宋体"/>
                <w:b/>
                <w:sz w:val="24"/>
              </w:rPr>
            </w:pPr>
            <w:r>
              <w:rPr>
                <w:rFonts w:hint="eastAsia" w:ascii="宋体" w:hAnsi="宋体" w:cs="宋体"/>
                <w:b/>
                <w:sz w:val="24"/>
              </w:rPr>
              <w:t>竞标报价（元）</w:t>
            </w:r>
          </w:p>
        </w:tc>
        <w:tc>
          <w:tcPr>
            <w:tcW w:w="854" w:type="pct"/>
            <w:vAlign w:val="center"/>
          </w:tcPr>
          <w:p w14:paraId="794C1B56">
            <w:pPr>
              <w:spacing w:line="360" w:lineRule="auto"/>
              <w:jc w:val="center"/>
              <w:rPr>
                <w:rFonts w:ascii="宋体" w:hAnsi="宋体" w:cs="宋体"/>
                <w:b/>
                <w:sz w:val="24"/>
              </w:rPr>
            </w:pPr>
          </w:p>
          <w:p w14:paraId="77C1A062">
            <w:pPr>
              <w:spacing w:line="360" w:lineRule="auto"/>
              <w:jc w:val="center"/>
              <w:rPr>
                <w:rFonts w:ascii="宋体" w:hAnsi="宋体" w:cs="宋体"/>
                <w:b/>
                <w:sz w:val="24"/>
              </w:rPr>
            </w:pPr>
            <w:r>
              <w:rPr>
                <w:rFonts w:hint="eastAsia" w:ascii="宋体" w:hAnsi="宋体" w:cs="宋体"/>
                <w:b/>
                <w:sz w:val="24"/>
              </w:rPr>
              <w:t>备注</w:t>
            </w:r>
          </w:p>
          <w:p w14:paraId="5A32D067">
            <w:pPr>
              <w:spacing w:line="360" w:lineRule="auto"/>
              <w:jc w:val="center"/>
              <w:rPr>
                <w:rFonts w:ascii="宋体" w:hAnsi="宋体" w:cs="宋体"/>
                <w:b/>
                <w:sz w:val="24"/>
              </w:rPr>
            </w:pPr>
          </w:p>
        </w:tc>
      </w:tr>
      <w:tr w14:paraId="45EA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6" w:type="pct"/>
            <w:vAlign w:val="center"/>
          </w:tcPr>
          <w:p w14:paraId="2E0CFA9D">
            <w:pPr>
              <w:spacing w:line="360" w:lineRule="auto"/>
              <w:jc w:val="center"/>
              <w:rPr>
                <w:rFonts w:ascii="宋体" w:hAnsi="宋体" w:cs="宋体"/>
                <w:b/>
                <w:sz w:val="24"/>
              </w:rPr>
            </w:pPr>
            <w:r>
              <w:rPr>
                <w:rFonts w:hint="eastAsia" w:ascii="宋体" w:hAnsi="宋体" w:cs="宋体"/>
                <w:b/>
                <w:sz w:val="24"/>
              </w:rPr>
              <w:t>1</w:t>
            </w:r>
          </w:p>
        </w:tc>
        <w:tc>
          <w:tcPr>
            <w:tcW w:w="1025" w:type="pct"/>
            <w:vAlign w:val="center"/>
          </w:tcPr>
          <w:p w14:paraId="42F72623">
            <w:pPr>
              <w:spacing w:line="360" w:lineRule="auto"/>
              <w:jc w:val="center"/>
              <w:rPr>
                <w:rFonts w:ascii="宋体" w:hAnsi="宋体"/>
                <w:b/>
                <w:sz w:val="24"/>
              </w:rPr>
            </w:pPr>
          </w:p>
        </w:tc>
        <w:tc>
          <w:tcPr>
            <w:tcW w:w="808" w:type="pct"/>
            <w:vAlign w:val="center"/>
          </w:tcPr>
          <w:p w14:paraId="1E7EE309">
            <w:pPr>
              <w:spacing w:line="360" w:lineRule="auto"/>
              <w:jc w:val="center"/>
              <w:rPr>
                <w:rFonts w:ascii="宋体" w:hAnsi="宋体" w:cs="宋体"/>
                <w:b/>
                <w:sz w:val="24"/>
              </w:rPr>
            </w:pPr>
          </w:p>
        </w:tc>
        <w:tc>
          <w:tcPr>
            <w:tcW w:w="728" w:type="pct"/>
            <w:vAlign w:val="center"/>
          </w:tcPr>
          <w:p w14:paraId="04D88D57">
            <w:pPr>
              <w:spacing w:line="360" w:lineRule="auto"/>
              <w:jc w:val="center"/>
              <w:rPr>
                <w:rFonts w:ascii="宋体" w:hAnsi="宋体" w:cs="宋体"/>
                <w:b/>
                <w:sz w:val="24"/>
              </w:rPr>
            </w:pPr>
          </w:p>
        </w:tc>
        <w:tc>
          <w:tcPr>
            <w:tcW w:w="1328" w:type="pct"/>
            <w:vAlign w:val="center"/>
          </w:tcPr>
          <w:p w14:paraId="02B2F782">
            <w:pPr>
              <w:spacing w:line="360" w:lineRule="auto"/>
              <w:jc w:val="center"/>
              <w:rPr>
                <w:rFonts w:ascii="宋体" w:hAnsi="宋体" w:cs="宋体"/>
                <w:b/>
                <w:sz w:val="24"/>
              </w:rPr>
            </w:pPr>
          </w:p>
        </w:tc>
        <w:tc>
          <w:tcPr>
            <w:tcW w:w="854" w:type="pct"/>
            <w:vAlign w:val="center"/>
          </w:tcPr>
          <w:p w14:paraId="26CDF2D8">
            <w:pPr>
              <w:spacing w:line="360" w:lineRule="auto"/>
              <w:jc w:val="center"/>
              <w:rPr>
                <w:rFonts w:ascii="宋体" w:hAnsi="宋体" w:cs="宋体"/>
                <w:b/>
                <w:sz w:val="24"/>
              </w:rPr>
            </w:pPr>
          </w:p>
        </w:tc>
      </w:tr>
      <w:tr w14:paraId="7F0F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89" w:type="pct"/>
            <w:gridSpan w:val="3"/>
            <w:vAlign w:val="center"/>
          </w:tcPr>
          <w:p w14:paraId="41E57CDE">
            <w:pPr>
              <w:spacing w:line="360" w:lineRule="auto"/>
              <w:jc w:val="center"/>
              <w:rPr>
                <w:rFonts w:ascii="宋体" w:hAnsi="宋体" w:cs="宋体"/>
                <w:b/>
                <w:sz w:val="24"/>
              </w:rPr>
            </w:pPr>
            <w:r>
              <w:rPr>
                <w:rFonts w:hint="eastAsia" w:ascii="宋体" w:hAnsi="宋体" w:cs="宋体"/>
                <w:b/>
                <w:sz w:val="24"/>
              </w:rPr>
              <w:t>竞标报价（大写）</w:t>
            </w:r>
          </w:p>
        </w:tc>
        <w:tc>
          <w:tcPr>
            <w:tcW w:w="2910" w:type="pct"/>
            <w:gridSpan w:val="3"/>
          </w:tcPr>
          <w:p w14:paraId="1BF41D27">
            <w:pPr>
              <w:spacing w:line="360" w:lineRule="auto"/>
              <w:jc w:val="center"/>
              <w:rPr>
                <w:rFonts w:ascii="宋体" w:hAnsi="宋体" w:cs="宋体"/>
                <w:sz w:val="24"/>
              </w:rPr>
            </w:pPr>
          </w:p>
        </w:tc>
      </w:tr>
    </w:tbl>
    <w:p w14:paraId="0335917C">
      <w:pPr>
        <w:spacing w:line="360" w:lineRule="auto"/>
        <w:rPr>
          <w:rFonts w:cs="仿宋_GB2312" w:asciiTheme="minorEastAsia" w:hAnsiTheme="minorEastAsia" w:eastAsiaTheme="minorEastAsia"/>
          <w:sz w:val="24"/>
        </w:rPr>
      </w:pPr>
    </w:p>
    <w:p w14:paraId="391AF406">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5A1069F0">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42BD1246">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6A72EB75">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55BFD426">
      <w:pPr>
        <w:autoSpaceDE w:val="0"/>
        <w:autoSpaceDN w:val="0"/>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磋商供应商名称(公章)：</w:t>
      </w:r>
    </w:p>
    <w:p w14:paraId="3B3A9E2E">
      <w:pPr>
        <w:autoSpaceDE w:val="0"/>
        <w:autoSpaceDN w:val="0"/>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法定代表人（负责人）或委托代理人(签名)：</w:t>
      </w:r>
    </w:p>
    <w:p w14:paraId="52D32586">
      <w:pPr>
        <w:spacing w:line="360" w:lineRule="auto"/>
        <w:jc w:val="right"/>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09536538">
      <w:pPr>
        <w:spacing w:line="360" w:lineRule="auto"/>
        <w:ind w:right="-874" w:rightChars="-416"/>
        <w:jc w:val="right"/>
        <w:rPr>
          <w:rFonts w:cs="仿宋_GB2312" w:asciiTheme="minorEastAsia" w:hAnsiTheme="minorEastAsia" w:eastAsiaTheme="minorEastAsia"/>
          <w:kern w:val="0"/>
          <w:sz w:val="24"/>
          <w:lang w:val="zh-CN"/>
        </w:rPr>
        <w:sectPr>
          <w:headerReference r:id="rId9" w:type="first"/>
          <w:footerReference r:id="rId11" w:type="first"/>
          <w:footerReference r:id="rId10" w:type="default"/>
          <w:pgSz w:w="11906" w:h="16838"/>
          <w:pgMar w:top="1417" w:right="1080" w:bottom="1417" w:left="1080" w:header="680" w:footer="680" w:gutter="0"/>
          <w:cols w:space="0" w:num="1"/>
          <w:docGrid w:linePitch="312" w:charSpace="0"/>
        </w:sectPr>
      </w:pPr>
    </w:p>
    <w:p w14:paraId="5F5EB928">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97" w:name="_Toc465665161"/>
      <w:r>
        <w:rPr>
          <w:rFonts w:hint="eastAsia" w:asciiTheme="minorEastAsia" w:hAnsiTheme="minorEastAsia" w:eastAsiaTheme="minorEastAsia"/>
          <w:b/>
          <w:sz w:val="32"/>
          <w:szCs w:val="32"/>
        </w:rPr>
        <w:t>（如果有）</w:t>
      </w:r>
    </w:p>
    <w:p w14:paraId="4FF22CFD">
      <w:pPr>
        <w:widowControl/>
        <w:spacing w:line="360" w:lineRule="auto"/>
        <w:ind w:firstLine="120" w:firstLineChars="50"/>
        <w:jc w:val="left"/>
        <w:rPr>
          <w:rFonts w:cs="宋体" w:asciiTheme="minorEastAsia" w:hAnsiTheme="minorEastAsia" w:eastAsiaTheme="minorEastAsia"/>
          <w:b/>
          <w:sz w:val="24"/>
        </w:rPr>
      </w:pPr>
    </w:p>
    <w:p w14:paraId="18B4D09C">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4）。]</w:t>
      </w:r>
      <w:bookmarkEnd w:id="97"/>
    </w:p>
    <w:sectPr>
      <w:pgSz w:w="11906" w:h="16838"/>
      <w:pgMar w:top="1417" w:right="1080" w:bottom="1417" w:left="1080" w:header="680" w:footer="68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12B6D">
    <w:pPr>
      <w:pStyle w:val="3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D549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CFD549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D3FC">
    <w:pPr>
      <w:pStyle w:val="37"/>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posOffset>3062605</wp:posOffset>
              </wp:positionH>
              <wp:positionV relativeFrom="paragraph">
                <wp:posOffset>-75565</wp:posOffset>
              </wp:positionV>
              <wp:extent cx="149225" cy="2133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49225"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E4060">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5pt;margin-top:-5.95pt;height:16.8pt;width:11.75pt;mso-position-horizontal-relative:margin;z-index:251659264;mso-width-relative:page;mso-height-relative:page;" filled="f" stroked="f" coordsize="21600,21600" o:gfxdata="UEsDBAoAAAAAAIdO4kAAAAAAAAAAAAAAAAAEAAAAZHJzL1BLAwQUAAAACACHTuJA7HdPYdkAAAAK&#10;AQAADwAAAGRycy9kb3ducmV2LnhtbE2Py07DMBBF90j8gzVI7FrbgUIJcbrgseNZQIKdE5skwh5H&#10;tpOWv2dYwXI0R/eeW2323rHZxjQEVCCXApjFNpgBOwWvL7eLNbCUNRrtAloF3zbBpj48qHRpwg6f&#10;7bzNHaMQTKVW0Oc8lpyntrdep2UYLdLvM0SvM52x4ybqHYV7xwshzrjXA1JDr0d71dv2azt5Be49&#10;xbtG5I/5urvPT498eruRD0odH0lxCSzbff6D4Vef1KEmpyZMaBJzCk7XxQmhChZSXgAjYiVWNKZR&#10;UMhz4HXF/0+ofwBQSwMEFAAAAAgAh07iQGnDtxAxAgAAVwQAAA4AAABkcnMvZTJvRG9jLnhtbK1U&#10;zW4TMRC+I/EOlu9080MriLqpQqsipIpWCoiz4/V2V7I9xna6Wx4A3oATF+48V56Dz95sigqHHrg4&#10;s/P/fTOT07PeaHanfGjJlnx6NOFMWUlVa29L/vHD5YtXnIUobCU0WVXyexX42fL5s9POLdSMGtKV&#10;8gxJbFh0ruRNjG5RFEE2yohwRE5ZGGvyRkR8+tui8qJDdqOL2WRyUnTkK+dJqhCgvRiMfJ/RPyUh&#10;1XUr1QXJrVE2Dlm90iICUmhaF/gyd1vXSsbrug4qMl1yII35RRHIm/QWy1OxuPXCNa3ctyCe0sIj&#10;TEa0FkUPqS5EFGzr279SmVZ6ClTHI0mmGIBkRoBiOnnEzboRTmUsoDq4A+nh/6WV7+9uPGurks8w&#10;dysMJr77/m3349fu51cGHQjqXFjAb+3gGfs31GNtRn2AMuHua2/SLxAx2EHv/YFe1UcmU9DL17PZ&#10;MWcSptl0Pj/J9BcPwc6H+FaRYUkoucf0Mqni7ipENALX0SXVsnTZap0nqC3rSn4yP57kgIMFEdoi&#10;MEEYWk1S7Df9HteGqnvA8jRsRnDyskXxKxHijfBYBSDBscRrPLUmFKG9xFlD/su/9MkfE4KVsw6r&#10;VfLweSu84ky/s5hd2sNR8KOwGQW7NeeEbZ3iDJ3MIgJ81KNYezKfcEOrVAUmYSVqlTyO4nkcFhw3&#10;KNVqlZ2wbU7EK7t2MqUe6FttI9VtZjbRMnCxZwv7lgnf30Za6D+/s9fD/8H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x3T2HZAAAACgEAAA8AAAAAAAAAAQAgAAAAIgAAAGRycy9kb3ducmV2Lnht&#10;bFBLAQIUABQAAAAIAIdO4kBpw7cQMQIAAFcEAAAOAAAAAAAAAAEAIAAAACgBAABkcnMvZTJvRG9j&#10;LnhtbFBLBQYAAAAABgAGAFkBAADLBQAAAAA=&#10;">
              <v:fill on="f" focussize="0,0"/>
              <v:stroke on="f" weight="0.5pt"/>
              <v:imagedata o:title=""/>
              <o:lock v:ext="edit" aspectratio="f"/>
              <v:textbox inset="0mm,0mm,0mm,0mm">
                <w:txbxContent>
                  <w:p w14:paraId="60BE4060">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FA28">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2F9C2">
    <w:pPr>
      <w:pStyle w:val="37"/>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DBE42">
                          <w:pPr>
                            <w:pStyle w:val="3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A9DBE42">
                    <w:pPr>
                      <w:pStyle w:val="3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4A1">
    <w:pPr>
      <w:pStyle w:val="37"/>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5900" cy="16954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15900" cy="169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885D7">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35pt;width:17pt;mso-position-horizontal:center;mso-position-horizontal-relative:margin;z-index:251660288;mso-width-relative:page;mso-height-relative:page;" filled="f" stroked="f" coordsize="21600,21600" o:gfxdata="UEsDBAoAAAAAAIdO4kAAAAAAAAAAAAAAAAAEAAAAZHJzL1BLAwQUAAAACACHTuJAYgfF0NMAAAAD&#10;AQAADwAAAGRycy9kb3ducmV2LnhtbE2PS0/DMBCE70j8B2uRuFE7BRUU4vTA48ajFJDg5sRLEmGv&#10;I3uTln+P4QKXkUazmvm2Wu+9EzPGNATSUCwUCKQ22IE6DS/PtycXIBIbssYFQg1fmGBdHx5UprRh&#10;R084b7kTuYRSaTT0zGMpZWp79CYtwoiUs48QveFsYydtNLtc7p1cKrWS3gyUF3oz4lWP7ed28hrc&#10;W4p3jeL3+bq7582jnF5vigetj48KdQmCcc9/x/CDn9GhzkxNmMgm4TTkR/hXc3Z6ll2jYbk6B1lX&#10;8j97/Q1QSwMEFAAAAAgAh07iQNZhKZczAgAAVwQAAA4AAABkcnMvZTJvRG9jLnhtbK1UwW4TMRC9&#10;I/EPlu9kk0AiEmVThVZFSBWtVBBnx+vtrmR7jO1kN3wA/AEnLtz5rn4Hz7vZFBUOPXBxZmfGb/ze&#10;zGR11hrN9sqHmmzOJ6MxZ8pKKmp7l/OPHy5fvOYsRGELocmqnB9U4Gfr589WjVuqKVWkC+UZQGxY&#10;Ni7nVYxumWVBVsqIMCKnLIIleSMiPv1dVnjRAN3obDoez7OGfOE8SRUCvBd9kB8R/VMAqSxrqS5I&#10;7oyysUf1SosISqGqXeDr7rVlqWS8LsugItM5B9PYnSgCe5vObL0SyzsvXFXL4xPEU57wiJMRtUXR&#10;E9SFiILtfP0XlKmlp0BlHEkyWU+kUwQsJuNH2txWwqmOC6QO7iR6+H+w8v3+xrO6yPl0wZkVBh2/&#10;//7t/sev+59fGXwQqHFhibxbh8zYvqEWYzP4A5yJd1t6k37BiCEOeQ8neVUbmYRzOpktxohIhCbz&#10;xezVLKFkD5edD/GtIsOSkXOP7nWiiv1ViH3qkJJqWbqste46qC1rcj5/ORt3F04RgGuLGolC/9Rk&#10;xXbbHnltqTiAlqd+MoKTlzWKX4kQb4THKOC9WJZ4jaPUhCJ0tDiryH/5lz/lo0OIctZgtHIePu+E&#10;V5zpdxa9A2QcDD8Y28GwO3NOmNYJ1tDJzsQFH/Vglp7MJ+zQJlVBSFiJWjmPg3ke+wHHDkq12XRJ&#10;mDYn4pW9dTJB9/JtdpHKulM2ydJrcVQL89b15rgbaaD//O6yHv4P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gfF0NMAAAADAQAADwAAAAAAAAABACAAAAAiAAAAZHJzL2Rvd25yZXYueG1sUEsB&#10;AhQAFAAAAAgAh07iQNZhKZczAgAAVwQAAA4AAAAAAAAAAQAgAAAAIgEAAGRycy9lMm9Eb2MueG1s&#10;UEsFBgAAAAAGAAYAWQEAAMcFAAAAAA==&#10;">
              <v:fill on="f" focussize="0,0"/>
              <v:stroke on="f" weight="0.5pt"/>
              <v:imagedata o:title=""/>
              <o:lock v:ext="edit" aspectratio="f"/>
              <v:textbox inset="0mm,0mm,0mm,0mm">
                <w:txbxContent>
                  <w:p w14:paraId="037885D7">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1140">
    <w:pPr>
      <w:pStyle w:val="37"/>
      <w:rPr>
        <w:rFonts w:ascii="仿宋_GB2312" w:eastAsia="仿宋_GB2312"/>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E3591">
                          <w:pPr>
                            <w:pStyle w:val="3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A7E3591">
                    <w:pPr>
                      <w:pStyle w:val="3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953">
    <w:pPr>
      <w:jc w:val="right"/>
    </w:pPr>
    <w:r>
      <w:drawing>
        <wp:anchor distT="0" distB="0" distL="114300" distR="114300" simplePos="0" relativeHeight="251683840" behindDoc="0" locked="0" layoutInCell="1" allowOverlap="1">
          <wp:simplePos x="0" y="0"/>
          <wp:positionH relativeFrom="column">
            <wp:posOffset>6985</wp:posOffset>
          </wp:positionH>
          <wp:positionV relativeFrom="paragraph">
            <wp:posOffset>-116205</wp:posOffset>
          </wp:positionV>
          <wp:extent cx="2129790" cy="318770"/>
          <wp:effectExtent l="0" t="0" r="3810" b="5080"/>
          <wp:wrapNone/>
          <wp:docPr id="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ascii="宋体" w:hAnsi="宋体" w:cs="宋体"/>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24D7">
    <w:pPr>
      <w:pStyle w:val="38"/>
      <w:keepNext/>
      <w:keepLines/>
      <w:spacing w:line="312" w:lineRule="auto"/>
      <w:jc w:val="right"/>
      <w:rPr>
        <w:rFonts w:eastAsia="仿宋_GB2312"/>
        <w:sz w:val="21"/>
        <w:szCs w:val="21"/>
      </w:rPr>
    </w:pPr>
    <w:r>
      <w:drawing>
        <wp:anchor distT="0" distB="0" distL="114300" distR="114300" simplePos="0" relativeHeight="251684864" behindDoc="0" locked="0" layoutInCell="1" allowOverlap="1">
          <wp:simplePos x="0" y="0"/>
          <wp:positionH relativeFrom="column">
            <wp:posOffset>149225</wp:posOffset>
          </wp:positionH>
          <wp:positionV relativeFrom="paragraph">
            <wp:posOffset>-8255</wp:posOffset>
          </wp:positionV>
          <wp:extent cx="2129790" cy="318770"/>
          <wp:effectExtent l="0" t="0" r="3810" b="5080"/>
          <wp:wrapNone/>
          <wp:docPr id="1205177076"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7076" name="图片 1" descr="文本&#10;&#10;AI 生成的内容可能不正确。"/>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29790" cy="318770"/>
                  </a:xfrm>
                  <a:prstGeom prst="rect">
                    <a:avLst/>
                  </a:prstGeom>
                  <a:noFill/>
                  <a:ln>
                    <a:noFill/>
                  </a:ln>
                </pic:spPr>
              </pic:pic>
            </a:graphicData>
          </a:graphic>
        </wp:anchor>
      </w:drawing>
    </w:r>
    <w:r>
      <w:rPr>
        <w:rFonts w:hint="eastAsia" w:eastAsia="仿宋_GB2312"/>
        <w:b/>
        <w:bCs/>
        <w:iCs/>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A3E9">
    <w:pPr>
      <w:pStyle w:val="38"/>
      <w:ind w:left="432" w:hanging="432"/>
      <w:jc w:val="right"/>
      <w:rPr>
        <w:rFonts w:eastAsia="仿宋_GB2312"/>
        <w:sz w:val="21"/>
        <w:szCs w:val="21"/>
      </w:rPr>
    </w:pPr>
    <w:r>
      <w:rPr>
        <w:rFonts w:eastAsia="仿宋_GB2312"/>
        <w:b/>
        <w:bCs/>
        <w:kern w:val="44"/>
        <w:sz w:val="21"/>
        <w:szCs w:val="21"/>
      </w:rPr>
      <w:t>2</w:t>
    </w: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D9A85"/>
    <w:multiLevelType w:val="singleLevel"/>
    <w:tmpl w:val="AB8D9A85"/>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149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1C5827EF"/>
    <w:multiLevelType w:val="singleLevel"/>
    <w:tmpl w:val="1C5827EF"/>
    <w:lvl w:ilvl="0" w:tentative="0">
      <w:start w:val="2"/>
      <w:numFmt w:val="chineseCounting"/>
      <w:suff w:val="space"/>
      <w:lvlText w:val="第%1条"/>
      <w:lvlJc w:val="left"/>
      <w:rPr>
        <w:rFonts w:hint="eastAsia"/>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733F2E65"/>
    <w:multiLevelType w:val="singleLevel"/>
    <w:tmpl w:val="733F2E65"/>
    <w:lvl w:ilvl="0" w:tentative="0">
      <w:start w:val="1"/>
      <w:numFmt w:val="decimal"/>
      <w:suff w:val="nothing"/>
      <w:lvlText w:val="（%1）"/>
      <w:lvlJc w:val="left"/>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0"/>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E62"/>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6A5"/>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249B"/>
    <w:rsid w:val="000C33C8"/>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060B"/>
    <w:rsid w:val="00131C2D"/>
    <w:rsid w:val="001350F7"/>
    <w:rsid w:val="00135141"/>
    <w:rsid w:val="00135769"/>
    <w:rsid w:val="00135BE9"/>
    <w:rsid w:val="001374DC"/>
    <w:rsid w:val="0013773D"/>
    <w:rsid w:val="00140D7A"/>
    <w:rsid w:val="00142BAD"/>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71A"/>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49C6"/>
    <w:rsid w:val="00205298"/>
    <w:rsid w:val="002054F4"/>
    <w:rsid w:val="00210221"/>
    <w:rsid w:val="00210B9C"/>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25DA0"/>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0B2"/>
    <w:rsid w:val="002A4EB3"/>
    <w:rsid w:val="002A51D9"/>
    <w:rsid w:val="002A5275"/>
    <w:rsid w:val="002B2906"/>
    <w:rsid w:val="002B35C5"/>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5761"/>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4975"/>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323"/>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210C0"/>
    <w:rsid w:val="004211DD"/>
    <w:rsid w:val="00421442"/>
    <w:rsid w:val="00421762"/>
    <w:rsid w:val="00421D4B"/>
    <w:rsid w:val="00421ED8"/>
    <w:rsid w:val="004233AD"/>
    <w:rsid w:val="00424CEB"/>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5AC"/>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688F"/>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2E6F"/>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14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412A"/>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307"/>
    <w:rsid w:val="00833583"/>
    <w:rsid w:val="00833B5B"/>
    <w:rsid w:val="00833E9A"/>
    <w:rsid w:val="00834FEF"/>
    <w:rsid w:val="00836323"/>
    <w:rsid w:val="00836492"/>
    <w:rsid w:val="008366FE"/>
    <w:rsid w:val="00836932"/>
    <w:rsid w:val="008404AA"/>
    <w:rsid w:val="00841F29"/>
    <w:rsid w:val="00841FDB"/>
    <w:rsid w:val="00842A0D"/>
    <w:rsid w:val="008460D2"/>
    <w:rsid w:val="00850013"/>
    <w:rsid w:val="008500DD"/>
    <w:rsid w:val="00852426"/>
    <w:rsid w:val="00852FA5"/>
    <w:rsid w:val="0085476F"/>
    <w:rsid w:val="0085562D"/>
    <w:rsid w:val="00856154"/>
    <w:rsid w:val="00856286"/>
    <w:rsid w:val="00857337"/>
    <w:rsid w:val="008576B0"/>
    <w:rsid w:val="008604FF"/>
    <w:rsid w:val="00861948"/>
    <w:rsid w:val="00862011"/>
    <w:rsid w:val="0086213D"/>
    <w:rsid w:val="0086290B"/>
    <w:rsid w:val="00862A15"/>
    <w:rsid w:val="00862D8E"/>
    <w:rsid w:val="00862EF2"/>
    <w:rsid w:val="00866453"/>
    <w:rsid w:val="0086707F"/>
    <w:rsid w:val="00867501"/>
    <w:rsid w:val="0087099A"/>
    <w:rsid w:val="00871333"/>
    <w:rsid w:val="00871A82"/>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0115"/>
    <w:rsid w:val="008A2F5A"/>
    <w:rsid w:val="008A47CE"/>
    <w:rsid w:val="008A527A"/>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4D1C"/>
    <w:rsid w:val="00915679"/>
    <w:rsid w:val="009159C2"/>
    <w:rsid w:val="009175AF"/>
    <w:rsid w:val="00920A06"/>
    <w:rsid w:val="009221CB"/>
    <w:rsid w:val="00922320"/>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5D02"/>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63"/>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3569"/>
    <w:rsid w:val="00A54DC0"/>
    <w:rsid w:val="00A550C9"/>
    <w:rsid w:val="00A55228"/>
    <w:rsid w:val="00A5589F"/>
    <w:rsid w:val="00A55D4E"/>
    <w:rsid w:val="00A564DE"/>
    <w:rsid w:val="00A61B91"/>
    <w:rsid w:val="00A6219A"/>
    <w:rsid w:val="00A63335"/>
    <w:rsid w:val="00A63685"/>
    <w:rsid w:val="00A63DDD"/>
    <w:rsid w:val="00A66473"/>
    <w:rsid w:val="00A66E28"/>
    <w:rsid w:val="00A70590"/>
    <w:rsid w:val="00A71542"/>
    <w:rsid w:val="00A71FA0"/>
    <w:rsid w:val="00A72C1A"/>
    <w:rsid w:val="00A74021"/>
    <w:rsid w:val="00A7463E"/>
    <w:rsid w:val="00A74FD4"/>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6D54"/>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577D"/>
    <w:rsid w:val="00B5604D"/>
    <w:rsid w:val="00B5634D"/>
    <w:rsid w:val="00B56ECA"/>
    <w:rsid w:val="00B57093"/>
    <w:rsid w:val="00B572BC"/>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5250"/>
    <w:rsid w:val="00BE73C3"/>
    <w:rsid w:val="00BE7B29"/>
    <w:rsid w:val="00BF03C0"/>
    <w:rsid w:val="00BF21D4"/>
    <w:rsid w:val="00BF2E46"/>
    <w:rsid w:val="00BF4A15"/>
    <w:rsid w:val="00BF4AA1"/>
    <w:rsid w:val="00BF4E27"/>
    <w:rsid w:val="00BF6D77"/>
    <w:rsid w:val="00C007C6"/>
    <w:rsid w:val="00C01444"/>
    <w:rsid w:val="00C01EF2"/>
    <w:rsid w:val="00C0378E"/>
    <w:rsid w:val="00C04258"/>
    <w:rsid w:val="00C05AFD"/>
    <w:rsid w:val="00C0724C"/>
    <w:rsid w:val="00C07AEF"/>
    <w:rsid w:val="00C07C11"/>
    <w:rsid w:val="00C07CC1"/>
    <w:rsid w:val="00C10015"/>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7F4"/>
    <w:rsid w:val="00C368F9"/>
    <w:rsid w:val="00C405C8"/>
    <w:rsid w:val="00C409BC"/>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46"/>
    <w:rsid w:val="00C766F7"/>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52A4"/>
    <w:rsid w:val="00CB537C"/>
    <w:rsid w:val="00CB5778"/>
    <w:rsid w:val="00CB584C"/>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55A8"/>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3954"/>
    <w:rsid w:val="00E34938"/>
    <w:rsid w:val="00E34B8C"/>
    <w:rsid w:val="00E3533E"/>
    <w:rsid w:val="00E35A45"/>
    <w:rsid w:val="00E37C85"/>
    <w:rsid w:val="00E43006"/>
    <w:rsid w:val="00E43551"/>
    <w:rsid w:val="00E50809"/>
    <w:rsid w:val="00E50F0A"/>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3F8"/>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4FC"/>
    <w:rsid w:val="00FB5A71"/>
    <w:rsid w:val="00FB6DF2"/>
    <w:rsid w:val="00FB7823"/>
    <w:rsid w:val="00FB786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22E7B7C"/>
    <w:rsid w:val="02DA0C0E"/>
    <w:rsid w:val="03DD35E4"/>
    <w:rsid w:val="04570BA7"/>
    <w:rsid w:val="057E3F48"/>
    <w:rsid w:val="05CD3F9A"/>
    <w:rsid w:val="05FD647A"/>
    <w:rsid w:val="065A6178"/>
    <w:rsid w:val="06CD365E"/>
    <w:rsid w:val="075562B7"/>
    <w:rsid w:val="07F6164B"/>
    <w:rsid w:val="087A1B7A"/>
    <w:rsid w:val="096B2097"/>
    <w:rsid w:val="09A6282E"/>
    <w:rsid w:val="0A132C02"/>
    <w:rsid w:val="0A5B7E63"/>
    <w:rsid w:val="0AB30C08"/>
    <w:rsid w:val="0BEB4421"/>
    <w:rsid w:val="0C3721AC"/>
    <w:rsid w:val="0C3A469F"/>
    <w:rsid w:val="0C87121B"/>
    <w:rsid w:val="0D54280D"/>
    <w:rsid w:val="0D7E2680"/>
    <w:rsid w:val="0DB02216"/>
    <w:rsid w:val="0DB65200"/>
    <w:rsid w:val="0DF702FE"/>
    <w:rsid w:val="0E3F698B"/>
    <w:rsid w:val="0F21508F"/>
    <w:rsid w:val="0F7716FF"/>
    <w:rsid w:val="0F816ACD"/>
    <w:rsid w:val="0FB94501"/>
    <w:rsid w:val="10B047CF"/>
    <w:rsid w:val="10FC16EA"/>
    <w:rsid w:val="118963A1"/>
    <w:rsid w:val="125817BD"/>
    <w:rsid w:val="127723A9"/>
    <w:rsid w:val="13072A44"/>
    <w:rsid w:val="145044FA"/>
    <w:rsid w:val="14A95C11"/>
    <w:rsid w:val="155F0F98"/>
    <w:rsid w:val="186742B0"/>
    <w:rsid w:val="18814EDA"/>
    <w:rsid w:val="191F7AE4"/>
    <w:rsid w:val="1973551C"/>
    <w:rsid w:val="197C185C"/>
    <w:rsid w:val="19D55B75"/>
    <w:rsid w:val="19D65E99"/>
    <w:rsid w:val="1B2A271F"/>
    <w:rsid w:val="1B612DA1"/>
    <w:rsid w:val="1B890139"/>
    <w:rsid w:val="1BEA7158"/>
    <w:rsid w:val="1BF76BCD"/>
    <w:rsid w:val="1CC14B92"/>
    <w:rsid w:val="1D266CE1"/>
    <w:rsid w:val="1D3963AF"/>
    <w:rsid w:val="1DAF6046"/>
    <w:rsid w:val="1E714A66"/>
    <w:rsid w:val="1F0B5DE1"/>
    <w:rsid w:val="1FE868A9"/>
    <w:rsid w:val="211E26D6"/>
    <w:rsid w:val="21283D08"/>
    <w:rsid w:val="21C0488D"/>
    <w:rsid w:val="222F59A7"/>
    <w:rsid w:val="238E04B2"/>
    <w:rsid w:val="23B82636"/>
    <w:rsid w:val="242A6840"/>
    <w:rsid w:val="249009B5"/>
    <w:rsid w:val="25B440B3"/>
    <w:rsid w:val="25C12DBA"/>
    <w:rsid w:val="260A69DE"/>
    <w:rsid w:val="26944333"/>
    <w:rsid w:val="26AB5818"/>
    <w:rsid w:val="27B23302"/>
    <w:rsid w:val="28577A06"/>
    <w:rsid w:val="286924C2"/>
    <w:rsid w:val="29263821"/>
    <w:rsid w:val="29827170"/>
    <w:rsid w:val="2A4A5648"/>
    <w:rsid w:val="2A790107"/>
    <w:rsid w:val="2A98023E"/>
    <w:rsid w:val="2AA1365A"/>
    <w:rsid w:val="2B0571B9"/>
    <w:rsid w:val="2B667F60"/>
    <w:rsid w:val="2DAF6D80"/>
    <w:rsid w:val="2DD15014"/>
    <w:rsid w:val="2E506A27"/>
    <w:rsid w:val="2E716342"/>
    <w:rsid w:val="2FD25781"/>
    <w:rsid w:val="30710CE9"/>
    <w:rsid w:val="30DB26D0"/>
    <w:rsid w:val="31007853"/>
    <w:rsid w:val="31575277"/>
    <w:rsid w:val="319C6071"/>
    <w:rsid w:val="31A57CD4"/>
    <w:rsid w:val="32D127B7"/>
    <w:rsid w:val="32DB72BE"/>
    <w:rsid w:val="342E63AB"/>
    <w:rsid w:val="345D260B"/>
    <w:rsid w:val="34E03A85"/>
    <w:rsid w:val="365302AE"/>
    <w:rsid w:val="36F13780"/>
    <w:rsid w:val="375E76E7"/>
    <w:rsid w:val="37F142D2"/>
    <w:rsid w:val="391B1A33"/>
    <w:rsid w:val="39331DC9"/>
    <w:rsid w:val="399771F2"/>
    <w:rsid w:val="39A13F14"/>
    <w:rsid w:val="3C5F759A"/>
    <w:rsid w:val="3D1912D6"/>
    <w:rsid w:val="3D5C78D4"/>
    <w:rsid w:val="3FFF72A6"/>
    <w:rsid w:val="40E64AAC"/>
    <w:rsid w:val="41114BBA"/>
    <w:rsid w:val="425E4164"/>
    <w:rsid w:val="42E1381E"/>
    <w:rsid w:val="42EB28C0"/>
    <w:rsid w:val="43FB717C"/>
    <w:rsid w:val="44F15F74"/>
    <w:rsid w:val="451E447A"/>
    <w:rsid w:val="45345B76"/>
    <w:rsid w:val="453F3847"/>
    <w:rsid w:val="459C1E2C"/>
    <w:rsid w:val="46EA0BB2"/>
    <w:rsid w:val="47307808"/>
    <w:rsid w:val="486F747C"/>
    <w:rsid w:val="48E6732C"/>
    <w:rsid w:val="49167B14"/>
    <w:rsid w:val="4A4F27DB"/>
    <w:rsid w:val="4A7827CC"/>
    <w:rsid w:val="4AF33166"/>
    <w:rsid w:val="4B812641"/>
    <w:rsid w:val="4C182418"/>
    <w:rsid w:val="4CCA35F8"/>
    <w:rsid w:val="4CEE0089"/>
    <w:rsid w:val="4CEE1E37"/>
    <w:rsid w:val="4D861CF6"/>
    <w:rsid w:val="4D9724CF"/>
    <w:rsid w:val="4DA4699A"/>
    <w:rsid w:val="4DD8682B"/>
    <w:rsid w:val="4E1B63C8"/>
    <w:rsid w:val="4F60380D"/>
    <w:rsid w:val="51A0432A"/>
    <w:rsid w:val="527140E5"/>
    <w:rsid w:val="5292508F"/>
    <w:rsid w:val="52A96B6F"/>
    <w:rsid w:val="52D7245D"/>
    <w:rsid w:val="5358625C"/>
    <w:rsid w:val="53B62649"/>
    <w:rsid w:val="550764A4"/>
    <w:rsid w:val="551926E0"/>
    <w:rsid w:val="55DF50F0"/>
    <w:rsid w:val="55FB4410"/>
    <w:rsid w:val="561279B9"/>
    <w:rsid w:val="562B3426"/>
    <w:rsid w:val="56515F3B"/>
    <w:rsid w:val="572B71CA"/>
    <w:rsid w:val="57743881"/>
    <w:rsid w:val="57E958DA"/>
    <w:rsid w:val="58AE4F0C"/>
    <w:rsid w:val="58E10AA2"/>
    <w:rsid w:val="58FB726D"/>
    <w:rsid w:val="595C72DF"/>
    <w:rsid w:val="5A2A7C7B"/>
    <w:rsid w:val="5A6E7B64"/>
    <w:rsid w:val="5AB23368"/>
    <w:rsid w:val="5B767B82"/>
    <w:rsid w:val="5BFF1759"/>
    <w:rsid w:val="5C80234E"/>
    <w:rsid w:val="5D1779E6"/>
    <w:rsid w:val="5E261785"/>
    <w:rsid w:val="5E4510EC"/>
    <w:rsid w:val="5F233F13"/>
    <w:rsid w:val="5FCC5339"/>
    <w:rsid w:val="5FE70807"/>
    <w:rsid w:val="600E29E0"/>
    <w:rsid w:val="60C4079C"/>
    <w:rsid w:val="60E53485"/>
    <w:rsid w:val="61054A27"/>
    <w:rsid w:val="611D2366"/>
    <w:rsid w:val="614F2AE1"/>
    <w:rsid w:val="625A1499"/>
    <w:rsid w:val="62885958"/>
    <w:rsid w:val="637E30B9"/>
    <w:rsid w:val="641A130C"/>
    <w:rsid w:val="64276A46"/>
    <w:rsid w:val="64CE2EAA"/>
    <w:rsid w:val="64E66EED"/>
    <w:rsid w:val="654D3952"/>
    <w:rsid w:val="65C21F78"/>
    <w:rsid w:val="662E75B1"/>
    <w:rsid w:val="66342C2E"/>
    <w:rsid w:val="663E784C"/>
    <w:rsid w:val="66467786"/>
    <w:rsid w:val="679E44AE"/>
    <w:rsid w:val="685867EC"/>
    <w:rsid w:val="6A193953"/>
    <w:rsid w:val="6C207A23"/>
    <w:rsid w:val="6C9C297D"/>
    <w:rsid w:val="6CA420BB"/>
    <w:rsid w:val="6CD96208"/>
    <w:rsid w:val="6E8E12EF"/>
    <w:rsid w:val="6EF80C3E"/>
    <w:rsid w:val="70457711"/>
    <w:rsid w:val="71C10E85"/>
    <w:rsid w:val="71D43752"/>
    <w:rsid w:val="730A4A5A"/>
    <w:rsid w:val="735C339C"/>
    <w:rsid w:val="73DD6243"/>
    <w:rsid w:val="749C4185"/>
    <w:rsid w:val="74A86F61"/>
    <w:rsid w:val="75171123"/>
    <w:rsid w:val="75DA2C18"/>
    <w:rsid w:val="75FF1351"/>
    <w:rsid w:val="76201B4E"/>
    <w:rsid w:val="775319EF"/>
    <w:rsid w:val="781149A0"/>
    <w:rsid w:val="78430C15"/>
    <w:rsid w:val="790F1C77"/>
    <w:rsid w:val="79470F42"/>
    <w:rsid w:val="7A557071"/>
    <w:rsid w:val="7A67303B"/>
    <w:rsid w:val="7AAB1D04"/>
    <w:rsid w:val="7ABA4368"/>
    <w:rsid w:val="7B257FFD"/>
    <w:rsid w:val="7C2B1DA5"/>
    <w:rsid w:val="7D8B163C"/>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tabs>
        <w:tab w:val="left" w:pos="900"/>
      </w:tabs>
      <w:spacing w:before="340" w:after="330" w:line="578" w:lineRule="auto"/>
      <w:outlineLvl w:val="0"/>
    </w:pPr>
    <w:rPr>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9"/>
    <w:qFormat/>
    <w:uiPriority w:val="0"/>
    <w:rPr>
      <w:rFonts w:ascii="宋体" w:hAnsi="宋体"/>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39"/>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List 4"/>
    <w:basedOn w:val="1"/>
    <w:unhideWhenUsed/>
    <w:qFormat/>
    <w:uiPriority w:val="0"/>
    <w:pPr>
      <w:ind w:left="100" w:leftChars="600" w:hanging="200" w:hangingChars="200"/>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5"/>
    <w:qFormat/>
    <w:uiPriority w:val="0"/>
    <w:pPr>
      <w:ind w:firstLine="420"/>
    </w:pPr>
    <w:rPr>
      <w:szCs w:val="20"/>
    </w:rPr>
  </w:style>
  <w:style w:type="paragraph" w:styleId="60">
    <w:name w:val="Body Text First Indent 2"/>
    <w:basedOn w:val="23"/>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styleId="72">
    <w:name w:val="HTML Sample"/>
    <w:basedOn w:val="63"/>
    <w:qFormat/>
    <w:uiPriority w:val="0"/>
    <w:rPr>
      <w:rFonts w:ascii="Courier New" w:hAnsi="Courier New"/>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字符"/>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8"/>
    <w:qFormat/>
    <w:uiPriority w:val="0"/>
    <w:rPr>
      <w:b/>
      <w:bCs/>
      <w:kern w:val="2"/>
      <w:sz w:val="24"/>
      <w:szCs w:val="24"/>
    </w:rPr>
  </w:style>
  <w:style w:type="character" w:customStyle="1" w:styleId="482">
    <w:name w:val="称呼 字符"/>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4"/>
    <w:qFormat/>
    <w:uiPriority w:val="0"/>
    <w:rPr>
      <w:rFonts w:ascii="Arial" w:hAnsi="Arial" w:eastAsia="隶书"/>
      <w:b/>
      <w:bCs/>
      <w:kern w:val="28"/>
      <w:sz w:val="44"/>
      <w:szCs w:val="32"/>
      <w:lang w:val="en-US" w:eastAsia="zh-CN" w:bidi="ar-SA"/>
    </w:rPr>
  </w:style>
  <w:style w:type="character" w:customStyle="1" w:styleId="489">
    <w:name w:val="纯文本 字符"/>
    <w:link w:val="31"/>
    <w:qFormat/>
    <w:uiPriority w:val="0"/>
    <w:rPr>
      <w:rFonts w:ascii="宋体" w:hAnsi="宋体"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0"/>
    <w:qFormat/>
    <w:uiPriority w:val="0"/>
    <w:rPr>
      <w:rFonts w:ascii="宋体" w:hAnsi="宋体"/>
      <w:kern w:val="2"/>
      <w:sz w:val="21"/>
      <w:szCs w:val="24"/>
    </w:rPr>
  </w:style>
  <w:style w:type="character" w:customStyle="1" w:styleId="503">
    <w:name w:val="正文文本缩进 2 字符"/>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4"/>
    <w:qFormat/>
    <w:uiPriority w:val="0"/>
    <w:rPr>
      <w:rFonts w:ascii="宋体"/>
      <w:kern w:val="2"/>
      <w:sz w:val="24"/>
      <w:szCs w:val="21"/>
      <w:lang w:val="zh-CN"/>
    </w:rPr>
  </w:style>
  <w:style w:type="character" w:customStyle="1" w:styleId="599">
    <w:name w:val="标题 4 字符"/>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7"/>
    <w:qFormat/>
    <w:uiPriority w:val="0"/>
    <w:rPr>
      <w:rFonts w:ascii="Arial" w:hAnsi="Arial" w:eastAsia="黑体"/>
      <w:b/>
      <w:bCs/>
      <w:kern w:val="2"/>
      <w:sz w:val="24"/>
      <w:szCs w:val="24"/>
    </w:rPr>
  </w:style>
  <w:style w:type="character" w:customStyle="1" w:styleId="613">
    <w:name w:val="正文缩进 字符"/>
    <w:link w:val="15"/>
    <w:qFormat/>
    <w:uiPriority w:val="0"/>
    <w:rPr>
      <w:rFonts w:ascii="宋体" w:eastAsia="宋体"/>
      <w:snapToGrid w:val="0"/>
      <w:color w:val="000000"/>
      <w:kern w:val="28"/>
      <w:sz w:val="28"/>
      <w:lang w:val="en-US" w:eastAsia="zh-CN" w:bidi="ar-SA"/>
    </w:rPr>
  </w:style>
  <w:style w:type="character" w:customStyle="1" w:styleId="614">
    <w:name w:val="批注文字 字符"/>
    <w:link w:val="19"/>
    <w:qFormat/>
    <w:uiPriority w:val="99"/>
    <w:rPr>
      <w:kern w:val="2"/>
      <w:sz w:val="21"/>
      <w:szCs w:val="24"/>
    </w:rPr>
  </w:style>
  <w:style w:type="character" w:customStyle="1" w:styleId="615">
    <w:name w:val="批注框文本 字符"/>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7">
    <w:name w:val="_Style 6"/>
    <w:basedOn w:val="1"/>
    <w:qFormat/>
    <w:uiPriority w:val="34"/>
    <w:pPr>
      <w:adjustRightInd/>
      <w:ind w:firstLine="420" w:firstLineChars="200"/>
    </w:pPr>
    <w:rPr>
      <w:rFonts w:eastAsia="仿宋_GB2312"/>
      <w:sz w:val="28"/>
    </w:rPr>
  </w:style>
  <w:style w:type="table" w:customStyle="1" w:styleId="638">
    <w:name w:val="Table Normal"/>
    <w:unhideWhenUsed/>
    <w:qFormat/>
    <w:uiPriority w:val="0"/>
    <w:tblPr>
      <w:tblCellMar>
        <w:top w:w="0" w:type="dxa"/>
        <w:left w:w="0" w:type="dxa"/>
        <w:bottom w:w="0" w:type="dxa"/>
        <w:right w:w="0" w:type="dxa"/>
      </w:tblCellMar>
    </w:tblPr>
  </w:style>
  <w:style w:type="paragraph" w:customStyle="1" w:styleId="639">
    <w:name w:val="kj正文"/>
    <w:basedOn w:val="1"/>
    <w:qFormat/>
    <w:uiPriority w:val="99"/>
    <w:pPr>
      <w:ind w:firstLine="200" w:firstLineChars="200"/>
    </w:pPr>
  </w:style>
  <w:style w:type="paragraph" w:customStyle="1" w:styleId="640">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41">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642">
    <w:name w:val="1"/>
    <w:basedOn w:val="1"/>
    <w:next w:val="31"/>
    <w:qFormat/>
    <w:uiPriority w:val="0"/>
    <w:rPr>
      <w:rFonts w:ascii="宋体" w:hAnsi="Courier New"/>
      <w:szCs w:val="20"/>
    </w:rPr>
  </w:style>
  <w:style w:type="paragraph" w:customStyle="1" w:styleId="64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10597</Words>
  <Characters>11757</Characters>
  <Lines>354</Lines>
  <Paragraphs>99</Paragraphs>
  <TotalTime>16</TotalTime>
  <ScaleCrop>false</ScaleCrop>
  <LinksUpToDate>false</LinksUpToDate>
  <CharactersWithSpaces>12019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娟娟猪秋宜</cp:lastModifiedBy>
  <cp:lastPrinted>2025-08-13T03:37:00Z</cp:lastPrinted>
  <dcterms:modified xsi:type="dcterms:W3CDTF">2025-09-03T03:52:14Z</dcterms:modified>
  <dc:title>北海市政府采购中心</dc:title>
  <cp:revision>772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000B2C00535B4AC6811254CE3A19AD41_13</vt:lpwstr>
  </property>
  <property fmtid="{D5CDD505-2E9C-101B-9397-08002B2CF9AE}" pid="4" name="KSOTemplateDocerSaveRecord">
    <vt:lpwstr>eyJoZGlkIjoiYTZmMDhmMjk4NmY1YzU2MzNlMWJlZDEyNGU2NTM0NGMiLCJ1c2VySWQiOiI0NDk0MzA4ODIifQ==</vt:lpwstr>
  </property>
</Properties>
</file>