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96180">
      <w:pPr>
        <w:spacing w:before="116" w:line="223" w:lineRule="auto"/>
        <w:jc w:val="center"/>
        <w:rPr>
          <w:rFonts w:hint="eastAsia" w:cs="宋体" w:asciiTheme="minorEastAsia" w:hAnsiTheme="minorEastAsia" w:eastAsiaTheme="minorEastAsia"/>
          <w:b/>
          <w:bCs/>
          <w:color w:val="auto"/>
          <w:spacing w:val="4"/>
          <w:sz w:val="72"/>
          <w:szCs w:val="72"/>
          <w:highlight w:val="none"/>
          <w:lang w:eastAsia="zh-CN"/>
        </w:rPr>
      </w:pPr>
      <w:r>
        <w:rPr>
          <w:rFonts w:hint="eastAsia" w:cs="宋体" w:asciiTheme="minorEastAsia" w:hAnsiTheme="minorEastAsia" w:eastAsiaTheme="minorEastAsia"/>
          <w:b/>
          <w:bCs/>
          <w:color w:val="auto"/>
          <w:spacing w:val="4"/>
          <w:sz w:val="72"/>
          <w:szCs w:val="72"/>
          <w:highlight w:val="none"/>
          <w:lang w:eastAsia="zh-CN"/>
        </w:rPr>
        <w:t>2025年合浦县常乐镇车板江低坡村委东头岭段护岸加固工程</w:t>
      </w:r>
    </w:p>
    <w:p w14:paraId="1F97559B">
      <w:pPr>
        <w:spacing w:before="116" w:line="223" w:lineRule="auto"/>
        <w:jc w:val="both"/>
        <w:rPr>
          <w:rFonts w:hint="eastAsia" w:cs="宋体" w:asciiTheme="minorEastAsia" w:hAnsiTheme="minorEastAsia" w:eastAsiaTheme="minorEastAsia"/>
          <w:b/>
          <w:bCs/>
          <w:color w:val="auto"/>
          <w:spacing w:val="4"/>
          <w:sz w:val="52"/>
          <w:szCs w:val="52"/>
          <w:highlight w:val="none"/>
          <w:lang w:eastAsia="zh-CN"/>
        </w:rPr>
      </w:pPr>
    </w:p>
    <w:p w14:paraId="5EE96181">
      <w:pPr>
        <w:spacing w:before="116" w:line="223" w:lineRule="auto"/>
        <w:jc w:val="center"/>
        <w:rPr>
          <w:rFonts w:cs="宋体" w:asciiTheme="minorEastAsia" w:hAnsiTheme="minorEastAsia" w:eastAsiaTheme="minorEastAsia"/>
          <w:color w:val="auto"/>
          <w:sz w:val="71"/>
          <w:szCs w:val="71"/>
          <w:highlight w:val="none"/>
          <w:lang w:eastAsia="zh-CN"/>
        </w:rPr>
      </w:pPr>
      <w:r>
        <w:rPr>
          <w:rFonts w:cs="宋体" w:asciiTheme="minorEastAsia" w:hAnsiTheme="minorEastAsia" w:eastAsiaTheme="minorEastAsia"/>
          <w:b/>
          <w:bCs/>
          <w:color w:val="auto"/>
          <w:spacing w:val="-25"/>
          <w:sz w:val="71"/>
          <w:szCs w:val="71"/>
          <w:highlight w:val="none"/>
          <w:lang w:eastAsia="zh-CN"/>
        </w:rPr>
        <w:t>竞争性</w:t>
      </w:r>
      <w:r>
        <w:rPr>
          <w:rFonts w:hint="eastAsia" w:cs="宋体" w:asciiTheme="minorEastAsia" w:hAnsiTheme="minorEastAsia" w:eastAsiaTheme="minorEastAsia"/>
          <w:b/>
          <w:bCs/>
          <w:color w:val="auto"/>
          <w:spacing w:val="-25"/>
          <w:sz w:val="71"/>
          <w:szCs w:val="71"/>
          <w:highlight w:val="none"/>
          <w:lang w:val="en-US" w:eastAsia="zh-CN"/>
        </w:rPr>
        <w:t>磋商</w:t>
      </w:r>
      <w:r>
        <w:rPr>
          <w:rFonts w:cs="宋体" w:asciiTheme="minorEastAsia" w:hAnsiTheme="minorEastAsia" w:eastAsiaTheme="minorEastAsia"/>
          <w:b/>
          <w:bCs/>
          <w:color w:val="auto"/>
          <w:spacing w:val="-25"/>
          <w:sz w:val="71"/>
          <w:szCs w:val="71"/>
          <w:highlight w:val="none"/>
          <w:lang w:eastAsia="zh-CN"/>
        </w:rPr>
        <w:t>文件</w:t>
      </w:r>
    </w:p>
    <w:p w14:paraId="5EE96182">
      <w:pPr>
        <w:spacing w:before="63" w:line="225" w:lineRule="auto"/>
        <w:ind w:left="3529"/>
        <w:rPr>
          <w:rFonts w:cs="宋体" w:asciiTheme="minorEastAsia" w:hAnsiTheme="minorEastAsia" w:eastAsiaTheme="minorEastAsia"/>
          <w:color w:val="auto"/>
          <w:sz w:val="43"/>
          <w:szCs w:val="43"/>
          <w:highlight w:val="none"/>
          <w:lang w:eastAsia="zh-CN"/>
        </w:rPr>
      </w:pPr>
      <w:r>
        <w:rPr>
          <w:rFonts w:cs="宋体" w:asciiTheme="minorEastAsia" w:hAnsiTheme="minorEastAsia" w:eastAsiaTheme="minorEastAsia"/>
          <w:b/>
          <w:bCs/>
          <w:color w:val="auto"/>
          <w:spacing w:val="-1"/>
          <w:sz w:val="43"/>
          <w:szCs w:val="43"/>
          <w:highlight w:val="none"/>
          <w:lang w:eastAsia="zh-CN"/>
        </w:rPr>
        <w:t>（电子交易）</w:t>
      </w:r>
    </w:p>
    <w:p w14:paraId="5EE96183">
      <w:pPr>
        <w:pStyle w:val="18"/>
        <w:spacing w:line="266" w:lineRule="auto"/>
        <w:rPr>
          <w:rFonts w:asciiTheme="minorEastAsia" w:hAnsiTheme="minorEastAsia" w:eastAsiaTheme="minorEastAsia"/>
          <w:color w:val="auto"/>
          <w:highlight w:val="none"/>
          <w:lang w:eastAsia="zh-CN"/>
        </w:rPr>
      </w:pPr>
    </w:p>
    <w:p w14:paraId="5EE96184">
      <w:pPr>
        <w:pStyle w:val="18"/>
        <w:spacing w:line="267" w:lineRule="auto"/>
        <w:rPr>
          <w:rFonts w:asciiTheme="minorEastAsia" w:hAnsiTheme="minorEastAsia" w:eastAsiaTheme="minorEastAsia"/>
          <w:color w:val="auto"/>
          <w:highlight w:val="none"/>
          <w:lang w:eastAsia="zh-CN"/>
        </w:rPr>
      </w:pPr>
    </w:p>
    <w:p w14:paraId="5EE96185">
      <w:pPr>
        <w:pStyle w:val="18"/>
        <w:spacing w:line="267" w:lineRule="auto"/>
        <w:rPr>
          <w:rFonts w:asciiTheme="minorEastAsia" w:hAnsiTheme="minorEastAsia" w:eastAsiaTheme="minorEastAsia"/>
          <w:color w:val="auto"/>
          <w:highlight w:val="none"/>
          <w:lang w:eastAsia="zh-CN"/>
        </w:rPr>
      </w:pPr>
    </w:p>
    <w:p w14:paraId="06E9946A">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cs="宋体" w:asciiTheme="minorEastAsia" w:hAnsiTheme="minorEastAsia" w:eastAsiaTheme="minorEastAsia"/>
          <w:color w:val="auto"/>
          <w:spacing w:val="-1"/>
          <w:sz w:val="30"/>
          <w:szCs w:val="30"/>
          <w:highlight w:val="none"/>
          <w:lang w:eastAsia="zh-CN"/>
        </w:rPr>
        <w:t>项目编号：</w:t>
      </w:r>
      <w:r>
        <w:rPr>
          <w:rFonts w:hint="eastAsia" w:ascii="宋体" w:hAnsi="宋体" w:cs="仿宋_GB2312" w:eastAsiaTheme="minorEastAsia"/>
          <w:color w:val="auto"/>
          <w:sz w:val="30"/>
          <w:szCs w:val="30"/>
          <w:highlight w:val="none"/>
          <w:lang w:eastAsia="zh-CN"/>
        </w:rPr>
        <w:t>BHZC2025-C2-210210-GXYX</w:t>
      </w:r>
    </w:p>
    <w:p w14:paraId="5EE96187">
      <w:pPr>
        <w:pStyle w:val="18"/>
        <w:spacing w:line="250" w:lineRule="auto"/>
        <w:rPr>
          <w:rFonts w:asciiTheme="minorEastAsia" w:hAnsiTheme="minorEastAsia" w:eastAsiaTheme="minorEastAsia"/>
          <w:color w:val="auto"/>
          <w:highlight w:val="none"/>
          <w:lang w:eastAsia="zh-CN"/>
        </w:rPr>
      </w:pPr>
    </w:p>
    <w:p w14:paraId="5EE96188">
      <w:pPr>
        <w:pStyle w:val="18"/>
        <w:spacing w:line="250" w:lineRule="auto"/>
        <w:rPr>
          <w:rFonts w:asciiTheme="minorEastAsia" w:hAnsiTheme="minorEastAsia" w:eastAsiaTheme="minorEastAsia"/>
          <w:color w:val="auto"/>
          <w:highlight w:val="none"/>
          <w:lang w:eastAsia="zh-CN"/>
        </w:rPr>
      </w:pPr>
    </w:p>
    <w:p w14:paraId="5EE9618A">
      <w:pPr>
        <w:pStyle w:val="18"/>
        <w:spacing w:line="250" w:lineRule="auto"/>
        <w:rPr>
          <w:rFonts w:asciiTheme="minorEastAsia" w:hAnsiTheme="minorEastAsia" w:eastAsiaTheme="minorEastAsia"/>
          <w:color w:val="auto"/>
          <w:highlight w:val="none"/>
          <w:lang w:eastAsia="zh-CN"/>
        </w:rPr>
      </w:pPr>
    </w:p>
    <w:p w14:paraId="5EE9618B">
      <w:pPr>
        <w:pStyle w:val="18"/>
        <w:spacing w:line="251" w:lineRule="auto"/>
        <w:jc w:val="center"/>
        <w:rPr>
          <w:rFonts w:asciiTheme="minorEastAsia" w:hAnsiTheme="minorEastAsia" w:eastAsiaTheme="minorEastAsia"/>
          <w:color w:val="auto"/>
          <w:highlight w:val="none"/>
          <w:lang w:eastAsia="zh-CN"/>
        </w:rPr>
      </w:pPr>
      <w:r>
        <w:rPr>
          <w:color w:val="auto"/>
          <w:highlight w:val="none"/>
        </w:rPr>
        <w:drawing>
          <wp:inline distT="0" distB="0" distL="0" distR="0">
            <wp:extent cx="2348865" cy="1605915"/>
            <wp:effectExtent l="0" t="0" r="13335" b="13335"/>
            <wp:docPr id="5" name="图片 1" descr="徽标, 公司名称&#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徽标, 公司名称&#10;&#10;AI 生成的内容可能不正确。"/>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51144" cy="1607546"/>
                    </a:xfrm>
                    <a:prstGeom prst="rect">
                      <a:avLst/>
                    </a:prstGeom>
                    <a:noFill/>
                    <a:ln>
                      <a:noFill/>
                    </a:ln>
                  </pic:spPr>
                </pic:pic>
              </a:graphicData>
            </a:graphic>
          </wp:inline>
        </w:drawing>
      </w:r>
    </w:p>
    <w:p w14:paraId="5EE9618C">
      <w:pPr>
        <w:pStyle w:val="18"/>
        <w:spacing w:line="251" w:lineRule="auto"/>
        <w:rPr>
          <w:rFonts w:asciiTheme="minorEastAsia" w:hAnsiTheme="minorEastAsia" w:eastAsiaTheme="minorEastAsia"/>
          <w:color w:val="auto"/>
          <w:highlight w:val="none"/>
          <w:lang w:eastAsia="zh-CN"/>
        </w:rPr>
      </w:pPr>
    </w:p>
    <w:p w14:paraId="5EE9618D">
      <w:pPr>
        <w:pStyle w:val="18"/>
        <w:spacing w:line="251" w:lineRule="auto"/>
        <w:rPr>
          <w:rFonts w:asciiTheme="minorEastAsia" w:hAnsiTheme="minorEastAsia" w:eastAsiaTheme="minorEastAsia"/>
          <w:color w:val="auto"/>
          <w:highlight w:val="none"/>
          <w:lang w:eastAsia="zh-CN"/>
        </w:rPr>
      </w:pPr>
    </w:p>
    <w:p w14:paraId="5EE9618E">
      <w:pPr>
        <w:pStyle w:val="18"/>
        <w:spacing w:line="251" w:lineRule="auto"/>
        <w:rPr>
          <w:rFonts w:asciiTheme="minorEastAsia" w:hAnsiTheme="minorEastAsia" w:eastAsiaTheme="minorEastAsia"/>
          <w:color w:val="auto"/>
          <w:highlight w:val="none"/>
          <w:lang w:eastAsia="zh-CN"/>
        </w:rPr>
      </w:pPr>
    </w:p>
    <w:p w14:paraId="5EE9618F">
      <w:pPr>
        <w:pStyle w:val="18"/>
        <w:spacing w:line="251" w:lineRule="auto"/>
        <w:rPr>
          <w:rFonts w:asciiTheme="minorEastAsia" w:hAnsiTheme="minorEastAsia" w:eastAsiaTheme="minorEastAsia"/>
          <w:color w:val="auto"/>
          <w:highlight w:val="none"/>
          <w:lang w:eastAsia="zh-CN"/>
        </w:rPr>
      </w:pPr>
    </w:p>
    <w:p w14:paraId="5EE96190">
      <w:pPr>
        <w:pStyle w:val="18"/>
        <w:spacing w:line="251" w:lineRule="auto"/>
        <w:rPr>
          <w:rFonts w:asciiTheme="minorEastAsia" w:hAnsiTheme="minorEastAsia" w:eastAsiaTheme="minorEastAsia"/>
          <w:color w:val="auto"/>
          <w:highlight w:val="none"/>
          <w:lang w:eastAsia="zh-CN"/>
        </w:rPr>
      </w:pPr>
    </w:p>
    <w:p w14:paraId="5EE96191">
      <w:pPr>
        <w:pStyle w:val="18"/>
        <w:spacing w:line="251" w:lineRule="auto"/>
        <w:rPr>
          <w:rFonts w:asciiTheme="minorEastAsia" w:hAnsiTheme="minorEastAsia" w:eastAsiaTheme="minorEastAsia"/>
          <w:color w:val="auto"/>
          <w:highlight w:val="none"/>
          <w:lang w:eastAsia="zh-CN"/>
        </w:rPr>
      </w:pPr>
    </w:p>
    <w:p w14:paraId="5EE96192">
      <w:pPr>
        <w:spacing w:before="101" w:line="225" w:lineRule="auto"/>
        <w:jc w:val="center"/>
        <w:rPr>
          <w:rFonts w:cs="宋体" w:asciiTheme="minorEastAsia" w:hAnsiTheme="minorEastAsia" w:eastAsiaTheme="minorEastAsia"/>
          <w:color w:val="auto"/>
          <w:sz w:val="31"/>
          <w:szCs w:val="31"/>
          <w:highlight w:val="none"/>
          <w:lang w:eastAsia="zh-CN"/>
        </w:rPr>
      </w:pPr>
      <w:r>
        <w:rPr>
          <w:rFonts w:hint="eastAsia" w:cs="宋体" w:asciiTheme="minorEastAsia" w:hAnsiTheme="minorEastAsia" w:eastAsiaTheme="minorEastAsia"/>
          <w:color w:val="auto"/>
          <w:spacing w:val="8"/>
          <w:sz w:val="31"/>
          <w:szCs w:val="31"/>
          <w:highlight w:val="none"/>
          <w:lang w:eastAsia="zh-CN"/>
        </w:rPr>
        <w:t>合浦县水利局</w:t>
      </w:r>
    </w:p>
    <w:p w14:paraId="5EE96193">
      <w:pPr>
        <w:spacing w:before="245" w:line="225" w:lineRule="auto"/>
        <w:jc w:val="center"/>
        <w:rPr>
          <w:rFonts w:cs="宋体" w:asciiTheme="minorEastAsia" w:hAnsiTheme="minorEastAsia" w:eastAsiaTheme="minorEastAsia"/>
          <w:color w:val="auto"/>
          <w:sz w:val="31"/>
          <w:szCs w:val="31"/>
          <w:highlight w:val="none"/>
          <w:lang w:eastAsia="zh-CN"/>
        </w:rPr>
      </w:pPr>
      <w:r>
        <w:rPr>
          <w:rFonts w:hint="eastAsia" w:cs="宋体" w:asciiTheme="minorEastAsia" w:hAnsiTheme="minorEastAsia" w:eastAsiaTheme="minorEastAsia"/>
          <w:color w:val="auto"/>
          <w:spacing w:val="8"/>
          <w:sz w:val="31"/>
          <w:szCs w:val="31"/>
          <w:highlight w:val="none"/>
          <w:lang w:eastAsia="zh-CN"/>
        </w:rPr>
        <w:t>广西亿翔荣工程管理有限责任公司</w:t>
      </w:r>
    </w:p>
    <w:p w14:paraId="7270D0A4">
      <w:pPr>
        <w:spacing w:before="243" w:line="225" w:lineRule="auto"/>
        <w:ind w:left="3717"/>
        <w:rPr>
          <w:rFonts w:hint="default" w:cs="宋体" w:asciiTheme="minorEastAsia" w:hAnsiTheme="minorEastAsia" w:eastAsiaTheme="minorEastAsia"/>
          <w:color w:val="auto"/>
          <w:sz w:val="31"/>
          <w:szCs w:val="31"/>
          <w:highlight w:val="none"/>
          <w:lang w:val="en-US" w:eastAsia="zh-CN"/>
        </w:rPr>
      </w:pPr>
      <w:r>
        <w:rPr>
          <w:rFonts w:cs="宋体" w:asciiTheme="minorEastAsia" w:hAnsiTheme="minorEastAsia" w:eastAsiaTheme="minorEastAsia"/>
          <w:color w:val="auto"/>
          <w:spacing w:val="7"/>
          <w:sz w:val="31"/>
          <w:szCs w:val="31"/>
          <w:highlight w:val="none"/>
          <w:lang w:eastAsia="zh-CN"/>
        </w:rPr>
        <w:t>二〇二五年</w:t>
      </w:r>
      <w:r>
        <w:rPr>
          <w:rFonts w:hint="eastAsia" w:cs="宋体" w:asciiTheme="minorEastAsia" w:hAnsiTheme="minorEastAsia" w:eastAsiaTheme="minorEastAsia"/>
          <w:color w:val="auto"/>
          <w:spacing w:val="7"/>
          <w:sz w:val="31"/>
          <w:szCs w:val="31"/>
          <w:highlight w:val="none"/>
          <w:lang w:val="en-US" w:eastAsia="zh-CN"/>
        </w:rPr>
        <w:t>十二月</w:t>
      </w:r>
    </w:p>
    <w:p w14:paraId="5EE96195">
      <w:pPr>
        <w:spacing w:line="225" w:lineRule="auto"/>
        <w:rPr>
          <w:rFonts w:cs="宋体" w:asciiTheme="minorEastAsia" w:hAnsiTheme="minorEastAsia" w:eastAsiaTheme="minorEastAsia"/>
          <w:color w:val="auto"/>
          <w:sz w:val="31"/>
          <w:szCs w:val="31"/>
          <w:highlight w:val="none"/>
          <w:lang w:eastAsia="zh-CN"/>
        </w:rPr>
        <w:sectPr>
          <w:headerReference r:id="rId3" w:type="default"/>
          <w:pgSz w:w="11906" w:h="16839"/>
          <w:pgMar w:top="1440" w:right="1304" w:bottom="1440" w:left="1304" w:header="850" w:footer="992" w:gutter="0"/>
          <w:cols w:space="720" w:num="1"/>
          <w:docGrid w:linePitch="286" w:charSpace="0"/>
        </w:sectPr>
      </w:pPr>
    </w:p>
    <w:p w14:paraId="53475A1A">
      <w:pPr>
        <w:spacing w:line="800" w:lineRule="exact"/>
        <w:jc w:val="center"/>
        <w:rPr>
          <w:rFonts w:ascii="黑体" w:hAnsi="Courier New" w:eastAsia="黑体" w:cs="Courier New"/>
          <w:color w:val="auto"/>
          <w:sz w:val="48"/>
          <w:szCs w:val="48"/>
          <w:highlight w:val="none"/>
        </w:rPr>
      </w:pPr>
      <w:r>
        <w:rPr>
          <w:rFonts w:hint="eastAsia" w:ascii="黑体" w:hAnsi="Courier New" w:eastAsia="黑体" w:cs="Courier New"/>
          <w:color w:val="auto"/>
          <w:sz w:val="48"/>
          <w:szCs w:val="48"/>
          <w:highlight w:val="none"/>
        </w:rPr>
        <w:t>目   录</w:t>
      </w:r>
    </w:p>
    <w:p w14:paraId="53475A1C">
      <w:pPr>
        <w:spacing w:line="400" w:lineRule="exact"/>
        <w:rPr>
          <w:rFonts w:ascii="仿宋_GB2312" w:hAnsi="宋体" w:eastAsia="仿宋_GB2312"/>
          <w:b/>
          <w:color w:val="auto"/>
          <w:sz w:val="32"/>
          <w:szCs w:val="32"/>
          <w:highlight w:val="none"/>
        </w:rPr>
      </w:pPr>
    </w:p>
    <w:p w14:paraId="53475A1D">
      <w:pPr>
        <w:pStyle w:val="28"/>
        <w:tabs>
          <w:tab w:val="right" w:leader="dot" w:pos="9288"/>
        </w:tabs>
        <w:spacing w:line="360" w:lineRule="auto"/>
        <w:rPr>
          <w:rFonts w:ascii="宋体" w:hAnsi="宋体"/>
          <w:color w:val="auto"/>
          <w:sz w:val="32"/>
          <w:szCs w:val="32"/>
          <w:highlight w:val="none"/>
        </w:rPr>
      </w:pPr>
      <w:r>
        <w:rPr>
          <w:rFonts w:ascii="宋体" w:hAnsi="宋体" w:cs="Courier New"/>
          <w:bCs/>
          <w:color w:val="auto"/>
          <w:spacing w:val="4"/>
          <w:sz w:val="32"/>
          <w:szCs w:val="32"/>
          <w:highlight w:val="none"/>
        </w:rPr>
        <w:fldChar w:fldCharType="begin"/>
      </w:r>
      <w:r>
        <w:rPr>
          <w:rFonts w:ascii="宋体" w:hAnsi="宋体" w:cs="Courier New"/>
          <w:bCs/>
          <w:color w:val="auto"/>
          <w:spacing w:val="4"/>
          <w:sz w:val="32"/>
          <w:szCs w:val="32"/>
          <w:highlight w:val="none"/>
        </w:rPr>
        <w:instrText xml:space="preserve"> </w:instrText>
      </w:r>
      <w:r>
        <w:rPr>
          <w:rFonts w:hint="eastAsia" w:ascii="宋体" w:hAnsi="宋体" w:cs="Courier New"/>
          <w:bCs/>
          <w:color w:val="auto"/>
          <w:spacing w:val="4"/>
          <w:sz w:val="32"/>
          <w:szCs w:val="32"/>
          <w:highlight w:val="none"/>
        </w:rPr>
        <w:instrText xml:space="preserve">TOC \o "1-2" \h \z \u</w:instrText>
      </w:r>
      <w:r>
        <w:rPr>
          <w:rFonts w:ascii="宋体" w:hAnsi="宋体" w:cs="Courier New"/>
          <w:bCs/>
          <w:color w:val="auto"/>
          <w:spacing w:val="4"/>
          <w:sz w:val="32"/>
          <w:szCs w:val="32"/>
          <w:highlight w:val="none"/>
        </w:rPr>
        <w:instrText xml:space="preserve"> </w:instrText>
      </w:r>
      <w:r>
        <w:rPr>
          <w:rFonts w:ascii="宋体" w:hAnsi="宋体" w:cs="Courier New"/>
          <w:bCs/>
          <w:color w:val="auto"/>
          <w:spacing w:val="4"/>
          <w:sz w:val="32"/>
          <w:szCs w:val="32"/>
          <w:highlight w:val="none"/>
        </w:rPr>
        <w:fldChar w:fldCharType="separate"/>
      </w:r>
      <w:r>
        <w:rPr>
          <w:color w:val="auto"/>
          <w:highlight w:val="none"/>
        </w:rPr>
        <w:fldChar w:fldCharType="begin"/>
      </w:r>
      <w:r>
        <w:rPr>
          <w:color w:val="auto"/>
          <w:highlight w:val="none"/>
        </w:rPr>
        <w:instrText xml:space="preserve"> HYPERLINK \l "_Toc176861406" </w:instrText>
      </w:r>
      <w:r>
        <w:rPr>
          <w:color w:val="auto"/>
          <w:highlight w:val="none"/>
        </w:rPr>
        <w:fldChar w:fldCharType="separate"/>
      </w:r>
      <w:r>
        <w:rPr>
          <w:rStyle w:val="42"/>
          <w:rFonts w:hint="eastAsia" w:ascii="宋体" w:hAnsi="宋体"/>
          <w:color w:val="auto"/>
          <w:sz w:val="32"/>
          <w:szCs w:val="32"/>
          <w:highlight w:val="none"/>
        </w:rPr>
        <w:t>第一章</w:t>
      </w:r>
      <w:r>
        <w:rPr>
          <w:rStyle w:val="42"/>
          <w:rFonts w:ascii="宋体" w:hAnsi="宋体"/>
          <w:color w:val="auto"/>
          <w:sz w:val="32"/>
          <w:szCs w:val="32"/>
          <w:highlight w:val="none"/>
        </w:rPr>
        <w:t xml:space="preserve">  </w:t>
      </w:r>
      <w:r>
        <w:rPr>
          <w:rStyle w:val="42"/>
          <w:rFonts w:hint="eastAsia" w:ascii="宋体" w:hAnsi="宋体"/>
          <w:color w:val="auto"/>
          <w:sz w:val="32"/>
          <w:szCs w:val="32"/>
          <w:highlight w:val="none"/>
        </w:rPr>
        <w:t>竞争性磋商公告</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_Toc176861406 \h </w:instrText>
      </w:r>
      <w:r>
        <w:rPr>
          <w:rFonts w:ascii="宋体" w:hAnsi="宋体"/>
          <w:color w:val="auto"/>
          <w:sz w:val="32"/>
          <w:szCs w:val="32"/>
          <w:highlight w:val="none"/>
        </w:rPr>
        <w:fldChar w:fldCharType="separate"/>
      </w:r>
      <w:r>
        <w:rPr>
          <w:rFonts w:ascii="宋体" w:hAnsi="宋体"/>
          <w:color w:val="auto"/>
          <w:sz w:val="32"/>
          <w:szCs w:val="32"/>
          <w:highlight w:val="none"/>
        </w:rPr>
        <w:t>2</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3475A1E">
      <w:pPr>
        <w:pStyle w:val="28"/>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"_Toc176861407" </w:instrText>
      </w:r>
      <w:r>
        <w:rPr>
          <w:color w:val="auto"/>
          <w:highlight w:val="none"/>
        </w:rPr>
        <w:fldChar w:fldCharType="separate"/>
      </w:r>
      <w:r>
        <w:rPr>
          <w:rStyle w:val="42"/>
          <w:rFonts w:hint="eastAsia" w:ascii="宋体" w:hAnsi="宋体"/>
          <w:color w:val="auto"/>
          <w:sz w:val="32"/>
          <w:szCs w:val="32"/>
          <w:highlight w:val="none"/>
        </w:rPr>
        <w:t>第二章</w:t>
      </w:r>
      <w:r>
        <w:rPr>
          <w:rStyle w:val="42"/>
          <w:rFonts w:ascii="宋体" w:hAnsi="宋体"/>
          <w:color w:val="auto"/>
          <w:sz w:val="32"/>
          <w:szCs w:val="32"/>
          <w:highlight w:val="none"/>
        </w:rPr>
        <w:t xml:space="preserve">  </w:t>
      </w:r>
      <w:r>
        <w:rPr>
          <w:rStyle w:val="42"/>
          <w:rFonts w:hint="eastAsia" w:ascii="宋体" w:hAnsi="宋体"/>
          <w:color w:val="auto"/>
          <w:sz w:val="32"/>
          <w:szCs w:val="32"/>
          <w:highlight w:val="none"/>
        </w:rPr>
        <w:t>磋商供应商须知</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_Toc176861407 \h </w:instrText>
      </w:r>
      <w:r>
        <w:rPr>
          <w:rFonts w:ascii="宋体" w:hAnsi="宋体"/>
          <w:color w:val="auto"/>
          <w:sz w:val="32"/>
          <w:szCs w:val="32"/>
          <w:highlight w:val="none"/>
        </w:rPr>
        <w:fldChar w:fldCharType="separate"/>
      </w:r>
      <w:r>
        <w:rPr>
          <w:rFonts w:ascii="宋体" w:hAnsi="宋体"/>
          <w:color w:val="auto"/>
          <w:sz w:val="32"/>
          <w:szCs w:val="32"/>
          <w:highlight w:val="none"/>
        </w:rPr>
        <w:t>7</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3475A1F">
      <w:pPr>
        <w:pStyle w:val="28"/>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"_Toc176861408" </w:instrText>
      </w:r>
      <w:r>
        <w:rPr>
          <w:color w:val="auto"/>
          <w:highlight w:val="none"/>
        </w:rPr>
        <w:fldChar w:fldCharType="separate"/>
      </w:r>
      <w:r>
        <w:rPr>
          <w:rStyle w:val="42"/>
          <w:rFonts w:hint="eastAsia" w:ascii="宋体" w:hAnsi="宋体"/>
          <w:color w:val="auto"/>
          <w:sz w:val="32"/>
          <w:szCs w:val="32"/>
          <w:highlight w:val="none"/>
        </w:rPr>
        <w:t>第三章</w:t>
      </w:r>
      <w:r>
        <w:rPr>
          <w:rStyle w:val="42"/>
          <w:rFonts w:ascii="宋体" w:hAnsi="宋体"/>
          <w:color w:val="auto"/>
          <w:sz w:val="32"/>
          <w:szCs w:val="32"/>
          <w:highlight w:val="none"/>
        </w:rPr>
        <w:t xml:space="preserve">  </w:t>
      </w:r>
      <w:r>
        <w:rPr>
          <w:rStyle w:val="42"/>
          <w:rFonts w:hint="eastAsia" w:ascii="宋体" w:hAnsi="宋体"/>
          <w:color w:val="auto"/>
          <w:sz w:val="32"/>
          <w:szCs w:val="32"/>
          <w:highlight w:val="none"/>
        </w:rPr>
        <w:t>竞争性磋商响应文件格式</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_Toc176861408 \h </w:instrText>
      </w:r>
      <w:r>
        <w:rPr>
          <w:rFonts w:ascii="宋体" w:hAnsi="宋体"/>
          <w:color w:val="auto"/>
          <w:sz w:val="32"/>
          <w:szCs w:val="32"/>
          <w:highlight w:val="none"/>
        </w:rPr>
        <w:fldChar w:fldCharType="separate"/>
      </w:r>
      <w:r>
        <w:rPr>
          <w:rFonts w:ascii="宋体" w:hAnsi="宋体"/>
          <w:color w:val="auto"/>
          <w:sz w:val="32"/>
          <w:szCs w:val="32"/>
          <w:highlight w:val="none"/>
        </w:rPr>
        <w:t>32</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3475A20">
      <w:pPr>
        <w:pStyle w:val="28"/>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"_Toc176861409" </w:instrText>
      </w:r>
      <w:r>
        <w:rPr>
          <w:color w:val="auto"/>
          <w:highlight w:val="none"/>
        </w:rPr>
        <w:fldChar w:fldCharType="separate"/>
      </w:r>
      <w:r>
        <w:rPr>
          <w:rStyle w:val="42"/>
          <w:rFonts w:hint="eastAsia" w:ascii="宋体" w:hAnsi="宋体"/>
          <w:color w:val="auto"/>
          <w:sz w:val="32"/>
          <w:szCs w:val="32"/>
          <w:highlight w:val="none"/>
        </w:rPr>
        <w:t>第四章</w:t>
      </w:r>
      <w:r>
        <w:rPr>
          <w:rStyle w:val="42"/>
          <w:rFonts w:ascii="宋体" w:hAnsi="宋体"/>
          <w:color w:val="auto"/>
          <w:sz w:val="32"/>
          <w:szCs w:val="32"/>
          <w:highlight w:val="none"/>
        </w:rPr>
        <w:t xml:space="preserve">  </w:t>
      </w:r>
      <w:r>
        <w:rPr>
          <w:rStyle w:val="42"/>
          <w:rFonts w:hint="eastAsia" w:ascii="宋体" w:hAnsi="宋体"/>
          <w:color w:val="auto"/>
          <w:sz w:val="32"/>
          <w:szCs w:val="32"/>
          <w:highlight w:val="none"/>
        </w:rPr>
        <w:t>采购项目需求</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_Toc176861409 \h </w:instrText>
      </w:r>
      <w:r>
        <w:rPr>
          <w:rFonts w:ascii="宋体" w:hAnsi="宋体"/>
          <w:color w:val="auto"/>
          <w:sz w:val="32"/>
          <w:szCs w:val="32"/>
          <w:highlight w:val="none"/>
        </w:rPr>
        <w:fldChar w:fldCharType="separate"/>
      </w:r>
      <w:r>
        <w:rPr>
          <w:rFonts w:ascii="宋体" w:hAnsi="宋体"/>
          <w:color w:val="auto"/>
          <w:sz w:val="32"/>
          <w:szCs w:val="32"/>
          <w:highlight w:val="none"/>
        </w:rPr>
        <w:t>64</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3475A21">
      <w:pPr>
        <w:pStyle w:val="28"/>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"_Toc176861410" </w:instrText>
      </w:r>
      <w:r>
        <w:rPr>
          <w:color w:val="auto"/>
          <w:highlight w:val="none"/>
        </w:rPr>
        <w:fldChar w:fldCharType="separate"/>
      </w:r>
      <w:r>
        <w:rPr>
          <w:rStyle w:val="42"/>
          <w:rFonts w:hint="eastAsia" w:ascii="宋体" w:hAnsi="宋体"/>
          <w:color w:val="auto"/>
          <w:sz w:val="32"/>
          <w:szCs w:val="32"/>
          <w:highlight w:val="none"/>
        </w:rPr>
        <w:t>第五章</w:t>
      </w:r>
      <w:r>
        <w:rPr>
          <w:rStyle w:val="42"/>
          <w:rFonts w:ascii="宋体" w:hAnsi="宋体"/>
          <w:color w:val="auto"/>
          <w:sz w:val="32"/>
          <w:szCs w:val="32"/>
          <w:highlight w:val="none"/>
        </w:rPr>
        <w:t xml:space="preserve">  </w:t>
      </w:r>
      <w:r>
        <w:rPr>
          <w:rStyle w:val="42"/>
          <w:rFonts w:hint="eastAsia" w:ascii="宋体" w:hAnsi="宋体"/>
          <w:color w:val="auto"/>
          <w:sz w:val="32"/>
          <w:szCs w:val="32"/>
          <w:highlight w:val="none"/>
        </w:rPr>
        <w:t>工程量清单及图纸</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_Toc176861410 \h </w:instrText>
      </w:r>
      <w:r>
        <w:rPr>
          <w:rFonts w:ascii="宋体" w:hAnsi="宋体"/>
          <w:color w:val="auto"/>
          <w:sz w:val="32"/>
          <w:szCs w:val="32"/>
          <w:highlight w:val="none"/>
        </w:rPr>
        <w:fldChar w:fldCharType="separate"/>
      </w:r>
      <w:r>
        <w:rPr>
          <w:rFonts w:ascii="宋体" w:hAnsi="宋体"/>
          <w:color w:val="auto"/>
          <w:sz w:val="32"/>
          <w:szCs w:val="32"/>
          <w:highlight w:val="none"/>
        </w:rPr>
        <w:t>67</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3475A22">
      <w:pPr>
        <w:pStyle w:val="28"/>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"_Toc176861411" </w:instrText>
      </w:r>
      <w:r>
        <w:rPr>
          <w:color w:val="auto"/>
          <w:highlight w:val="none"/>
        </w:rPr>
        <w:fldChar w:fldCharType="separate"/>
      </w:r>
      <w:r>
        <w:rPr>
          <w:rStyle w:val="42"/>
          <w:rFonts w:hint="eastAsia" w:ascii="宋体" w:hAnsi="宋体"/>
          <w:color w:val="auto"/>
          <w:kern w:val="0"/>
          <w:sz w:val="32"/>
          <w:szCs w:val="32"/>
          <w:highlight w:val="none"/>
        </w:rPr>
        <w:t>第六章</w:t>
      </w:r>
      <w:r>
        <w:rPr>
          <w:rStyle w:val="42"/>
          <w:rFonts w:ascii="宋体" w:hAnsi="宋体"/>
          <w:color w:val="auto"/>
          <w:kern w:val="0"/>
          <w:sz w:val="32"/>
          <w:szCs w:val="32"/>
          <w:highlight w:val="none"/>
        </w:rPr>
        <w:t xml:space="preserve">  </w:t>
      </w:r>
      <w:r>
        <w:rPr>
          <w:rStyle w:val="42"/>
          <w:rFonts w:hint="eastAsia" w:ascii="宋体" w:hAnsi="宋体"/>
          <w:color w:val="auto"/>
          <w:kern w:val="0"/>
          <w:sz w:val="32"/>
          <w:szCs w:val="32"/>
          <w:highlight w:val="none"/>
        </w:rPr>
        <w:t>合同格式</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_Toc176861411 \h </w:instrText>
      </w:r>
      <w:r>
        <w:rPr>
          <w:rFonts w:ascii="宋体" w:hAnsi="宋体"/>
          <w:color w:val="auto"/>
          <w:sz w:val="32"/>
          <w:szCs w:val="32"/>
          <w:highlight w:val="none"/>
        </w:rPr>
        <w:fldChar w:fldCharType="separate"/>
      </w:r>
      <w:r>
        <w:rPr>
          <w:rFonts w:ascii="宋体" w:hAnsi="宋体"/>
          <w:color w:val="auto"/>
          <w:sz w:val="32"/>
          <w:szCs w:val="32"/>
          <w:highlight w:val="none"/>
        </w:rPr>
        <w:t>68</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3475A23">
      <w:pPr>
        <w:pStyle w:val="28"/>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"_Toc176861412" </w:instrText>
      </w:r>
      <w:r>
        <w:rPr>
          <w:color w:val="auto"/>
          <w:highlight w:val="none"/>
        </w:rPr>
        <w:fldChar w:fldCharType="separate"/>
      </w:r>
      <w:r>
        <w:rPr>
          <w:rStyle w:val="42"/>
          <w:rFonts w:hint="eastAsia" w:ascii="宋体" w:hAnsi="宋体"/>
          <w:color w:val="auto"/>
          <w:kern w:val="0"/>
          <w:sz w:val="32"/>
          <w:szCs w:val="32"/>
          <w:highlight w:val="none"/>
        </w:rPr>
        <w:t>第七章</w:t>
      </w:r>
      <w:r>
        <w:rPr>
          <w:rStyle w:val="42"/>
          <w:rFonts w:ascii="宋体" w:hAnsi="宋体"/>
          <w:color w:val="auto"/>
          <w:kern w:val="0"/>
          <w:sz w:val="32"/>
          <w:szCs w:val="32"/>
          <w:highlight w:val="none"/>
        </w:rPr>
        <w:t xml:space="preserve">  </w:t>
      </w:r>
      <w:r>
        <w:rPr>
          <w:rStyle w:val="42"/>
          <w:rFonts w:hint="eastAsia" w:ascii="宋体" w:hAnsi="宋体"/>
          <w:color w:val="auto"/>
          <w:kern w:val="0"/>
          <w:sz w:val="32"/>
          <w:szCs w:val="32"/>
          <w:highlight w:val="none"/>
        </w:rPr>
        <w:t>评定标准</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_Toc176861412 \h </w:instrText>
      </w:r>
      <w:r>
        <w:rPr>
          <w:rFonts w:ascii="宋体" w:hAnsi="宋体"/>
          <w:color w:val="auto"/>
          <w:sz w:val="32"/>
          <w:szCs w:val="32"/>
          <w:highlight w:val="none"/>
        </w:rPr>
        <w:fldChar w:fldCharType="separate"/>
      </w:r>
      <w:r>
        <w:rPr>
          <w:rFonts w:ascii="宋体" w:hAnsi="宋体"/>
          <w:color w:val="auto"/>
          <w:sz w:val="32"/>
          <w:szCs w:val="32"/>
          <w:highlight w:val="none"/>
        </w:rPr>
        <w:t>127</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3475A24">
      <w:pPr>
        <w:spacing w:line="360" w:lineRule="auto"/>
        <w:jc w:val="center"/>
        <w:rPr>
          <w:rFonts w:ascii="仿宋_GB2312" w:hAnsi="宋体" w:eastAsia="仿宋_GB2312"/>
          <w:b/>
          <w:color w:val="auto"/>
          <w:sz w:val="32"/>
          <w:szCs w:val="32"/>
          <w:highlight w:val="none"/>
        </w:rPr>
      </w:pPr>
      <w:r>
        <w:rPr>
          <w:rFonts w:ascii="宋体" w:hAnsi="宋体" w:cs="Courier New"/>
          <w:bCs/>
          <w:color w:val="auto"/>
          <w:spacing w:val="4"/>
          <w:sz w:val="32"/>
          <w:szCs w:val="32"/>
          <w:highlight w:val="none"/>
        </w:rPr>
        <w:fldChar w:fldCharType="end"/>
      </w:r>
    </w:p>
    <w:p w14:paraId="53475A25">
      <w:pPr>
        <w:spacing w:line="400" w:lineRule="exact"/>
        <w:jc w:val="center"/>
        <w:rPr>
          <w:rFonts w:ascii="仿宋_GB2312" w:hAnsi="宋体" w:eastAsia="仿宋_GB2312"/>
          <w:b/>
          <w:color w:val="auto"/>
          <w:sz w:val="32"/>
          <w:szCs w:val="32"/>
          <w:highlight w:val="none"/>
        </w:rPr>
      </w:pPr>
    </w:p>
    <w:p w14:paraId="53475A26">
      <w:pPr>
        <w:spacing w:line="400" w:lineRule="exact"/>
        <w:jc w:val="center"/>
        <w:rPr>
          <w:rFonts w:ascii="仿宋_GB2312" w:hAnsi="宋体" w:eastAsia="仿宋_GB2312"/>
          <w:b/>
          <w:color w:val="auto"/>
          <w:sz w:val="32"/>
          <w:szCs w:val="32"/>
          <w:highlight w:val="none"/>
        </w:rPr>
      </w:pPr>
    </w:p>
    <w:p w14:paraId="53475A27">
      <w:pPr>
        <w:spacing w:line="400" w:lineRule="exact"/>
        <w:jc w:val="center"/>
        <w:rPr>
          <w:rFonts w:ascii="仿宋_GB2312" w:hAnsi="宋体" w:eastAsia="仿宋_GB2312"/>
          <w:b/>
          <w:color w:val="auto"/>
          <w:sz w:val="32"/>
          <w:szCs w:val="32"/>
          <w:highlight w:val="none"/>
        </w:rPr>
      </w:pPr>
    </w:p>
    <w:p w14:paraId="53475A28">
      <w:pPr>
        <w:spacing w:line="400" w:lineRule="exact"/>
        <w:jc w:val="center"/>
        <w:rPr>
          <w:rFonts w:ascii="仿宋_GB2312" w:hAnsi="宋体" w:eastAsia="仿宋_GB2312"/>
          <w:b/>
          <w:color w:val="auto"/>
          <w:sz w:val="32"/>
          <w:szCs w:val="32"/>
          <w:highlight w:val="none"/>
        </w:rPr>
      </w:pPr>
    </w:p>
    <w:p w14:paraId="53475A29">
      <w:pPr>
        <w:spacing w:line="400" w:lineRule="exact"/>
        <w:jc w:val="center"/>
        <w:rPr>
          <w:rFonts w:ascii="仿宋_GB2312" w:hAnsi="宋体" w:eastAsia="仿宋_GB2312"/>
          <w:b/>
          <w:color w:val="auto"/>
          <w:sz w:val="32"/>
          <w:szCs w:val="32"/>
          <w:highlight w:val="none"/>
        </w:rPr>
      </w:pPr>
    </w:p>
    <w:p w14:paraId="53475A2A">
      <w:pPr>
        <w:spacing w:line="400" w:lineRule="exact"/>
        <w:jc w:val="center"/>
        <w:rPr>
          <w:rFonts w:ascii="仿宋_GB2312" w:hAnsi="宋体" w:eastAsia="仿宋_GB2312"/>
          <w:b/>
          <w:color w:val="auto"/>
          <w:sz w:val="32"/>
          <w:szCs w:val="32"/>
          <w:highlight w:val="none"/>
        </w:rPr>
      </w:pPr>
    </w:p>
    <w:p w14:paraId="53475A2B">
      <w:pPr>
        <w:spacing w:line="400" w:lineRule="exact"/>
        <w:jc w:val="center"/>
        <w:rPr>
          <w:rFonts w:ascii="仿宋_GB2312" w:hAnsi="宋体" w:eastAsia="仿宋_GB2312"/>
          <w:b/>
          <w:color w:val="auto"/>
          <w:sz w:val="32"/>
          <w:szCs w:val="32"/>
          <w:highlight w:val="none"/>
        </w:rPr>
      </w:pPr>
    </w:p>
    <w:p w14:paraId="53475A2C">
      <w:pPr>
        <w:spacing w:line="400" w:lineRule="exact"/>
        <w:jc w:val="center"/>
        <w:rPr>
          <w:rFonts w:ascii="仿宋_GB2312" w:hAnsi="宋体" w:eastAsia="仿宋_GB2312"/>
          <w:b/>
          <w:color w:val="auto"/>
          <w:sz w:val="32"/>
          <w:szCs w:val="32"/>
          <w:highlight w:val="none"/>
        </w:rPr>
      </w:pPr>
    </w:p>
    <w:p w14:paraId="53475A2D">
      <w:pPr>
        <w:spacing w:line="400" w:lineRule="exact"/>
        <w:jc w:val="center"/>
        <w:rPr>
          <w:rFonts w:ascii="仿宋_GB2312" w:hAnsi="宋体" w:eastAsia="仿宋_GB2312"/>
          <w:b/>
          <w:color w:val="auto"/>
          <w:sz w:val="32"/>
          <w:szCs w:val="32"/>
          <w:highlight w:val="none"/>
        </w:rPr>
      </w:pPr>
    </w:p>
    <w:p w14:paraId="53475A2E">
      <w:pPr>
        <w:spacing w:line="400" w:lineRule="exact"/>
        <w:rPr>
          <w:rFonts w:ascii="仿宋_GB2312" w:hAnsi="宋体" w:eastAsia="仿宋_GB2312"/>
          <w:b/>
          <w:color w:val="auto"/>
          <w:sz w:val="32"/>
          <w:szCs w:val="32"/>
          <w:highlight w:val="none"/>
        </w:rPr>
      </w:pPr>
    </w:p>
    <w:p w14:paraId="53475A2F">
      <w:pPr>
        <w:spacing w:line="400" w:lineRule="exact"/>
        <w:rPr>
          <w:rFonts w:ascii="仿宋_GB2312" w:hAnsi="宋体" w:eastAsia="仿宋_GB2312"/>
          <w:b/>
          <w:color w:val="auto"/>
          <w:sz w:val="32"/>
          <w:szCs w:val="32"/>
          <w:highlight w:val="none"/>
        </w:rPr>
        <w:sectPr>
          <w:headerReference r:id="rId4" w:type="default"/>
          <w:footerReference r:id="rId5" w:type="default"/>
          <w:pgSz w:w="11906" w:h="16838"/>
          <w:pgMar w:top="1474" w:right="1304" w:bottom="1134" w:left="1304" w:header="851" w:footer="992" w:gutter="0"/>
          <w:pgNumType w:start="1"/>
          <w:cols w:space="720" w:num="1"/>
          <w:docGrid w:type="lines" w:linePitch="312" w:charSpace="0"/>
        </w:sectPr>
      </w:pPr>
    </w:p>
    <w:p w14:paraId="53475A30">
      <w:pPr>
        <w:pStyle w:val="18"/>
        <w:rPr>
          <w:color w:val="auto"/>
          <w:highlight w:val="none"/>
        </w:rPr>
      </w:pPr>
    </w:p>
    <w:p w14:paraId="53475A31">
      <w:pPr>
        <w:spacing w:line="400" w:lineRule="exact"/>
        <w:rPr>
          <w:rFonts w:ascii="仿宋_GB2312" w:hAnsi="宋体" w:eastAsia="仿宋_GB2312"/>
          <w:b/>
          <w:color w:val="auto"/>
          <w:sz w:val="32"/>
          <w:szCs w:val="32"/>
          <w:highlight w:val="none"/>
        </w:rPr>
      </w:pPr>
    </w:p>
    <w:p w14:paraId="53475A32">
      <w:pPr>
        <w:spacing w:line="400" w:lineRule="exact"/>
        <w:rPr>
          <w:rFonts w:ascii="仿宋_GB2312" w:hAnsi="宋体" w:eastAsia="仿宋_GB2312"/>
          <w:b/>
          <w:color w:val="auto"/>
          <w:sz w:val="32"/>
          <w:szCs w:val="32"/>
          <w:highlight w:val="none"/>
        </w:rPr>
      </w:pPr>
    </w:p>
    <w:p w14:paraId="53475A33">
      <w:pPr>
        <w:spacing w:line="400" w:lineRule="exact"/>
        <w:rPr>
          <w:rFonts w:ascii="仿宋_GB2312" w:hAnsi="宋体" w:eastAsia="仿宋_GB2312"/>
          <w:b/>
          <w:color w:val="auto"/>
          <w:sz w:val="32"/>
          <w:szCs w:val="32"/>
          <w:highlight w:val="none"/>
        </w:rPr>
      </w:pPr>
    </w:p>
    <w:p w14:paraId="53475A34">
      <w:pPr>
        <w:spacing w:line="400" w:lineRule="exact"/>
        <w:rPr>
          <w:rFonts w:ascii="仿宋_GB2312" w:hAnsi="宋体" w:eastAsia="仿宋_GB2312"/>
          <w:b/>
          <w:color w:val="auto"/>
          <w:sz w:val="32"/>
          <w:szCs w:val="32"/>
          <w:highlight w:val="none"/>
        </w:rPr>
      </w:pPr>
    </w:p>
    <w:p w14:paraId="53475A35">
      <w:pPr>
        <w:spacing w:line="400" w:lineRule="exact"/>
        <w:jc w:val="center"/>
        <w:rPr>
          <w:rFonts w:ascii="黑体" w:hAnsi="宋体" w:eastAsia="黑体"/>
          <w:b/>
          <w:color w:val="auto"/>
          <w:sz w:val="32"/>
          <w:szCs w:val="32"/>
          <w:highlight w:val="none"/>
        </w:rPr>
      </w:pPr>
    </w:p>
    <w:p w14:paraId="53475A36">
      <w:pPr>
        <w:spacing w:line="400" w:lineRule="exact"/>
        <w:jc w:val="center"/>
        <w:rPr>
          <w:rFonts w:ascii="黑体" w:hAnsi="宋体" w:eastAsia="黑体"/>
          <w:b/>
          <w:color w:val="auto"/>
          <w:sz w:val="32"/>
          <w:szCs w:val="32"/>
          <w:highlight w:val="none"/>
        </w:rPr>
      </w:pPr>
    </w:p>
    <w:p w14:paraId="53475A37">
      <w:pPr>
        <w:spacing w:line="400" w:lineRule="exact"/>
        <w:jc w:val="center"/>
        <w:rPr>
          <w:rFonts w:ascii="黑体" w:hAnsi="宋体" w:eastAsia="黑体"/>
          <w:b/>
          <w:color w:val="auto"/>
          <w:sz w:val="32"/>
          <w:szCs w:val="32"/>
          <w:highlight w:val="none"/>
        </w:rPr>
      </w:pPr>
    </w:p>
    <w:p w14:paraId="53475A38">
      <w:pPr>
        <w:spacing w:line="400" w:lineRule="exact"/>
        <w:jc w:val="center"/>
        <w:rPr>
          <w:rFonts w:ascii="黑体" w:hAnsi="宋体" w:eastAsia="黑体"/>
          <w:b/>
          <w:color w:val="auto"/>
          <w:sz w:val="32"/>
          <w:szCs w:val="32"/>
          <w:highlight w:val="none"/>
        </w:rPr>
      </w:pPr>
    </w:p>
    <w:p w14:paraId="53475A39">
      <w:pPr>
        <w:pStyle w:val="18"/>
        <w:rPr>
          <w:color w:val="auto"/>
          <w:highlight w:val="none"/>
        </w:rPr>
      </w:pPr>
    </w:p>
    <w:p w14:paraId="53475A3A">
      <w:pPr>
        <w:spacing w:line="400" w:lineRule="exact"/>
        <w:jc w:val="center"/>
        <w:rPr>
          <w:rFonts w:ascii="黑体" w:hAnsi="宋体" w:eastAsia="黑体"/>
          <w:b/>
          <w:color w:val="auto"/>
          <w:sz w:val="32"/>
          <w:szCs w:val="32"/>
          <w:highlight w:val="none"/>
        </w:rPr>
      </w:pPr>
    </w:p>
    <w:p w14:paraId="53475A3B">
      <w:pPr>
        <w:spacing w:line="400" w:lineRule="exact"/>
        <w:jc w:val="center"/>
        <w:rPr>
          <w:rFonts w:ascii="黑体" w:hAnsi="宋体" w:eastAsia="黑体"/>
          <w:b/>
          <w:color w:val="auto"/>
          <w:sz w:val="32"/>
          <w:szCs w:val="32"/>
          <w:highlight w:val="none"/>
        </w:rPr>
      </w:pPr>
    </w:p>
    <w:p w14:paraId="53475A3C">
      <w:pPr>
        <w:spacing w:line="400" w:lineRule="exact"/>
        <w:jc w:val="center"/>
        <w:rPr>
          <w:rFonts w:ascii="黑体" w:hAnsi="宋体" w:eastAsia="黑体"/>
          <w:b/>
          <w:color w:val="auto"/>
          <w:sz w:val="32"/>
          <w:szCs w:val="32"/>
          <w:highlight w:val="none"/>
        </w:rPr>
      </w:pPr>
    </w:p>
    <w:p w14:paraId="53475A3D">
      <w:pPr>
        <w:spacing w:line="600" w:lineRule="exact"/>
        <w:jc w:val="center"/>
        <w:outlineLvl w:val="0"/>
        <w:rPr>
          <w:rFonts w:ascii="宋体" w:hAnsi="宋体"/>
          <w:b/>
          <w:color w:val="auto"/>
          <w:sz w:val="44"/>
          <w:szCs w:val="44"/>
          <w:highlight w:val="none"/>
        </w:rPr>
      </w:pPr>
      <w:bookmarkStart w:id="0" w:name="_Toc176861406"/>
      <w:bookmarkStart w:id="1" w:name="_Toc23639"/>
      <w:bookmarkStart w:id="2" w:name="_Toc3994503"/>
      <w:r>
        <w:rPr>
          <w:rFonts w:hint="eastAsia" w:ascii="宋体" w:hAnsi="宋体"/>
          <w:b/>
          <w:color w:val="auto"/>
          <w:sz w:val="44"/>
          <w:szCs w:val="44"/>
          <w:highlight w:val="none"/>
        </w:rPr>
        <w:t>第一章  竞争性磋商公告</w:t>
      </w:r>
      <w:bookmarkEnd w:id="0"/>
      <w:bookmarkEnd w:id="1"/>
      <w:bookmarkEnd w:id="2"/>
    </w:p>
    <w:p w14:paraId="53475A3E">
      <w:pPr>
        <w:spacing w:line="400" w:lineRule="exact"/>
        <w:jc w:val="center"/>
        <w:rPr>
          <w:rFonts w:ascii="黑体" w:hAnsi="宋体" w:eastAsia="黑体"/>
          <w:b/>
          <w:color w:val="auto"/>
          <w:sz w:val="32"/>
          <w:szCs w:val="32"/>
          <w:highlight w:val="none"/>
        </w:rPr>
      </w:pPr>
    </w:p>
    <w:p w14:paraId="53475A3F">
      <w:pPr>
        <w:spacing w:line="400" w:lineRule="exact"/>
        <w:jc w:val="center"/>
        <w:rPr>
          <w:rFonts w:ascii="黑体" w:hAnsi="宋体" w:eastAsia="黑体"/>
          <w:b/>
          <w:color w:val="auto"/>
          <w:sz w:val="32"/>
          <w:szCs w:val="32"/>
          <w:highlight w:val="none"/>
        </w:rPr>
      </w:pPr>
    </w:p>
    <w:p w14:paraId="53475A40">
      <w:pPr>
        <w:spacing w:line="400" w:lineRule="exact"/>
        <w:jc w:val="center"/>
        <w:rPr>
          <w:rFonts w:ascii="黑体" w:hAnsi="宋体" w:eastAsia="黑体"/>
          <w:b/>
          <w:color w:val="auto"/>
          <w:sz w:val="32"/>
          <w:szCs w:val="32"/>
          <w:highlight w:val="none"/>
        </w:rPr>
      </w:pPr>
    </w:p>
    <w:p w14:paraId="53475A41">
      <w:pPr>
        <w:spacing w:line="400" w:lineRule="exact"/>
        <w:jc w:val="center"/>
        <w:rPr>
          <w:rFonts w:ascii="黑体" w:hAnsi="宋体" w:eastAsia="黑体"/>
          <w:b/>
          <w:color w:val="auto"/>
          <w:sz w:val="32"/>
          <w:szCs w:val="32"/>
          <w:highlight w:val="none"/>
        </w:rPr>
      </w:pPr>
    </w:p>
    <w:p w14:paraId="53475A42">
      <w:pPr>
        <w:spacing w:line="400" w:lineRule="exact"/>
        <w:jc w:val="center"/>
        <w:rPr>
          <w:rFonts w:ascii="黑体" w:hAnsi="宋体" w:eastAsia="黑体"/>
          <w:b/>
          <w:color w:val="auto"/>
          <w:sz w:val="32"/>
          <w:szCs w:val="32"/>
          <w:highlight w:val="none"/>
        </w:rPr>
      </w:pPr>
    </w:p>
    <w:p w14:paraId="53475A43">
      <w:pPr>
        <w:spacing w:line="400" w:lineRule="exact"/>
        <w:jc w:val="center"/>
        <w:rPr>
          <w:rFonts w:ascii="黑体" w:hAnsi="宋体" w:eastAsia="黑体"/>
          <w:b/>
          <w:color w:val="auto"/>
          <w:sz w:val="32"/>
          <w:szCs w:val="32"/>
          <w:highlight w:val="none"/>
        </w:rPr>
      </w:pPr>
    </w:p>
    <w:p w14:paraId="53475A44">
      <w:pPr>
        <w:spacing w:line="400" w:lineRule="exact"/>
        <w:jc w:val="center"/>
        <w:rPr>
          <w:rFonts w:ascii="黑体" w:hAnsi="宋体" w:eastAsia="黑体"/>
          <w:b/>
          <w:color w:val="auto"/>
          <w:sz w:val="32"/>
          <w:szCs w:val="32"/>
          <w:highlight w:val="none"/>
        </w:rPr>
      </w:pPr>
    </w:p>
    <w:p w14:paraId="53475A45">
      <w:pPr>
        <w:spacing w:line="400" w:lineRule="exact"/>
        <w:jc w:val="center"/>
        <w:rPr>
          <w:rFonts w:ascii="黑体" w:hAnsi="宋体" w:eastAsia="黑体"/>
          <w:b/>
          <w:color w:val="auto"/>
          <w:sz w:val="32"/>
          <w:szCs w:val="32"/>
          <w:highlight w:val="none"/>
        </w:rPr>
      </w:pPr>
    </w:p>
    <w:p w14:paraId="53475A46">
      <w:pPr>
        <w:spacing w:line="400" w:lineRule="exact"/>
        <w:jc w:val="center"/>
        <w:rPr>
          <w:rFonts w:ascii="黑体" w:hAnsi="宋体" w:eastAsia="黑体"/>
          <w:b/>
          <w:color w:val="auto"/>
          <w:sz w:val="32"/>
          <w:szCs w:val="32"/>
          <w:highlight w:val="none"/>
        </w:rPr>
      </w:pPr>
    </w:p>
    <w:p w14:paraId="53475A47">
      <w:pPr>
        <w:spacing w:line="400" w:lineRule="exact"/>
        <w:jc w:val="center"/>
        <w:rPr>
          <w:rFonts w:ascii="黑体" w:hAnsi="宋体" w:eastAsia="黑体"/>
          <w:b/>
          <w:color w:val="auto"/>
          <w:sz w:val="32"/>
          <w:szCs w:val="32"/>
          <w:highlight w:val="none"/>
        </w:rPr>
      </w:pPr>
    </w:p>
    <w:p w14:paraId="53475A48">
      <w:pPr>
        <w:spacing w:line="400" w:lineRule="exact"/>
        <w:jc w:val="center"/>
        <w:rPr>
          <w:rFonts w:ascii="黑体" w:hAnsi="宋体" w:eastAsia="黑体"/>
          <w:b/>
          <w:color w:val="auto"/>
          <w:sz w:val="32"/>
          <w:szCs w:val="32"/>
          <w:highlight w:val="none"/>
        </w:rPr>
      </w:pPr>
    </w:p>
    <w:p w14:paraId="53475A49">
      <w:pPr>
        <w:spacing w:line="400" w:lineRule="exact"/>
        <w:jc w:val="center"/>
        <w:rPr>
          <w:rFonts w:ascii="黑体" w:hAnsi="宋体" w:eastAsia="黑体"/>
          <w:b/>
          <w:color w:val="auto"/>
          <w:sz w:val="32"/>
          <w:szCs w:val="32"/>
          <w:highlight w:val="none"/>
        </w:rPr>
      </w:pPr>
    </w:p>
    <w:p w14:paraId="53475A4A">
      <w:pPr>
        <w:spacing w:line="400" w:lineRule="exact"/>
        <w:rPr>
          <w:rFonts w:ascii="黑体" w:hAnsi="宋体" w:eastAsia="黑体"/>
          <w:b/>
          <w:color w:val="auto"/>
          <w:sz w:val="32"/>
          <w:szCs w:val="32"/>
          <w:highlight w:val="none"/>
        </w:rPr>
      </w:pPr>
    </w:p>
    <w:p w14:paraId="53475A4B">
      <w:pPr>
        <w:tabs>
          <w:tab w:val="left" w:pos="9639"/>
          <w:tab w:val="left" w:pos="9746"/>
        </w:tabs>
        <w:adjustRightInd w:val="0"/>
        <w:snapToGrid w:val="0"/>
        <w:spacing w:line="360" w:lineRule="auto"/>
        <w:jc w:val="center"/>
        <w:rPr>
          <w:rFonts w:hAnsi="宋体" w:cs="宋体"/>
          <w:bCs/>
          <w:color w:val="auto"/>
          <w:kern w:val="0"/>
          <w:szCs w:val="21"/>
          <w:highlight w:val="none"/>
        </w:rPr>
      </w:pPr>
      <w:r>
        <w:rPr>
          <w:rFonts w:hAnsi="宋体" w:cs="宋体"/>
          <w:bCs/>
          <w:color w:val="auto"/>
          <w:kern w:val="0"/>
          <w:szCs w:val="21"/>
          <w:highlight w:val="none"/>
        </w:rPr>
        <w:br w:type="page"/>
      </w:r>
    </w:p>
    <w:p w14:paraId="53475A4C">
      <w:pPr>
        <w:spacing w:line="440" w:lineRule="exact"/>
        <w:ind w:right="-307" w:rightChars="-146"/>
        <w:jc w:val="center"/>
        <w:rPr>
          <w:b/>
          <w:color w:val="auto"/>
          <w:sz w:val="30"/>
          <w:szCs w:val="30"/>
          <w:highlight w:val="none"/>
        </w:rPr>
      </w:pPr>
      <w:r>
        <w:rPr>
          <w:rFonts w:hint="eastAsia"/>
          <w:b/>
          <w:color w:val="auto"/>
          <w:sz w:val="30"/>
          <w:szCs w:val="30"/>
          <w:highlight w:val="none"/>
          <w:lang w:eastAsia="zh-CN"/>
        </w:rPr>
        <w:t>广西亿翔荣工程管理有限责任公司</w:t>
      </w:r>
      <w:r>
        <w:rPr>
          <w:rFonts w:hint="eastAsia"/>
          <w:b/>
          <w:color w:val="auto"/>
          <w:sz w:val="30"/>
          <w:szCs w:val="30"/>
          <w:highlight w:val="none"/>
        </w:rPr>
        <w:t>关于</w:t>
      </w:r>
      <w:r>
        <w:rPr>
          <w:rFonts w:hint="eastAsia"/>
          <w:b/>
          <w:color w:val="auto"/>
          <w:sz w:val="30"/>
          <w:szCs w:val="30"/>
          <w:highlight w:val="none"/>
          <w:lang w:eastAsia="zh-CN"/>
        </w:rPr>
        <w:t>2025年合浦县常乐镇车板江低坡村委东头岭段护岸加固工程</w:t>
      </w:r>
      <w:r>
        <w:rPr>
          <w:rFonts w:hint="eastAsia"/>
          <w:b/>
          <w:color w:val="auto"/>
          <w:sz w:val="30"/>
          <w:szCs w:val="30"/>
          <w:highlight w:val="none"/>
        </w:rPr>
        <w:t>(项目编号：</w:t>
      </w:r>
      <w:r>
        <w:rPr>
          <w:rFonts w:hint="eastAsia"/>
          <w:b/>
          <w:color w:val="auto"/>
          <w:sz w:val="30"/>
          <w:szCs w:val="30"/>
          <w:highlight w:val="none"/>
          <w:lang w:eastAsia="zh-CN"/>
        </w:rPr>
        <w:t>BHZC2025-C2-210210-GXYX</w:t>
      </w:r>
      <w:r>
        <w:rPr>
          <w:rFonts w:hint="eastAsia"/>
          <w:b/>
          <w:color w:val="auto"/>
          <w:sz w:val="30"/>
          <w:szCs w:val="30"/>
          <w:highlight w:val="none"/>
        </w:rPr>
        <w:t>)竞争性磋商采购公告（远程异地评标）</w:t>
      </w:r>
    </w:p>
    <w:p w14:paraId="53475A4D">
      <w:pPr>
        <w:tabs>
          <w:tab w:val="left" w:pos="9639"/>
          <w:tab w:val="left" w:pos="9746"/>
        </w:tabs>
        <w:adjustRightInd w:val="0"/>
        <w:snapToGrid w:val="0"/>
        <w:ind w:firstLine="420" w:firstLineChars="200"/>
        <w:rPr>
          <w:rFonts w:ascii="宋体" w:hAnsi="宋体" w:cs="宋体"/>
          <w:color w:val="auto"/>
          <w:kern w:val="0"/>
          <w:szCs w:val="21"/>
          <w:highlight w:val="none"/>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3"/>
      </w:tblGrid>
      <w:tr w14:paraId="5347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9962" w:type="dxa"/>
          </w:tcPr>
          <w:p w14:paraId="53475A4E">
            <w:pPr>
              <w:tabs>
                <w:tab w:val="left" w:pos="9639"/>
                <w:tab w:val="left" w:pos="9746"/>
              </w:tabs>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项目概况</w:t>
            </w:r>
          </w:p>
          <w:p w14:paraId="53475A4F">
            <w:pPr>
              <w:tabs>
                <w:tab w:val="left" w:pos="9639"/>
                <w:tab w:val="left" w:pos="9746"/>
              </w:tabs>
              <w:adjustRightInd w:val="0"/>
              <w:snapToGrid w:val="0"/>
              <w:spacing w:line="360" w:lineRule="auto"/>
              <w:ind w:left="105" w:leftChars="50" w:firstLine="360" w:firstLineChars="150"/>
              <w:rPr>
                <w:rFonts w:ascii="宋体" w:hAnsi="宋体" w:cs="宋体"/>
                <w:color w:val="auto"/>
                <w:kern w:val="0"/>
                <w:szCs w:val="21"/>
                <w:highlight w:val="none"/>
              </w:rPr>
            </w:pPr>
            <w:r>
              <w:rPr>
                <w:rFonts w:hint="eastAsia" w:ascii="宋体" w:hAnsi="宋体" w:cs="宋体"/>
                <w:color w:val="auto"/>
                <w:kern w:val="0"/>
                <w:sz w:val="24"/>
                <w:highlight w:val="none"/>
                <w:u w:val="single"/>
                <w:lang w:eastAsia="zh-CN"/>
              </w:rPr>
              <w:t>2025年合浦县常乐镇车板江低坡村委东头岭段护岸加固工程</w:t>
            </w:r>
            <w:r>
              <w:rPr>
                <w:rFonts w:hint="eastAsia" w:ascii="宋体" w:hAnsi="宋体" w:cs="宋体"/>
                <w:color w:val="auto"/>
                <w:kern w:val="0"/>
                <w:sz w:val="24"/>
                <w:highlight w:val="none"/>
              </w:rPr>
              <w:t>采购项目的潜在供应商应在广西政府采购云平台（https</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//www.gcy.zfcg.gxzf.gov.cn/）获取采购文件，并于</w:t>
            </w:r>
            <w:r>
              <w:rPr>
                <w:rFonts w:hint="eastAsia" w:ascii="宋体" w:hAnsi="宋体" w:cs="宋体"/>
                <w:color w:val="auto"/>
                <w:kern w:val="0"/>
                <w:sz w:val="24"/>
                <w:highlight w:val="none"/>
                <w:u w:val="single"/>
                <w:lang w:eastAsia="zh-CN"/>
              </w:rPr>
              <w:t>2025年12月15日15：00</w:t>
            </w:r>
            <w:r>
              <w:rPr>
                <w:rFonts w:hint="eastAsia" w:ascii="宋体" w:hAnsi="宋体" w:cs="宋体"/>
                <w:color w:val="auto"/>
                <w:kern w:val="0"/>
                <w:sz w:val="24"/>
                <w:highlight w:val="none"/>
              </w:rPr>
              <w:t>（北京时间）前提交响应文件。</w:t>
            </w:r>
          </w:p>
        </w:tc>
      </w:tr>
    </w:tbl>
    <w:p w14:paraId="53475A51">
      <w:pPr>
        <w:tabs>
          <w:tab w:val="left" w:pos="9639"/>
          <w:tab w:val="left" w:pos="9746"/>
        </w:tabs>
        <w:adjustRightInd w:val="0"/>
        <w:snapToGrid w:val="0"/>
        <w:rPr>
          <w:rFonts w:ascii="宋体" w:hAnsi="宋体" w:cs="宋体"/>
          <w:color w:val="auto"/>
          <w:kern w:val="0"/>
          <w:szCs w:val="21"/>
          <w:highlight w:val="none"/>
        </w:rPr>
      </w:pPr>
    </w:p>
    <w:p w14:paraId="53475A52">
      <w:pPr>
        <w:tabs>
          <w:tab w:val="left" w:pos="9639"/>
          <w:tab w:val="left" w:pos="9746"/>
        </w:tabs>
        <w:adjustRightInd w:val="0"/>
        <w:snapToGrid w:val="0"/>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一、项目基本情况</w:t>
      </w:r>
    </w:p>
    <w:p w14:paraId="53475A53">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项目编号：</w:t>
      </w:r>
      <w:r>
        <w:rPr>
          <w:rFonts w:hint="eastAsia" w:ascii="宋体" w:hAnsi="宋体"/>
          <w:color w:val="auto"/>
          <w:sz w:val="24"/>
          <w:highlight w:val="none"/>
          <w:lang w:eastAsia="zh-CN"/>
        </w:rPr>
        <w:t>BHZC2025-C2-210210-GXYX</w:t>
      </w:r>
    </w:p>
    <w:p w14:paraId="53475A54">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项目名称：</w:t>
      </w:r>
      <w:r>
        <w:rPr>
          <w:rFonts w:hint="eastAsia" w:ascii="宋体" w:hAnsi="宋体"/>
          <w:color w:val="auto"/>
          <w:sz w:val="24"/>
          <w:highlight w:val="none"/>
          <w:lang w:eastAsia="zh-CN"/>
        </w:rPr>
        <w:t>2025年合浦县常乐镇车板江低坡村委东头岭段护岸加固工程</w:t>
      </w:r>
    </w:p>
    <w:p w14:paraId="53475A55">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采购方式：竞争性磋商</w:t>
      </w:r>
    </w:p>
    <w:p w14:paraId="53475A56">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预算金额（元）：</w:t>
      </w:r>
      <w:r>
        <w:rPr>
          <w:rFonts w:hint="eastAsia" w:ascii="宋体" w:hAnsi="宋体"/>
          <w:color w:val="auto"/>
          <w:sz w:val="24"/>
          <w:highlight w:val="none"/>
          <w:lang w:eastAsia="zh-CN"/>
        </w:rPr>
        <w:t>1923946.32</w:t>
      </w:r>
    </w:p>
    <w:p w14:paraId="5E077C28">
      <w:pPr>
        <w:adjustRightInd w:val="0"/>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rPr>
        <w:t>采购需求：</w:t>
      </w:r>
      <w:r>
        <w:rPr>
          <w:rFonts w:hint="eastAsia" w:ascii="宋体" w:hAnsi="宋体"/>
          <w:color w:val="auto"/>
          <w:sz w:val="24"/>
          <w:highlight w:val="none"/>
          <w:lang w:eastAsia="zh-CN"/>
        </w:rPr>
        <w:t>2025年合浦县常乐镇车板江低坡村委东头岭段护岸加固工程位于合浦县常乐镇低坡村委东头岭村附近的车板江护岸，建设内容为加固护岸400m，其中护坡段长335m，抛石脚段65m。具体内容详见磋商文件，工程量清单及图纸。</w:t>
      </w:r>
    </w:p>
    <w:p w14:paraId="53475A58">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工期</w:t>
      </w:r>
      <w:r>
        <w:rPr>
          <w:rFonts w:hint="eastAsia" w:ascii="宋体" w:hAnsi="宋体"/>
          <w:color w:val="auto"/>
          <w:sz w:val="24"/>
          <w:highlight w:val="none"/>
          <w:lang w:eastAsia="zh-CN"/>
        </w:rPr>
        <w:t>：监理签发的开工日起</w:t>
      </w:r>
      <w:r>
        <w:rPr>
          <w:rFonts w:hint="eastAsia" w:ascii="宋体" w:hAnsi="宋体"/>
          <w:color w:val="auto"/>
          <w:sz w:val="24"/>
          <w:highlight w:val="none"/>
          <w:lang w:val="en-US" w:eastAsia="zh-CN"/>
        </w:rPr>
        <w:t>60</w:t>
      </w:r>
      <w:r>
        <w:rPr>
          <w:rFonts w:hint="eastAsia" w:ascii="宋体" w:hAnsi="宋体"/>
          <w:color w:val="auto"/>
          <w:sz w:val="24"/>
          <w:highlight w:val="none"/>
          <w:lang w:eastAsia="zh-CN"/>
        </w:rPr>
        <w:t>日历天内完成</w:t>
      </w:r>
      <w:r>
        <w:rPr>
          <w:rFonts w:hint="eastAsia" w:ascii="宋体" w:hAnsi="宋体"/>
          <w:color w:val="auto"/>
          <w:sz w:val="24"/>
          <w:highlight w:val="none"/>
        </w:rPr>
        <w:t>。</w:t>
      </w:r>
    </w:p>
    <w:p w14:paraId="53475A59">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标项名称：</w:t>
      </w:r>
      <w:r>
        <w:rPr>
          <w:rFonts w:hint="eastAsia" w:ascii="宋体" w:hAnsi="宋体"/>
          <w:color w:val="auto"/>
          <w:sz w:val="24"/>
          <w:highlight w:val="none"/>
          <w:lang w:eastAsia="zh-CN"/>
        </w:rPr>
        <w:t>2025年合浦县常乐镇车板江低坡村委东头岭段护岸加固工程</w:t>
      </w:r>
    </w:p>
    <w:p w14:paraId="53475A5A">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数量：1</w:t>
      </w:r>
    </w:p>
    <w:p w14:paraId="649A371A">
      <w:pPr>
        <w:adjustRightInd w:val="0"/>
        <w:spacing w:line="360" w:lineRule="auto"/>
        <w:ind w:firstLine="480" w:firstLineChars="200"/>
        <w:rPr>
          <w:rFonts w:hint="eastAsia" w:hAnsi="宋体" w:cs="宋体"/>
          <w:bCs/>
          <w:color w:val="auto"/>
          <w:sz w:val="24"/>
          <w:highlight w:val="none"/>
          <w:lang w:eastAsia="zh-CN"/>
        </w:rPr>
      </w:pPr>
      <w:r>
        <w:rPr>
          <w:rFonts w:hint="eastAsia" w:hAnsi="宋体" w:cs="宋体"/>
          <w:bCs/>
          <w:color w:val="auto"/>
          <w:sz w:val="24"/>
          <w:highlight w:val="none"/>
        </w:rPr>
        <w:t>简要规格描述或项目基本概况介绍、用途：</w:t>
      </w:r>
      <w:r>
        <w:rPr>
          <w:rFonts w:hint="eastAsia" w:hAnsi="宋体" w:cs="宋体"/>
          <w:bCs/>
          <w:color w:val="auto"/>
          <w:sz w:val="24"/>
          <w:highlight w:val="none"/>
          <w:lang w:eastAsia="zh-CN"/>
        </w:rPr>
        <w:t>2025年合浦县常乐镇车板江低坡村委东头岭段护岸加固工程位于合浦县常乐镇低坡村委东头岭村附近的车板江护岸，建设内容为加固护岸400m，其中护坡段长335m，抛石脚段65m。具体内容详见磋商文件，工程量清单及图纸。</w:t>
      </w:r>
    </w:p>
    <w:p w14:paraId="53475A5D">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最高限价（如有）：</w:t>
      </w:r>
      <w:r>
        <w:rPr>
          <w:rFonts w:hint="eastAsia" w:ascii="宋体" w:hAnsi="宋体"/>
          <w:color w:val="auto"/>
          <w:sz w:val="24"/>
          <w:highlight w:val="none"/>
          <w:lang w:eastAsia="zh-CN"/>
        </w:rPr>
        <w:t>1923946.32</w:t>
      </w:r>
      <w:r>
        <w:rPr>
          <w:rFonts w:hint="eastAsia" w:ascii="宋体" w:hAnsi="宋体"/>
          <w:color w:val="auto"/>
          <w:sz w:val="24"/>
          <w:highlight w:val="none"/>
        </w:rPr>
        <w:t xml:space="preserve"> </w:t>
      </w:r>
    </w:p>
    <w:p w14:paraId="143CB0F2">
      <w:pPr>
        <w:adjustRightIn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合同履行期限：</w:t>
      </w:r>
      <w:r>
        <w:rPr>
          <w:rFonts w:hint="eastAsia" w:hAnsi="宋体" w:cs="宋体"/>
          <w:bCs/>
          <w:color w:val="auto"/>
          <w:sz w:val="24"/>
          <w:highlight w:val="none"/>
          <w:lang w:eastAsia="zh-CN"/>
        </w:rPr>
        <w:t>工期</w:t>
      </w:r>
      <w:r>
        <w:rPr>
          <w:rFonts w:hint="eastAsia" w:hAnsi="宋体" w:cs="宋体"/>
          <w:bCs/>
          <w:color w:val="auto"/>
          <w:sz w:val="24"/>
          <w:highlight w:val="none"/>
          <w:lang w:val="en-US" w:eastAsia="zh-CN"/>
        </w:rPr>
        <w:t>60</w:t>
      </w:r>
      <w:r>
        <w:rPr>
          <w:rFonts w:hint="eastAsia" w:ascii="宋体" w:hAnsi="宋体"/>
          <w:color w:val="auto"/>
          <w:sz w:val="24"/>
          <w:highlight w:val="none"/>
          <w:lang w:val="en-US" w:eastAsia="zh-CN"/>
        </w:rPr>
        <w:t>日历</w:t>
      </w:r>
      <w:r>
        <w:rPr>
          <w:rFonts w:hint="eastAsia" w:ascii="宋体" w:hAnsi="宋体"/>
          <w:color w:val="auto"/>
          <w:sz w:val="24"/>
          <w:highlight w:val="none"/>
        </w:rPr>
        <w:t>天</w:t>
      </w:r>
      <w:r>
        <w:rPr>
          <w:rFonts w:hint="eastAsia" w:hAnsi="宋体" w:cs="宋体"/>
          <w:bCs/>
          <w:color w:val="auto"/>
          <w:sz w:val="24"/>
          <w:highlight w:val="none"/>
          <w:lang w:eastAsia="zh-CN"/>
        </w:rPr>
        <w:t>。</w:t>
      </w:r>
    </w:p>
    <w:p w14:paraId="5A3B1CBC">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本项目是否接受联合体磋商：</w:t>
      </w:r>
      <w:r>
        <w:rPr>
          <w:rFonts w:ascii="Wingdings" w:hAnsi="Wingdings" w:eastAsia="Wingdings" w:cs="Wingdings"/>
          <w:color w:val="auto"/>
          <w:sz w:val="24"/>
          <w:szCs w:val="24"/>
        </w:rPr>
        <w:sym w:font="Wingdings" w:char="00A8"/>
      </w:r>
      <w:r>
        <w:rPr>
          <w:rFonts w:hint="eastAsia" w:ascii="宋体" w:hAnsi="宋体"/>
          <w:color w:val="auto"/>
          <w:sz w:val="24"/>
          <w:highlight w:val="none"/>
        </w:rPr>
        <w:t>是，</w:t>
      </w:r>
      <w:r>
        <w:rPr>
          <w:rFonts w:ascii="Wingdings" w:hAnsi="Wingdings" w:eastAsia="Wingdings" w:cs="Wingdings"/>
          <w:color w:val="auto"/>
          <w:sz w:val="24"/>
          <w:szCs w:val="24"/>
        </w:rPr>
        <w:sym w:font="Wingdings" w:char="00FE"/>
      </w:r>
      <w:r>
        <w:rPr>
          <w:rFonts w:hint="eastAsia" w:ascii="宋体" w:hAnsi="宋体"/>
          <w:color w:val="auto"/>
          <w:sz w:val="24"/>
          <w:highlight w:val="none"/>
        </w:rPr>
        <w:t>否。</w:t>
      </w:r>
    </w:p>
    <w:p w14:paraId="53475A61">
      <w:pPr>
        <w:tabs>
          <w:tab w:val="left" w:pos="9639"/>
          <w:tab w:val="left" w:pos="9746"/>
        </w:tabs>
        <w:adjustRightInd w:val="0"/>
        <w:snapToGrid w:val="0"/>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二、申请人的资格要求</w:t>
      </w:r>
    </w:p>
    <w:p w14:paraId="53475A62">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1.满足《中华人民共和国政府采购法》第二十二条规定；未被“信用中国” （www.creditchina.gov.cn)、中国政府采购网（www.ccgp.gov.cn）列入失信被执行人、重大税收违法案件当事人名单、政府采购严重违法失信行为记录名单；</w:t>
      </w:r>
    </w:p>
    <w:p w14:paraId="53475A63">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2.落实政府采购政策需满足的资格要求：</w:t>
      </w:r>
      <w:r>
        <w:rPr>
          <w:rFonts w:hint="eastAsia" w:ascii="宋体" w:hAnsi="宋体"/>
          <w:color w:val="auto"/>
          <w:sz w:val="24"/>
          <w:highlight w:val="none"/>
          <w:lang w:eastAsia="zh-CN"/>
        </w:rPr>
        <w:t>本项目为专门面向中小企业采购</w:t>
      </w:r>
      <w:r>
        <w:rPr>
          <w:rFonts w:hint="eastAsia" w:ascii="宋体" w:hAnsi="宋体"/>
          <w:color w:val="auto"/>
          <w:sz w:val="24"/>
          <w:highlight w:val="none"/>
        </w:rPr>
        <w:t>，</w:t>
      </w:r>
      <w:r>
        <w:rPr>
          <w:rFonts w:hint="eastAsia" w:ascii="宋体" w:hAnsi="宋体"/>
          <w:color w:val="auto"/>
          <w:sz w:val="24"/>
          <w:highlight w:val="none"/>
          <w:lang w:eastAsia="zh-CN"/>
        </w:rPr>
        <w:t>工程的施工单位为符合政策要求的中小企业（</w:t>
      </w:r>
      <w:r>
        <w:rPr>
          <w:rFonts w:hint="eastAsia" w:ascii="宋体" w:hAnsi="宋体"/>
          <w:color w:val="auto"/>
          <w:sz w:val="24"/>
          <w:highlight w:val="none"/>
          <w:lang w:val="en-US" w:eastAsia="zh-CN"/>
        </w:rPr>
        <w:t>中</w:t>
      </w:r>
      <w:r>
        <w:rPr>
          <w:rFonts w:hint="eastAsia" w:ascii="宋体" w:hAnsi="宋体"/>
          <w:color w:val="auto"/>
          <w:sz w:val="24"/>
          <w:highlight w:val="none"/>
        </w:rPr>
        <w:t>小微企业，监狱企业、残疾人福利单位视同小型和微型企业</w:t>
      </w:r>
      <w:r>
        <w:rPr>
          <w:rFonts w:hint="eastAsia" w:ascii="宋体" w:hAnsi="宋体"/>
          <w:color w:val="auto"/>
          <w:sz w:val="24"/>
          <w:highlight w:val="none"/>
          <w:lang w:eastAsia="zh-CN"/>
        </w:rPr>
        <w:t>），提供中小企业声明函</w:t>
      </w:r>
      <w:r>
        <w:rPr>
          <w:rFonts w:hint="eastAsia" w:ascii="宋体" w:hAnsi="宋体"/>
          <w:color w:val="auto"/>
          <w:sz w:val="24"/>
          <w:highlight w:val="none"/>
        </w:rPr>
        <w:t>；</w:t>
      </w:r>
    </w:p>
    <w:p w14:paraId="2B783ED9">
      <w:pPr>
        <w:adjustRightIn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rPr>
        <w:t>3.本项目的特定资格要求：</w:t>
      </w:r>
      <w:r>
        <w:rPr>
          <w:rFonts w:hint="eastAsia" w:ascii="宋体" w:hAnsi="宋体"/>
          <w:color w:val="auto"/>
          <w:sz w:val="24"/>
          <w:highlight w:val="none"/>
          <w:lang w:eastAsia="zh-CN"/>
        </w:rPr>
        <w:t>具备有效的水利水电工程施工总承包贰级(含)以上资质，并具备有效的安全生产许可证书。其中，供应商拟派项目经理须具备水利水电工程专业二级(含)以上专业注册建造师执业资格，具备有效的省级或省级以上行政主管部门或其授权部门(机构)颁发的B类安全生产考核合格证书；专职安全员须具备有效的省级或省级以上行政主管部门或其授权部门(机构)颁发的C类安全生产考核合格证书</w:t>
      </w:r>
    </w:p>
    <w:p w14:paraId="53475A64">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lang w:eastAsia="zh-CN"/>
        </w:rPr>
        <w:t xml:space="preserve">.单位负责人为同一人或者存在直接控股、管理关系的不同供应商，不得参加同一合同项下的政府采购活动；为采购项目提供整体设计、规范编制或者项目管理、监理、检测等服务后不得再参加该采购项目的其他采购活动。 </w:t>
      </w:r>
    </w:p>
    <w:p w14:paraId="53475A65">
      <w:pPr>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三、获取采购文件</w:t>
      </w:r>
    </w:p>
    <w:p w14:paraId="53475A66">
      <w:pPr>
        <w:adjustRightInd w:val="0"/>
        <w:spacing w:line="360" w:lineRule="auto"/>
        <w:ind w:firstLine="54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lang w:eastAsia="zh-CN"/>
        </w:rPr>
        <w:t>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04</w:t>
      </w:r>
      <w:r>
        <w:rPr>
          <w:rFonts w:hint="eastAsia" w:ascii="宋体" w:hAnsi="宋体" w:cs="宋体"/>
          <w:color w:val="auto"/>
          <w:sz w:val="24"/>
          <w:highlight w:val="none"/>
          <w:lang w:eastAsia="zh-CN"/>
        </w:rPr>
        <w:t>日</w:t>
      </w:r>
      <w:r>
        <w:rPr>
          <w:rFonts w:hint="eastAsia" w:ascii="宋体" w:hAnsi="宋体" w:cs="宋体"/>
          <w:color w:val="auto"/>
          <w:sz w:val="24"/>
          <w:highlight w:val="none"/>
        </w:rPr>
        <w:t>至</w:t>
      </w:r>
      <w:r>
        <w:rPr>
          <w:rFonts w:hint="eastAsia" w:ascii="宋体" w:hAnsi="宋体" w:cs="宋体"/>
          <w:color w:val="auto"/>
          <w:sz w:val="24"/>
          <w:highlight w:val="none"/>
          <w:lang w:eastAsia="zh-CN"/>
        </w:rPr>
        <w:t>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lang w:eastAsia="zh-CN"/>
        </w:rPr>
        <w:t>日</w:t>
      </w:r>
      <w:r>
        <w:rPr>
          <w:rFonts w:hint="eastAsia" w:ascii="宋体" w:hAnsi="宋体" w:cs="宋体"/>
          <w:color w:val="auto"/>
          <w:sz w:val="24"/>
          <w:highlight w:val="none"/>
        </w:rPr>
        <w:t>，每天上午</w:t>
      </w:r>
      <w:r>
        <w:rPr>
          <w:rFonts w:hint="eastAsia" w:ascii="宋体" w:hAnsi="宋体"/>
          <w:color w:val="auto"/>
          <w:sz w:val="24"/>
          <w:highlight w:val="none"/>
        </w:rPr>
        <w:t>00</w:t>
      </w:r>
      <w:r>
        <w:rPr>
          <w:rFonts w:hint="eastAsia" w:ascii="宋体" w:hAnsi="宋体"/>
          <w:color w:val="auto"/>
          <w:sz w:val="24"/>
          <w:highlight w:val="none"/>
          <w:lang w:eastAsia="zh-CN"/>
        </w:rPr>
        <w:t>：</w:t>
      </w:r>
      <w:r>
        <w:rPr>
          <w:rFonts w:hint="eastAsia" w:ascii="宋体" w:hAnsi="宋体"/>
          <w:color w:val="auto"/>
          <w:sz w:val="24"/>
          <w:highlight w:val="none"/>
        </w:rPr>
        <w:t>00至12</w:t>
      </w:r>
      <w:r>
        <w:rPr>
          <w:rFonts w:hint="eastAsia" w:ascii="宋体" w:hAnsi="宋体"/>
          <w:color w:val="auto"/>
          <w:sz w:val="24"/>
          <w:highlight w:val="none"/>
          <w:lang w:eastAsia="zh-CN"/>
        </w:rPr>
        <w:t>：</w:t>
      </w:r>
      <w:r>
        <w:rPr>
          <w:rFonts w:hint="eastAsia" w:ascii="宋体" w:hAnsi="宋体"/>
          <w:color w:val="auto"/>
          <w:sz w:val="24"/>
          <w:highlight w:val="none"/>
        </w:rPr>
        <w:t>00 ，下午12</w:t>
      </w:r>
      <w:r>
        <w:rPr>
          <w:rFonts w:hint="eastAsia" w:ascii="宋体" w:hAnsi="宋体"/>
          <w:color w:val="auto"/>
          <w:sz w:val="24"/>
          <w:highlight w:val="none"/>
          <w:lang w:eastAsia="zh-CN"/>
        </w:rPr>
        <w:t>：</w:t>
      </w:r>
      <w:r>
        <w:rPr>
          <w:rFonts w:hint="eastAsia" w:ascii="宋体" w:hAnsi="宋体"/>
          <w:color w:val="auto"/>
          <w:sz w:val="24"/>
          <w:highlight w:val="none"/>
        </w:rPr>
        <w:t>00至23</w:t>
      </w:r>
      <w:r>
        <w:rPr>
          <w:rFonts w:hint="eastAsia" w:ascii="宋体" w:hAnsi="宋体"/>
          <w:color w:val="auto"/>
          <w:sz w:val="24"/>
          <w:highlight w:val="none"/>
          <w:lang w:eastAsia="zh-CN"/>
        </w:rPr>
        <w:t>：</w:t>
      </w:r>
      <w:r>
        <w:rPr>
          <w:rFonts w:hint="eastAsia" w:ascii="宋体" w:hAnsi="宋体"/>
          <w:color w:val="auto"/>
          <w:sz w:val="24"/>
          <w:highlight w:val="none"/>
        </w:rPr>
        <w:t>59</w:t>
      </w:r>
      <w:r>
        <w:rPr>
          <w:rFonts w:hint="eastAsia" w:ascii="宋体" w:hAnsi="宋体" w:cs="宋体"/>
          <w:color w:val="auto"/>
          <w:sz w:val="24"/>
          <w:highlight w:val="none"/>
        </w:rPr>
        <w:t>（北京时间，法定节假日除外）；</w:t>
      </w:r>
    </w:p>
    <w:p w14:paraId="53475A67">
      <w:pPr>
        <w:adjustRightInd w:val="0"/>
        <w:spacing w:line="360" w:lineRule="auto"/>
        <w:ind w:firstLine="540"/>
        <w:rPr>
          <w:rFonts w:ascii="宋体" w:hAnsi="宋体" w:cs="宋体"/>
          <w:color w:val="auto"/>
          <w:sz w:val="28"/>
          <w:szCs w:val="28"/>
          <w:highlight w:val="none"/>
          <w:u w:val="single"/>
        </w:rPr>
      </w:pPr>
      <w:r>
        <w:rPr>
          <w:rFonts w:hint="eastAsia" w:ascii="宋体" w:hAnsi="宋体" w:cs="宋体"/>
          <w:b/>
          <w:color w:val="auto"/>
          <w:sz w:val="24"/>
          <w:highlight w:val="none"/>
        </w:rPr>
        <w:t>地点（网址）：</w:t>
      </w:r>
      <w:r>
        <w:rPr>
          <w:rFonts w:hint="eastAsia" w:ascii="宋体" w:hAnsi="宋体" w:cs="宋体"/>
          <w:color w:val="auto"/>
          <w:sz w:val="24"/>
          <w:highlight w:val="none"/>
        </w:rPr>
        <w:t>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//www.gcy.zfcg.gxzf.gov.cn/）</w:t>
      </w:r>
    </w:p>
    <w:p w14:paraId="53475A68">
      <w:pPr>
        <w:adjustRightInd w:val="0"/>
        <w:spacing w:line="360" w:lineRule="auto"/>
        <w:ind w:firstLine="540"/>
        <w:rPr>
          <w:rFonts w:ascii="宋体" w:hAnsi="宋体" w:cs="宋体"/>
          <w:color w:val="auto"/>
          <w:sz w:val="24"/>
          <w:highlight w:val="none"/>
          <w:u w:val="single"/>
        </w:rPr>
      </w:pPr>
      <w:r>
        <w:rPr>
          <w:rFonts w:hint="eastAsia" w:ascii="宋体" w:hAnsi="宋体" w:cs="宋体"/>
          <w:b/>
          <w:color w:val="auto"/>
          <w:sz w:val="24"/>
          <w:highlight w:val="none"/>
        </w:rPr>
        <w:t>方式：</w:t>
      </w:r>
      <w:r>
        <w:rPr>
          <w:rFonts w:hint="eastAsia" w:ascii="宋体" w:hAnsi="宋体" w:cs="宋体"/>
          <w:color w:val="auto"/>
          <w:sz w:val="24"/>
          <w:highlight w:val="none"/>
        </w:rPr>
        <w:t>供应商登录广西政府采购云平台（https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//www.gcy.zfcg.gxzf.gov.cn/）在线申请获取采购文件（进入“项目采购”应用，在获取采购文件菜单中选择项目，申请获取采购文件）。</w:t>
      </w:r>
    </w:p>
    <w:p w14:paraId="53475A69">
      <w:pPr>
        <w:adjustRightInd w:val="0"/>
        <w:spacing w:line="360" w:lineRule="auto"/>
        <w:ind w:firstLine="540"/>
        <w:rPr>
          <w:rFonts w:ascii="宋体" w:hAnsi="宋体" w:cs="宋体"/>
          <w:color w:val="auto"/>
          <w:sz w:val="28"/>
          <w:szCs w:val="28"/>
          <w:highlight w:val="none"/>
        </w:rPr>
      </w:pPr>
      <w:r>
        <w:rPr>
          <w:rFonts w:hint="eastAsia" w:ascii="宋体" w:hAnsi="宋体" w:cs="宋体"/>
          <w:b/>
          <w:color w:val="auto"/>
          <w:sz w:val="24"/>
          <w:highlight w:val="none"/>
        </w:rPr>
        <w:t>售价：</w:t>
      </w:r>
      <w:r>
        <w:rPr>
          <w:rFonts w:hint="eastAsia" w:ascii="宋体" w:hAnsi="宋体" w:cs="仿宋_GB2312"/>
          <w:color w:val="auto"/>
          <w:sz w:val="24"/>
          <w:highlight w:val="none"/>
        </w:rPr>
        <w:t>0。</w:t>
      </w:r>
    </w:p>
    <w:p w14:paraId="53475A6A">
      <w:pPr>
        <w:adjustRightInd w:val="0"/>
        <w:snapToGrid w:val="0"/>
        <w:spacing w:line="360" w:lineRule="auto"/>
        <w:jc w:val="left"/>
        <w:rPr>
          <w:rFonts w:ascii="宋体" w:hAnsi="宋体"/>
          <w:b/>
          <w:color w:val="auto"/>
          <w:kern w:val="0"/>
          <w:sz w:val="24"/>
          <w:szCs w:val="20"/>
          <w:highlight w:val="none"/>
        </w:rPr>
      </w:pPr>
      <w:bookmarkStart w:id="3" w:name="_Toc28359092"/>
      <w:bookmarkStart w:id="4" w:name="_Toc28359015"/>
      <w:bookmarkStart w:id="5" w:name="_Toc35393632"/>
      <w:bookmarkStart w:id="6" w:name="_Toc35393801"/>
      <w:r>
        <w:rPr>
          <w:rFonts w:hint="eastAsia" w:ascii="宋体" w:hAnsi="宋体"/>
          <w:b/>
          <w:color w:val="auto"/>
          <w:kern w:val="0"/>
          <w:sz w:val="24"/>
          <w:szCs w:val="20"/>
          <w:highlight w:val="none"/>
        </w:rPr>
        <w:t>四、响应文件提交</w:t>
      </w:r>
      <w:bookmarkEnd w:id="3"/>
      <w:bookmarkEnd w:id="4"/>
      <w:bookmarkEnd w:id="5"/>
      <w:bookmarkEnd w:id="6"/>
    </w:p>
    <w:p w14:paraId="53475A6B">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截止时间：</w:t>
      </w:r>
      <w:r>
        <w:rPr>
          <w:rFonts w:hint="eastAsia" w:ascii="宋体" w:hAnsi="宋体" w:cs="宋体"/>
          <w:color w:val="auto"/>
          <w:kern w:val="0"/>
          <w:sz w:val="24"/>
          <w:highlight w:val="none"/>
          <w:u w:val="single"/>
          <w:lang w:eastAsia="zh-CN"/>
        </w:rPr>
        <w:t>2025年12月15日15：00</w:t>
      </w:r>
      <w:r>
        <w:rPr>
          <w:rFonts w:hint="eastAsia" w:ascii="宋体" w:hAnsi="宋体"/>
          <w:bCs/>
          <w:color w:val="auto"/>
          <w:sz w:val="24"/>
          <w:highlight w:val="none"/>
        </w:rPr>
        <w:t>（北京时间）</w:t>
      </w:r>
    </w:p>
    <w:p w14:paraId="53475A6C">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w:t>
      </w:r>
      <w:r>
        <w:rPr>
          <w:rFonts w:hint="eastAsia" w:ascii="宋体" w:hAnsi="宋体" w:cs="宋体"/>
          <w:color w:val="auto"/>
          <w:sz w:val="24"/>
          <w:highlight w:val="none"/>
        </w:rPr>
        <w:t>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//www.gcy.zfcg.gxzf.gov.cn/）</w:t>
      </w:r>
    </w:p>
    <w:p w14:paraId="53475A6D">
      <w:pPr>
        <w:adjustRightInd w:val="0"/>
        <w:snapToGrid w:val="0"/>
        <w:spacing w:line="360" w:lineRule="auto"/>
        <w:jc w:val="left"/>
        <w:rPr>
          <w:rFonts w:ascii="宋体" w:hAnsi="宋体"/>
          <w:b/>
          <w:color w:val="auto"/>
          <w:kern w:val="0"/>
          <w:sz w:val="24"/>
          <w:szCs w:val="20"/>
          <w:highlight w:val="none"/>
        </w:rPr>
      </w:pPr>
      <w:bookmarkStart w:id="7" w:name="_Toc28359016"/>
      <w:bookmarkStart w:id="8" w:name="_Toc35393802"/>
      <w:bookmarkStart w:id="9" w:name="_Toc35393633"/>
      <w:bookmarkStart w:id="10" w:name="_Toc28359093"/>
      <w:r>
        <w:rPr>
          <w:rFonts w:hint="eastAsia" w:ascii="宋体" w:hAnsi="宋体"/>
          <w:b/>
          <w:color w:val="auto"/>
          <w:kern w:val="0"/>
          <w:sz w:val="24"/>
          <w:szCs w:val="20"/>
          <w:highlight w:val="none"/>
        </w:rPr>
        <w:t>五、响应文件开启</w:t>
      </w:r>
      <w:bookmarkEnd w:id="7"/>
      <w:bookmarkEnd w:id="8"/>
      <w:bookmarkEnd w:id="9"/>
      <w:bookmarkEnd w:id="10"/>
    </w:p>
    <w:p w14:paraId="53475A6E">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时间：</w:t>
      </w:r>
      <w:r>
        <w:rPr>
          <w:rFonts w:hint="eastAsia" w:ascii="宋体" w:hAnsi="宋体" w:cs="宋体"/>
          <w:color w:val="auto"/>
          <w:kern w:val="0"/>
          <w:sz w:val="24"/>
          <w:highlight w:val="none"/>
          <w:u w:val="single"/>
          <w:lang w:eastAsia="zh-CN"/>
        </w:rPr>
        <w:t>2025年12月15日15：00</w:t>
      </w:r>
      <w:r>
        <w:rPr>
          <w:rFonts w:hint="eastAsia" w:ascii="宋体" w:hAnsi="宋体"/>
          <w:bCs/>
          <w:color w:val="auto"/>
          <w:sz w:val="24"/>
          <w:highlight w:val="none"/>
        </w:rPr>
        <w:t>（北京时间）</w:t>
      </w:r>
    </w:p>
    <w:p w14:paraId="53475A6F">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w:t>
      </w:r>
      <w:r>
        <w:rPr>
          <w:rFonts w:hint="eastAsia" w:ascii="宋体" w:hAnsi="宋体" w:cs="宋体"/>
          <w:color w:val="auto"/>
          <w:sz w:val="24"/>
          <w:highlight w:val="none"/>
        </w:rPr>
        <w:t>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//www.gcy.zfcg.gxzf.gov.cn/）</w:t>
      </w:r>
    </w:p>
    <w:p w14:paraId="53475A70">
      <w:pPr>
        <w:adjustRightInd w:val="0"/>
        <w:snapToGrid w:val="0"/>
        <w:spacing w:line="360" w:lineRule="auto"/>
        <w:jc w:val="left"/>
        <w:rPr>
          <w:rFonts w:ascii="宋体" w:hAnsi="宋体"/>
          <w:b/>
          <w:color w:val="auto"/>
          <w:kern w:val="0"/>
          <w:sz w:val="24"/>
          <w:szCs w:val="20"/>
          <w:highlight w:val="none"/>
        </w:rPr>
      </w:pPr>
      <w:bookmarkStart w:id="11" w:name="_Toc28359094"/>
      <w:bookmarkStart w:id="12" w:name="_Toc35393803"/>
      <w:bookmarkStart w:id="13" w:name="_Toc28359017"/>
      <w:bookmarkStart w:id="14" w:name="_Toc35393634"/>
      <w:r>
        <w:rPr>
          <w:rFonts w:hint="eastAsia" w:ascii="宋体" w:hAnsi="宋体"/>
          <w:b/>
          <w:color w:val="auto"/>
          <w:kern w:val="0"/>
          <w:sz w:val="24"/>
          <w:szCs w:val="20"/>
          <w:highlight w:val="none"/>
        </w:rPr>
        <w:t>六、公告期限</w:t>
      </w:r>
      <w:bookmarkEnd w:id="11"/>
      <w:bookmarkEnd w:id="12"/>
      <w:bookmarkEnd w:id="13"/>
      <w:bookmarkEnd w:id="14"/>
    </w:p>
    <w:p w14:paraId="53475A71">
      <w:pPr>
        <w:adjustRightIn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53475A72">
      <w:pPr>
        <w:adjustRightInd w:val="0"/>
        <w:snapToGrid w:val="0"/>
        <w:spacing w:line="360" w:lineRule="auto"/>
        <w:jc w:val="left"/>
        <w:rPr>
          <w:rFonts w:ascii="宋体" w:hAnsi="宋体"/>
          <w:b/>
          <w:color w:val="auto"/>
          <w:kern w:val="0"/>
          <w:sz w:val="24"/>
          <w:szCs w:val="20"/>
          <w:highlight w:val="none"/>
        </w:rPr>
      </w:pPr>
      <w:bookmarkStart w:id="15" w:name="_Toc35393635"/>
      <w:bookmarkStart w:id="16" w:name="_Toc35393804"/>
      <w:r>
        <w:rPr>
          <w:rFonts w:hint="eastAsia" w:ascii="宋体" w:hAnsi="宋体"/>
          <w:b/>
          <w:color w:val="auto"/>
          <w:kern w:val="0"/>
          <w:sz w:val="24"/>
          <w:szCs w:val="20"/>
          <w:highlight w:val="none"/>
        </w:rPr>
        <w:t>七、其他补充事宜</w:t>
      </w:r>
      <w:bookmarkEnd w:id="15"/>
      <w:bookmarkEnd w:id="16"/>
    </w:p>
    <w:p w14:paraId="53475A73">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1.磋商保证金：本项目不收取磋商保证金。</w:t>
      </w:r>
    </w:p>
    <w:p w14:paraId="53475A74">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工程项目，以及预留份额政府采购工程项目中的非预留部分标项，对小型和微型企业的磋商报价给予3%-5%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53475A75">
      <w:pPr>
        <w:adjustRightInd w:val="0"/>
        <w:spacing w:line="360" w:lineRule="auto"/>
        <w:ind w:firstLine="480" w:firstLineChars="200"/>
        <w:rPr>
          <w:color w:val="auto"/>
          <w:highlight w:val="none"/>
        </w:rPr>
      </w:pPr>
      <w:r>
        <w:rPr>
          <w:rFonts w:hint="eastAsia" w:ascii="宋体" w:hAnsi="宋体" w:cs="宋体"/>
          <w:snapToGrid w:val="0"/>
          <w:color w:val="auto"/>
          <w:kern w:val="28"/>
          <w:sz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53475A76">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4.网上公告媒体查询：中国政府采购网(http</w:t>
      </w:r>
      <w:r>
        <w:rPr>
          <w:rFonts w:hint="eastAsia" w:ascii="宋体" w:hAnsi="宋体" w:cs="宋体"/>
          <w:color w:val="auto"/>
          <w:sz w:val="24"/>
          <w:highlight w:val="none"/>
          <w:lang w:eastAsia="zh-CN"/>
        </w:rPr>
        <w:t>：</w:t>
      </w:r>
      <w:r>
        <w:rPr>
          <w:rFonts w:hint="eastAsia" w:ascii="宋体" w:hAnsi="宋体" w:cs="宋体"/>
          <w:color w:val="auto"/>
          <w:sz w:val="24"/>
          <w:highlight w:val="none"/>
        </w:rPr>
        <w:t>//www.ccgp.gov.cn/)、广西壮族自治区政府采购网(http</w:t>
      </w:r>
      <w:r>
        <w:rPr>
          <w:rFonts w:hint="eastAsia" w:ascii="宋体" w:hAnsi="宋体" w:cs="宋体"/>
          <w:color w:val="auto"/>
          <w:sz w:val="24"/>
          <w:highlight w:val="none"/>
          <w:lang w:eastAsia="zh-CN"/>
        </w:rPr>
        <w:t>：</w:t>
      </w:r>
      <w:r>
        <w:rPr>
          <w:rFonts w:hint="eastAsia" w:ascii="宋体" w:hAnsi="宋体" w:cs="宋体"/>
          <w:color w:val="auto"/>
          <w:sz w:val="24"/>
          <w:highlight w:val="none"/>
        </w:rPr>
        <w:t>//www.ccgp-guangxi.gov.cn/)、北海市政府采购监管网（https</w:t>
      </w:r>
      <w:r>
        <w:rPr>
          <w:rFonts w:hint="eastAsia" w:ascii="宋体" w:hAnsi="宋体" w:cs="宋体"/>
          <w:color w:val="auto"/>
          <w:sz w:val="24"/>
          <w:highlight w:val="none"/>
          <w:lang w:eastAsia="zh-CN"/>
        </w:rPr>
        <w:t>：</w:t>
      </w:r>
      <w:r>
        <w:rPr>
          <w:rFonts w:hint="eastAsia" w:ascii="宋体" w:hAnsi="宋体" w:cs="宋体"/>
          <w:color w:val="auto"/>
          <w:sz w:val="24"/>
          <w:highlight w:val="none"/>
        </w:rPr>
        <w:t>//bhzfcg.zcygov.cn/）。</w:t>
      </w:r>
    </w:p>
    <w:p w14:paraId="53475A77">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t>
      </w:r>
      <w:r>
        <w:rPr>
          <w:rFonts w:hint="eastAsia" w:ascii="宋体" w:hAnsi="宋体" w:cs="宋体"/>
          <w:color w:val="auto"/>
          <w:sz w:val="24"/>
          <w:highlight w:val="none"/>
          <w:lang w:eastAsia="zh-CN"/>
        </w:rPr>
        <w:t>：</w:t>
      </w:r>
      <w:r>
        <w:rPr>
          <w:rFonts w:hint="eastAsia" w:ascii="宋体" w:hAnsi="宋体" w:cs="宋体"/>
          <w:color w:val="auto"/>
          <w:sz w:val="24"/>
          <w:highlight w:val="none"/>
        </w:rPr>
        <w:t>//www.ccgp-guangxi.gov.cn/luban/detail?parentId=66479&amp;articleId=pSO9fZ16UrkQX4GkrKyqiA==&amp;utm=luban.luban-PC-38919.1085-pc-wsg-guangxi-secondPage-front.1.2e18f760d69611ed8f2cc9701088ccbf）（广西政府采购网）或（现场办理：https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//www.gxca.com.cn/detail/detail?articleId=1546808615271264258&amp;classifyId=1546335737551556610&amp;pid=1546335679795990530（广西壮族自治区数字证书认证中心）。</w:t>
      </w:r>
    </w:p>
    <w:p w14:paraId="53475A78">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6.各供应商通过广西政府采购云平台参与政府采购项目投标需下载使用新版客户端，新版客户端下载路径：广西政府采购网（http</w:t>
      </w:r>
      <w:r>
        <w:rPr>
          <w:rFonts w:hint="eastAsia" w:ascii="宋体" w:hAnsi="宋体" w:cs="宋体"/>
          <w:color w:val="auto"/>
          <w:sz w:val="24"/>
          <w:highlight w:val="none"/>
          <w:lang w:eastAsia="zh-CN"/>
        </w:rPr>
        <w:t>：</w:t>
      </w:r>
      <w:r>
        <w:rPr>
          <w:rFonts w:hint="eastAsia" w:ascii="宋体" w:hAnsi="宋体" w:cs="宋体"/>
          <w:color w:val="auto"/>
          <w:sz w:val="24"/>
          <w:highlight w:val="none"/>
        </w:rPr>
        <w:t>//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53475A79">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53475A7A">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8.本项目采用远程异地评审</w:t>
      </w:r>
      <w:r>
        <w:rPr>
          <w:rFonts w:hint="eastAsia" w:ascii="宋体" w:hAnsi="宋体" w:cs="宋体"/>
          <w:color w:val="auto"/>
          <w:sz w:val="24"/>
          <w:highlight w:val="none"/>
          <w:lang w:eastAsia="zh-CN"/>
        </w:rPr>
        <w:t>，评标主会场：广西亿翔荣工程管理有限责任公司（</w:t>
      </w:r>
      <w:r>
        <w:rPr>
          <w:rFonts w:hint="eastAsia" w:ascii="宋体" w:hAnsi="宋体" w:cs="宋体"/>
          <w:color w:val="auto"/>
          <w:sz w:val="24"/>
          <w:highlight w:val="none"/>
          <w:lang w:val="en-US" w:eastAsia="zh-CN"/>
        </w:rPr>
        <w:t>北海</w:t>
      </w:r>
      <w:r>
        <w:rPr>
          <w:rFonts w:hint="eastAsia" w:ascii="宋体" w:hAnsi="宋体" w:cs="宋体"/>
          <w:color w:val="auto"/>
          <w:sz w:val="24"/>
          <w:highlight w:val="none"/>
          <w:lang w:eastAsia="zh-CN"/>
        </w:rPr>
        <w:t>）；分会场：广西欣宝工程咨询有限公司（百色）</w:t>
      </w:r>
      <w:r>
        <w:rPr>
          <w:rFonts w:hint="eastAsia" w:ascii="宋体" w:hAnsi="宋体" w:cs="宋体"/>
          <w:color w:val="auto"/>
          <w:sz w:val="24"/>
          <w:highlight w:val="none"/>
        </w:rPr>
        <w:t>。</w:t>
      </w:r>
    </w:p>
    <w:p w14:paraId="53475A7B">
      <w:pPr>
        <w:adjustRightInd w:val="0"/>
        <w:snapToGrid w:val="0"/>
        <w:spacing w:line="360" w:lineRule="auto"/>
        <w:jc w:val="left"/>
        <w:rPr>
          <w:rFonts w:ascii="宋体" w:hAnsi="宋体"/>
          <w:b/>
          <w:color w:val="auto"/>
          <w:kern w:val="0"/>
          <w:sz w:val="24"/>
          <w:szCs w:val="20"/>
          <w:highlight w:val="none"/>
        </w:rPr>
      </w:pPr>
      <w:bookmarkStart w:id="17" w:name="_Toc28359018"/>
      <w:bookmarkStart w:id="18" w:name="_Toc28359095"/>
      <w:bookmarkStart w:id="19" w:name="_Toc35393805"/>
      <w:bookmarkStart w:id="20" w:name="_Toc35393636"/>
      <w:r>
        <w:rPr>
          <w:rFonts w:hint="eastAsia" w:ascii="宋体" w:hAnsi="宋体"/>
          <w:b/>
          <w:color w:val="auto"/>
          <w:kern w:val="0"/>
          <w:sz w:val="24"/>
          <w:szCs w:val="20"/>
          <w:highlight w:val="none"/>
        </w:rPr>
        <w:t>八、凡对本次采购提出询问、质疑、投诉，请按以下方式联系</w:t>
      </w:r>
      <w:bookmarkEnd w:id="17"/>
      <w:bookmarkEnd w:id="18"/>
      <w:bookmarkEnd w:id="19"/>
      <w:bookmarkEnd w:id="20"/>
    </w:p>
    <w:p w14:paraId="53475A7C">
      <w:pPr>
        <w:adjustRightIn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1.采购人信息</w:t>
      </w:r>
    </w:p>
    <w:p w14:paraId="53475A7D">
      <w:pPr>
        <w:adjustRightIn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合浦县水利局</w:t>
      </w:r>
      <w:r>
        <w:rPr>
          <w:rFonts w:hint="eastAsia" w:ascii="宋体" w:hAnsi="宋体" w:cs="宋体"/>
          <w:color w:val="auto"/>
          <w:sz w:val="24"/>
          <w:highlight w:val="none"/>
        </w:rPr>
        <w:t xml:space="preserve"> </w:t>
      </w:r>
    </w:p>
    <w:p w14:paraId="53475A7E">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cs="宋体"/>
          <w:color w:val="auto"/>
          <w:sz w:val="24"/>
          <w:highlight w:val="none"/>
          <w:lang w:eastAsia="zh-CN"/>
        </w:rPr>
        <w:t>合浦县廉州镇南乐街69号</w:t>
      </w:r>
      <w:r>
        <w:rPr>
          <w:rFonts w:hint="eastAsia" w:ascii="宋体" w:hAnsi="宋体" w:cs="宋体"/>
          <w:color w:val="auto"/>
          <w:sz w:val="24"/>
          <w:highlight w:val="none"/>
        </w:rPr>
        <w:t xml:space="preserve">   </w:t>
      </w:r>
    </w:p>
    <w:p w14:paraId="53475A7F">
      <w:pPr>
        <w:adjustRightIn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eastAsia="zh-CN"/>
        </w:rPr>
        <w:t>黄训颖</w:t>
      </w:r>
      <w:r>
        <w:rPr>
          <w:rFonts w:hint="eastAsia" w:ascii="宋体" w:hAnsi="宋体" w:cs="宋体"/>
          <w:color w:val="auto"/>
          <w:sz w:val="24"/>
          <w:highlight w:val="none"/>
        </w:rPr>
        <w:t xml:space="preserve"> </w:t>
      </w:r>
    </w:p>
    <w:p w14:paraId="53475A80">
      <w:pPr>
        <w:adjustRightInd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项目联系方式：</w:t>
      </w:r>
      <w:r>
        <w:rPr>
          <w:rFonts w:hint="eastAsia" w:ascii="宋体" w:hAnsi="宋体" w:cs="宋体"/>
          <w:color w:val="auto"/>
          <w:sz w:val="24"/>
          <w:highlight w:val="none"/>
          <w:lang w:eastAsia="zh-CN"/>
        </w:rPr>
        <w:t>0779-7285612</w:t>
      </w:r>
    </w:p>
    <w:p w14:paraId="53475A81">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53475A82">
      <w:pPr>
        <w:adjustRightInd w:val="0"/>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广西亿翔荣工程管理有限责任公司</w:t>
      </w:r>
    </w:p>
    <w:p w14:paraId="53475A83">
      <w:pPr>
        <w:adjustRightInd w:val="0"/>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北海市金海岸大道45号北部湾科技创业中心2幢0301号</w:t>
      </w:r>
    </w:p>
    <w:p w14:paraId="53475A84">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项目联系人（询问）：</w:t>
      </w:r>
      <w:r>
        <w:rPr>
          <w:rFonts w:hint="eastAsia" w:ascii="宋体" w:hAnsi="宋体" w:cs="宋体"/>
          <w:color w:val="auto"/>
          <w:sz w:val="24"/>
          <w:highlight w:val="none"/>
          <w:lang w:eastAsia="zh-CN"/>
        </w:rPr>
        <w:t>庄海宁</w:t>
      </w:r>
    </w:p>
    <w:p w14:paraId="53475A85">
      <w:pPr>
        <w:tabs>
          <w:tab w:val="left" w:pos="9639"/>
          <w:tab w:val="left" w:pos="9746"/>
        </w:tabs>
        <w:adjustRightInd w:val="0"/>
        <w:snapToGrid w:val="0"/>
        <w:ind w:firstLine="480" w:firstLineChars="200"/>
        <w:rPr>
          <w:rFonts w:ascii="宋体" w:hAnsi="宋体" w:cs="宋体"/>
          <w:color w:val="auto"/>
          <w:kern w:val="0"/>
          <w:szCs w:val="21"/>
          <w:highlight w:val="none"/>
        </w:rPr>
      </w:pPr>
      <w:r>
        <w:rPr>
          <w:rFonts w:hint="eastAsia" w:ascii="宋体" w:hAnsi="宋体" w:cs="宋体"/>
          <w:color w:val="auto"/>
          <w:sz w:val="24"/>
          <w:highlight w:val="none"/>
        </w:rPr>
        <w:t>项目联系方式（询问）：</w:t>
      </w:r>
      <w:r>
        <w:rPr>
          <w:rFonts w:hint="eastAsia" w:ascii="宋体" w:hAnsi="宋体" w:cs="宋体"/>
          <w:color w:val="auto"/>
          <w:sz w:val="24"/>
          <w:highlight w:val="none"/>
          <w:lang w:eastAsia="zh-CN"/>
        </w:rPr>
        <w:t>0779-2218733</w:t>
      </w:r>
      <w:r>
        <w:rPr>
          <w:rFonts w:hint="eastAsia" w:ascii="宋体" w:hAnsi="宋体" w:cs="宋体"/>
          <w:color w:val="auto"/>
          <w:sz w:val="24"/>
          <w:highlight w:val="none"/>
        </w:rPr>
        <w:t xml:space="preserve"> </w:t>
      </w:r>
    </w:p>
    <w:p w14:paraId="53475A86">
      <w:pPr>
        <w:tabs>
          <w:tab w:val="left" w:pos="9639"/>
          <w:tab w:val="left" w:pos="9746"/>
        </w:tabs>
        <w:adjustRightInd w:val="0"/>
        <w:snapToGrid w:val="0"/>
        <w:ind w:firstLine="6377" w:firstLineChars="3037"/>
        <w:rPr>
          <w:rFonts w:ascii="宋体" w:hAnsi="宋体" w:cs="宋体"/>
          <w:color w:val="auto"/>
          <w:kern w:val="0"/>
          <w:szCs w:val="21"/>
          <w:highlight w:val="none"/>
        </w:rPr>
      </w:pPr>
    </w:p>
    <w:p w14:paraId="53475A8B">
      <w:pPr>
        <w:adjustRightInd w:val="0"/>
        <w:spacing w:line="360" w:lineRule="auto"/>
        <w:ind w:firstLine="480" w:firstLineChars="200"/>
        <w:rPr>
          <w:rFonts w:ascii="仿宋_GB2312" w:hAnsi="宋体" w:eastAsia="仿宋_GB2312"/>
          <w:b/>
          <w:color w:val="auto"/>
          <w:sz w:val="32"/>
          <w:szCs w:val="32"/>
          <w:highlight w:val="none"/>
        </w:rPr>
      </w:pPr>
      <w:r>
        <w:rPr>
          <w:rFonts w:hint="eastAsia" w:ascii="宋体" w:hAnsi="宋体" w:cs="宋体"/>
          <w:color w:val="auto"/>
          <w:sz w:val="24"/>
          <w:highlight w:val="none"/>
        </w:rPr>
        <w:t>若对项目采购电子交易系统操作有疑问，可登录广西政府采购云平台（https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//www.zcygov.cn/），点击右侧咨询小采，获取采小蜜智能服务管家帮助，或拨打广西政府采购云平台服务热线95763获取热线服务帮助。</w:t>
      </w:r>
    </w:p>
    <w:p w14:paraId="53475A8C">
      <w:pPr>
        <w:spacing w:line="400" w:lineRule="exact"/>
        <w:jc w:val="center"/>
        <w:rPr>
          <w:rFonts w:ascii="仿宋_GB2312" w:hAnsi="宋体" w:eastAsia="仿宋_GB2312"/>
          <w:b/>
          <w:color w:val="auto"/>
          <w:sz w:val="32"/>
          <w:szCs w:val="32"/>
          <w:highlight w:val="none"/>
        </w:rPr>
      </w:pPr>
    </w:p>
    <w:p w14:paraId="53475A8D">
      <w:pPr>
        <w:spacing w:line="400" w:lineRule="exact"/>
        <w:jc w:val="center"/>
        <w:rPr>
          <w:rFonts w:ascii="仿宋_GB2312" w:hAnsi="宋体" w:eastAsia="仿宋_GB2312"/>
          <w:b/>
          <w:color w:val="auto"/>
          <w:sz w:val="32"/>
          <w:szCs w:val="32"/>
          <w:highlight w:val="none"/>
        </w:rPr>
      </w:pPr>
    </w:p>
    <w:p w14:paraId="53475A8E">
      <w:pPr>
        <w:spacing w:line="400" w:lineRule="exact"/>
        <w:jc w:val="center"/>
        <w:rPr>
          <w:rFonts w:ascii="仿宋_GB2312" w:hAnsi="宋体" w:eastAsia="仿宋_GB2312"/>
          <w:b/>
          <w:color w:val="auto"/>
          <w:sz w:val="32"/>
          <w:szCs w:val="32"/>
          <w:highlight w:val="none"/>
        </w:rPr>
      </w:pPr>
    </w:p>
    <w:p w14:paraId="53475A8F">
      <w:pPr>
        <w:spacing w:line="400" w:lineRule="exact"/>
        <w:jc w:val="center"/>
        <w:rPr>
          <w:rFonts w:ascii="仿宋_GB2312" w:hAnsi="宋体" w:eastAsia="仿宋_GB2312"/>
          <w:b/>
          <w:color w:val="auto"/>
          <w:sz w:val="32"/>
          <w:szCs w:val="32"/>
          <w:highlight w:val="none"/>
        </w:rPr>
      </w:pPr>
    </w:p>
    <w:p w14:paraId="53475A90">
      <w:pPr>
        <w:spacing w:line="400" w:lineRule="exact"/>
        <w:jc w:val="center"/>
        <w:rPr>
          <w:rFonts w:ascii="仿宋_GB2312" w:hAnsi="宋体" w:eastAsia="仿宋_GB2312"/>
          <w:b/>
          <w:color w:val="auto"/>
          <w:sz w:val="32"/>
          <w:szCs w:val="32"/>
          <w:highlight w:val="none"/>
        </w:rPr>
      </w:pPr>
    </w:p>
    <w:p w14:paraId="53475A91">
      <w:pPr>
        <w:spacing w:line="400" w:lineRule="exact"/>
        <w:jc w:val="center"/>
        <w:rPr>
          <w:rFonts w:ascii="仿宋_GB2312" w:hAnsi="宋体" w:eastAsia="仿宋_GB2312"/>
          <w:b/>
          <w:color w:val="auto"/>
          <w:sz w:val="32"/>
          <w:szCs w:val="32"/>
          <w:highlight w:val="none"/>
        </w:rPr>
      </w:pPr>
    </w:p>
    <w:p w14:paraId="53475A92">
      <w:pPr>
        <w:spacing w:line="400" w:lineRule="exact"/>
        <w:jc w:val="center"/>
        <w:rPr>
          <w:rFonts w:ascii="仿宋_GB2312" w:hAnsi="宋体" w:eastAsia="仿宋_GB2312"/>
          <w:b/>
          <w:color w:val="auto"/>
          <w:sz w:val="32"/>
          <w:szCs w:val="32"/>
          <w:highlight w:val="none"/>
        </w:rPr>
      </w:pPr>
    </w:p>
    <w:p w14:paraId="53475A93">
      <w:pPr>
        <w:spacing w:line="400" w:lineRule="exact"/>
        <w:jc w:val="center"/>
        <w:rPr>
          <w:rFonts w:ascii="仿宋_GB2312" w:hAnsi="宋体" w:eastAsia="仿宋_GB2312"/>
          <w:b/>
          <w:color w:val="auto"/>
          <w:sz w:val="32"/>
          <w:szCs w:val="32"/>
          <w:highlight w:val="none"/>
        </w:rPr>
      </w:pPr>
    </w:p>
    <w:p w14:paraId="53475A94">
      <w:pPr>
        <w:spacing w:line="400" w:lineRule="exact"/>
        <w:jc w:val="center"/>
        <w:rPr>
          <w:rFonts w:ascii="仿宋_GB2312" w:hAnsi="宋体" w:eastAsia="仿宋_GB2312"/>
          <w:b/>
          <w:color w:val="auto"/>
          <w:sz w:val="32"/>
          <w:szCs w:val="32"/>
          <w:highlight w:val="none"/>
        </w:rPr>
      </w:pPr>
    </w:p>
    <w:p w14:paraId="53475A95">
      <w:pPr>
        <w:spacing w:line="400" w:lineRule="exact"/>
        <w:jc w:val="center"/>
        <w:rPr>
          <w:rFonts w:ascii="仿宋_GB2312" w:hAnsi="宋体" w:eastAsia="仿宋_GB2312"/>
          <w:b/>
          <w:color w:val="auto"/>
          <w:sz w:val="32"/>
          <w:szCs w:val="32"/>
          <w:highlight w:val="none"/>
        </w:rPr>
      </w:pPr>
    </w:p>
    <w:p w14:paraId="53475A96">
      <w:pPr>
        <w:spacing w:line="600" w:lineRule="exact"/>
        <w:jc w:val="center"/>
        <w:outlineLvl w:val="0"/>
        <w:rPr>
          <w:rFonts w:ascii="宋体" w:hAnsi="宋体"/>
          <w:b/>
          <w:color w:val="auto"/>
          <w:sz w:val="44"/>
          <w:szCs w:val="44"/>
          <w:highlight w:val="none"/>
        </w:rPr>
      </w:pPr>
      <w:bookmarkStart w:id="21" w:name="_Toc176861407"/>
      <w:bookmarkStart w:id="22" w:name="_Toc3994504"/>
      <w:bookmarkStart w:id="23" w:name="_Toc3943"/>
      <w:r>
        <w:rPr>
          <w:rFonts w:hint="eastAsia" w:ascii="宋体" w:hAnsi="宋体"/>
          <w:b/>
          <w:color w:val="auto"/>
          <w:sz w:val="44"/>
          <w:szCs w:val="44"/>
          <w:highlight w:val="none"/>
        </w:rPr>
        <w:t>第二章  磋商供应商须知</w:t>
      </w:r>
      <w:bookmarkEnd w:id="21"/>
      <w:bookmarkEnd w:id="22"/>
      <w:bookmarkEnd w:id="23"/>
    </w:p>
    <w:p w14:paraId="53475A97">
      <w:pPr>
        <w:spacing w:line="400" w:lineRule="exact"/>
        <w:jc w:val="center"/>
        <w:rPr>
          <w:rFonts w:ascii="仿宋_GB2312" w:hAnsi="宋体" w:eastAsia="仿宋_GB2312"/>
          <w:b/>
          <w:color w:val="auto"/>
          <w:sz w:val="32"/>
          <w:szCs w:val="32"/>
          <w:highlight w:val="none"/>
        </w:rPr>
      </w:pPr>
    </w:p>
    <w:p w14:paraId="53475A98">
      <w:pPr>
        <w:spacing w:line="400" w:lineRule="exact"/>
        <w:jc w:val="center"/>
        <w:rPr>
          <w:rFonts w:ascii="仿宋_GB2312" w:hAnsi="宋体" w:eastAsia="仿宋_GB2312"/>
          <w:b/>
          <w:color w:val="auto"/>
          <w:sz w:val="32"/>
          <w:szCs w:val="32"/>
          <w:highlight w:val="none"/>
        </w:rPr>
      </w:pPr>
    </w:p>
    <w:p w14:paraId="53475A99">
      <w:pPr>
        <w:spacing w:line="400" w:lineRule="exact"/>
        <w:jc w:val="center"/>
        <w:rPr>
          <w:rFonts w:ascii="仿宋_GB2312" w:hAnsi="宋体" w:eastAsia="仿宋_GB2312"/>
          <w:b/>
          <w:color w:val="auto"/>
          <w:sz w:val="32"/>
          <w:szCs w:val="32"/>
          <w:highlight w:val="none"/>
        </w:rPr>
      </w:pPr>
    </w:p>
    <w:p w14:paraId="53475A9A">
      <w:pPr>
        <w:spacing w:line="400" w:lineRule="exact"/>
        <w:jc w:val="center"/>
        <w:rPr>
          <w:rFonts w:ascii="仿宋_GB2312" w:hAnsi="宋体" w:eastAsia="仿宋_GB2312"/>
          <w:b/>
          <w:color w:val="auto"/>
          <w:sz w:val="32"/>
          <w:szCs w:val="32"/>
          <w:highlight w:val="none"/>
        </w:rPr>
      </w:pPr>
    </w:p>
    <w:p w14:paraId="53475A9B">
      <w:pPr>
        <w:spacing w:line="400" w:lineRule="exact"/>
        <w:jc w:val="center"/>
        <w:rPr>
          <w:rFonts w:ascii="仿宋_GB2312" w:hAnsi="宋体" w:eastAsia="仿宋_GB2312"/>
          <w:b/>
          <w:color w:val="auto"/>
          <w:sz w:val="32"/>
          <w:szCs w:val="32"/>
          <w:highlight w:val="none"/>
        </w:rPr>
      </w:pPr>
    </w:p>
    <w:p w14:paraId="53475AA1">
      <w:pPr>
        <w:spacing w:line="400" w:lineRule="exact"/>
        <w:jc w:val="both"/>
        <w:rPr>
          <w:rFonts w:ascii="仿宋_GB2312" w:hAnsi="宋体" w:eastAsia="仿宋_GB2312"/>
          <w:b/>
          <w:color w:val="auto"/>
          <w:sz w:val="32"/>
          <w:szCs w:val="32"/>
          <w:highlight w:val="none"/>
        </w:rPr>
      </w:pPr>
    </w:p>
    <w:p w14:paraId="53475AAA">
      <w:pPr>
        <w:rPr>
          <w:color w:val="auto"/>
          <w:highlight w:val="none"/>
        </w:rPr>
      </w:pPr>
    </w:p>
    <w:p w14:paraId="53475AAB">
      <w:pPr>
        <w:pStyle w:val="18"/>
        <w:rPr>
          <w:color w:val="auto"/>
          <w:highlight w:val="none"/>
        </w:rPr>
      </w:pPr>
    </w:p>
    <w:p w14:paraId="53475AAC">
      <w:pPr>
        <w:spacing w:line="400" w:lineRule="exact"/>
        <w:rPr>
          <w:rFonts w:ascii="仿宋_GB2312" w:hAnsi="宋体" w:eastAsia="仿宋_GB2312"/>
          <w:b/>
          <w:color w:val="auto"/>
          <w:sz w:val="32"/>
          <w:szCs w:val="32"/>
          <w:highlight w:val="none"/>
        </w:rPr>
      </w:pPr>
    </w:p>
    <w:p w14:paraId="369529E9">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53475AAD">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磋商</w:t>
      </w:r>
      <w:r>
        <w:rPr>
          <w:rFonts w:ascii="宋体" w:hAnsi="宋体"/>
          <w:b/>
          <w:color w:val="auto"/>
          <w:sz w:val="32"/>
          <w:szCs w:val="32"/>
          <w:highlight w:val="none"/>
        </w:rPr>
        <w:t>供应商须知前附表</w:t>
      </w:r>
    </w:p>
    <w:tbl>
      <w:tblPr>
        <w:tblStyle w:val="37"/>
        <w:tblW w:w="10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84"/>
        <w:gridCol w:w="8781"/>
      </w:tblGrid>
      <w:tr w14:paraId="5347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37" w:type="dxa"/>
            <w:vAlign w:val="center"/>
          </w:tcPr>
          <w:p w14:paraId="53475AAE">
            <w:pPr>
              <w:pStyle w:val="77"/>
              <w:spacing w:line="360" w:lineRule="auto"/>
              <w:jc w:val="center"/>
              <w:rPr>
                <w:rFonts w:hAnsi="宋体"/>
                <w:color w:val="auto"/>
                <w:sz w:val="24"/>
                <w:szCs w:val="24"/>
                <w:highlight w:val="none"/>
              </w:rPr>
            </w:pPr>
            <w:r>
              <w:rPr>
                <w:rFonts w:hint="eastAsia" w:hAnsi="宋体"/>
                <w:color w:val="auto"/>
                <w:sz w:val="24"/>
                <w:szCs w:val="24"/>
                <w:highlight w:val="none"/>
              </w:rPr>
              <w:t>序号</w:t>
            </w:r>
          </w:p>
        </w:tc>
        <w:tc>
          <w:tcPr>
            <w:tcW w:w="1284" w:type="dxa"/>
            <w:vAlign w:val="center"/>
          </w:tcPr>
          <w:p w14:paraId="53475AAF">
            <w:pPr>
              <w:pStyle w:val="77"/>
              <w:spacing w:line="360" w:lineRule="auto"/>
              <w:jc w:val="center"/>
              <w:rPr>
                <w:rFonts w:hAnsi="宋体"/>
                <w:color w:val="auto"/>
                <w:sz w:val="24"/>
                <w:szCs w:val="24"/>
                <w:highlight w:val="none"/>
              </w:rPr>
            </w:pPr>
            <w:r>
              <w:rPr>
                <w:rFonts w:hint="eastAsia" w:hAnsi="宋体"/>
                <w:color w:val="auto"/>
                <w:sz w:val="24"/>
                <w:szCs w:val="24"/>
                <w:highlight w:val="none"/>
              </w:rPr>
              <w:t>名称</w:t>
            </w:r>
          </w:p>
        </w:tc>
        <w:tc>
          <w:tcPr>
            <w:tcW w:w="8781" w:type="dxa"/>
            <w:vAlign w:val="center"/>
          </w:tcPr>
          <w:p w14:paraId="53475AB0">
            <w:pPr>
              <w:pStyle w:val="77"/>
              <w:spacing w:line="360" w:lineRule="auto"/>
              <w:jc w:val="center"/>
              <w:rPr>
                <w:rFonts w:hAnsi="宋体"/>
                <w:color w:val="auto"/>
                <w:sz w:val="24"/>
                <w:szCs w:val="24"/>
                <w:highlight w:val="none"/>
              </w:rPr>
            </w:pPr>
            <w:r>
              <w:rPr>
                <w:rFonts w:hint="eastAsia" w:hAnsi="宋体"/>
                <w:color w:val="auto"/>
                <w:sz w:val="24"/>
                <w:szCs w:val="24"/>
                <w:highlight w:val="none"/>
              </w:rPr>
              <w:t>内    容</w:t>
            </w:r>
          </w:p>
        </w:tc>
      </w:tr>
      <w:tr w14:paraId="5347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53475AB2">
            <w:pPr>
              <w:pStyle w:val="77"/>
              <w:spacing w:line="360" w:lineRule="auto"/>
              <w:jc w:val="center"/>
              <w:rPr>
                <w:rFonts w:hAnsi="宋体"/>
                <w:color w:val="auto"/>
                <w:sz w:val="24"/>
                <w:szCs w:val="24"/>
                <w:highlight w:val="none"/>
              </w:rPr>
            </w:pPr>
            <w:r>
              <w:rPr>
                <w:rFonts w:hint="eastAsia" w:hAnsi="宋体"/>
                <w:color w:val="auto"/>
                <w:sz w:val="24"/>
                <w:szCs w:val="24"/>
                <w:highlight w:val="none"/>
              </w:rPr>
              <w:t>1</w:t>
            </w:r>
          </w:p>
        </w:tc>
        <w:tc>
          <w:tcPr>
            <w:tcW w:w="1284" w:type="dxa"/>
            <w:vAlign w:val="center"/>
          </w:tcPr>
          <w:p w14:paraId="53475AB3">
            <w:pPr>
              <w:pStyle w:val="77"/>
              <w:spacing w:line="360" w:lineRule="auto"/>
              <w:jc w:val="center"/>
              <w:rPr>
                <w:rFonts w:hAnsi="宋体"/>
                <w:color w:val="auto"/>
                <w:sz w:val="24"/>
                <w:szCs w:val="24"/>
                <w:highlight w:val="none"/>
              </w:rPr>
            </w:pPr>
            <w:r>
              <w:rPr>
                <w:rFonts w:hint="eastAsia" w:hAnsi="宋体"/>
                <w:color w:val="auto"/>
                <w:sz w:val="24"/>
                <w:szCs w:val="24"/>
                <w:highlight w:val="none"/>
              </w:rPr>
              <w:t>项目名称及编号</w:t>
            </w:r>
          </w:p>
        </w:tc>
        <w:tc>
          <w:tcPr>
            <w:tcW w:w="8781" w:type="dxa"/>
            <w:vAlign w:val="center"/>
          </w:tcPr>
          <w:p w14:paraId="53475AB4">
            <w:pPr>
              <w:spacing w:line="360" w:lineRule="auto"/>
              <w:rPr>
                <w:rFonts w:hint="eastAsia" w:ascii="宋体" w:hAnsi="宋体" w:eastAsia="宋体" w:cs="宋体"/>
                <w:color w:val="auto"/>
                <w:spacing w:val="2"/>
                <w:sz w:val="24"/>
                <w:highlight w:val="none"/>
                <w:lang w:eastAsia="zh-CN"/>
              </w:rPr>
            </w:pPr>
            <w:r>
              <w:rPr>
                <w:rFonts w:hint="eastAsia" w:ascii="宋体" w:hAnsi="宋体" w:cs="宋体"/>
                <w:color w:val="auto"/>
                <w:spacing w:val="2"/>
                <w:sz w:val="24"/>
                <w:highlight w:val="none"/>
              </w:rPr>
              <w:t>工程名称：</w:t>
            </w:r>
            <w:r>
              <w:rPr>
                <w:rFonts w:hint="eastAsia" w:ascii="宋体" w:hAnsi="宋体" w:cs="宋体"/>
                <w:color w:val="auto"/>
                <w:spacing w:val="2"/>
                <w:sz w:val="24"/>
                <w:highlight w:val="none"/>
                <w:lang w:eastAsia="zh-CN"/>
              </w:rPr>
              <w:t>2025年合浦县常乐镇车板江低坡村委东头岭段护岸加固工程</w:t>
            </w:r>
          </w:p>
          <w:p w14:paraId="53475AB5">
            <w:pPr>
              <w:spacing w:line="360" w:lineRule="auto"/>
              <w:rPr>
                <w:rFonts w:hint="eastAsia" w:ascii="宋体" w:hAnsi="宋体" w:eastAsia="宋体" w:cs="宋体"/>
                <w:color w:val="auto"/>
                <w:spacing w:val="2"/>
                <w:sz w:val="24"/>
                <w:highlight w:val="none"/>
                <w:lang w:eastAsia="zh-CN"/>
              </w:rPr>
            </w:pPr>
            <w:r>
              <w:rPr>
                <w:rFonts w:hint="eastAsia" w:ascii="宋体" w:hAnsi="宋体" w:cs="宋体"/>
                <w:color w:val="auto"/>
                <w:spacing w:val="2"/>
                <w:sz w:val="24"/>
                <w:highlight w:val="none"/>
              </w:rPr>
              <w:t>项目编号：</w:t>
            </w:r>
            <w:r>
              <w:rPr>
                <w:rFonts w:hint="eastAsia" w:ascii="宋体" w:hAnsi="宋体" w:cs="宋体"/>
                <w:color w:val="auto"/>
                <w:spacing w:val="2"/>
                <w:sz w:val="24"/>
                <w:highlight w:val="none"/>
                <w:lang w:eastAsia="zh-CN"/>
              </w:rPr>
              <w:t>BHZC2025-C2-210210-GXYX</w:t>
            </w:r>
          </w:p>
          <w:p w14:paraId="53475AB6">
            <w:pPr>
              <w:spacing w:line="360" w:lineRule="auto"/>
              <w:rPr>
                <w:rFonts w:hint="eastAsia" w:ascii="宋体" w:hAnsi="宋体" w:eastAsia="宋体" w:cs="宋体"/>
                <w:color w:val="auto"/>
                <w:sz w:val="24"/>
                <w:highlight w:val="none"/>
                <w:lang w:eastAsia="zh-CN"/>
              </w:rPr>
            </w:pPr>
            <w:r>
              <w:rPr>
                <w:rFonts w:hint="eastAsia" w:ascii="宋体" w:hAnsi="宋体" w:cs="宋体"/>
                <w:color w:val="auto"/>
                <w:spacing w:val="2"/>
                <w:sz w:val="24"/>
                <w:highlight w:val="none"/>
              </w:rPr>
              <w:t>建设地点：</w:t>
            </w:r>
            <w:r>
              <w:rPr>
                <w:rFonts w:hint="eastAsia" w:ascii="宋体" w:hAnsi="宋体"/>
                <w:color w:val="auto"/>
                <w:sz w:val="24"/>
                <w:highlight w:val="none"/>
                <w:u w:val="none"/>
                <w:lang w:eastAsia="zh-CN"/>
              </w:rPr>
              <w:t>合浦县常乐镇低坡村委东头岭村附近的车板江护岸</w:t>
            </w:r>
          </w:p>
          <w:p w14:paraId="53475AB7">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发包方式：包工包料</w:t>
            </w:r>
          </w:p>
          <w:p w14:paraId="53475AB8">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工程质量要求：达到国家工程施工验收规范合格标准</w:t>
            </w:r>
          </w:p>
          <w:p w14:paraId="53475AB9">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要求工期：</w:t>
            </w:r>
            <w:r>
              <w:rPr>
                <w:rFonts w:hint="eastAsia" w:ascii="宋体" w:hAnsi="宋体" w:cs="宋体"/>
                <w:color w:val="auto"/>
                <w:spacing w:val="2"/>
                <w:sz w:val="24"/>
                <w:highlight w:val="none"/>
                <w:lang w:eastAsia="zh-CN"/>
              </w:rPr>
              <w:t>监理签发的开工日起</w:t>
            </w:r>
            <w:r>
              <w:rPr>
                <w:rFonts w:hint="eastAsia" w:ascii="宋体" w:hAnsi="宋体" w:cs="宋体"/>
                <w:color w:val="auto"/>
                <w:spacing w:val="2"/>
                <w:sz w:val="24"/>
                <w:highlight w:val="none"/>
                <w:lang w:val="en-US" w:eastAsia="zh-CN"/>
              </w:rPr>
              <w:t>60</w:t>
            </w:r>
            <w:r>
              <w:rPr>
                <w:rFonts w:hint="eastAsia" w:ascii="宋体" w:hAnsi="宋体" w:cs="宋体"/>
                <w:color w:val="auto"/>
                <w:spacing w:val="2"/>
                <w:sz w:val="24"/>
                <w:highlight w:val="none"/>
                <w:lang w:eastAsia="zh-CN"/>
              </w:rPr>
              <w:t>日历天内完成</w:t>
            </w:r>
            <w:r>
              <w:rPr>
                <w:rFonts w:hint="eastAsia" w:ascii="宋体" w:hAnsi="宋体" w:cs="宋体"/>
                <w:color w:val="auto"/>
                <w:spacing w:val="2"/>
                <w:sz w:val="24"/>
                <w:highlight w:val="none"/>
              </w:rPr>
              <w:t xml:space="preserve"> </w:t>
            </w:r>
          </w:p>
          <w:p w14:paraId="53475ABA">
            <w:pPr>
              <w:pStyle w:val="77"/>
              <w:spacing w:line="360" w:lineRule="auto"/>
              <w:rPr>
                <w:rFonts w:hAnsi="宋体"/>
                <w:color w:val="auto"/>
                <w:sz w:val="24"/>
                <w:szCs w:val="24"/>
                <w:highlight w:val="none"/>
              </w:rPr>
            </w:pPr>
            <w:r>
              <w:rPr>
                <w:rFonts w:hint="eastAsia" w:hAnsi="宋体" w:cs="宋体"/>
                <w:color w:val="auto"/>
                <w:spacing w:val="2"/>
                <w:sz w:val="24"/>
                <w:szCs w:val="24"/>
                <w:highlight w:val="none"/>
              </w:rPr>
              <w:t xml:space="preserve">采购范围：施工图纸及工程量清单所包含的全部内容。 </w:t>
            </w:r>
          </w:p>
        </w:tc>
      </w:tr>
      <w:tr w14:paraId="5347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53475ABC">
            <w:pPr>
              <w:pStyle w:val="77"/>
              <w:spacing w:line="360" w:lineRule="auto"/>
              <w:jc w:val="center"/>
              <w:rPr>
                <w:rFonts w:hAnsi="宋体"/>
                <w:color w:val="auto"/>
                <w:sz w:val="24"/>
                <w:szCs w:val="24"/>
                <w:highlight w:val="none"/>
              </w:rPr>
            </w:pPr>
            <w:r>
              <w:rPr>
                <w:rFonts w:hint="eastAsia" w:hAnsi="宋体"/>
                <w:color w:val="auto"/>
                <w:sz w:val="24"/>
                <w:szCs w:val="24"/>
                <w:highlight w:val="none"/>
              </w:rPr>
              <w:t>2</w:t>
            </w:r>
          </w:p>
        </w:tc>
        <w:tc>
          <w:tcPr>
            <w:tcW w:w="1284" w:type="dxa"/>
            <w:vAlign w:val="center"/>
          </w:tcPr>
          <w:p w14:paraId="53475ABD">
            <w:pPr>
              <w:pStyle w:val="77"/>
              <w:spacing w:line="360" w:lineRule="auto"/>
              <w:rPr>
                <w:rFonts w:hAnsi="宋体"/>
                <w:color w:val="auto"/>
                <w:sz w:val="24"/>
                <w:szCs w:val="24"/>
                <w:highlight w:val="none"/>
              </w:rPr>
            </w:pPr>
            <w:r>
              <w:rPr>
                <w:rFonts w:hint="eastAsia" w:hAnsi="宋体"/>
                <w:color w:val="auto"/>
                <w:sz w:val="24"/>
                <w:szCs w:val="24"/>
                <w:highlight w:val="none"/>
              </w:rPr>
              <w:t>资金来源</w:t>
            </w:r>
          </w:p>
        </w:tc>
        <w:tc>
          <w:tcPr>
            <w:tcW w:w="8781" w:type="dxa"/>
            <w:vAlign w:val="center"/>
          </w:tcPr>
          <w:p w14:paraId="53475ABE">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本工程的资金来源为</w:t>
            </w:r>
            <w:r>
              <w:rPr>
                <w:rFonts w:hint="eastAsia" w:ascii="宋体" w:hAnsi="宋体" w:cs="宋体"/>
                <w:color w:val="auto"/>
                <w:spacing w:val="2"/>
                <w:sz w:val="24"/>
                <w:highlight w:val="none"/>
                <w:u w:val="single"/>
              </w:rPr>
              <w:t xml:space="preserve"> 财政资金 </w:t>
            </w:r>
            <w:r>
              <w:rPr>
                <w:rFonts w:hint="eastAsia" w:ascii="宋体" w:hAnsi="宋体" w:cs="宋体"/>
                <w:color w:val="auto"/>
                <w:spacing w:val="2"/>
                <w:sz w:val="24"/>
                <w:highlight w:val="none"/>
              </w:rPr>
              <w:t>，资金已落实，并将资金用于本工程合同项下的合格支付。</w:t>
            </w:r>
          </w:p>
          <w:p w14:paraId="53475ABF">
            <w:pPr>
              <w:pStyle w:val="77"/>
              <w:spacing w:line="360" w:lineRule="auto"/>
              <w:rPr>
                <w:rFonts w:hint="default" w:hAnsi="宋体" w:eastAsia="宋体" w:cs="宋体"/>
                <w:color w:val="auto"/>
                <w:spacing w:val="2"/>
                <w:sz w:val="24"/>
                <w:szCs w:val="24"/>
                <w:highlight w:val="none"/>
                <w:lang w:val="en-US" w:eastAsia="zh-CN"/>
              </w:rPr>
            </w:pPr>
            <w:r>
              <w:rPr>
                <w:rFonts w:hint="eastAsia" w:hAnsi="宋体" w:cs="宋体"/>
                <w:color w:val="auto"/>
                <w:spacing w:val="2"/>
                <w:sz w:val="24"/>
                <w:szCs w:val="24"/>
                <w:highlight w:val="none"/>
              </w:rPr>
              <w:t>本项目采购预算控制价（包含建安劳保费）</w:t>
            </w:r>
            <w:r>
              <w:rPr>
                <w:rFonts w:hint="eastAsia" w:hAnsi="宋体" w:cs="宋体"/>
                <w:color w:val="auto"/>
                <w:spacing w:val="2"/>
                <w:sz w:val="24"/>
                <w:szCs w:val="24"/>
                <w:highlight w:val="none"/>
                <w:lang w:eastAsia="zh-CN"/>
              </w:rPr>
              <w:t>：</w:t>
            </w:r>
            <w:r>
              <w:rPr>
                <w:rFonts w:hint="eastAsia" w:hAnsi="宋体" w:cs="宋体"/>
                <w:color w:val="auto"/>
                <w:spacing w:val="2"/>
                <w:sz w:val="24"/>
                <w:szCs w:val="24"/>
                <w:highlight w:val="none"/>
              </w:rPr>
              <w:t xml:space="preserve"> </w:t>
            </w:r>
            <w:r>
              <w:rPr>
                <w:rFonts w:hint="eastAsia" w:hAnsi="宋体"/>
                <w:color w:val="auto"/>
                <w:sz w:val="24"/>
                <w:highlight w:val="none"/>
                <w:lang w:eastAsia="zh-CN"/>
              </w:rPr>
              <w:t>1923946.32</w:t>
            </w:r>
            <w:r>
              <w:rPr>
                <w:rFonts w:hint="eastAsia" w:hAnsi="宋体"/>
                <w:color w:val="auto"/>
                <w:sz w:val="24"/>
                <w:highlight w:val="none"/>
                <w:lang w:val="en-US" w:eastAsia="zh-CN"/>
              </w:rPr>
              <w:t>元</w:t>
            </w:r>
          </w:p>
        </w:tc>
      </w:tr>
      <w:tr w14:paraId="5347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53475AC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284" w:type="dxa"/>
            <w:vAlign w:val="center"/>
          </w:tcPr>
          <w:p w14:paraId="53475AC2">
            <w:pPr>
              <w:pStyle w:val="101"/>
              <w:ind w:firstLine="0"/>
              <w:jc w:val="center"/>
              <w:rPr>
                <w:color w:val="auto"/>
                <w:highlight w:val="none"/>
              </w:rPr>
            </w:pPr>
            <w:r>
              <w:rPr>
                <w:rFonts w:hint="eastAsia"/>
                <w:color w:val="auto"/>
                <w:highlight w:val="none"/>
              </w:rPr>
              <w:t>采购标的及其对应的中小企业划分标准所属行业</w:t>
            </w:r>
          </w:p>
        </w:tc>
        <w:tc>
          <w:tcPr>
            <w:tcW w:w="8781" w:type="dxa"/>
            <w:vAlign w:val="center"/>
          </w:tcPr>
          <w:p w14:paraId="53475AC3">
            <w:pPr>
              <w:pStyle w:val="101"/>
              <w:ind w:firstLine="0"/>
              <w:rPr>
                <w:color w:val="auto"/>
                <w:highlight w:val="none"/>
              </w:rPr>
            </w:pPr>
            <w:r>
              <w:rPr>
                <w:rFonts w:hint="eastAsia"/>
                <w:color w:val="auto"/>
                <w:highlight w:val="none"/>
              </w:rPr>
              <w:t>（1）标的：</w:t>
            </w:r>
            <w:r>
              <w:rPr>
                <w:rFonts w:hint="eastAsia"/>
                <w:color w:val="auto"/>
                <w:highlight w:val="none"/>
                <w:u w:val="single"/>
              </w:rPr>
              <w:t xml:space="preserve"> </w:t>
            </w:r>
            <w:r>
              <w:rPr>
                <w:rFonts w:hint="eastAsia"/>
                <w:color w:val="auto"/>
                <w:highlight w:val="none"/>
                <w:u w:val="single"/>
                <w:lang w:eastAsia="zh-CN"/>
              </w:rPr>
              <w:t>2025年合浦县常乐镇车板江低坡村委东头岭段护岸加固工程</w:t>
            </w:r>
            <w:r>
              <w:rPr>
                <w:rFonts w:hint="eastAsia"/>
                <w:color w:val="auto"/>
                <w:highlight w:val="none"/>
                <w:u w:val="single"/>
              </w:rPr>
              <w:t xml:space="preserve"> </w:t>
            </w:r>
            <w:r>
              <w:rPr>
                <w:rFonts w:hint="eastAsia"/>
                <w:color w:val="auto"/>
                <w:highlight w:val="none"/>
              </w:rPr>
              <w:t>，属于</w:t>
            </w:r>
            <w:r>
              <w:rPr>
                <w:rFonts w:hint="eastAsia"/>
                <w:color w:val="auto"/>
                <w:highlight w:val="none"/>
                <w:u w:val="single"/>
              </w:rPr>
              <w:t xml:space="preserve"> 建筑业 </w:t>
            </w:r>
            <w:r>
              <w:rPr>
                <w:rFonts w:hint="eastAsia"/>
                <w:color w:val="auto"/>
                <w:highlight w:val="none"/>
              </w:rPr>
              <w:t>行业；</w:t>
            </w:r>
          </w:p>
        </w:tc>
      </w:tr>
      <w:tr w14:paraId="5347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37" w:type="dxa"/>
            <w:vAlign w:val="center"/>
          </w:tcPr>
          <w:p w14:paraId="53475AC5">
            <w:pPr>
              <w:pStyle w:val="77"/>
              <w:spacing w:line="360" w:lineRule="auto"/>
              <w:jc w:val="center"/>
              <w:rPr>
                <w:rFonts w:hAnsi="宋体"/>
                <w:color w:val="auto"/>
                <w:sz w:val="24"/>
                <w:szCs w:val="24"/>
                <w:highlight w:val="none"/>
              </w:rPr>
            </w:pPr>
            <w:r>
              <w:rPr>
                <w:rFonts w:hint="eastAsia" w:hAnsi="宋体"/>
                <w:color w:val="auto"/>
                <w:sz w:val="24"/>
                <w:szCs w:val="24"/>
                <w:highlight w:val="none"/>
              </w:rPr>
              <w:t>4</w:t>
            </w:r>
          </w:p>
        </w:tc>
        <w:tc>
          <w:tcPr>
            <w:tcW w:w="1284" w:type="dxa"/>
            <w:vAlign w:val="center"/>
          </w:tcPr>
          <w:p w14:paraId="53475AC6">
            <w:pPr>
              <w:pStyle w:val="77"/>
              <w:spacing w:line="360" w:lineRule="auto"/>
              <w:jc w:val="center"/>
              <w:rPr>
                <w:rFonts w:hAnsi="宋体"/>
                <w:color w:val="auto"/>
                <w:sz w:val="24"/>
                <w:szCs w:val="24"/>
                <w:highlight w:val="none"/>
              </w:rPr>
            </w:pPr>
            <w:r>
              <w:rPr>
                <w:rFonts w:hint="eastAsia" w:hAnsi="宋体"/>
                <w:color w:val="auto"/>
                <w:sz w:val="24"/>
                <w:szCs w:val="24"/>
                <w:highlight w:val="none"/>
              </w:rPr>
              <w:t>磋商供应商资格</w:t>
            </w:r>
          </w:p>
        </w:tc>
        <w:tc>
          <w:tcPr>
            <w:tcW w:w="8781" w:type="dxa"/>
            <w:vAlign w:val="center"/>
          </w:tcPr>
          <w:p w14:paraId="53475AC7">
            <w:pPr>
              <w:widowControl/>
              <w:adjustRightInd w:val="0"/>
              <w:snapToGrid w:val="0"/>
              <w:spacing w:line="360" w:lineRule="auto"/>
              <w:rPr>
                <w:rFonts w:ascii="宋体" w:hAnsi="宋体"/>
                <w:color w:val="auto"/>
                <w:sz w:val="24"/>
                <w:highlight w:val="none"/>
              </w:rPr>
            </w:pPr>
            <w:r>
              <w:rPr>
                <w:rFonts w:hint="eastAsia" w:ascii="宋体" w:hAnsi="宋体"/>
                <w:color w:val="auto"/>
                <w:sz w:val="24"/>
                <w:highlight w:val="none"/>
              </w:rPr>
              <w:t>磋商供应商资格要求：</w:t>
            </w:r>
          </w:p>
          <w:p w14:paraId="0CC2CFC0">
            <w:pPr>
              <w:adjustRightIn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eastAsia="zh-CN"/>
              </w:rPr>
              <w:t>1.满足《中华人民共和国政府采购法》第二十二条规定；未被“信用中国” （www.creditchina.gov.cn)、中国政府采购网（www.ccgp.gov.cn）列入失信被执行人、重大税收违法案件当事人名单、政府采购严重违法失信行为记录名单；</w:t>
            </w:r>
          </w:p>
          <w:p w14:paraId="6DD98FF1">
            <w:pPr>
              <w:adjustRightIn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eastAsia="zh-CN"/>
              </w:rPr>
              <w:t>2.落实政府采购政策需满足的资格要求：本项目为专门面向中小企业采购</w:t>
            </w:r>
            <w:r>
              <w:rPr>
                <w:rFonts w:hint="eastAsia" w:ascii="宋体" w:hAnsi="宋体"/>
                <w:color w:val="auto"/>
                <w:sz w:val="24"/>
                <w:highlight w:val="none"/>
              </w:rPr>
              <w:t>，</w:t>
            </w:r>
            <w:r>
              <w:rPr>
                <w:rFonts w:hint="eastAsia" w:ascii="宋体" w:hAnsi="宋体"/>
                <w:color w:val="auto"/>
                <w:sz w:val="24"/>
                <w:highlight w:val="none"/>
                <w:lang w:eastAsia="zh-CN"/>
              </w:rPr>
              <w:t>工程的施工单位为符合政策要求的中小企业（</w:t>
            </w:r>
            <w:r>
              <w:rPr>
                <w:rFonts w:hint="eastAsia" w:ascii="宋体" w:hAnsi="宋体"/>
                <w:color w:val="auto"/>
                <w:sz w:val="24"/>
                <w:highlight w:val="none"/>
                <w:lang w:val="en-US" w:eastAsia="zh-CN"/>
              </w:rPr>
              <w:t>中</w:t>
            </w:r>
            <w:r>
              <w:rPr>
                <w:rFonts w:hint="eastAsia" w:ascii="宋体" w:hAnsi="宋体"/>
                <w:color w:val="auto"/>
                <w:sz w:val="24"/>
                <w:highlight w:val="none"/>
              </w:rPr>
              <w:t>小微企业，监狱企业、残疾人福利单位视同小型和微型企业</w:t>
            </w:r>
            <w:r>
              <w:rPr>
                <w:rFonts w:hint="eastAsia" w:ascii="宋体" w:hAnsi="宋体"/>
                <w:color w:val="auto"/>
                <w:sz w:val="24"/>
                <w:highlight w:val="none"/>
                <w:lang w:eastAsia="zh-CN"/>
              </w:rPr>
              <w:t>），提供中小企业声明函</w:t>
            </w:r>
            <w:r>
              <w:rPr>
                <w:rFonts w:hint="eastAsia" w:ascii="宋体" w:hAnsi="宋体"/>
                <w:color w:val="auto"/>
                <w:sz w:val="24"/>
                <w:highlight w:val="none"/>
              </w:rPr>
              <w:t>；</w:t>
            </w:r>
          </w:p>
          <w:p w14:paraId="6B5271A9">
            <w:pPr>
              <w:adjustRightIn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eastAsia="zh-CN"/>
              </w:rPr>
              <w:t>3.本项目的特定资格要求：具备有效的水利水电工程施工总承包贰级(含)以上资质，并具备有效的安全生产许可证书。其中，供应商拟派项目经理须具备水利水电工程专业二级(含)以上专业注册建造师执业资格，具备有效的省级或省级以上行政主管部门或其授权部门(机构)颁发的B类安全生产考核合格证书；</w:t>
            </w:r>
            <w:r>
              <w:rPr>
                <w:rFonts w:hint="eastAsia" w:ascii="宋体" w:hAnsi="宋体" w:eastAsia="宋体" w:cs="宋体"/>
                <w:b w:val="0"/>
                <w:bCs w:val="0"/>
                <w:color w:val="auto"/>
                <w:sz w:val="24"/>
                <w:szCs w:val="24"/>
                <w:lang w:eastAsia="zh-CN"/>
              </w:rPr>
              <w:t>专职安全员须具备有效的省级或省级以上行政主管部门或其授权部门(机构)颁发的</w:t>
            </w:r>
            <w:r>
              <w:rPr>
                <w:rFonts w:ascii="宋体" w:hAnsi="宋体" w:eastAsia="宋体" w:cs="宋体"/>
                <w:b w:val="0"/>
                <w:bCs w:val="0"/>
                <w:color w:val="auto"/>
                <w:sz w:val="24"/>
                <w:szCs w:val="24"/>
                <w:lang w:eastAsia="zh-CN"/>
              </w:rPr>
              <w:t>C</w:t>
            </w:r>
            <w:r>
              <w:rPr>
                <w:rFonts w:hint="eastAsia" w:ascii="宋体" w:hAnsi="宋体" w:eastAsia="宋体" w:cs="宋体"/>
                <w:b w:val="0"/>
                <w:bCs w:val="0"/>
                <w:color w:val="auto"/>
                <w:sz w:val="24"/>
                <w:szCs w:val="24"/>
                <w:lang w:eastAsia="zh-CN"/>
              </w:rPr>
              <w:t>类安全生产考核合格证书</w:t>
            </w:r>
            <w:r>
              <w:rPr>
                <w:rFonts w:hint="eastAsia" w:ascii="宋体" w:hAnsi="宋体"/>
                <w:color w:val="auto"/>
                <w:sz w:val="24"/>
                <w:highlight w:val="none"/>
                <w:lang w:eastAsia="zh-CN"/>
              </w:rPr>
              <w:t>；</w:t>
            </w:r>
          </w:p>
          <w:p w14:paraId="53475ACA">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olor w:val="auto"/>
                <w:sz w:val="24"/>
                <w:highlight w:val="none"/>
                <w:lang w:eastAsia="zh-CN"/>
              </w:rPr>
              <w:t>4.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tc>
      </w:tr>
      <w:tr w14:paraId="5347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53475ACC">
            <w:pPr>
              <w:pStyle w:val="77"/>
              <w:spacing w:line="360" w:lineRule="auto"/>
              <w:jc w:val="center"/>
              <w:rPr>
                <w:rFonts w:hAnsi="宋体"/>
                <w:color w:val="auto"/>
                <w:sz w:val="24"/>
                <w:szCs w:val="24"/>
                <w:highlight w:val="none"/>
              </w:rPr>
            </w:pPr>
            <w:r>
              <w:rPr>
                <w:rFonts w:hint="eastAsia" w:hAnsi="宋体"/>
                <w:color w:val="auto"/>
                <w:sz w:val="24"/>
                <w:szCs w:val="24"/>
                <w:highlight w:val="none"/>
              </w:rPr>
              <w:t>5</w:t>
            </w:r>
          </w:p>
        </w:tc>
        <w:tc>
          <w:tcPr>
            <w:tcW w:w="1284" w:type="dxa"/>
            <w:vAlign w:val="center"/>
          </w:tcPr>
          <w:p w14:paraId="53475ACD">
            <w:pPr>
              <w:pStyle w:val="77"/>
              <w:spacing w:line="360" w:lineRule="auto"/>
              <w:jc w:val="center"/>
              <w:rPr>
                <w:rFonts w:hAnsi="宋体"/>
                <w:color w:val="auto"/>
                <w:sz w:val="24"/>
                <w:szCs w:val="24"/>
                <w:highlight w:val="none"/>
              </w:rPr>
            </w:pPr>
            <w:r>
              <w:rPr>
                <w:rFonts w:hint="eastAsia" w:hAnsi="宋体" w:cs="宋体"/>
                <w:b/>
                <w:color w:val="auto"/>
                <w:sz w:val="24"/>
                <w:szCs w:val="24"/>
                <w:highlight w:val="none"/>
              </w:rPr>
              <w:t>磋商保证金</w:t>
            </w:r>
          </w:p>
        </w:tc>
        <w:tc>
          <w:tcPr>
            <w:tcW w:w="8781" w:type="dxa"/>
            <w:tcBorders>
              <w:top w:val="single" w:color="auto" w:sz="4" w:space="0"/>
              <w:left w:val="single" w:color="auto" w:sz="4" w:space="0"/>
              <w:bottom w:val="single" w:color="auto" w:sz="4" w:space="0"/>
              <w:right w:val="single" w:color="auto" w:sz="4" w:space="0"/>
            </w:tcBorders>
            <w:vAlign w:val="center"/>
          </w:tcPr>
          <w:p w14:paraId="53475AC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本项目不收取磋商保证金。</w:t>
            </w:r>
          </w:p>
        </w:tc>
      </w:tr>
      <w:tr w14:paraId="5347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53475AD0">
            <w:pPr>
              <w:pStyle w:val="77"/>
              <w:spacing w:line="360" w:lineRule="auto"/>
              <w:jc w:val="center"/>
              <w:rPr>
                <w:rFonts w:hAnsi="宋体"/>
                <w:color w:val="auto"/>
                <w:sz w:val="24"/>
                <w:szCs w:val="24"/>
                <w:highlight w:val="none"/>
              </w:rPr>
            </w:pPr>
            <w:r>
              <w:rPr>
                <w:rFonts w:hint="eastAsia" w:hAnsi="宋体"/>
                <w:color w:val="auto"/>
                <w:sz w:val="24"/>
                <w:szCs w:val="24"/>
                <w:highlight w:val="none"/>
              </w:rPr>
              <w:t>6</w:t>
            </w:r>
          </w:p>
        </w:tc>
        <w:tc>
          <w:tcPr>
            <w:tcW w:w="1284" w:type="dxa"/>
            <w:vAlign w:val="center"/>
          </w:tcPr>
          <w:p w14:paraId="53475AD1">
            <w:pPr>
              <w:pStyle w:val="77"/>
              <w:spacing w:line="360" w:lineRule="auto"/>
              <w:jc w:val="center"/>
              <w:rPr>
                <w:rFonts w:hAnsi="宋体"/>
                <w:color w:val="auto"/>
                <w:sz w:val="24"/>
                <w:szCs w:val="24"/>
                <w:highlight w:val="none"/>
              </w:rPr>
            </w:pPr>
            <w:r>
              <w:rPr>
                <w:rFonts w:hint="eastAsia" w:hAnsi="宋体" w:cs="宋体"/>
                <w:b/>
                <w:bCs/>
                <w:color w:val="auto"/>
                <w:sz w:val="24"/>
                <w:szCs w:val="24"/>
                <w:highlight w:val="none"/>
              </w:rPr>
              <w:t>分包</w:t>
            </w:r>
          </w:p>
        </w:tc>
        <w:tc>
          <w:tcPr>
            <w:tcW w:w="8781" w:type="dxa"/>
            <w:tcBorders>
              <w:top w:val="single" w:color="auto" w:sz="4" w:space="0"/>
              <w:left w:val="single" w:color="auto" w:sz="4" w:space="0"/>
              <w:bottom w:val="single" w:color="auto" w:sz="4" w:space="0"/>
              <w:right w:val="single" w:color="auto" w:sz="4" w:space="0"/>
            </w:tcBorders>
            <w:vAlign w:val="center"/>
          </w:tcPr>
          <w:p w14:paraId="53475AD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A同意将非主体、非关键性的工作分包。</w:t>
            </w:r>
          </w:p>
          <w:p w14:paraId="53475AD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B不同意分包。</w:t>
            </w:r>
          </w:p>
        </w:tc>
      </w:tr>
      <w:tr w14:paraId="5347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53475AD5">
            <w:pPr>
              <w:pStyle w:val="77"/>
              <w:spacing w:line="360" w:lineRule="auto"/>
              <w:jc w:val="center"/>
              <w:rPr>
                <w:rFonts w:hAnsi="宋体"/>
                <w:color w:val="auto"/>
                <w:sz w:val="24"/>
                <w:szCs w:val="24"/>
                <w:highlight w:val="none"/>
              </w:rPr>
            </w:pPr>
            <w:r>
              <w:rPr>
                <w:rFonts w:hint="eastAsia" w:hAnsi="宋体"/>
                <w:color w:val="auto"/>
                <w:sz w:val="24"/>
                <w:szCs w:val="24"/>
                <w:highlight w:val="none"/>
              </w:rPr>
              <w:t>7</w:t>
            </w:r>
          </w:p>
        </w:tc>
        <w:tc>
          <w:tcPr>
            <w:tcW w:w="1284" w:type="dxa"/>
            <w:vAlign w:val="center"/>
          </w:tcPr>
          <w:p w14:paraId="53475AD6">
            <w:pPr>
              <w:pStyle w:val="77"/>
              <w:spacing w:line="360" w:lineRule="auto"/>
              <w:jc w:val="center"/>
              <w:rPr>
                <w:rFonts w:hAnsi="宋体"/>
                <w:color w:val="auto"/>
                <w:sz w:val="24"/>
                <w:szCs w:val="24"/>
                <w:highlight w:val="none"/>
              </w:rPr>
            </w:pPr>
            <w:r>
              <w:rPr>
                <w:rFonts w:hint="eastAsia" w:hAnsi="宋体"/>
                <w:color w:val="auto"/>
                <w:sz w:val="24"/>
                <w:szCs w:val="24"/>
                <w:highlight w:val="none"/>
              </w:rPr>
              <w:t>报价要求</w:t>
            </w:r>
          </w:p>
        </w:tc>
        <w:tc>
          <w:tcPr>
            <w:tcW w:w="8781" w:type="dxa"/>
            <w:vAlign w:val="center"/>
          </w:tcPr>
          <w:p w14:paraId="53475AD7">
            <w:pPr>
              <w:widowControl/>
              <w:adjustRightInd w:val="0"/>
              <w:snapToGrid w:val="0"/>
              <w:spacing w:line="360" w:lineRule="auto"/>
              <w:rPr>
                <w:rFonts w:ascii="宋体" w:hAnsi="宋体"/>
                <w:color w:val="auto"/>
                <w:sz w:val="24"/>
                <w:highlight w:val="none"/>
              </w:rPr>
            </w:pPr>
            <w:r>
              <w:rPr>
                <w:rFonts w:hint="eastAsia" w:ascii="宋体" w:hAnsi="宋体"/>
                <w:color w:val="auto"/>
                <w:kern w:val="0"/>
                <w:sz w:val="24"/>
                <w:highlight w:val="none"/>
              </w:rPr>
              <w:t>供应商应就《采购需求》中所有的服务内容作完整唯一报价。</w:t>
            </w:r>
          </w:p>
        </w:tc>
      </w:tr>
      <w:tr w14:paraId="53475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637" w:type="dxa"/>
            <w:vAlign w:val="center"/>
          </w:tcPr>
          <w:p w14:paraId="53475AD9">
            <w:pPr>
              <w:pStyle w:val="77"/>
              <w:spacing w:line="360" w:lineRule="auto"/>
              <w:jc w:val="center"/>
              <w:rPr>
                <w:rFonts w:hAnsi="宋体"/>
                <w:color w:val="auto"/>
                <w:sz w:val="24"/>
                <w:szCs w:val="24"/>
                <w:highlight w:val="none"/>
              </w:rPr>
            </w:pPr>
            <w:r>
              <w:rPr>
                <w:rFonts w:hint="eastAsia" w:hAnsi="宋体"/>
                <w:color w:val="auto"/>
                <w:sz w:val="24"/>
                <w:szCs w:val="24"/>
                <w:highlight w:val="none"/>
              </w:rPr>
              <w:t>8</w:t>
            </w:r>
          </w:p>
        </w:tc>
        <w:tc>
          <w:tcPr>
            <w:tcW w:w="1284" w:type="dxa"/>
            <w:vAlign w:val="center"/>
          </w:tcPr>
          <w:p w14:paraId="53475ADA">
            <w:pPr>
              <w:pStyle w:val="77"/>
              <w:spacing w:line="360" w:lineRule="auto"/>
              <w:jc w:val="center"/>
              <w:rPr>
                <w:rFonts w:hAnsi="宋体"/>
                <w:color w:val="auto"/>
                <w:sz w:val="24"/>
                <w:szCs w:val="24"/>
                <w:highlight w:val="none"/>
              </w:rPr>
            </w:pPr>
            <w:r>
              <w:rPr>
                <w:rFonts w:hint="eastAsia" w:hAnsi="宋体"/>
                <w:color w:val="auto"/>
                <w:sz w:val="24"/>
                <w:szCs w:val="24"/>
                <w:highlight w:val="none"/>
              </w:rPr>
              <w:t>磋商前准备</w:t>
            </w:r>
          </w:p>
        </w:tc>
        <w:tc>
          <w:tcPr>
            <w:tcW w:w="8781" w:type="dxa"/>
            <w:vAlign w:val="center"/>
          </w:tcPr>
          <w:p w14:paraId="53475ADB">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本项目实行网上</w:t>
            </w:r>
            <w:r>
              <w:rPr>
                <w:rFonts w:hint="eastAsia" w:ascii="宋体" w:hAnsi="宋体"/>
                <w:color w:val="auto"/>
                <w:kern w:val="0"/>
                <w:sz w:val="24"/>
                <w:highlight w:val="none"/>
              </w:rPr>
              <w:t>磋商</w:t>
            </w:r>
            <w:r>
              <w:rPr>
                <w:rFonts w:ascii="宋体" w:hAnsi="宋体"/>
                <w:color w:val="auto"/>
                <w:kern w:val="0"/>
                <w:sz w:val="24"/>
                <w:highlight w:val="none"/>
              </w:rPr>
              <w:t>，采用电子</w:t>
            </w:r>
            <w:r>
              <w:rPr>
                <w:rFonts w:hint="eastAsia" w:ascii="宋体" w:hAnsi="宋体"/>
                <w:color w:val="auto"/>
                <w:kern w:val="0"/>
                <w:sz w:val="24"/>
                <w:highlight w:val="none"/>
              </w:rPr>
              <w:t>磋商响应</w:t>
            </w:r>
            <w:r>
              <w:rPr>
                <w:rFonts w:ascii="宋体" w:hAnsi="宋体"/>
                <w:color w:val="auto"/>
                <w:kern w:val="0"/>
                <w:sz w:val="24"/>
                <w:highlight w:val="none"/>
              </w:rPr>
              <w:t>文件。若供应商参与</w:t>
            </w:r>
            <w:r>
              <w:rPr>
                <w:rFonts w:hint="eastAsia" w:ascii="宋体" w:hAnsi="宋体"/>
                <w:color w:val="auto"/>
                <w:kern w:val="0"/>
                <w:sz w:val="24"/>
                <w:highlight w:val="none"/>
              </w:rPr>
              <w:t>磋商</w:t>
            </w:r>
            <w:r>
              <w:rPr>
                <w:rFonts w:ascii="宋体" w:hAnsi="宋体"/>
                <w:color w:val="auto"/>
                <w:kern w:val="0"/>
                <w:sz w:val="24"/>
                <w:highlight w:val="none"/>
              </w:rPr>
              <w:t>，自行承担</w:t>
            </w:r>
            <w:r>
              <w:rPr>
                <w:rFonts w:hint="eastAsia" w:ascii="宋体" w:hAnsi="宋体"/>
                <w:color w:val="auto"/>
                <w:kern w:val="0"/>
                <w:sz w:val="24"/>
                <w:highlight w:val="none"/>
              </w:rPr>
              <w:t>磋商</w:t>
            </w:r>
            <w:r>
              <w:rPr>
                <w:rFonts w:ascii="宋体" w:hAnsi="宋体"/>
                <w:color w:val="auto"/>
                <w:kern w:val="0"/>
                <w:sz w:val="24"/>
                <w:highlight w:val="none"/>
              </w:rPr>
              <w:t>一切费用</w:t>
            </w:r>
            <w:r>
              <w:rPr>
                <w:rFonts w:hint="eastAsia" w:ascii="宋体" w:hAnsi="宋体"/>
                <w:color w:val="auto"/>
                <w:kern w:val="0"/>
                <w:sz w:val="24"/>
                <w:highlight w:val="none"/>
              </w:rPr>
              <w:t>。</w:t>
            </w:r>
          </w:p>
          <w:p w14:paraId="53475ADC">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各供应商应在</w:t>
            </w:r>
            <w:r>
              <w:rPr>
                <w:rFonts w:hint="eastAsia" w:ascii="宋体" w:hAnsi="宋体"/>
                <w:color w:val="auto"/>
                <w:kern w:val="0"/>
                <w:sz w:val="24"/>
                <w:highlight w:val="none"/>
              </w:rPr>
              <w:t>截</w:t>
            </w:r>
            <w:r>
              <w:rPr>
                <w:rFonts w:ascii="宋体" w:hAnsi="宋体"/>
                <w:color w:val="auto"/>
                <w:kern w:val="0"/>
                <w:sz w:val="24"/>
                <w:highlight w:val="none"/>
              </w:rPr>
              <w:t>标前应确保成为</w:t>
            </w:r>
            <w:r>
              <w:rPr>
                <w:rFonts w:hint="eastAsia" w:ascii="宋体" w:hAnsi="宋体"/>
                <w:color w:val="auto"/>
                <w:kern w:val="0"/>
                <w:sz w:val="24"/>
                <w:highlight w:val="none"/>
              </w:rPr>
              <w:t>“广西政府采购云平台”</w:t>
            </w:r>
            <w:r>
              <w:rPr>
                <w:rFonts w:ascii="宋体" w:hAnsi="宋体"/>
                <w:color w:val="auto"/>
                <w:kern w:val="0"/>
                <w:sz w:val="24"/>
                <w:highlight w:val="none"/>
              </w:rPr>
              <w:t>正式注册入库供应商，并完成CA数字证书</w:t>
            </w:r>
            <w:r>
              <w:rPr>
                <w:rFonts w:hint="eastAsia" w:ascii="宋体" w:hAnsi="宋体"/>
                <w:color w:val="auto"/>
                <w:kern w:val="0"/>
                <w:sz w:val="24"/>
                <w:highlight w:val="none"/>
              </w:rPr>
              <w:t>申领</w:t>
            </w:r>
            <w:r>
              <w:rPr>
                <w:rFonts w:ascii="宋体" w:hAnsi="宋体"/>
                <w:color w:val="auto"/>
                <w:kern w:val="0"/>
                <w:sz w:val="24"/>
                <w:highlight w:val="none"/>
              </w:rPr>
              <w:t>。因未注册入库、未办理CA数字证书等原因造成无法</w:t>
            </w:r>
            <w:r>
              <w:rPr>
                <w:rFonts w:hint="eastAsia" w:ascii="宋体" w:hAnsi="宋体"/>
                <w:color w:val="auto"/>
                <w:kern w:val="0"/>
                <w:sz w:val="24"/>
                <w:highlight w:val="none"/>
              </w:rPr>
              <w:t>磋商</w:t>
            </w:r>
            <w:r>
              <w:rPr>
                <w:rFonts w:ascii="宋体" w:hAnsi="宋体"/>
                <w:color w:val="auto"/>
                <w:kern w:val="0"/>
                <w:sz w:val="24"/>
                <w:highlight w:val="none"/>
              </w:rPr>
              <w:t>或</w:t>
            </w:r>
            <w:r>
              <w:rPr>
                <w:rFonts w:hint="eastAsia" w:ascii="宋体" w:hAnsi="宋体"/>
                <w:color w:val="auto"/>
                <w:kern w:val="0"/>
                <w:sz w:val="24"/>
                <w:highlight w:val="none"/>
              </w:rPr>
              <w:t>磋商</w:t>
            </w:r>
            <w:r>
              <w:rPr>
                <w:rFonts w:ascii="宋体" w:hAnsi="宋体"/>
                <w:color w:val="auto"/>
                <w:kern w:val="0"/>
                <w:sz w:val="24"/>
                <w:highlight w:val="none"/>
              </w:rPr>
              <w:t>失败等后果由供应商自行承担。</w:t>
            </w:r>
          </w:p>
          <w:p w14:paraId="53475ADD">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3.</w:t>
            </w:r>
            <w:r>
              <w:rPr>
                <w:rFonts w:ascii="宋体" w:hAnsi="宋体"/>
                <w:color w:val="auto"/>
                <w:kern w:val="0"/>
                <w:sz w:val="24"/>
                <w:highlight w:val="none"/>
              </w:rPr>
              <w:t>供应商将</w:t>
            </w:r>
            <w:r>
              <w:rPr>
                <w:rFonts w:hint="eastAsia" w:ascii="宋体" w:hAnsi="宋体"/>
                <w:color w:val="auto"/>
                <w:kern w:val="0"/>
                <w:sz w:val="24"/>
                <w:highlight w:val="none"/>
              </w:rPr>
              <w:t>广西政府采购云平台</w:t>
            </w:r>
            <w:r>
              <w:rPr>
                <w:rFonts w:ascii="宋体" w:hAnsi="宋体"/>
                <w:color w:val="auto"/>
                <w:kern w:val="0"/>
                <w:sz w:val="24"/>
                <w:highlight w:val="none"/>
              </w:rPr>
              <w:t>电子交易客户端下载、安装完成后，可通过账号密码或CA登录客户端进行</w:t>
            </w:r>
            <w:r>
              <w:rPr>
                <w:rFonts w:hint="eastAsia" w:ascii="宋体" w:hAnsi="宋体"/>
                <w:color w:val="auto"/>
                <w:kern w:val="0"/>
                <w:sz w:val="24"/>
                <w:highlight w:val="none"/>
              </w:rPr>
              <w:t>磋商响应</w:t>
            </w:r>
            <w:r>
              <w:rPr>
                <w:rFonts w:ascii="宋体" w:hAnsi="宋体"/>
                <w:color w:val="auto"/>
                <w:kern w:val="0"/>
                <w:sz w:val="24"/>
                <w:highlight w:val="none"/>
              </w:rPr>
              <w:t>文件制作。</w:t>
            </w:r>
            <w:r>
              <w:rPr>
                <w:rFonts w:hint="eastAsia" w:ascii="宋体" w:hAnsi="宋体"/>
                <w:color w:val="auto"/>
                <w:kern w:val="0"/>
                <w:sz w:val="24"/>
                <w:highlight w:val="none"/>
              </w:rPr>
              <w:t>新版客户端下载路径：广西政府采购网（http</w:t>
            </w:r>
            <w:r>
              <w:rPr>
                <w:rFonts w:hint="eastAsia" w:ascii="宋体" w:hAnsi="宋体"/>
                <w:color w:val="auto"/>
                <w:kern w:val="0"/>
                <w:sz w:val="24"/>
                <w:highlight w:val="none"/>
                <w:lang w:eastAsia="zh-CN"/>
              </w:rPr>
              <w:t>：</w:t>
            </w:r>
            <w:r>
              <w:rPr>
                <w:rFonts w:hint="eastAsia" w:ascii="宋体" w:hAnsi="宋体"/>
                <w:color w:val="auto"/>
                <w:kern w:val="0"/>
                <w:sz w:val="24"/>
                <w:highlight w:val="none"/>
              </w:rPr>
              <w:t>//zfcg.gxzf.gov.cn/）—办事服务—下载专区—广西政府采购云平台新版客户端。原在广西政府采购云平台注册的临时供应商需在新平台启用后重新注册登记。如有问题可拨打广西政府采购云平台客户服务热线</w:t>
            </w:r>
            <w:r>
              <w:rPr>
                <w:rFonts w:ascii="宋体" w:hAnsi="宋体"/>
                <w:color w:val="auto"/>
                <w:kern w:val="0"/>
                <w:sz w:val="24"/>
                <w:highlight w:val="none"/>
              </w:rPr>
              <w:t>95763</w:t>
            </w:r>
            <w:r>
              <w:rPr>
                <w:rFonts w:hint="eastAsia" w:ascii="宋体" w:hAnsi="宋体"/>
                <w:color w:val="auto"/>
                <w:kern w:val="0"/>
                <w:sz w:val="24"/>
                <w:highlight w:val="none"/>
              </w:rPr>
              <w:t>进行咨询。</w:t>
            </w:r>
          </w:p>
          <w:p w14:paraId="53475ADE">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4.通过“广西政府采购云平台”上传递交的“电子加密磋商响应文件”无法按时解密，视为磋商响应文件撤回，磋商无效。</w:t>
            </w:r>
          </w:p>
        </w:tc>
      </w:tr>
      <w:tr w14:paraId="5347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7" w:type="dxa"/>
            <w:vAlign w:val="center"/>
          </w:tcPr>
          <w:p w14:paraId="53475AE0">
            <w:pPr>
              <w:pStyle w:val="77"/>
              <w:spacing w:line="360" w:lineRule="auto"/>
              <w:jc w:val="center"/>
              <w:rPr>
                <w:rFonts w:hAnsi="宋体"/>
                <w:color w:val="auto"/>
                <w:sz w:val="24"/>
                <w:szCs w:val="24"/>
                <w:highlight w:val="none"/>
              </w:rPr>
            </w:pPr>
            <w:r>
              <w:rPr>
                <w:rFonts w:hint="eastAsia" w:hAnsi="宋体"/>
                <w:color w:val="auto"/>
                <w:sz w:val="24"/>
                <w:szCs w:val="24"/>
                <w:highlight w:val="none"/>
              </w:rPr>
              <w:t>9</w:t>
            </w:r>
          </w:p>
        </w:tc>
        <w:tc>
          <w:tcPr>
            <w:tcW w:w="1284" w:type="dxa"/>
            <w:vAlign w:val="center"/>
          </w:tcPr>
          <w:p w14:paraId="53475AE1">
            <w:pPr>
              <w:pStyle w:val="77"/>
              <w:spacing w:line="360" w:lineRule="auto"/>
              <w:jc w:val="center"/>
              <w:rPr>
                <w:rFonts w:hAnsi="宋体"/>
                <w:color w:val="auto"/>
                <w:sz w:val="24"/>
                <w:szCs w:val="24"/>
                <w:highlight w:val="none"/>
              </w:rPr>
            </w:pPr>
            <w:r>
              <w:rPr>
                <w:rFonts w:hint="eastAsia" w:hAnsi="宋体"/>
                <w:color w:val="auto"/>
                <w:sz w:val="24"/>
                <w:szCs w:val="24"/>
                <w:highlight w:val="none"/>
              </w:rPr>
              <w:t>响应文件递交截止时间</w:t>
            </w:r>
          </w:p>
        </w:tc>
        <w:tc>
          <w:tcPr>
            <w:tcW w:w="8781" w:type="dxa"/>
            <w:vAlign w:val="center"/>
          </w:tcPr>
          <w:p w14:paraId="53475AE2">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响应文件递交截止时间：</w:t>
            </w:r>
            <w:r>
              <w:rPr>
                <w:rFonts w:hint="eastAsia" w:ascii="宋体" w:hAnsi="宋体"/>
                <w:color w:val="auto"/>
                <w:kern w:val="0"/>
                <w:sz w:val="24"/>
                <w:highlight w:val="none"/>
                <w:lang w:eastAsia="zh-CN"/>
              </w:rPr>
              <w:t>2025年12月15日15：00</w:t>
            </w:r>
            <w:r>
              <w:rPr>
                <w:rFonts w:hint="eastAsia" w:ascii="宋体" w:hAnsi="宋体" w:cs="宋体"/>
                <w:color w:val="auto"/>
                <w:kern w:val="0"/>
                <w:sz w:val="24"/>
                <w:highlight w:val="none"/>
              </w:rPr>
              <w:t>之前将电</w:t>
            </w:r>
            <w:r>
              <w:rPr>
                <w:rFonts w:hint="eastAsia" w:ascii="宋体" w:hAnsi="宋体"/>
                <w:color w:val="auto"/>
                <w:kern w:val="0"/>
                <w:sz w:val="24"/>
                <w:highlight w:val="none"/>
              </w:rPr>
              <w:t>子磋商响应文件上传到广西政府采购云平台。应按照本项目磋商文件和广西政府采购云平台的要求编制、加密传输磋商响应文件。供应商在使用系统进行评审的过程中遇到涉及平台使用的任何问题，可致电广西政府采购云平台技术支持热线咨询，联系方式：</w:t>
            </w:r>
            <w:r>
              <w:rPr>
                <w:rFonts w:ascii="宋体" w:hAnsi="宋体"/>
                <w:color w:val="auto"/>
                <w:kern w:val="0"/>
                <w:sz w:val="24"/>
                <w:highlight w:val="none"/>
              </w:rPr>
              <w:t>95763</w:t>
            </w:r>
            <w:r>
              <w:rPr>
                <w:rFonts w:hint="eastAsia" w:ascii="宋体" w:hAnsi="宋体"/>
                <w:color w:val="auto"/>
                <w:kern w:val="0"/>
                <w:sz w:val="24"/>
                <w:highlight w:val="none"/>
              </w:rPr>
              <w:t>。</w:t>
            </w:r>
          </w:p>
        </w:tc>
      </w:tr>
      <w:tr w14:paraId="5347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37" w:type="dxa"/>
            <w:vAlign w:val="center"/>
          </w:tcPr>
          <w:p w14:paraId="53475AE4">
            <w:pPr>
              <w:pStyle w:val="77"/>
              <w:spacing w:line="360" w:lineRule="auto"/>
              <w:jc w:val="center"/>
              <w:rPr>
                <w:rFonts w:hAnsi="宋体"/>
                <w:color w:val="auto"/>
                <w:sz w:val="24"/>
                <w:szCs w:val="24"/>
                <w:highlight w:val="none"/>
              </w:rPr>
            </w:pPr>
            <w:r>
              <w:rPr>
                <w:rFonts w:hint="eastAsia" w:hAnsi="宋体"/>
                <w:color w:val="auto"/>
                <w:sz w:val="24"/>
                <w:szCs w:val="24"/>
                <w:highlight w:val="none"/>
              </w:rPr>
              <w:t>10</w:t>
            </w:r>
          </w:p>
        </w:tc>
        <w:tc>
          <w:tcPr>
            <w:tcW w:w="1284" w:type="dxa"/>
            <w:vAlign w:val="center"/>
          </w:tcPr>
          <w:p w14:paraId="53475AE5">
            <w:pPr>
              <w:pStyle w:val="22"/>
              <w:spacing w:line="360" w:lineRule="auto"/>
              <w:jc w:val="center"/>
              <w:rPr>
                <w:rFonts w:hAnsi="宋体"/>
                <w:color w:val="auto"/>
                <w:sz w:val="24"/>
                <w:szCs w:val="24"/>
                <w:highlight w:val="none"/>
              </w:rPr>
            </w:pPr>
            <w:r>
              <w:rPr>
                <w:rFonts w:hint="eastAsia" w:hAnsi="宋体"/>
                <w:color w:val="auto"/>
                <w:sz w:val="24"/>
                <w:szCs w:val="24"/>
                <w:highlight w:val="none"/>
              </w:rPr>
              <w:t>有效期</w:t>
            </w:r>
          </w:p>
        </w:tc>
        <w:tc>
          <w:tcPr>
            <w:tcW w:w="8781" w:type="dxa"/>
            <w:vAlign w:val="center"/>
          </w:tcPr>
          <w:p w14:paraId="53475AE6">
            <w:pPr>
              <w:widowControl/>
              <w:adjustRightInd w:val="0"/>
              <w:snapToGrid w:val="0"/>
              <w:spacing w:line="360" w:lineRule="auto"/>
              <w:rPr>
                <w:rFonts w:ascii="宋体" w:hAnsi="宋体"/>
                <w:color w:val="auto"/>
                <w:sz w:val="24"/>
                <w:highlight w:val="none"/>
              </w:rPr>
            </w:pPr>
            <w:r>
              <w:rPr>
                <w:rFonts w:hint="eastAsia" w:ascii="宋体" w:hAnsi="宋体"/>
                <w:color w:val="auto"/>
                <w:kern w:val="0"/>
                <w:sz w:val="24"/>
                <w:highlight w:val="none"/>
              </w:rPr>
              <w:t>响应文件有效期：响应文件递交截止日期后六十日。</w:t>
            </w:r>
          </w:p>
        </w:tc>
      </w:tr>
      <w:tr w14:paraId="5347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3475AE8">
            <w:pPr>
              <w:pStyle w:val="77"/>
              <w:spacing w:line="360" w:lineRule="auto"/>
              <w:jc w:val="center"/>
              <w:rPr>
                <w:rFonts w:hAnsi="宋体"/>
                <w:color w:val="auto"/>
                <w:sz w:val="24"/>
                <w:szCs w:val="24"/>
                <w:highlight w:val="none"/>
              </w:rPr>
            </w:pPr>
            <w:r>
              <w:rPr>
                <w:rFonts w:hint="eastAsia" w:hAnsi="宋体"/>
                <w:color w:val="auto"/>
                <w:sz w:val="24"/>
                <w:szCs w:val="24"/>
                <w:highlight w:val="none"/>
              </w:rPr>
              <w:t>11</w:t>
            </w:r>
          </w:p>
        </w:tc>
        <w:tc>
          <w:tcPr>
            <w:tcW w:w="1284" w:type="dxa"/>
            <w:vAlign w:val="center"/>
          </w:tcPr>
          <w:p w14:paraId="53475AE9">
            <w:pPr>
              <w:overflowPunct w:val="0"/>
              <w:spacing w:line="360" w:lineRule="auto"/>
              <w:jc w:val="center"/>
              <w:rPr>
                <w:rFonts w:ascii="宋体" w:hAnsi="宋体" w:cs="Courier New"/>
                <w:color w:val="auto"/>
                <w:sz w:val="24"/>
                <w:highlight w:val="none"/>
              </w:rPr>
            </w:pPr>
            <w:r>
              <w:rPr>
                <w:rFonts w:hint="eastAsia" w:ascii="宋体" w:hAnsi="宋体" w:cs="Courier New"/>
                <w:color w:val="auto"/>
                <w:sz w:val="24"/>
                <w:highlight w:val="none"/>
              </w:rPr>
              <w:t>磋商响应文件解密时间</w:t>
            </w:r>
          </w:p>
        </w:tc>
        <w:tc>
          <w:tcPr>
            <w:tcW w:w="8781" w:type="dxa"/>
            <w:vAlign w:val="center"/>
          </w:tcPr>
          <w:p w14:paraId="53475AEA">
            <w:pPr>
              <w:widowControl/>
              <w:adjustRightInd w:val="0"/>
              <w:snapToGrid w:val="0"/>
              <w:spacing w:line="360" w:lineRule="auto"/>
              <w:rPr>
                <w:rFonts w:ascii="宋体" w:hAnsi="宋体" w:cs="Courier New"/>
                <w:color w:val="auto"/>
                <w:sz w:val="24"/>
                <w:highlight w:val="none"/>
              </w:rPr>
            </w:pPr>
            <w:r>
              <w:rPr>
                <w:rFonts w:hint="eastAsia" w:ascii="宋体" w:hAnsi="宋体"/>
                <w:color w:val="auto"/>
                <w:kern w:val="0"/>
                <w:sz w:val="24"/>
                <w:highlight w:val="none"/>
              </w:rPr>
              <w:t>截标时间后30分钟内磋商供应商可以登录广西政府采购云平台，用“项目采购-开标评标”功能进行解密磋商文件。若磋商供应商在规定时间内无法解密或解密失败，视为磋商响应文件撤回，磋商无效。</w:t>
            </w:r>
          </w:p>
        </w:tc>
      </w:tr>
      <w:tr w14:paraId="5347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3475AEC">
            <w:pPr>
              <w:pStyle w:val="77"/>
              <w:spacing w:line="360" w:lineRule="auto"/>
              <w:jc w:val="center"/>
              <w:rPr>
                <w:rFonts w:hAnsi="宋体"/>
                <w:color w:val="auto"/>
                <w:sz w:val="24"/>
                <w:szCs w:val="24"/>
                <w:highlight w:val="none"/>
              </w:rPr>
            </w:pPr>
            <w:r>
              <w:rPr>
                <w:rFonts w:hint="eastAsia" w:hAnsi="宋体"/>
                <w:color w:val="auto"/>
                <w:sz w:val="24"/>
                <w:szCs w:val="24"/>
                <w:highlight w:val="none"/>
              </w:rPr>
              <w:t>12</w:t>
            </w:r>
          </w:p>
        </w:tc>
        <w:tc>
          <w:tcPr>
            <w:tcW w:w="1284" w:type="dxa"/>
            <w:vAlign w:val="center"/>
          </w:tcPr>
          <w:p w14:paraId="53475AED">
            <w:pPr>
              <w:pStyle w:val="77"/>
              <w:spacing w:line="360" w:lineRule="auto"/>
              <w:jc w:val="center"/>
              <w:rPr>
                <w:rFonts w:hAnsi="宋体"/>
                <w:color w:val="auto"/>
                <w:sz w:val="24"/>
                <w:szCs w:val="24"/>
                <w:highlight w:val="none"/>
              </w:rPr>
            </w:pPr>
            <w:r>
              <w:rPr>
                <w:rFonts w:hint="eastAsia" w:hAnsi="宋体"/>
                <w:color w:val="auto"/>
                <w:sz w:val="24"/>
                <w:szCs w:val="24"/>
                <w:highlight w:val="none"/>
              </w:rPr>
              <w:t>评审方法</w:t>
            </w:r>
          </w:p>
        </w:tc>
        <w:tc>
          <w:tcPr>
            <w:tcW w:w="8781" w:type="dxa"/>
            <w:vAlign w:val="center"/>
          </w:tcPr>
          <w:p w14:paraId="53475AEE">
            <w:pPr>
              <w:pStyle w:val="77"/>
              <w:spacing w:line="360" w:lineRule="auto"/>
              <w:rPr>
                <w:rFonts w:hAnsi="宋体"/>
                <w:color w:val="auto"/>
                <w:sz w:val="24"/>
                <w:szCs w:val="24"/>
                <w:highlight w:val="none"/>
              </w:rPr>
            </w:pPr>
            <w:r>
              <w:rPr>
                <w:rFonts w:hint="eastAsia" w:hAnsi="宋体"/>
                <w:color w:val="auto"/>
                <w:sz w:val="24"/>
                <w:szCs w:val="24"/>
                <w:highlight w:val="none"/>
              </w:rPr>
              <w:t>评审方法：综合评分法（详细见第六章）</w:t>
            </w:r>
          </w:p>
        </w:tc>
      </w:tr>
      <w:tr w14:paraId="5347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3475AF0">
            <w:pPr>
              <w:pStyle w:val="77"/>
              <w:spacing w:line="360" w:lineRule="auto"/>
              <w:jc w:val="center"/>
              <w:rPr>
                <w:rFonts w:hAnsi="宋体"/>
                <w:color w:val="auto"/>
                <w:sz w:val="24"/>
                <w:szCs w:val="24"/>
                <w:highlight w:val="none"/>
              </w:rPr>
            </w:pPr>
            <w:r>
              <w:rPr>
                <w:rFonts w:hint="eastAsia" w:hAnsi="宋体"/>
                <w:color w:val="auto"/>
                <w:sz w:val="24"/>
                <w:szCs w:val="24"/>
                <w:highlight w:val="none"/>
              </w:rPr>
              <w:t>13</w:t>
            </w:r>
          </w:p>
        </w:tc>
        <w:tc>
          <w:tcPr>
            <w:tcW w:w="1284" w:type="dxa"/>
            <w:vAlign w:val="center"/>
          </w:tcPr>
          <w:p w14:paraId="53475AF1">
            <w:pPr>
              <w:pStyle w:val="77"/>
              <w:spacing w:line="360" w:lineRule="auto"/>
              <w:jc w:val="center"/>
              <w:rPr>
                <w:rFonts w:hAnsi="宋体"/>
                <w:bCs/>
                <w:color w:val="auto"/>
                <w:sz w:val="24"/>
                <w:szCs w:val="24"/>
                <w:highlight w:val="none"/>
              </w:rPr>
            </w:pPr>
            <w:r>
              <w:rPr>
                <w:rFonts w:hint="eastAsia" w:hAnsi="宋体"/>
                <w:bCs/>
                <w:color w:val="auto"/>
                <w:sz w:val="24"/>
                <w:szCs w:val="24"/>
                <w:highlight w:val="none"/>
              </w:rPr>
              <w:t>成交</w:t>
            </w:r>
            <w:r>
              <w:rPr>
                <w:rFonts w:hAnsi="宋体"/>
                <w:bCs/>
                <w:color w:val="auto"/>
                <w:sz w:val="24"/>
                <w:szCs w:val="24"/>
                <w:highlight w:val="none"/>
              </w:rPr>
              <w:t>结果</w:t>
            </w:r>
          </w:p>
        </w:tc>
        <w:tc>
          <w:tcPr>
            <w:tcW w:w="8781" w:type="dxa"/>
            <w:tcBorders>
              <w:top w:val="single" w:color="auto" w:sz="4" w:space="0"/>
              <w:left w:val="single" w:color="auto" w:sz="4" w:space="0"/>
              <w:bottom w:val="single" w:color="auto" w:sz="4" w:space="0"/>
              <w:right w:val="single" w:color="auto" w:sz="4" w:space="0"/>
            </w:tcBorders>
            <w:vAlign w:val="center"/>
          </w:tcPr>
          <w:p w14:paraId="53475AF2">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b/>
                <w:bCs/>
                <w:color w:val="auto"/>
                <w:sz w:val="24"/>
                <w:highlight w:val="none"/>
              </w:rPr>
              <w:t>成交通知书及成交公告：</w:t>
            </w:r>
            <w:r>
              <w:rPr>
                <w:rFonts w:hint="eastAsia" w:ascii="宋体" w:hAnsi="宋体" w:cs="宋体"/>
                <w:color w:val="auto"/>
                <w:sz w:val="24"/>
                <w:highlight w:val="none"/>
              </w:rPr>
              <w:t>采购代理机构在采购人依法确定成交人之日起2个工作日内发出成交通知书，并在</w:t>
            </w:r>
            <w:r>
              <w:rPr>
                <w:rFonts w:hint="eastAsia" w:ascii="宋体" w:hAnsi="宋体" w:cs="宋体"/>
                <w:color w:val="auto"/>
                <w:sz w:val="24"/>
                <w:highlight w:val="none"/>
                <w:lang w:eastAsia="zh-CN"/>
              </w:rPr>
              <w:t>中国政府采购网(http：//www.ccgp.gov.cn/)、广西壮族自治区政府采购网(http：//www.ccgp-guangxi.gov.cn/)、北海市政府采购监管网（https：//bhzfcg.zcygov.cn/）</w:t>
            </w:r>
            <w:r>
              <w:rPr>
                <w:rFonts w:hint="eastAsia" w:ascii="宋体" w:hAnsi="宋体" w:cs="宋体"/>
                <w:color w:val="auto"/>
                <w:sz w:val="24"/>
                <w:highlight w:val="none"/>
              </w:rPr>
              <w:t>发布成交公告。</w:t>
            </w:r>
          </w:p>
          <w:p w14:paraId="53475AF3">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b/>
                <w:bCs/>
                <w:color w:val="auto"/>
                <w:sz w:val="24"/>
                <w:highlight w:val="none"/>
              </w:rPr>
              <w:t>中小企业信用融资：</w:t>
            </w:r>
            <w:r>
              <w:rPr>
                <w:rFonts w:hint="eastAsia" w:ascii="宋体" w:hAnsi="宋体" w:cs="宋体"/>
                <w:color w:val="auto"/>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采购人/采购代理机构网站自助查询。</w:t>
            </w:r>
          </w:p>
          <w:p w14:paraId="53475AF4">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供应商成交后也可在“广西政府采购云平台”申请政采贷：操作路径：登录广西政府采购云平台-金融服务中心-【融资服务】，可在热门申请中选择产品直接申请。</w:t>
            </w:r>
          </w:p>
        </w:tc>
      </w:tr>
      <w:tr w14:paraId="5347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37" w:type="dxa"/>
            <w:vAlign w:val="center"/>
          </w:tcPr>
          <w:p w14:paraId="53475AF6">
            <w:pPr>
              <w:pStyle w:val="77"/>
              <w:spacing w:line="360" w:lineRule="auto"/>
              <w:jc w:val="center"/>
              <w:rPr>
                <w:rFonts w:hAnsi="宋体"/>
                <w:color w:val="auto"/>
                <w:sz w:val="24"/>
                <w:szCs w:val="24"/>
                <w:highlight w:val="none"/>
              </w:rPr>
            </w:pPr>
            <w:r>
              <w:rPr>
                <w:rFonts w:hint="eastAsia" w:hAnsi="宋体"/>
                <w:color w:val="auto"/>
                <w:sz w:val="24"/>
                <w:szCs w:val="24"/>
                <w:highlight w:val="none"/>
              </w:rPr>
              <w:t>14</w:t>
            </w:r>
          </w:p>
        </w:tc>
        <w:tc>
          <w:tcPr>
            <w:tcW w:w="1284" w:type="dxa"/>
            <w:vAlign w:val="center"/>
          </w:tcPr>
          <w:p w14:paraId="53475AF7">
            <w:pPr>
              <w:pStyle w:val="77"/>
              <w:spacing w:line="360" w:lineRule="auto"/>
              <w:jc w:val="center"/>
              <w:rPr>
                <w:rFonts w:hAnsi="宋体"/>
                <w:bCs/>
                <w:color w:val="auto"/>
                <w:sz w:val="24"/>
                <w:szCs w:val="24"/>
                <w:highlight w:val="none"/>
              </w:rPr>
            </w:pPr>
            <w:r>
              <w:rPr>
                <w:rFonts w:hint="eastAsia" w:hAnsi="宋体" w:cs="宋体"/>
                <w:b/>
                <w:bCs/>
                <w:color w:val="auto"/>
                <w:sz w:val="24"/>
                <w:szCs w:val="24"/>
                <w:highlight w:val="none"/>
              </w:rPr>
              <w:t>签订合同</w:t>
            </w:r>
          </w:p>
        </w:tc>
        <w:tc>
          <w:tcPr>
            <w:tcW w:w="8781" w:type="dxa"/>
            <w:tcBorders>
              <w:top w:val="single" w:color="auto" w:sz="4" w:space="0"/>
              <w:left w:val="single" w:color="auto" w:sz="4" w:space="0"/>
              <w:bottom w:val="single" w:color="auto" w:sz="4" w:space="0"/>
              <w:right w:val="single" w:color="auto" w:sz="4" w:space="0"/>
            </w:tcBorders>
            <w:vAlign w:val="center"/>
          </w:tcPr>
          <w:p w14:paraId="53475AF8">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自成交通知书发出之日起，原则上要求</w:t>
            </w:r>
            <w:r>
              <w:rPr>
                <w:rFonts w:ascii="宋体" w:hAnsi="宋体" w:cs="宋体"/>
                <w:color w:val="auto"/>
                <w:sz w:val="24"/>
                <w:highlight w:val="none"/>
              </w:rPr>
              <w:t>25</w:t>
            </w:r>
            <w:r>
              <w:rPr>
                <w:rFonts w:hint="eastAsia" w:ascii="宋体" w:hAnsi="宋体" w:cs="宋体"/>
                <w:color w:val="auto"/>
                <w:sz w:val="24"/>
                <w:highlight w:val="none"/>
              </w:rPr>
              <w:t>日内签订（项目实施过程中出现质疑或投诉的情形除外）。</w:t>
            </w:r>
          </w:p>
        </w:tc>
      </w:tr>
      <w:tr w14:paraId="53475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3475AFA">
            <w:pPr>
              <w:pStyle w:val="77"/>
              <w:spacing w:line="360" w:lineRule="auto"/>
              <w:jc w:val="center"/>
              <w:rPr>
                <w:rFonts w:hAnsi="宋体"/>
                <w:color w:val="auto"/>
                <w:sz w:val="24"/>
                <w:szCs w:val="24"/>
                <w:highlight w:val="none"/>
              </w:rPr>
            </w:pPr>
            <w:r>
              <w:rPr>
                <w:rFonts w:hint="eastAsia" w:hAnsi="宋体"/>
                <w:color w:val="auto"/>
                <w:sz w:val="24"/>
                <w:szCs w:val="24"/>
                <w:highlight w:val="none"/>
              </w:rPr>
              <w:t>15</w:t>
            </w:r>
          </w:p>
        </w:tc>
        <w:tc>
          <w:tcPr>
            <w:tcW w:w="1284" w:type="dxa"/>
            <w:vAlign w:val="center"/>
          </w:tcPr>
          <w:p w14:paraId="53475AFB">
            <w:pPr>
              <w:pStyle w:val="77"/>
              <w:spacing w:line="360" w:lineRule="auto"/>
              <w:jc w:val="center"/>
              <w:rPr>
                <w:rFonts w:hAnsi="宋体"/>
                <w:bCs/>
                <w:color w:val="auto"/>
                <w:sz w:val="24"/>
                <w:szCs w:val="24"/>
                <w:highlight w:val="none"/>
              </w:rPr>
            </w:pPr>
            <w:r>
              <w:rPr>
                <w:rFonts w:hint="eastAsia" w:hAnsi="宋体" w:cs="宋体"/>
                <w:b/>
                <w:color w:val="auto"/>
                <w:sz w:val="24"/>
                <w:szCs w:val="24"/>
                <w:highlight w:val="none"/>
              </w:rPr>
              <w:t>电子签名</w:t>
            </w:r>
          </w:p>
        </w:tc>
        <w:tc>
          <w:tcPr>
            <w:tcW w:w="8781" w:type="dxa"/>
            <w:vAlign w:val="center"/>
          </w:tcPr>
          <w:p w14:paraId="53475AFC">
            <w:pPr>
              <w:pStyle w:val="22"/>
              <w:adjustRightInd w:val="0"/>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磋商文件对响应文件签字、盖章的要求适用于电子签名。</w:t>
            </w:r>
          </w:p>
          <w:p w14:paraId="53475AFD">
            <w:pPr>
              <w:pStyle w:val="22"/>
              <w:adjustRightInd w:val="0"/>
              <w:snapToGrid w:val="0"/>
              <w:spacing w:line="360" w:lineRule="auto"/>
              <w:rPr>
                <w:rFonts w:hAnsi="宋体"/>
                <w:bCs/>
                <w:color w:val="auto"/>
                <w:sz w:val="24"/>
                <w:szCs w:val="24"/>
                <w:highlight w:val="none"/>
              </w:rPr>
            </w:pPr>
            <w:r>
              <w:rPr>
                <w:rFonts w:hint="eastAsia" w:hAnsi="宋体" w:cs="宋体"/>
                <w:b/>
                <w:color w:val="auto"/>
                <w:sz w:val="24"/>
                <w:szCs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tc>
      </w:tr>
      <w:tr w14:paraId="5347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3475AFF">
            <w:pPr>
              <w:pStyle w:val="77"/>
              <w:spacing w:line="360" w:lineRule="auto"/>
              <w:jc w:val="center"/>
              <w:rPr>
                <w:rFonts w:hAnsi="宋体"/>
                <w:color w:val="auto"/>
                <w:sz w:val="24"/>
                <w:szCs w:val="24"/>
                <w:highlight w:val="none"/>
              </w:rPr>
            </w:pPr>
            <w:r>
              <w:rPr>
                <w:rFonts w:hint="eastAsia" w:hAnsi="宋体"/>
                <w:color w:val="auto"/>
                <w:sz w:val="24"/>
                <w:szCs w:val="24"/>
                <w:highlight w:val="none"/>
              </w:rPr>
              <w:t>16</w:t>
            </w:r>
          </w:p>
        </w:tc>
        <w:tc>
          <w:tcPr>
            <w:tcW w:w="1284" w:type="dxa"/>
            <w:vAlign w:val="center"/>
          </w:tcPr>
          <w:p w14:paraId="53475B00">
            <w:pPr>
              <w:pStyle w:val="77"/>
              <w:spacing w:line="360" w:lineRule="auto"/>
              <w:jc w:val="center"/>
              <w:rPr>
                <w:rFonts w:hAnsi="宋体"/>
                <w:color w:val="auto"/>
                <w:sz w:val="24"/>
                <w:szCs w:val="24"/>
                <w:highlight w:val="none"/>
              </w:rPr>
            </w:pPr>
            <w:r>
              <w:rPr>
                <w:rFonts w:hint="eastAsia" w:hAnsi="宋体"/>
                <w:bCs/>
                <w:color w:val="auto"/>
                <w:sz w:val="24"/>
                <w:szCs w:val="24"/>
                <w:highlight w:val="none"/>
              </w:rPr>
              <w:t>质疑及投诉联系方式</w:t>
            </w:r>
          </w:p>
        </w:tc>
        <w:tc>
          <w:tcPr>
            <w:tcW w:w="8781" w:type="dxa"/>
            <w:vAlign w:val="center"/>
          </w:tcPr>
          <w:p w14:paraId="53475B01">
            <w:pPr>
              <w:pStyle w:val="22"/>
              <w:adjustRightInd w:val="0"/>
              <w:snapToGrid w:val="0"/>
              <w:spacing w:line="360" w:lineRule="auto"/>
              <w:rPr>
                <w:rFonts w:hAnsi="宋体"/>
                <w:bCs/>
                <w:color w:val="auto"/>
                <w:sz w:val="24"/>
                <w:szCs w:val="24"/>
                <w:highlight w:val="none"/>
              </w:rPr>
            </w:pPr>
            <w:r>
              <w:rPr>
                <w:rFonts w:hint="eastAsia" w:hAnsi="宋体"/>
                <w:bCs/>
                <w:color w:val="auto"/>
                <w:sz w:val="24"/>
                <w:szCs w:val="24"/>
                <w:highlight w:val="none"/>
              </w:rPr>
              <w:t>质疑联系部门及电话为：</w:t>
            </w:r>
            <w:r>
              <w:rPr>
                <w:rFonts w:hint="eastAsia" w:hAnsi="宋体"/>
                <w:bCs/>
                <w:color w:val="auto"/>
                <w:sz w:val="24"/>
                <w:szCs w:val="24"/>
                <w:highlight w:val="none"/>
                <w:u w:val="single"/>
                <w:lang w:eastAsia="zh-CN"/>
              </w:rPr>
              <w:t>广西亿翔荣工程管理有限责任公司</w:t>
            </w:r>
            <w:r>
              <w:rPr>
                <w:rFonts w:hint="eastAsia" w:hAnsi="宋体"/>
                <w:bCs/>
                <w:color w:val="auto"/>
                <w:sz w:val="24"/>
                <w:szCs w:val="24"/>
                <w:highlight w:val="none"/>
              </w:rPr>
              <w:t xml:space="preserve"> 联系电话：</w:t>
            </w:r>
            <w:r>
              <w:rPr>
                <w:rFonts w:hint="eastAsia" w:hAnsi="宋体"/>
                <w:bCs/>
                <w:color w:val="auto"/>
                <w:sz w:val="24"/>
                <w:szCs w:val="24"/>
                <w:highlight w:val="none"/>
                <w:u w:val="single"/>
                <w:lang w:eastAsia="zh-CN"/>
              </w:rPr>
              <w:t>0779-2218733</w:t>
            </w:r>
            <w:r>
              <w:rPr>
                <w:rFonts w:hint="eastAsia" w:hAnsi="宋体"/>
                <w:bCs/>
                <w:color w:val="auto"/>
                <w:sz w:val="24"/>
                <w:szCs w:val="24"/>
                <w:highlight w:val="none"/>
                <w:u w:val="single"/>
              </w:rPr>
              <w:t xml:space="preserve"> </w:t>
            </w:r>
          </w:p>
          <w:p w14:paraId="53475B02">
            <w:pPr>
              <w:pStyle w:val="22"/>
              <w:adjustRightInd w:val="0"/>
              <w:snapToGrid w:val="0"/>
              <w:spacing w:line="360" w:lineRule="auto"/>
              <w:rPr>
                <w:rFonts w:hAnsi="宋体"/>
                <w:bCs/>
                <w:color w:val="auto"/>
                <w:sz w:val="24"/>
                <w:szCs w:val="24"/>
                <w:highlight w:val="none"/>
              </w:rPr>
            </w:pPr>
            <w:r>
              <w:rPr>
                <w:rFonts w:hint="eastAsia" w:hAnsi="宋体"/>
                <w:bCs/>
                <w:color w:val="auto"/>
                <w:sz w:val="24"/>
                <w:szCs w:val="24"/>
                <w:highlight w:val="none"/>
              </w:rPr>
              <w:t>投诉联系部门及电话为：</w:t>
            </w:r>
            <w:r>
              <w:rPr>
                <w:rFonts w:hint="eastAsia" w:hAnsi="宋体"/>
                <w:bCs/>
                <w:color w:val="auto"/>
                <w:sz w:val="24"/>
                <w:szCs w:val="24"/>
                <w:highlight w:val="none"/>
                <w:u w:val="single"/>
                <w:lang w:eastAsia="zh-CN"/>
              </w:rPr>
              <w:t>合浦县财政局</w:t>
            </w:r>
            <w:r>
              <w:rPr>
                <w:rFonts w:hint="eastAsia" w:hAnsi="宋体"/>
                <w:bCs/>
                <w:color w:val="auto"/>
                <w:sz w:val="24"/>
                <w:szCs w:val="24"/>
                <w:highlight w:val="none"/>
                <w:u w:val="single"/>
              </w:rPr>
              <w:t xml:space="preserve"> </w:t>
            </w:r>
            <w:r>
              <w:rPr>
                <w:rFonts w:hint="eastAsia" w:hAnsi="宋体"/>
                <w:bCs/>
                <w:color w:val="auto"/>
                <w:sz w:val="24"/>
                <w:szCs w:val="24"/>
                <w:highlight w:val="none"/>
              </w:rPr>
              <w:t>联系电话：</w:t>
            </w:r>
            <w:r>
              <w:rPr>
                <w:rFonts w:hint="eastAsia" w:hAnsi="宋体"/>
                <w:bCs/>
                <w:color w:val="auto"/>
                <w:sz w:val="24"/>
                <w:szCs w:val="24"/>
                <w:highlight w:val="none"/>
                <w:u w:val="single"/>
                <w:lang w:eastAsia="zh-CN"/>
              </w:rPr>
              <w:t>0779-7213187</w:t>
            </w:r>
            <w:r>
              <w:rPr>
                <w:rFonts w:hint="eastAsia" w:hAnsi="宋体"/>
                <w:bCs/>
                <w:color w:val="auto"/>
                <w:sz w:val="24"/>
                <w:szCs w:val="24"/>
                <w:highlight w:val="none"/>
              </w:rPr>
              <w:t xml:space="preserve"> </w:t>
            </w:r>
          </w:p>
        </w:tc>
      </w:tr>
    </w:tbl>
    <w:p w14:paraId="53475B04">
      <w:pPr>
        <w:spacing w:line="360" w:lineRule="auto"/>
        <w:ind w:firstLine="482" w:firstLineChars="200"/>
        <w:jc w:val="center"/>
        <w:rPr>
          <w:rFonts w:ascii="宋体" w:hAnsi="宋体"/>
          <w:b/>
          <w:color w:val="auto"/>
          <w:sz w:val="24"/>
          <w:highlight w:val="none"/>
        </w:rPr>
      </w:pPr>
    </w:p>
    <w:p w14:paraId="2D677A80">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53475B05">
      <w:pPr>
        <w:spacing w:line="360" w:lineRule="auto"/>
        <w:ind w:firstLine="643" w:firstLineChars="200"/>
        <w:jc w:val="center"/>
        <w:rPr>
          <w:rFonts w:ascii="宋体" w:hAnsi="宋体"/>
          <w:b/>
          <w:color w:val="auto"/>
          <w:sz w:val="32"/>
          <w:szCs w:val="32"/>
          <w:highlight w:val="none"/>
        </w:rPr>
      </w:pPr>
      <w:r>
        <w:rPr>
          <w:rFonts w:hint="eastAsia" w:ascii="宋体" w:hAnsi="宋体"/>
          <w:b/>
          <w:color w:val="auto"/>
          <w:sz w:val="32"/>
          <w:szCs w:val="32"/>
          <w:highlight w:val="none"/>
        </w:rPr>
        <w:t>磋商</w:t>
      </w:r>
      <w:r>
        <w:rPr>
          <w:rFonts w:ascii="宋体" w:hAnsi="宋体"/>
          <w:b/>
          <w:color w:val="auto"/>
          <w:sz w:val="32"/>
          <w:szCs w:val="32"/>
          <w:highlight w:val="none"/>
        </w:rPr>
        <w:t>供应商须知</w:t>
      </w:r>
    </w:p>
    <w:p w14:paraId="53475B06">
      <w:pPr>
        <w:spacing w:line="360" w:lineRule="auto"/>
        <w:ind w:firstLine="480" w:firstLineChars="200"/>
        <w:rPr>
          <w:rFonts w:ascii="宋体" w:hAnsi="宋体"/>
          <w:color w:val="auto"/>
          <w:sz w:val="24"/>
          <w:highlight w:val="none"/>
        </w:rPr>
      </w:pPr>
    </w:p>
    <w:p w14:paraId="53475B07">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一、总　则</w:t>
      </w:r>
    </w:p>
    <w:p w14:paraId="53475B08">
      <w:pPr>
        <w:snapToGrid w:val="0"/>
        <w:spacing w:line="360" w:lineRule="auto"/>
        <w:ind w:firstLine="482" w:firstLineChars="200"/>
        <w:jc w:val="left"/>
        <w:rPr>
          <w:rFonts w:ascii="宋体" w:hAnsi="宋体" w:cs="宋体"/>
          <w:b/>
          <w:color w:val="auto"/>
          <w:sz w:val="24"/>
          <w:highlight w:val="none"/>
        </w:rPr>
      </w:pPr>
      <w:bookmarkStart w:id="24" w:name="_Toc254970527"/>
      <w:bookmarkStart w:id="25" w:name="_Toc254970668"/>
      <w:r>
        <w:rPr>
          <w:rFonts w:hint="eastAsia" w:ascii="宋体" w:hAnsi="宋体" w:cs="宋体"/>
          <w:b/>
          <w:color w:val="auto"/>
          <w:sz w:val="24"/>
          <w:highlight w:val="none"/>
        </w:rPr>
        <w:t>1.适用范围</w:t>
      </w:r>
      <w:bookmarkEnd w:id="24"/>
      <w:bookmarkEnd w:id="25"/>
    </w:p>
    <w:p w14:paraId="53475B09">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本磋商文件适用于本项目的磋商、响应、评审、定标、验收、合同履约、付款等行为（法律、法规另有规定的，从其规定）。</w:t>
      </w:r>
    </w:p>
    <w:p w14:paraId="53475B0A">
      <w:pPr>
        <w:snapToGrid w:val="0"/>
        <w:spacing w:line="360" w:lineRule="auto"/>
        <w:ind w:firstLine="482" w:firstLineChars="200"/>
        <w:jc w:val="left"/>
        <w:rPr>
          <w:rFonts w:ascii="宋体" w:hAnsi="宋体" w:cs="宋体"/>
          <w:b/>
          <w:color w:val="auto"/>
          <w:sz w:val="24"/>
          <w:highlight w:val="none"/>
        </w:rPr>
      </w:pPr>
      <w:bookmarkStart w:id="26" w:name="_Toc254970669"/>
      <w:bookmarkStart w:id="27" w:name="_Toc254970528"/>
      <w:r>
        <w:rPr>
          <w:rFonts w:hint="eastAsia" w:ascii="宋体" w:hAnsi="宋体" w:cs="宋体"/>
          <w:b/>
          <w:color w:val="auto"/>
          <w:sz w:val="24"/>
          <w:highlight w:val="none"/>
        </w:rPr>
        <w:t>2.定义</w:t>
      </w:r>
      <w:bookmarkEnd w:id="26"/>
      <w:bookmarkEnd w:id="27"/>
    </w:p>
    <w:p w14:paraId="53475B0B">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1“采购人”系指组织本次磋商的采购单位。</w:t>
      </w:r>
    </w:p>
    <w:p w14:paraId="53475B0C">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2</w:t>
      </w:r>
      <w:r>
        <w:rPr>
          <w:rFonts w:hint="eastAsia" w:ascii="宋体" w:hAnsi="宋体" w:cs="宋体"/>
          <w:color w:val="auto"/>
          <w:sz w:val="24"/>
          <w:highlight w:val="none"/>
        </w:rPr>
        <w:t>“采购代理机构”系指组织本次磋商的采购代理机构（以下简称“</w:t>
      </w:r>
      <w:r>
        <w:rPr>
          <w:rFonts w:hint="eastAsia" w:ascii="宋体" w:hAnsi="宋体"/>
          <w:color w:val="auto"/>
          <w:sz w:val="24"/>
          <w:highlight w:val="none"/>
        </w:rPr>
        <w:t>本代理机构</w:t>
      </w:r>
      <w:r>
        <w:rPr>
          <w:rFonts w:hint="eastAsia" w:ascii="宋体" w:hAnsi="宋体" w:cs="宋体"/>
          <w:color w:val="auto"/>
          <w:sz w:val="24"/>
          <w:highlight w:val="none"/>
        </w:rPr>
        <w:t>”）。</w:t>
      </w:r>
    </w:p>
    <w:p w14:paraId="53475B0D">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2.3</w:t>
      </w:r>
      <w:r>
        <w:rPr>
          <w:rFonts w:hint="eastAsia" w:ascii="宋体" w:hAnsi="宋体" w:cs="宋体"/>
          <w:color w:val="auto"/>
          <w:sz w:val="24"/>
          <w:highlight w:val="none"/>
        </w:rPr>
        <w:t>“磋商供应商”系指响应磋商、参加磋商竞争的法人、其他组织或者自然人。</w:t>
      </w:r>
    </w:p>
    <w:p w14:paraId="53475B0E">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4“工程”是指建设工程，包括建筑物和构筑物的新建、改建、扩建、装修、拆除、修缮等。</w:t>
      </w:r>
    </w:p>
    <w:p w14:paraId="53475B0F">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5“项目”系指磋商供应商按竞争性磋商文件规定向采购人提供的产品和服务。</w:t>
      </w:r>
    </w:p>
    <w:p w14:paraId="53475B10">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2.6“书面形式”包括信函、传真、电报等。</w:t>
      </w:r>
    </w:p>
    <w:p w14:paraId="53475B11">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2.7“▲”系指实质性要求条款。</w:t>
      </w:r>
    </w:p>
    <w:p w14:paraId="53475B12">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3. 供应商的基本条件</w:t>
      </w:r>
    </w:p>
    <w:p w14:paraId="53475B13">
      <w:pPr>
        <w:pStyle w:val="22"/>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3.1满足《中华人民共和国政府采购法》第二十二条规定；</w:t>
      </w:r>
    </w:p>
    <w:p w14:paraId="53475B14">
      <w:pPr>
        <w:pStyle w:val="22"/>
        <w:adjustRightInd w:val="0"/>
        <w:snapToGrid w:val="0"/>
        <w:spacing w:line="360" w:lineRule="auto"/>
        <w:ind w:firstLine="480" w:firstLineChars="200"/>
        <w:rPr>
          <w:rFonts w:hint="default" w:hAnsi="宋体" w:cs="宋体"/>
          <w:color w:val="auto"/>
          <w:sz w:val="24"/>
          <w:szCs w:val="24"/>
          <w:highlight w:val="none"/>
          <w:lang w:val="en-US"/>
        </w:rPr>
      </w:pPr>
      <w:r>
        <w:rPr>
          <w:rFonts w:hint="eastAsia" w:hAnsi="宋体" w:cs="宋体"/>
          <w:color w:val="auto"/>
          <w:sz w:val="24"/>
          <w:szCs w:val="24"/>
          <w:highlight w:val="none"/>
        </w:rPr>
        <w:t>3.2落实政府采购政策需满足的资格要求：</w:t>
      </w:r>
      <w:r>
        <w:rPr>
          <w:rFonts w:hint="eastAsia" w:hAnsi="宋体" w:cs="宋体"/>
          <w:color w:val="auto"/>
          <w:sz w:val="24"/>
          <w:szCs w:val="24"/>
          <w:highlight w:val="none"/>
          <w:lang w:val="en-US" w:eastAsia="zh-CN"/>
        </w:rPr>
        <w:t>见采购公告。</w:t>
      </w:r>
    </w:p>
    <w:p w14:paraId="53475B15">
      <w:pPr>
        <w:pStyle w:val="22"/>
        <w:adjustRightInd w:val="0"/>
        <w:snapToGrid w:val="0"/>
        <w:spacing w:line="360" w:lineRule="auto"/>
        <w:ind w:firstLine="480" w:firstLineChars="200"/>
        <w:rPr>
          <w:rFonts w:hint="eastAsia" w:hAnsi="宋体" w:eastAsia="宋体" w:cs="宋体"/>
          <w:color w:val="auto"/>
          <w:sz w:val="24"/>
          <w:szCs w:val="24"/>
          <w:highlight w:val="none"/>
          <w:lang w:eastAsia="zh-CN"/>
        </w:rPr>
      </w:pPr>
      <w:r>
        <w:rPr>
          <w:rFonts w:hint="eastAsia" w:hAnsi="宋体" w:cs="宋体"/>
          <w:color w:val="auto"/>
          <w:sz w:val="24"/>
          <w:szCs w:val="24"/>
          <w:highlight w:val="none"/>
        </w:rPr>
        <w:t>3.3本项目的特定资格要求：</w:t>
      </w:r>
      <w:r>
        <w:rPr>
          <w:rFonts w:hint="eastAsia" w:hAnsi="宋体" w:cs="宋体"/>
          <w:color w:val="auto"/>
          <w:sz w:val="24"/>
          <w:szCs w:val="24"/>
          <w:highlight w:val="none"/>
          <w:lang w:val="en-US" w:eastAsia="zh-CN"/>
        </w:rPr>
        <w:t>见采购公告</w:t>
      </w:r>
      <w:r>
        <w:rPr>
          <w:rFonts w:hint="eastAsia" w:hAnsi="宋体" w:cs="宋体"/>
          <w:color w:val="auto"/>
          <w:sz w:val="24"/>
          <w:szCs w:val="24"/>
          <w:highlight w:val="none"/>
          <w:lang w:eastAsia="zh-CN"/>
        </w:rPr>
        <w:t xml:space="preserve">。 </w:t>
      </w:r>
    </w:p>
    <w:p w14:paraId="53475B16">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4.需要落实的政府采购政策</w:t>
      </w:r>
    </w:p>
    <w:p w14:paraId="53475B17">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4.1是否允许采购进口产品要求</w:t>
      </w:r>
    </w:p>
    <w:p w14:paraId="53475B18">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sz w:val="24"/>
          <w:szCs w:val="20"/>
          <w:highlight w:val="none"/>
        </w:rPr>
        <w:t>；</w:t>
      </w:r>
      <w:r>
        <w:rPr>
          <w:rFonts w:hint="eastAsia" w:ascii="宋体" w:hAnsi="宋体" w:cs="宋体"/>
          <w:color w:val="auto"/>
          <w:kern w:val="0"/>
          <w:sz w:val="24"/>
          <w:szCs w:val="20"/>
          <w:highlight w:val="none"/>
        </w:rPr>
        <w:t>优先采购向我国企业转让技术、与我国企业签订消化吸收再创新方案的供应商的进口产品</w:t>
      </w:r>
      <w:r>
        <w:rPr>
          <w:rFonts w:hint="eastAsia" w:ascii="宋体" w:hAnsi="宋体"/>
          <w:color w:val="auto"/>
          <w:sz w:val="24"/>
          <w:szCs w:val="20"/>
          <w:highlight w:val="none"/>
        </w:rPr>
        <w:t>。</w:t>
      </w:r>
    </w:p>
    <w:p w14:paraId="53475B19">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4.2支持绿色发展</w:t>
      </w:r>
    </w:p>
    <w:p w14:paraId="53475B1A">
      <w:pPr>
        <w:adjustRightIn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4.2.1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53475B1B">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4.2.2纳入政府采购管理的修缮、装修类项目采购建材的，鼓励采购单位将绿色建材性能、指标等作为实质性条件纳入采购文件和合同，具体性能指标要求参考相关绿色建材政府采购需求标准。</w:t>
      </w:r>
    </w:p>
    <w:p w14:paraId="53475B1C">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53475B1D">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53475B1E">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4.3支持中小企业发展。</w:t>
      </w:r>
    </w:p>
    <w:p w14:paraId="53475B1F">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4.3.1中小企业，是指在中华人民共和国境内依法设立，依据国务院批准的中小企业划分标准确定的中型企业、小型企业和微型企业，但与大企业的负责人为同一人，或者与大企业存在直接控股、管理关系的除外。</w:t>
      </w:r>
    </w:p>
    <w:p w14:paraId="53475B20">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53475B21">
      <w:pPr>
        <w:widowControl/>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bCs/>
          <w:color w:val="auto"/>
          <w:sz w:val="24"/>
          <w:highlight w:val="none"/>
        </w:rPr>
        <w:t>4.</w:t>
      </w:r>
      <w:r>
        <w:rPr>
          <w:rFonts w:ascii="宋体" w:hAnsi="宋体" w:cs="宋体"/>
          <w:bCs/>
          <w:color w:val="auto"/>
          <w:sz w:val="24"/>
          <w:highlight w:val="none"/>
        </w:rPr>
        <w:t>3.2</w:t>
      </w:r>
      <w:r>
        <w:rPr>
          <w:rFonts w:hint="eastAsia" w:ascii="宋体" w:hAnsi="宋体" w:cs="宋体"/>
          <w:color w:val="auto"/>
          <w:kern w:val="0"/>
          <w:sz w:val="24"/>
          <w:highlight w:val="none"/>
        </w:rPr>
        <w:t>在政府采购活动中，服务类项目采购，服务由中小企业承接，即提供服务的人员为中小企业依照《中华人民共和国劳动合同法》订立劳动合同的从业人员，享受中小企业扶持政策。</w:t>
      </w:r>
    </w:p>
    <w:p w14:paraId="53475B22">
      <w:pPr>
        <w:widowControl/>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53475B23">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4.3.3对于未预留份额专门面向中小企业采购的政府采购工程项目，以及预留份额政府采购工程项目中的非预留部分标项，对小型和微型企业的最后报价给予3%</w:t>
      </w:r>
      <w:r>
        <w:rPr>
          <w:rFonts w:ascii="宋体" w:hAnsi="宋体" w:cs="宋体"/>
          <w:color w:val="auto"/>
          <w:sz w:val="24"/>
          <w:highlight w:val="none"/>
        </w:rPr>
        <w:t>—</w:t>
      </w:r>
      <w:r>
        <w:rPr>
          <w:rFonts w:hint="eastAsia" w:ascii="宋体" w:hAnsi="宋体" w:cs="宋体"/>
          <w:color w:val="auto"/>
          <w:sz w:val="24"/>
          <w:highlight w:val="none"/>
        </w:rPr>
        <w:t>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w:t>
      </w:r>
      <w:r>
        <w:rPr>
          <w:rFonts w:ascii="宋体" w:hAnsi="宋体" w:cs="宋体"/>
          <w:color w:val="auto"/>
          <w:sz w:val="24"/>
          <w:highlight w:val="none"/>
        </w:rPr>
        <w:t>1%—2%</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w:t>
      </w:r>
    </w:p>
    <w:p w14:paraId="53475B24">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4.3.4符合《关于促进残疾人就业政府采购政策的通知》（财库〔2017〕141号）规定的条件并提供《残疾人福利性单位声明函》（附件</w:t>
      </w:r>
      <w:r>
        <w:rPr>
          <w:rFonts w:ascii="宋体" w:hAnsi="宋体" w:cs="宋体"/>
          <w:color w:val="auto"/>
          <w:sz w:val="24"/>
          <w:highlight w:val="none"/>
        </w:rPr>
        <w:t>3</w:t>
      </w:r>
      <w:r>
        <w:rPr>
          <w:rFonts w:hint="eastAsia" w:ascii="宋体" w:hAnsi="宋体" w:cs="宋体"/>
          <w:color w:val="auto"/>
          <w:sz w:val="24"/>
          <w:highlight w:val="none"/>
        </w:rPr>
        <w:t>）的残疾人福利性单位视同小型、微型企业；</w:t>
      </w:r>
    </w:p>
    <w:p w14:paraId="53475B25">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4.3.5符合《关于政府采购支持监狱企业发展有关问题的通知》（财库〔2014〕68号）规定的监狱企业并提供由省级以上监狱管理局、戒毒管理局（含新疆生产建设兵团）出具的属于监狱企业证明文件的，视同为小型、微型企业。</w:t>
      </w:r>
    </w:p>
    <w:p w14:paraId="53475B26">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53475B27">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4.3.7中小企业享受扶持政策获得政府采购合同的，小微企业不得将合同分包给大中型企业，中型企业不得将合同分包给大型企业。</w:t>
      </w:r>
    </w:p>
    <w:p w14:paraId="53475B28">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4.5</w:t>
      </w:r>
      <w:r>
        <w:rPr>
          <w:rFonts w:hint="eastAsia" w:ascii="宋体" w:hAnsi="宋体" w:cs="宋体"/>
          <w:b/>
          <w:bCs/>
          <w:color w:val="auto"/>
          <w:sz w:val="24"/>
          <w:highlight w:val="none"/>
        </w:rPr>
        <w:t>支持创新发展</w:t>
      </w:r>
    </w:p>
    <w:p w14:paraId="53475B29">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4.5.1 采购人优先采购被认定为首台套产品和“制造精品”的自主创新产品。</w:t>
      </w:r>
    </w:p>
    <w:p w14:paraId="53475B2A">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53475B2B">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4.6平等对待内外资企业</w:t>
      </w:r>
    </w:p>
    <w:p w14:paraId="53475B2C">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53475B2D">
      <w:pPr>
        <w:adjustRightInd w:val="0"/>
        <w:snapToGrid w:val="0"/>
        <w:spacing w:line="360" w:lineRule="auto"/>
        <w:ind w:firstLine="482" w:firstLineChars="200"/>
        <w:jc w:val="left"/>
        <w:rPr>
          <w:rFonts w:ascii="宋体" w:hAnsi="宋体"/>
          <w:b/>
          <w:bCs/>
          <w:color w:val="auto"/>
          <w:kern w:val="0"/>
          <w:sz w:val="24"/>
          <w:szCs w:val="20"/>
          <w:highlight w:val="none"/>
        </w:rPr>
      </w:pPr>
      <w:r>
        <w:rPr>
          <w:rFonts w:hint="eastAsia" w:ascii="宋体" w:hAnsi="宋体" w:cs="宋体"/>
          <w:b/>
          <w:color w:val="auto"/>
          <w:kern w:val="0"/>
          <w:sz w:val="24"/>
          <w:szCs w:val="20"/>
          <w:highlight w:val="none"/>
        </w:rPr>
        <w:t>4.7</w:t>
      </w:r>
      <w:r>
        <w:rPr>
          <w:rFonts w:hint="eastAsia" w:ascii="宋体" w:hAnsi="宋体"/>
          <w:b/>
          <w:color w:val="auto"/>
          <w:kern w:val="0"/>
          <w:sz w:val="24"/>
          <w:szCs w:val="20"/>
          <w:highlight w:val="none"/>
        </w:rPr>
        <w:t>平等对待符合条件的破产重整企业</w:t>
      </w:r>
    </w:p>
    <w:p w14:paraId="53475B2E">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s="宋体"/>
          <w:color w:val="auto"/>
          <w:kern w:val="0"/>
          <w:sz w:val="24"/>
          <w:szCs w:val="20"/>
          <w:highlight w:val="none"/>
        </w:rPr>
        <w:t>平等对待符合条件的破产重整企业，切实保障企业公平竞争，平等维护企业的合法利益。</w:t>
      </w:r>
    </w:p>
    <w:p w14:paraId="53475B2F">
      <w:pPr>
        <w:widowControl/>
        <w:adjustRightInd w:val="0"/>
        <w:snapToGrid w:val="0"/>
        <w:spacing w:line="360" w:lineRule="auto"/>
        <w:ind w:firstLine="482" w:firstLineChars="200"/>
        <w:jc w:val="left"/>
        <w:rPr>
          <w:rFonts w:ascii="宋体" w:hAnsi="宋体"/>
          <w:b/>
          <w:color w:val="auto"/>
          <w:sz w:val="24"/>
          <w:highlight w:val="none"/>
        </w:rPr>
      </w:pPr>
      <w:r>
        <w:rPr>
          <w:rFonts w:hint="eastAsia" w:ascii="宋体" w:hAnsi="宋体"/>
          <w:b/>
          <w:color w:val="auto"/>
          <w:sz w:val="24"/>
          <w:highlight w:val="none"/>
        </w:rPr>
        <w:t>5.联合体磋商</w:t>
      </w:r>
    </w:p>
    <w:p w14:paraId="53475B3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本标项不接受联合体磋商。</w:t>
      </w:r>
    </w:p>
    <w:p w14:paraId="53475B31">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6. 磋商费用、竞争性磋商公告、竞争性磋商文件的澄清和修改</w:t>
      </w:r>
    </w:p>
    <w:p w14:paraId="53475B32">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6.1磋商费用：供应商应自行承担所有与编写和提交竞争性磋商响应文件有关的费用，不论磋商结果如何，采购人和本代理机构在任何情况下无义务和责任承担此类费用。</w:t>
      </w:r>
    </w:p>
    <w:p w14:paraId="53475B33">
      <w:pPr>
        <w:pStyle w:val="22"/>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6.2竞争性磋商公告：见</w:t>
      </w:r>
      <w:r>
        <w:rPr>
          <w:rFonts w:hint="eastAsia" w:hAnsi="宋体" w:cs="宋体"/>
          <w:color w:val="auto"/>
          <w:sz w:val="24"/>
          <w:szCs w:val="24"/>
          <w:highlight w:val="none"/>
          <w:lang w:eastAsia="zh-CN"/>
        </w:rPr>
        <w:t>中国政府采购网(http：//www.ccgp.gov.cn/)、广西壮族自治区政府采购网(http：//www.ccgp-guangxi.gov.cn/)、北海市政府采购监管网（https：//bhzfcg.zcygov.cn/）</w:t>
      </w:r>
      <w:r>
        <w:rPr>
          <w:rFonts w:hint="eastAsia" w:hAnsi="宋体" w:cs="宋体"/>
          <w:color w:val="auto"/>
          <w:sz w:val="24"/>
          <w:szCs w:val="24"/>
          <w:highlight w:val="none"/>
        </w:rPr>
        <w:t>。</w:t>
      </w:r>
    </w:p>
    <w:p w14:paraId="53475B3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6.3竞争性磋商文件的澄清和修改：</w:t>
      </w:r>
    </w:p>
    <w:p w14:paraId="53475B35">
      <w:pPr>
        <w:pStyle w:val="22"/>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6.3.1</w:t>
      </w:r>
      <w:r>
        <w:rPr>
          <w:rFonts w:hint="eastAsia" w:hAnsi="宋体"/>
          <w:bCs/>
          <w:color w:val="auto"/>
          <w:sz w:val="24"/>
          <w:szCs w:val="24"/>
          <w:highlight w:val="none"/>
        </w:rPr>
        <w:t>供应商应认真审核《采购需求》中的服务要求，如发现采购需求中服务要求有误或要求不合理的，供应商必须在规定的时间前要求澄清，否则，由此产生的后果由供应商负责。</w:t>
      </w:r>
    </w:p>
    <w:p w14:paraId="53475B36">
      <w:pPr>
        <w:pStyle w:val="22"/>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6.3.2任何要求澄清竞争性磋商文件的供应商，均应在响应文件递交截止日期三日前的正常工作时间以书面形式通知本代理机构，同时认定其他澄清方式为无效。本代理机构将以书面形式予以答复。</w:t>
      </w:r>
    </w:p>
    <w:p w14:paraId="53475B37">
      <w:pPr>
        <w:widowControl/>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6.3.3本代理机构对已发出的磋商文件进行必要澄清或者修改的，在竞争性磋商文件要求提交竞争性磋商响应文件截止时间五日前（不足五日顺延），在</w:t>
      </w:r>
      <w:r>
        <w:rPr>
          <w:rFonts w:hint="eastAsia" w:ascii="宋体" w:hAnsi="宋体" w:cs="宋体"/>
          <w:color w:val="auto"/>
          <w:sz w:val="24"/>
          <w:highlight w:val="none"/>
          <w:lang w:eastAsia="zh-CN"/>
        </w:rPr>
        <w:t>中国政府采购网(http：//www.ccgp.gov.cn/)、广西壮族自治区政府采购网(http：//www.ccgp-guangxi.gov.cn/)、北海市政府采购监管网（https：//bhzfcg.zcygov.cn/）</w:t>
      </w:r>
      <w:r>
        <w:rPr>
          <w:rFonts w:hint="eastAsia" w:ascii="宋体" w:hAnsi="宋体"/>
          <w:color w:val="auto"/>
          <w:sz w:val="24"/>
          <w:highlight w:val="none"/>
        </w:rPr>
        <w:t>上发布更正公告，并以书面形式通知所有竞争性磋商文件收受人。该澄清或者修改的内容为竞争性磋商文件的组成部分。</w:t>
      </w:r>
    </w:p>
    <w:p w14:paraId="53475B3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6.3.4本代理机构可视具体情况，延长响应文件递交截止时间和开标时间。本代理机构至少在竞争性磋商文件要求提交竞争性磋商响应文件的截止时间一日前，将变更时间书面通知所有竞争性磋商文件收受人，并在</w:t>
      </w:r>
      <w:r>
        <w:rPr>
          <w:rFonts w:hint="eastAsia" w:ascii="宋体" w:hAnsi="宋体" w:cs="宋体"/>
          <w:color w:val="auto"/>
          <w:sz w:val="24"/>
          <w:highlight w:val="none"/>
          <w:lang w:eastAsia="zh-CN"/>
        </w:rPr>
        <w:t>中国政府采购网(http：//www.ccgp.gov.cn/)、广西壮族自治区政府采购网(http：//www.ccgp-guangxi.gov.cn/)、北海市政府采购监管网（https：//bhzfcg.zcygov.cn/）</w:t>
      </w:r>
      <w:r>
        <w:rPr>
          <w:rFonts w:hint="eastAsia" w:ascii="宋体" w:hAnsi="宋体"/>
          <w:color w:val="auto"/>
          <w:sz w:val="24"/>
          <w:highlight w:val="none"/>
        </w:rPr>
        <w:t>上发布变更公告。</w:t>
      </w:r>
    </w:p>
    <w:p w14:paraId="53475B39">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二、竞争性磋商响应文件的编制</w:t>
      </w:r>
    </w:p>
    <w:p w14:paraId="53475B3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 竞争性磋商响应文件编制基本要求</w:t>
      </w:r>
    </w:p>
    <w:p w14:paraId="53475B3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7.1</w:t>
      </w:r>
      <w:r>
        <w:rPr>
          <w:rFonts w:ascii="宋体" w:hAnsi="宋体"/>
          <w:color w:val="auto"/>
          <w:sz w:val="24"/>
          <w:highlight w:val="none"/>
        </w:rPr>
        <w:t>本项目实行电子</w:t>
      </w:r>
      <w:r>
        <w:rPr>
          <w:rFonts w:hint="eastAsia" w:ascii="宋体" w:hAnsi="宋体"/>
          <w:color w:val="auto"/>
          <w:sz w:val="24"/>
          <w:highlight w:val="none"/>
        </w:rPr>
        <w:t>磋商</w:t>
      </w:r>
      <w:r>
        <w:rPr>
          <w:rFonts w:ascii="宋体" w:hAnsi="宋体"/>
          <w:color w:val="auto"/>
          <w:sz w:val="24"/>
          <w:highlight w:val="none"/>
        </w:rPr>
        <w:t>，供应商应准备电子</w:t>
      </w:r>
      <w:r>
        <w:rPr>
          <w:rFonts w:hint="eastAsia" w:ascii="宋体" w:hAnsi="宋体"/>
          <w:color w:val="auto"/>
          <w:sz w:val="24"/>
          <w:highlight w:val="none"/>
        </w:rPr>
        <w:t>磋商</w:t>
      </w:r>
      <w:r>
        <w:rPr>
          <w:rFonts w:ascii="宋体" w:hAnsi="宋体"/>
          <w:color w:val="auto"/>
          <w:sz w:val="24"/>
          <w:highlight w:val="none"/>
        </w:rPr>
        <w:t>响应文件：</w:t>
      </w:r>
    </w:p>
    <w:p w14:paraId="53475B3C">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7.1.1</w:t>
      </w:r>
      <w:r>
        <w:rPr>
          <w:rFonts w:ascii="宋体" w:hAnsi="宋体"/>
          <w:color w:val="auto"/>
          <w:sz w:val="24"/>
          <w:highlight w:val="none"/>
        </w:rPr>
        <w:t>电子响应文件按广西政府采购云平台平台</w:t>
      </w:r>
      <w:r>
        <w:rPr>
          <w:rFonts w:hint="eastAsia" w:ascii="宋体" w:hAnsi="宋体"/>
          <w:color w:val="auto"/>
          <w:sz w:val="24"/>
          <w:highlight w:val="none"/>
        </w:rPr>
        <w:t>要求</w:t>
      </w:r>
      <w:r>
        <w:rPr>
          <w:rFonts w:ascii="宋体" w:hAnsi="宋体"/>
          <w:color w:val="auto"/>
          <w:sz w:val="24"/>
          <w:highlight w:val="none"/>
        </w:rPr>
        <w:t>及本磋商文件要求制作、加密并递交。具体操作流程</w:t>
      </w:r>
      <w:r>
        <w:rPr>
          <w:rFonts w:hint="eastAsia" w:ascii="宋体" w:hAnsi="宋体"/>
          <w:color w:val="auto"/>
          <w:sz w:val="24"/>
          <w:highlight w:val="none"/>
        </w:rPr>
        <w:t>可参考</w:t>
      </w:r>
      <w:r>
        <w:rPr>
          <w:rFonts w:ascii="宋体" w:hAnsi="宋体"/>
          <w:color w:val="auto"/>
          <w:sz w:val="24"/>
          <w:highlight w:val="none"/>
        </w:rPr>
        <w:t>《</w:t>
      </w:r>
      <w:r>
        <w:rPr>
          <w:rFonts w:hint="eastAsia" w:ascii="宋体" w:hAnsi="宋体"/>
          <w:color w:val="auto"/>
          <w:sz w:val="24"/>
          <w:highlight w:val="none"/>
        </w:rPr>
        <w:t>政府采购</w:t>
      </w:r>
      <w:r>
        <w:rPr>
          <w:rFonts w:ascii="宋体" w:hAnsi="宋体"/>
          <w:color w:val="auto"/>
          <w:sz w:val="24"/>
          <w:highlight w:val="none"/>
        </w:rPr>
        <w:t>项目电子交易管理操作指南</w:t>
      </w:r>
      <w:r>
        <w:rPr>
          <w:rFonts w:hint="eastAsia" w:ascii="宋体" w:hAnsi="宋体"/>
          <w:color w:val="auto"/>
          <w:sz w:val="24"/>
          <w:highlight w:val="none"/>
        </w:rPr>
        <w:t>-</w:t>
      </w:r>
      <w:r>
        <w:rPr>
          <w:rFonts w:ascii="宋体" w:hAnsi="宋体"/>
          <w:color w:val="auto"/>
          <w:sz w:val="24"/>
          <w:highlight w:val="none"/>
        </w:rPr>
        <w:t>供应商》</w:t>
      </w:r>
      <w:r>
        <w:rPr>
          <w:rFonts w:hint="eastAsia" w:ascii="宋体" w:hAnsi="宋体"/>
          <w:color w:val="auto"/>
          <w:sz w:val="24"/>
          <w:highlight w:val="none"/>
        </w:rPr>
        <w:t>，</w:t>
      </w:r>
      <w:r>
        <w:rPr>
          <w:rFonts w:ascii="宋体" w:hAnsi="宋体"/>
          <w:color w:val="auto"/>
          <w:sz w:val="24"/>
          <w:highlight w:val="none"/>
        </w:rPr>
        <w:t>指南可在</w:t>
      </w:r>
      <w:r>
        <w:rPr>
          <w:rFonts w:hint="eastAsia" w:ascii="宋体" w:hAnsi="宋体"/>
          <w:color w:val="auto"/>
          <w:sz w:val="24"/>
          <w:highlight w:val="none"/>
        </w:rPr>
        <w:t>广西政府采购网进行查阅。</w:t>
      </w:r>
    </w:p>
    <w:p w14:paraId="53475B3D">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7.1.3磋商响应</w:t>
      </w:r>
      <w:r>
        <w:rPr>
          <w:rFonts w:ascii="宋体" w:hAnsi="宋体"/>
          <w:color w:val="auto"/>
          <w:sz w:val="24"/>
          <w:highlight w:val="none"/>
        </w:rPr>
        <w:t>文件</w:t>
      </w:r>
      <w:r>
        <w:rPr>
          <w:rFonts w:hint="eastAsia" w:ascii="宋体" w:hAnsi="宋体"/>
          <w:color w:val="auto"/>
          <w:sz w:val="24"/>
          <w:highlight w:val="none"/>
        </w:rPr>
        <w:t>解密</w:t>
      </w:r>
      <w:r>
        <w:rPr>
          <w:rFonts w:ascii="宋体" w:hAnsi="宋体"/>
          <w:color w:val="auto"/>
          <w:sz w:val="24"/>
          <w:highlight w:val="none"/>
        </w:rPr>
        <w:t>：</w:t>
      </w:r>
      <w:r>
        <w:rPr>
          <w:rFonts w:hint="eastAsia" w:ascii="宋体" w:hAnsi="宋体"/>
          <w:color w:val="auto"/>
          <w:sz w:val="24"/>
          <w:highlight w:val="none"/>
        </w:rPr>
        <w:t>若磋商供应商在规定时间内无法解密或解密失败，视为磋商响应文件撤回，磋商无效。</w:t>
      </w:r>
    </w:p>
    <w:p w14:paraId="53475B3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7.2供应商提交的竞争性磋商响应文件以及供应商与代理机构和采购人就有关磋商的所有来往函电均应使用中文。供应商提交的支持文件和印刷的文献可以使用别的语言，但其相应内容必须附有中文翻译文本，在解释竞争性磋商响应文件时以翻译文本为主。</w:t>
      </w:r>
    </w:p>
    <w:p w14:paraId="53475B3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7.3供应商应认真阅读、并充分理解本文件的全部内容（包括所有的澄清、更改、补充、答疑等内容），承诺并履行本文件中各项条款规定及要求。</w:t>
      </w:r>
    </w:p>
    <w:p w14:paraId="53475B4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7.4竞争性磋商响应文件必须按本文件的全部内容，包括所有的澄清、更改、补充、答疑等内容及附件进行编制。</w:t>
      </w:r>
    </w:p>
    <w:p w14:paraId="53475B4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7.5如因供应商只填写和提供了本文件要求的部分内容和附件，而给磋商小组评审造成困难，其可能导致的结果和责任由供应商自行承担。</w:t>
      </w:r>
    </w:p>
    <w:p w14:paraId="53475B42">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7.6全面实行全流程电子化采购后进一步精简评标事项和环节，梳理采购流程，取消原件审查、核对等环节。资格条件证明材料、业绩证明、授权书等材料均以电子采购文件为评审依据，供应商须对所对所提供材料的真实性和一致性负责。</w:t>
      </w:r>
    </w:p>
    <w:p w14:paraId="53475B4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7.7竞争性磋商响应文件的组成：竞争性磋商响应文件应分为资格文件、价格文件和商务技术文件组成。</w:t>
      </w:r>
      <w:r>
        <w:rPr>
          <w:rFonts w:ascii="宋体" w:hAnsi="宋体"/>
          <w:color w:val="auto"/>
          <w:sz w:val="24"/>
          <w:highlight w:val="none"/>
        </w:rPr>
        <w:t>供应商应仔细阅读磋商采购文件的所有内容，按磋商采购文件的要求，详细编制磋商响应文件。</w:t>
      </w:r>
    </w:p>
    <w:p w14:paraId="53475B44">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7.7.1资格文件</w:t>
      </w:r>
    </w:p>
    <w:p w14:paraId="78D00804">
      <w:pPr>
        <w:spacing w:before="179" w:line="219" w:lineRule="auto"/>
        <w:ind w:left="498"/>
        <w:rPr>
          <w:rFonts w:ascii="宋体" w:hAnsi="宋体" w:eastAsia="宋体" w:cs="宋体"/>
          <w:color w:val="auto"/>
          <w:sz w:val="24"/>
          <w:szCs w:val="24"/>
        </w:rPr>
      </w:pPr>
      <w:r>
        <w:rPr>
          <w:rFonts w:ascii="宋体" w:hAnsi="宋体" w:eastAsia="宋体" w:cs="宋体"/>
          <w:b/>
          <w:bCs/>
          <w:color w:val="auto"/>
          <w:spacing w:val="-1"/>
          <w:sz w:val="24"/>
          <w:szCs w:val="24"/>
        </w:rPr>
        <w:t>▲</w:t>
      </w:r>
      <w:r>
        <w:rPr>
          <w:rFonts w:ascii="宋体" w:hAnsi="宋体" w:eastAsia="宋体" w:cs="宋体"/>
          <w:color w:val="auto"/>
          <w:spacing w:val="-1"/>
          <w:sz w:val="24"/>
          <w:szCs w:val="24"/>
        </w:rPr>
        <w:t>（1）北海市政府采购供应商信用承诺函</w:t>
      </w:r>
      <w:r>
        <w:rPr>
          <w:rFonts w:ascii="宋体" w:hAnsi="宋体" w:eastAsia="宋体" w:cs="宋体"/>
          <w:b/>
          <w:bCs/>
          <w:color w:val="auto"/>
          <w:spacing w:val="-2"/>
          <w:sz w:val="24"/>
          <w:szCs w:val="24"/>
        </w:rPr>
        <w:t>（必须提供，格式见第三章）</w:t>
      </w:r>
    </w:p>
    <w:p w14:paraId="19247BC7">
      <w:pPr>
        <w:spacing w:before="183" w:line="359" w:lineRule="auto"/>
        <w:ind w:left="9" w:right="16" w:firstLine="488"/>
        <w:rPr>
          <w:rFonts w:ascii="宋体" w:hAnsi="宋体" w:eastAsia="宋体" w:cs="宋体"/>
          <w:color w:val="auto"/>
          <w:sz w:val="24"/>
          <w:szCs w:val="24"/>
        </w:rPr>
      </w:pPr>
      <w:r>
        <w:rPr>
          <w:rFonts w:ascii="宋体" w:hAnsi="宋体" w:eastAsia="宋体" w:cs="宋体"/>
          <w:b/>
          <w:bCs/>
          <w:color w:val="auto"/>
          <w:spacing w:val="-2"/>
          <w:sz w:val="24"/>
          <w:szCs w:val="24"/>
        </w:rPr>
        <w:t>▲</w:t>
      </w:r>
      <w:r>
        <w:rPr>
          <w:rFonts w:ascii="宋体" w:hAnsi="宋体" w:eastAsia="宋体" w:cs="宋体"/>
          <w:color w:val="auto"/>
          <w:spacing w:val="-2"/>
          <w:sz w:val="24"/>
          <w:szCs w:val="24"/>
        </w:rPr>
        <w:t>（2）磋商供应商</w:t>
      </w:r>
      <w:r>
        <w:rPr>
          <w:rFonts w:hint="eastAsia" w:ascii="宋体" w:hAnsi="宋体" w:eastAsia="宋体" w:cs="宋体"/>
          <w:color w:val="auto"/>
          <w:spacing w:val="-2"/>
          <w:sz w:val="24"/>
          <w:szCs w:val="24"/>
        </w:rPr>
        <w:t>有效的水利水电工程施工总承包贰级（含）以上资质证书复印件、供应商有效的安全生产许可证复印件</w:t>
      </w:r>
      <w:r>
        <w:rPr>
          <w:rFonts w:ascii="宋体" w:hAnsi="宋体" w:eastAsia="宋体" w:cs="宋体"/>
          <w:b/>
          <w:bCs/>
          <w:color w:val="auto"/>
          <w:spacing w:val="-1"/>
          <w:sz w:val="24"/>
          <w:szCs w:val="24"/>
        </w:rPr>
        <w:t>（必须提供）</w:t>
      </w:r>
    </w:p>
    <w:p w14:paraId="53475B48">
      <w:pPr>
        <w:spacing w:before="1" w:line="359" w:lineRule="auto"/>
        <w:ind w:left="8" w:firstLine="489"/>
        <w:rPr>
          <w:rFonts w:ascii="宋体" w:hAnsi="宋体" w:eastAsia="宋体" w:cs="宋体"/>
          <w:b/>
          <w:bCs/>
          <w:color w:val="auto"/>
          <w:sz w:val="24"/>
          <w:szCs w:val="24"/>
        </w:rPr>
      </w:pPr>
      <w:r>
        <w:rPr>
          <w:rFonts w:ascii="宋体" w:hAnsi="宋体" w:eastAsia="宋体" w:cs="宋体"/>
          <w:b/>
          <w:bCs/>
          <w:color w:val="auto"/>
          <w:spacing w:val="-1"/>
          <w:sz w:val="24"/>
          <w:szCs w:val="24"/>
        </w:rPr>
        <w:t>▲</w:t>
      </w:r>
      <w:r>
        <w:rPr>
          <w:rFonts w:ascii="宋体" w:hAnsi="宋体" w:eastAsia="宋体" w:cs="宋体"/>
          <w:color w:val="auto"/>
          <w:spacing w:val="-1"/>
          <w:sz w:val="24"/>
          <w:szCs w:val="24"/>
        </w:rPr>
        <w:t>（3）供应商拟派的项目经理须具备水利水电工程专业二级(含)</w:t>
      </w:r>
      <w:r>
        <w:rPr>
          <w:rFonts w:ascii="宋体" w:hAnsi="宋体" w:eastAsia="宋体" w:cs="宋体"/>
          <w:color w:val="auto"/>
          <w:spacing w:val="-2"/>
          <w:sz w:val="24"/>
          <w:szCs w:val="24"/>
        </w:rPr>
        <w:t>以上注册建造师执</w:t>
      </w:r>
      <w:r>
        <w:rPr>
          <w:rFonts w:ascii="宋体" w:hAnsi="宋体" w:eastAsia="宋体" w:cs="宋体"/>
          <w:color w:val="auto"/>
          <w:spacing w:val="-3"/>
          <w:sz w:val="24"/>
          <w:szCs w:val="24"/>
        </w:rPr>
        <w:t>业资格证书复印件及有效的安全生产考核合格证书（B</w:t>
      </w:r>
      <w:r>
        <w:rPr>
          <w:rFonts w:ascii="宋体" w:hAnsi="宋体" w:eastAsia="宋体" w:cs="宋体"/>
          <w:color w:val="auto"/>
          <w:spacing w:val="-37"/>
          <w:sz w:val="24"/>
          <w:szCs w:val="24"/>
        </w:rPr>
        <w:t xml:space="preserve"> </w:t>
      </w:r>
      <w:r>
        <w:rPr>
          <w:rFonts w:ascii="宋体" w:hAnsi="宋体" w:eastAsia="宋体" w:cs="宋体"/>
          <w:color w:val="auto"/>
          <w:spacing w:val="-3"/>
          <w:sz w:val="24"/>
          <w:szCs w:val="24"/>
        </w:rPr>
        <w:t>类）复印件。同时提供拟投入本项</w:t>
      </w:r>
      <w:r>
        <w:rPr>
          <w:rFonts w:ascii="宋体" w:hAnsi="宋体" w:eastAsia="宋体" w:cs="宋体"/>
          <w:color w:val="auto"/>
          <w:spacing w:val="2"/>
          <w:sz w:val="24"/>
          <w:szCs w:val="24"/>
        </w:rPr>
        <w:t>目的项目经理无在建、已中标（成交）未开工或已列为其他项目中标（成交）候选人第</w:t>
      </w:r>
      <w:r>
        <w:rPr>
          <w:rFonts w:ascii="宋体" w:hAnsi="宋体" w:eastAsia="宋体" w:cs="宋体"/>
          <w:color w:val="auto"/>
          <w:sz w:val="24"/>
          <w:szCs w:val="24"/>
        </w:rPr>
        <w:t>一名的情况的承诺函（格式自拟</w:t>
      </w:r>
      <w:r>
        <w:rPr>
          <w:rFonts w:ascii="宋体" w:hAnsi="宋体" w:eastAsia="宋体" w:cs="宋体"/>
          <w:color w:val="auto"/>
          <w:spacing w:val="-10"/>
          <w:sz w:val="24"/>
          <w:szCs w:val="24"/>
        </w:rPr>
        <w:t>）</w:t>
      </w:r>
      <w:r>
        <w:rPr>
          <w:rFonts w:ascii="宋体" w:hAnsi="宋体" w:eastAsia="宋体" w:cs="宋体"/>
          <w:b/>
          <w:bCs/>
          <w:color w:val="auto"/>
          <w:spacing w:val="-10"/>
          <w:sz w:val="24"/>
          <w:szCs w:val="24"/>
        </w:rPr>
        <w:t>（</w:t>
      </w:r>
      <w:r>
        <w:rPr>
          <w:rFonts w:ascii="宋体" w:hAnsi="宋体" w:eastAsia="宋体" w:cs="宋体"/>
          <w:b/>
          <w:bCs/>
          <w:color w:val="auto"/>
          <w:sz w:val="24"/>
          <w:szCs w:val="24"/>
        </w:rPr>
        <w:t>必须提供）</w:t>
      </w:r>
    </w:p>
    <w:p w14:paraId="3CD5C181">
      <w:pPr>
        <w:spacing w:before="1" w:line="359" w:lineRule="auto"/>
        <w:ind w:left="8" w:firstLine="489"/>
        <w:rPr>
          <w:rFonts w:hint="default" w:ascii="宋体" w:hAnsi="宋体" w:eastAsia="宋体" w:cs="宋体"/>
          <w:b/>
          <w:bCs/>
          <w:color w:val="auto"/>
          <w:sz w:val="24"/>
          <w:szCs w:val="24"/>
          <w:lang w:val="en-US"/>
        </w:rPr>
      </w:pPr>
      <w:r>
        <w:rPr>
          <w:rFonts w:ascii="宋体" w:hAnsi="宋体" w:eastAsia="宋体" w:cs="宋体"/>
          <w:b/>
          <w:bCs/>
          <w:color w:val="auto"/>
          <w:spacing w:val="-1"/>
          <w:sz w:val="24"/>
          <w:szCs w:val="24"/>
        </w:rPr>
        <w:t>▲</w:t>
      </w:r>
      <w:r>
        <w:rPr>
          <w:rFonts w:ascii="宋体" w:hAnsi="宋体" w:eastAsia="宋体" w:cs="宋体"/>
          <w:color w:val="auto"/>
          <w:spacing w:val="-1"/>
          <w:sz w:val="24"/>
          <w:szCs w:val="24"/>
        </w:rPr>
        <w:t>（</w:t>
      </w:r>
      <w:r>
        <w:rPr>
          <w:rFonts w:hint="eastAsia" w:ascii="宋体" w:hAnsi="宋体" w:cs="宋体"/>
          <w:color w:val="auto"/>
          <w:spacing w:val="-1"/>
          <w:sz w:val="24"/>
          <w:szCs w:val="24"/>
          <w:lang w:val="en-US" w:eastAsia="zh-CN"/>
        </w:rPr>
        <w:t>4</w:t>
      </w:r>
      <w:r>
        <w:rPr>
          <w:rFonts w:ascii="宋体" w:hAnsi="宋体" w:eastAsia="宋体" w:cs="宋体"/>
          <w:color w:val="auto"/>
          <w:spacing w:val="-1"/>
          <w:sz w:val="24"/>
          <w:szCs w:val="24"/>
        </w:rPr>
        <w:t>）</w:t>
      </w:r>
      <w:r>
        <w:rPr>
          <w:rFonts w:hint="eastAsia" w:ascii="宋体" w:hAnsi="宋体" w:eastAsia="宋体" w:cs="宋体"/>
          <w:b w:val="0"/>
          <w:bCs w:val="0"/>
          <w:color w:val="auto"/>
          <w:sz w:val="24"/>
          <w:szCs w:val="24"/>
          <w:lang w:eastAsia="zh-CN"/>
        </w:rPr>
        <w:t>专职安全员要求：专职安全员须具备有效的省级或省级以上行政主管部门或其授权部门(机构)颁发的</w:t>
      </w:r>
      <w:r>
        <w:rPr>
          <w:rFonts w:ascii="宋体" w:hAnsi="宋体" w:eastAsia="宋体" w:cs="宋体"/>
          <w:b w:val="0"/>
          <w:bCs w:val="0"/>
          <w:color w:val="auto"/>
          <w:sz w:val="24"/>
          <w:szCs w:val="24"/>
          <w:lang w:eastAsia="zh-CN"/>
        </w:rPr>
        <w:t>C</w:t>
      </w:r>
      <w:r>
        <w:rPr>
          <w:rFonts w:hint="eastAsia" w:ascii="宋体" w:hAnsi="宋体" w:eastAsia="宋体" w:cs="宋体"/>
          <w:b w:val="0"/>
          <w:bCs w:val="0"/>
          <w:color w:val="auto"/>
          <w:sz w:val="24"/>
          <w:szCs w:val="24"/>
          <w:lang w:eastAsia="zh-CN"/>
        </w:rPr>
        <w:t>类安全生产考核合格证书</w:t>
      </w:r>
      <w:r>
        <w:rPr>
          <w:rFonts w:hint="eastAsia" w:ascii="宋体" w:hAnsi="宋体" w:cs="宋体"/>
          <w:b w:val="0"/>
          <w:bCs w:val="0"/>
          <w:color w:val="auto"/>
          <w:sz w:val="24"/>
          <w:szCs w:val="24"/>
          <w:lang w:val="en-US" w:eastAsia="zh-CN"/>
        </w:rPr>
        <w:t>。</w:t>
      </w:r>
    </w:p>
    <w:p w14:paraId="53475B49">
      <w:pPr>
        <w:adjustRightInd w:val="0"/>
        <w:snapToGrid w:val="0"/>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）《中小企业声明函》或者《残疾人福利性单位声明函》或者省级以上监狱管理局、戒毒管理局(含新疆生产建设兵团)出具的属于监狱企业的证明文件扫描件</w:t>
      </w:r>
      <w:r>
        <w:rPr>
          <w:rFonts w:hint="eastAsia" w:ascii="宋体" w:hAnsi="宋体"/>
          <w:b/>
          <w:bCs/>
          <w:color w:val="auto"/>
          <w:sz w:val="24"/>
          <w:highlight w:val="none"/>
        </w:rPr>
        <w:t>（必须提供，格式见第三章）。</w:t>
      </w:r>
    </w:p>
    <w:p w14:paraId="53475B4A">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7.7.2价格文件</w:t>
      </w:r>
    </w:p>
    <w:p w14:paraId="53475B4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▲（1）竞标函及竞标函附录</w:t>
      </w:r>
      <w:r>
        <w:rPr>
          <w:rFonts w:hint="eastAsia" w:ascii="宋体" w:hAnsi="宋体"/>
          <w:b/>
          <w:bCs/>
          <w:color w:val="auto"/>
          <w:sz w:val="24"/>
          <w:highlight w:val="none"/>
        </w:rPr>
        <w:t>（必须提供，格式见第三章）</w:t>
      </w:r>
      <w:r>
        <w:rPr>
          <w:rFonts w:hint="eastAsia" w:ascii="宋体" w:hAnsi="宋体"/>
          <w:b/>
          <w:color w:val="auto"/>
          <w:sz w:val="24"/>
          <w:highlight w:val="none"/>
        </w:rPr>
        <w:t>；</w:t>
      </w:r>
    </w:p>
    <w:p w14:paraId="53475B4C">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▲（2）竞标报价表</w:t>
      </w:r>
      <w:r>
        <w:rPr>
          <w:rFonts w:hint="eastAsia" w:ascii="宋体" w:hAnsi="宋体"/>
          <w:b/>
          <w:color w:val="auto"/>
          <w:sz w:val="24"/>
          <w:highlight w:val="none"/>
        </w:rPr>
        <w:t>（必须提供，格式见第三章）；</w:t>
      </w:r>
    </w:p>
    <w:p w14:paraId="53475B4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▲（3）已标价工程量清单</w:t>
      </w:r>
      <w:r>
        <w:rPr>
          <w:rFonts w:hint="eastAsia" w:ascii="宋体" w:hAnsi="宋体"/>
          <w:b/>
          <w:color w:val="auto"/>
          <w:sz w:val="24"/>
          <w:highlight w:val="none"/>
        </w:rPr>
        <w:t>（必须提供，格式见第三章）；</w:t>
      </w:r>
    </w:p>
    <w:p w14:paraId="53475B4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（4）供应商认为需要提供的其他有关资料。</w:t>
      </w:r>
    </w:p>
    <w:p w14:paraId="53475B4F">
      <w:pPr>
        <w:adjustRightInd w:val="0"/>
        <w:snapToGrid w:val="0"/>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7.7.3 商务技术文件</w:t>
      </w:r>
      <w:r>
        <w:rPr>
          <w:rFonts w:hint="eastAsia" w:ascii="宋体" w:hAnsi="宋体"/>
          <w:color w:val="auto"/>
          <w:sz w:val="24"/>
          <w:highlight w:val="none"/>
        </w:rPr>
        <w:t>（应该有的必须提供,如未提供,磋商小组有权拒绝其磋商响应文件）。</w:t>
      </w:r>
    </w:p>
    <w:p w14:paraId="53475B5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▲（1）磋商书</w:t>
      </w:r>
      <w:r>
        <w:rPr>
          <w:rFonts w:hint="eastAsia" w:ascii="宋体" w:hAnsi="宋体"/>
          <w:b/>
          <w:color w:val="auto"/>
          <w:sz w:val="24"/>
          <w:highlight w:val="none"/>
        </w:rPr>
        <w:t>（必须提供，格式见第三章）；</w:t>
      </w:r>
    </w:p>
    <w:p w14:paraId="53475B51">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▲（2）法定代表人（负责人）授权委托书和委托代理人身份证复印件</w:t>
      </w:r>
      <w:r>
        <w:rPr>
          <w:rFonts w:hint="eastAsia" w:ascii="宋体" w:hAnsi="宋体"/>
          <w:b/>
          <w:bCs/>
          <w:color w:val="auto"/>
          <w:sz w:val="24"/>
          <w:highlight w:val="none"/>
        </w:rPr>
        <w:t>（</w:t>
      </w:r>
      <w:r>
        <w:rPr>
          <w:rFonts w:hint="eastAsia" w:ascii="宋体" w:hAnsi="宋体"/>
          <w:b/>
          <w:color w:val="auto"/>
          <w:sz w:val="24"/>
          <w:highlight w:val="none"/>
        </w:rPr>
        <w:t>格式见第三章,</w:t>
      </w:r>
      <w:r>
        <w:rPr>
          <w:rFonts w:hint="eastAsia" w:ascii="宋体" w:hAnsi="宋体"/>
          <w:b/>
          <w:bCs/>
          <w:color w:val="auto"/>
          <w:sz w:val="24"/>
          <w:highlight w:val="none"/>
        </w:rPr>
        <w:t>委托代理时必须提供）</w:t>
      </w:r>
      <w:r>
        <w:rPr>
          <w:rFonts w:hint="eastAsia" w:ascii="宋体" w:hAnsi="宋体"/>
          <w:color w:val="auto"/>
          <w:sz w:val="24"/>
          <w:highlight w:val="none"/>
        </w:rPr>
        <w:t>，法定代表人（负责人）参加磋商时，提供法定代表人（负责人）身份证明书和身份证复印件</w:t>
      </w:r>
      <w:r>
        <w:rPr>
          <w:rFonts w:hint="eastAsia" w:ascii="宋体" w:hAnsi="宋体"/>
          <w:b/>
          <w:bCs/>
          <w:color w:val="auto"/>
          <w:sz w:val="24"/>
          <w:highlight w:val="none"/>
        </w:rPr>
        <w:t>（</w:t>
      </w:r>
      <w:r>
        <w:rPr>
          <w:rFonts w:hint="eastAsia" w:ascii="宋体" w:hAnsi="宋体"/>
          <w:b/>
          <w:color w:val="auto"/>
          <w:sz w:val="24"/>
          <w:highlight w:val="none"/>
        </w:rPr>
        <w:t>格式见第三章,</w:t>
      </w:r>
      <w:r>
        <w:rPr>
          <w:rFonts w:hint="eastAsia" w:ascii="宋体" w:hAnsi="宋体"/>
          <w:b/>
          <w:bCs/>
          <w:color w:val="auto"/>
          <w:sz w:val="24"/>
          <w:highlight w:val="none"/>
        </w:rPr>
        <w:t>必须提供）</w:t>
      </w:r>
      <w:r>
        <w:rPr>
          <w:rFonts w:hint="eastAsia" w:ascii="宋体" w:hAnsi="宋体"/>
          <w:color w:val="auto"/>
          <w:sz w:val="24"/>
          <w:highlight w:val="none"/>
        </w:rPr>
        <w:t>；</w:t>
      </w:r>
    </w:p>
    <w:p w14:paraId="53475B52">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▲（3）承诺函</w:t>
      </w:r>
      <w:r>
        <w:rPr>
          <w:rFonts w:hint="eastAsia" w:ascii="宋体" w:hAnsi="宋体"/>
          <w:b/>
          <w:color w:val="auto"/>
          <w:sz w:val="24"/>
          <w:highlight w:val="none"/>
        </w:rPr>
        <w:t>（必须提供，格式见第三章）；</w:t>
      </w:r>
      <w:r>
        <w:rPr>
          <w:rFonts w:hint="eastAsia" w:ascii="宋体" w:hAnsi="宋体"/>
          <w:color w:val="auto"/>
          <w:sz w:val="24"/>
          <w:highlight w:val="none"/>
        </w:rPr>
        <w:t xml:space="preserve"> </w:t>
      </w:r>
    </w:p>
    <w:p w14:paraId="53475B5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hint="eastAsia" w:ascii="宋体" w:hAnsi="宋体" w:cs="宋体"/>
          <w:snapToGrid w:val="0"/>
          <w:color w:val="auto"/>
          <w:spacing w:val="-1"/>
          <w:kern w:val="0"/>
          <w:sz w:val="24"/>
          <w:highlight w:val="none"/>
        </w:rPr>
        <w:t>施工组织设计</w:t>
      </w:r>
      <w:r>
        <w:rPr>
          <w:rFonts w:hint="eastAsia" w:ascii="宋体" w:hAnsi="宋体" w:cs="宋体"/>
          <w:b/>
          <w:bCs/>
          <w:snapToGrid w:val="0"/>
          <w:color w:val="auto"/>
          <w:spacing w:val="-1"/>
          <w:kern w:val="0"/>
          <w:sz w:val="24"/>
          <w:highlight w:val="none"/>
        </w:rPr>
        <w:t>(</w:t>
      </w:r>
      <w:r>
        <w:rPr>
          <w:rFonts w:hint="eastAsia" w:ascii="宋体" w:hAnsi="宋体"/>
          <w:b/>
          <w:color w:val="auto"/>
          <w:sz w:val="24"/>
          <w:highlight w:val="none"/>
        </w:rPr>
        <w:t>必须提供，格式</w:t>
      </w:r>
      <w:r>
        <w:rPr>
          <w:rFonts w:hint="eastAsia" w:ascii="宋体" w:hAnsi="宋体"/>
          <w:b/>
          <w:bCs/>
          <w:color w:val="auto"/>
          <w:sz w:val="24"/>
          <w:highlight w:val="none"/>
        </w:rPr>
        <w:t>自拟）</w:t>
      </w:r>
      <w:r>
        <w:rPr>
          <w:rFonts w:hint="eastAsia" w:ascii="宋体" w:hAnsi="宋体"/>
          <w:b/>
          <w:color w:val="auto"/>
          <w:sz w:val="24"/>
          <w:highlight w:val="none"/>
        </w:rPr>
        <w:t>；</w:t>
      </w:r>
    </w:p>
    <w:p w14:paraId="53475B5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▲（5）项目管理机构配备情况表及主要人员简历表</w:t>
      </w:r>
      <w:r>
        <w:rPr>
          <w:rFonts w:hint="eastAsia" w:ascii="宋体" w:hAnsi="宋体"/>
          <w:color w:val="auto"/>
          <w:sz w:val="24"/>
          <w:highlight w:val="none"/>
          <w:lang w:eastAsia="zh-CN"/>
        </w:rPr>
        <w:t>，项目管理机构人员配置最低要求：项目经理1人、技术负责人1人、施工员1人、安全员1人、质量员1人；必须提供项目管理机构所有人员有效资格证、近一个月（2025年</w:t>
      </w:r>
      <w:r>
        <w:rPr>
          <w:rFonts w:hint="eastAsia" w:ascii="宋体" w:hAnsi="宋体"/>
          <w:color w:val="auto"/>
          <w:sz w:val="24"/>
          <w:highlight w:val="none"/>
          <w:lang w:val="en-US" w:eastAsia="zh-CN"/>
        </w:rPr>
        <w:t>6</w:t>
      </w:r>
      <w:r>
        <w:rPr>
          <w:rFonts w:hint="eastAsia" w:ascii="宋体" w:hAnsi="宋体"/>
          <w:color w:val="auto"/>
          <w:sz w:val="24"/>
          <w:highlight w:val="none"/>
          <w:lang w:eastAsia="zh-CN"/>
        </w:rPr>
        <w:t>月至投标截止时间止任意一个月）（从取得营业执照时间起到谈判截止时间为止不足要求月数的只需提供从取得营业执照起的证明材料）在现任职单位依法缴纳社会保险证明材料</w:t>
      </w:r>
      <w:r>
        <w:rPr>
          <w:rFonts w:hint="eastAsia" w:ascii="宋体" w:hAnsi="宋体"/>
          <w:b/>
          <w:color w:val="auto"/>
          <w:sz w:val="24"/>
          <w:highlight w:val="none"/>
        </w:rPr>
        <w:t>（必须提供，格式见第三章）</w:t>
      </w:r>
      <w:r>
        <w:rPr>
          <w:rFonts w:hint="eastAsia" w:ascii="宋体" w:hAnsi="宋体"/>
          <w:color w:val="auto"/>
          <w:sz w:val="24"/>
          <w:highlight w:val="none"/>
        </w:rPr>
        <w:t>；</w:t>
      </w:r>
    </w:p>
    <w:p w14:paraId="53475B55">
      <w:pPr>
        <w:numPr>
          <w:ilvl w:val="0"/>
          <w:numId w:val="2"/>
        </w:numPr>
        <w:adjustRightInd w:val="0"/>
        <w:snapToGrid w:val="0"/>
        <w:spacing w:line="360" w:lineRule="auto"/>
        <w:ind w:firstLine="476" w:firstLineChars="200"/>
        <w:rPr>
          <w:rFonts w:ascii="宋体" w:hAnsi="宋体"/>
          <w:color w:val="auto"/>
          <w:sz w:val="24"/>
          <w:highlight w:val="none"/>
        </w:rPr>
      </w:pPr>
      <w:r>
        <w:rPr>
          <w:rFonts w:hint="eastAsia" w:ascii="宋体" w:hAnsi="宋体" w:cs="宋体"/>
          <w:snapToGrid w:val="0"/>
          <w:color w:val="auto"/>
          <w:spacing w:val="-1"/>
          <w:kern w:val="0"/>
          <w:sz w:val="24"/>
          <w:highlight w:val="none"/>
        </w:rPr>
        <w:t>拟分包项目情况表（格式见第三章）（如有）；</w:t>
      </w:r>
    </w:p>
    <w:p w14:paraId="53475B56">
      <w:pPr>
        <w:adjustRightInd w:val="0"/>
        <w:snapToGrid w:val="0"/>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▲（7）建设工程项目管理承诺书</w:t>
      </w:r>
      <w:r>
        <w:rPr>
          <w:rFonts w:hint="eastAsia" w:ascii="宋体" w:hAnsi="宋体"/>
          <w:b/>
          <w:color w:val="auto"/>
          <w:sz w:val="24"/>
          <w:highlight w:val="none"/>
        </w:rPr>
        <w:t>（必须提供，格式见第三章）；</w:t>
      </w:r>
    </w:p>
    <w:p w14:paraId="53475B5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▲（8）建筑材料和设备节能环保要求承诺书</w:t>
      </w:r>
      <w:r>
        <w:rPr>
          <w:rFonts w:hint="eastAsia" w:ascii="宋体" w:hAnsi="宋体"/>
          <w:b/>
          <w:color w:val="auto"/>
          <w:sz w:val="24"/>
          <w:highlight w:val="none"/>
        </w:rPr>
        <w:t>（必须提供，格式见第三章）；</w:t>
      </w:r>
    </w:p>
    <w:p w14:paraId="53475B5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（9）供应商负责过与本项目相类似的成功案例和经验（如有，需提供合同复印件）；</w:t>
      </w:r>
    </w:p>
    <w:p w14:paraId="53475B59">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（10）采购需求要求提供的材料</w:t>
      </w:r>
      <w:r>
        <w:rPr>
          <w:rFonts w:hint="eastAsia" w:ascii="宋体" w:hAnsi="宋体"/>
          <w:b/>
          <w:bCs/>
          <w:color w:val="auto"/>
          <w:sz w:val="24"/>
          <w:highlight w:val="none"/>
        </w:rPr>
        <w:t>（格式自拟，如有要求则提供）；</w:t>
      </w:r>
    </w:p>
    <w:p w14:paraId="53475B5A">
      <w:pPr>
        <w:adjustRightInd w:val="0"/>
        <w:snapToGrid w:val="0"/>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（11）具备履行合同所必需的设备和专业技术能力的证明材料</w:t>
      </w:r>
      <w:r>
        <w:rPr>
          <w:rFonts w:hint="eastAsia" w:ascii="宋体" w:hAnsi="宋体"/>
          <w:b/>
          <w:color w:val="auto"/>
          <w:sz w:val="24"/>
          <w:highlight w:val="none"/>
        </w:rPr>
        <w:t>；</w:t>
      </w:r>
    </w:p>
    <w:p w14:paraId="53475B5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（12）磋商供应商认为需要提供的有关资料。</w:t>
      </w:r>
    </w:p>
    <w:p w14:paraId="53475B5C">
      <w:pPr>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▲特别说明：</w:t>
      </w:r>
      <w:r>
        <w:rPr>
          <w:rFonts w:hint="eastAsia" w:ascii="宋体" w:hAnsi="宋体"/>
          <w:b/>
          <w:color w:val="auto"/>
          <w:sz w:val="24"/>
          <w:highlight w:val="none"/>
        </w:rPr>
        <w:t>（1）</w:t>
      </w:r>
      <w:r>
        <w:rPr>
          <w:rFonts w:ascii="宋体" w:hAnsi="宋体"/>
          <w:b/>
          <w:color w:val="auto"/>
          <w:sz w:val="24"/>
          <w:highlight w:val="none"/>
        </w:rPr>
        <w:t>若磋商文件中有专门标注的某关联点</w:t>
      </w:r>
      <w:r>
        <w:rPr>
          <w:rFonts w:hint="eastAsia" w:ascii="宋体" w:hAnsi="宋体"/>
          <w:b/>
          <w:color w:val="auto"/>
          <w:sz w:val="24"/>
          <w:highlight w:val="none"/>
        </w:rPr>
        <w:t>，</w:t>
      </w:r>
      <w:r>
        <w:rPr>
          <w:rFonts w:ascii="宋体" w:hAnsi="宋体"/>
          <w:b/>
          <w:color w:val="auto"/>
          <w:sz w:val="24"/>
          <w:highlight w:val="none"/>
        </w:rPr>
        <w:t>并要求供应商在电子投标系统中作出磋商响应的，如供应商未对关联点进行响应或者在响应文件其它内容进行描述，造成电子评审不能查询的责任由供应商自行承担。</w:t>
      </w:r>
    </w:p>
    <w:p w14:paraId="53475B5D">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w:t>
      </w:r>
      <w:r>
        <w:rPr>
          <w:rFonts w:ascii="宋体" w:hAnsi="宋体"/>
          <w:b/>
          <w:color w:val="auto"/>
          <w:sz w:val="24"/>
          <w:highlight w:val="none"/>
        </w:rPr>
        <w:t>2</w:t>
      </w:r>
      <w:r>
        <w:rPr>
          <w:rFonts w:hint="eastAsia" w:ascii="宋体" w:hAnsi="宋体"/>
          <w:b/>
          <w:color w:val="auto"/>
          <w:sz w:val="24"/>
          <w:highlight w:val="none"/>
        </w:rPr>
        <w:t>）磋商文件要求提供的各种复印件，必须加盖磋商供应商CA签章，否则其磋商无效。</w:t>
      </w:r>
    </w:p>
    <w:p w14:paraId="53475B5E">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w:t>
      </w:r>
      <w:r>
        <w:rPr>
          <w:rFonts w:ascii="宋体" w:hAnsi="宋体"/>
          <w:b/>
          <w:color w:val="auto"/>
          <w:sz w:val="24"/>
          <w:highlight w:val="none"/>
        </w:rPr>
        <w:t>3</w:t>
      </w:r>
      <w:r>
        <w:rPr>
          <w:rFonts w:hint="eastAsia" w:ascii="宋体" w:hAnsi="宋体"/>
          <w:b/>
          <w:color w:val="auto"/>
          <w:sz w:val="24"/>
          <w:highlight w:val="none"/>
        </w:rPr>
        <w:t>）磋商文件要求“必须提供”的证明等材料，磋商供应商必须全部提供，缺一不可，否则磋商无效。</w:t>
      </w:r>
    </w:p>
    <w:p w14:paraId="53475B5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 计量单位</w:t>
      </w:r>
    </w:p>
    <w:p w14:paraId="53475B6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8.1除技术要求中另有规定外，本文件所要求使用的计量单位均应采用国家法定计量单位。</w:t>
      </w:r>
    </w:p>
    <w:p w14:paraId="53475B61">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三、报价要求</w:t>
      </w:r>
    </w:p>
    <w:p w14:paraId="53475B62">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9.1对于本文件中未列明，而供应商认为必需的费用也需列入总报价。在合同实施时，采购人将不予支付成交供应商没有列入的项目费用，并认为此项目的费用已包括在总报价中。</w:t>
      </w:r>
    </w:p>
    <w:p w14:paraId="53475B6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9.2成交供应商负责本项目所需服务及售后服务等全部工作。</w:t>
      </w:r>
    </w:p>
    <w:p w14:paraId="53475B64">
      <w:pPr>
        <w:pStyle w:val="22"/>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9.3供应商应用大写和小写分别详细填写基础指标报价表。大写和小写不一致的，以大写为准；对不同文字文本竞争性磋商响应文件的解释发生异议的，以中文文本为准。除上述原因以外，如果因供应商原因引起的报价失误，并在磋商时被接受，其后果由供应商自负。</w:t>
      </w:r>
    </w:p>
    <w:p w14:paraId="53475B65">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9.4报价：供应商应就《采购项目需求》中所有的服务内容作完整唯一报价。</w:t>
      </w:r>
    </w:p>
    <w:p w14:paraId="53475B66">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四、竞争性磋商响应文件的封装和递交</w:t>
      </w:r>
    </w:p>
    <w:p w14:paraId="53475B6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10. 竞争性磋商响应文件的封装</w:t>
      </w:r>
    </w:p>
    <w:p w14:paraId="53475B68">
      <w:pPr>
        <w:pStyle w:val="22"/>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10.1</w:t>
      </w:r>
      <w:r>
        <w:rPr>
          <w:rFonts w:hAnsi="宋体"/>
          <w:color w:val="auto"/>
          <w:sz w:val="24"/>
          <w:szCs w:val="24"/>
          <w:highlight w:val="none"/>
        </w:rPr>
        <w:t>电子</w:t>
      </w:r>
      <w:r>
        <w:rPr>
          <w:rFonts w:hint="eastAsia" w:hAnsi="宋体"/>
          <w:color w:val="auto"/>
          <w:sz w:val="24"/>
          <w:szCs w:val="24"/>
          <w:highlight w:val="none"/>
        </w:rPr>
        <w:t>磋商</w:t>
      </w:r>
      <w:r>
        <w:rPr>
          <w:rFonts w:hAnsi="宋体"/>
          <w:color w:val="auto"/>
          <w:sz w:val="24"/>
          <w:szCs w:val="24"/>
          <w:highlight w:val="none"/>
        </w:rPr>
        <w:t>响应文件中须加盖供应商公章部分均采用 CA 签章，并根据“政府采购项目电子交易管理操作指南-供应商”及本</w:t>
      </w:r>
      <w:r>
        <w:rPr>
          <w:rFonts w:hint="eastAsia" w:hAnsi="宋体"/>
          <w:color w:val="auto"/>
          <w:sz w:val="24"/>
          <w:szCs w:val="24"/>
          <w:highlight w:val="none"/>
        </w:rPr>
        <w:t>磋商</w:t>
      </w:r>
      <w:r>
        <w:rPr>
          <w:rFonts w:hAnsi="宋体"/>
          <w:color w:val="auto"/>
          <w:sz w:val="24"/>
          <w:szCs w:val="24"/>
          <w:highlight w:val="none"/>
        </w:rPr>
        <w:t>文件规定的格式和顺序编制电子</w:t>
      </w:r>
      <w:r>
        <w:rPr>
          <w:rFonts w:hint="eastAsia" w:hAnsi="宋体"/>
          <w:color w:val="auto"/>
          <w:sz w:val="24"/>
          <w:szCs w:val="24"/>
          <w:highlight w:val="none"/>
        </w:rPr>
        <w:t>磋商</w:t>
      </w:r>
      <w:r>
        <w:rPr>
          <w:rFonts w:hAnsi="宋体"/>
          <w:color w:val="auto"/>
          <w:sz w:val="24"/>
          <w:szCs w:val="24"/>
          <w:highlight w:val="none"/>
        </w:rPr>
        <w:t>响应文件并进行关联定位，以便</w:t>
      </w:r>
      <w:r>
        <w:rPr>
          <w:rFonts w:hint="eastAsia" w:hAnsi="宋体"/>
          <w:color w:val="auto"/>
          <w:sz w:val="24"/>
          <w:szCs w:val="24"/>
          <w:highlight w:val="none"/>
        </w:rPr>
        <w:t>磋商小组</w:t>
      </w:r>
      <w:r>
        <w:rPr>
          <w:rFonts w:hAnsi="宋体"/>
          <w:color w:val="auto"/>
          <w:sz w:val="24"/>
          <w:szCs w:val="24"/>
          <w:highlight w:val="none"/>
        </w:rPr>
        <w:t>在</w:t>
      </w:r>
      <w:r>
        <w:rPr>
          <w:rFonts w:hint="eastAsia" w:hAnsi="宋体"/>
          <w:color w:val="auto"/>
          <w:sz w:val="24"/>
          <w:szCs w:val="24"/>
          <w:highlight w:val="none"/>
        </w:rPr>
        <w:t>评审</w:t>
      </w:r>
      <w:r>
        <w:rPr>
          <w:rFonts w:hAnsi="宋体"/>
          <w:color w:val="auto"/>
          <w:sz w:val="24"/>
          <w:szCs w:val="24"/>
          <w:highlight w:val="none"/>
        </w:rPr>
        <w:t>时，点击评分项可直接定位到该评分项内容。如对</w:t>
      </w:r>
      <w:r>
        <w:rPr>
          <w:rFonts w:hint="eastAsia" w:hAnsi="宋体"/>
          <w:color w:val="auto"/>
          <w:sz w:val="24"/>
          <w:szCs w:val="24"/>
          <w:highlight w:val="none"/>
        </w:rPr>
        <w:t>磋商</w:t>
      </w:r>
      <w:r>
        <w:rPr>
          <w:rFonts w:hAnsi="宋体"/>
          <w:color w:val="auto"/>
          <w:sz w:val="24"/>
          <w:szCs w:val="24"/>
          <w:highlight w:val="none"/>
        </w:rPr>
        <w:t>文件的某项要求，供应商的电子</w:t>
      </w:r>
      <w:r>
        <w:rPr>
          <w:rFonts w:hint="eastAsia" w:hAnsi="宋体"/>
          <w:color w:val="auto"/>
          <w:sz w:val="24"/>
          <w:szCs w:val="24"/>
          <w:highlight w:val="none"/>
        </w:rPr>
        <w:t>磋商</w:t>
      </w:r>
      <w:r>
        <w:rPr>
          <w:rFonts w:hAnsi="宋体"/>
          <w:color w:val="auto"/>
          <w:sz w:val="24"/>
          <w:szCs w:val="24"/>
          <w:highlight w:val="none"/>
        </w:rPr>
        <w:t>响应文件未能关联定位提供相应的内容与其对应，则</w:t>
      </w:r>
      <w:r>
        <w:rPr>
          <w:rFonts w:hint="eastAsia" w:hAnsi="宋体"/>
          <w:color w:val="auto"/>
          <w:sz w:val="24"/>
          <w:szCs w:val="24"/>
          <w:highlight w:val="none"/>
        </w:rPr>
        <w:t>磋商小组</w:t>
      </w:r>
      <w:r>
        <w:rPr>
          <w:rFonts w:hAnsi="宋体"/>
          <w:color w:val="auto"/>
          <w:sz w:val="24"/>
          <w:szCs w:val="24"/>
          <w:highlight w:val="none"/>
        </w:rPr>
        <w:t>在评审时如做出对供应商不利的评审由供应商自行承担。电子</w:t>
      </w:r>
      <w:r>
        <w:rPr>
          <w:rFonts w:hint="eastAsia" w:hAnsi="宋体"/>
          <w:color w:val="auto"/>
          <w:sz w:val="24"/>
          <w:szCs w:val="24"/>
          <w:highlight w:val="none"/>
        </w:rPr>
        <w:t>磋商</w:t>
      </w:r>
      <w:r>
        <w:rPr>
          <w:rFonts w:hAnsi="宋体"/>
          <w:color w:val="auto"/>
          <w:sz w:val="24"/>
          <w:szCs w:val="24"/>
          <w:highlight w:val="none"/>
        </w:rPr>
        <w:t>响应文件如内容不完整</w:t>
      </w:r>
      <w:r>
        <w:rPr>
          <w:rFonts w:hint="eastAsia" w:hAnsi="宋体"/>
          <w:color w:val="auto"/>
          <w:sz w:val="24"/>
          <w:szCs w:val="24"/>
          <w:highlight w:val="none"/>
        </w:rPr>
        <w:t>、</w:t>
      </w:r>
      <w:r>
        <w:rPr>
          <w:rFonts w:hAnsi="宋体"/>
          <w:color w:val="auto"/>
          <w:sz w:val="24"/>
          <w:szCs w:val="24"/>
          <w:highlight w:val="none"/>
        </w:rPr>
        <w:t>编排混乱导致磋商响应文件被误读、漏读，或者在按采购文件规定的部位查找不到相关内容的，由供应商自行承担。</w:t>
      </w:r>
    </w:p>
    <w:p w14:paraId="53475B69">
      <w:pPr>
        <w:pStyle w:val="22"/>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10.2</w:t>
      </w:r>
      <w:r>
        <w:rPr>
          <w:rFonts w:hAnsi="宋体"/>
          <w:color w:val="auto"/>
          <w:sz w:val="24"/>
          <w:szCs w:val="24"/>
          <w:highlight w:val="none"/>
        </w:rPr>
        <w:t>磋商响应文件不得涂改，若有修改错漏处，须法定代表人</w:t>
      </w:r>
      <w:r>
        <w:rPr>
          <w:rFonts w:hint="eastAsia" w:hAnsi="宋体"/>
          <w:color w:val="auto"/>
          <w:sz w:val="24"/>
          <w:szCs w:val="24"/>
          <w:highlight w:val="none"/>
        </w:rPr>
        <w:t>（负责人）</w:t>
      </w:r>
      <w:r>
        <w:rPr>
          <w:rFonts w:hAnsi="宋体"/>
          <w:color w:val="auto"/>
          <w:sz w:val="24"/>
          <w:szCs w:val="24"/>
          <w:highlight w:val="none"/>
        </w:rPr>
        <w:t>或授权委托人签字</w:t>
      </w:r>
      <w:r>
        <w:rPr>
          <w:rFonts w:hint="eastAsia" w:hAnsi="宋体"/>
          <w:color w:val="auto"/>
          <w:sz w:val="24"/>
          <w:szCs w:val="24"/>
          <w:highlight w:val="none"/>
        </w:rPr>
        <w:t>。</w:t>
      </w:r>
      <w:r>
        <w:rPr>
          <w:rFonts w:hAnsi="宋体"/>
          <w:color w:val="auto"/>
          <w:sz w:val="24"/>
          <w:szCs w:val="24"/>
          <w:highlight w:val="none"/>
        </w:rPr>
        <w:t>磋商响应文件因字迹潦草或表达不清所引起的后果由供应商负责。</w:t>
      </w:r>
    </w:p>
    <w:p w14:paraId="53475B6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 竞争性磋商响应文件的递交</w:t>
      </w:r>
    </w:p>
    <w:p w14:paraId="53475B6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11.1所有竞争性磋商响应文件应于竞争性磋商文件中规定的时间前</w:t>
      </w:r>
      <w:r>
        <w:rPr>
          <w:rFonts w:ascii="宋体" w:hAnsi="宋体"/>
          <w:color w:val="auto"/>
          <w:sz w:val="24"/>
          <w:highlight w:val="none"/>
        </w:rPr>
        <w:t>上传递交至广西政府采购云平台。</w:t>
      </w:r>
    </w:p>
    <w:p w14:paraId="53475B6C">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电子</w:t>
      </w:r>
      <w:r>
        <w:rPr>
          <w:rFonts w:hint="eastAsia" w:ascii="宋体" w:hAnsi="宋体"/>
          <w:b/>
          <w:color w:val="auto"/>
          <w:sz w:val="24"/>
          <w:highlight w:val="none"/>
        </w:rPr>
        <w:t>磋商</w:t>
      </w:r>
      <w:r>
        <w:rPr>
          <w:rFonts w:ascii="宋体" w:hAnsi="宋体"/>
          <w:b/>
          <w:color w:val="auto"/>
          <w:sz w:val="24"/>
          <w:highlight w:val="none"/>
        </w:rPr>
        <w:t>文件的相关说明</w:t>
      </w:r>
    </w:p>
    <w:p w14:paraId="53475B6D">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（1）供应商进行电子</w:t>
      </w:r>
      <w:r>
        <w:rPr>
          <w:rFonts w:hint="eastAsia" w:ascii="宋体" w:hAnsi="宋体"/>
          <w:b/>
          <w:color w:val="auto"/>
          <w:sz w:val="24"/>
          <w:highlight w:val="none"/>
        </w:rPr>
        <w:t>磋商</w:t>
      </w:r>
      <w:r>
        <w:rPr>
          <w:rFonts w:ascii="宋体" w:hAnsi="宋体"/>
          <w:b/>
          <w:color w:val="auto"/>
          <w:sz w:val="24"/>
          <w:highlight w:val="none"/>
        </w:rPr>
        <w:t>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w:t>
      </w:r>
      <w:r>
        <w:rPr>
          <w:rFonts w:hint="eastAsia" w:ascii="宋体" w:hAnsi="宋体"/>
          <w:b/>
          <w:color w:val="auto"/>
          <w:sz w:val="24"/>
          <w:highlight w:val="none"/>
        </w:rPr>
        <w:t>，</w:t>
      </w:r>
      <w:r>
        <w:rPr>
          <w:rFonts w:ascii="宋体" w:hAnsi="宋体"/>
          <w:b/>
          <w:color w:val="auto"/>
          <w:sz w:val="24"/>
          <w:highlight w:val="none"/>
        </w:rPr>
        <w:t>补充、修改后重新传输递交。磋商截止时间前未完成传输的，视为撤回磋商响应文件。磋商截止时间后递交的磋商响应文件，电子交易平台将拒收。</w:t>
      </w:r>
    </w:p>
    <w:p w14:paraId="53475B6E">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w:t>
      </w:r>
      <w:r>
        <w:rPr>
          <w:rFonts w:hint="eastAsia" w:ascii="宋体" w:hAnsi="宋体"/>
          <w:b/>
          <w:color w:val="auto"/>
          <w:sz w:val="24"/>
          <w:highlight w:val="none"/>
        </w:rPr>
        <w:t>2</w:t>
      </w:r>
      <w:r>
        <w:rPr>
          <w:rFonts w:ascii="宋体" w:hAnsi="宋体"/>
          <w:b/>
          <w:color w:val="auto"/>
          <w:sz w:val="24"/>
          <w:highlight w:val="none"/>
        </w:rPr>
        <w:t>）如有特殊情况，采购代理机构延长截止时间和开标时间，采购代理机构和供应商的权利和义务将受到新的截止时间和开标时间的约束。</w:t>
      </w:r>
    </w:p>
    <w:p w14:paraId="53475B6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11.2竞争性磋商响应文件从响应文件递交截止日期后六十日内有效。</w:t>
      </w:r>
    </w:p>
    <w:p w14:paraId="53475B7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12.迟交的竞争性磋商响应文件</w:t>
      </w:r>
    </w:p>
    <w:p w14:paraId="53475B7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12.1在本文件要求竞争性磋商响应文件递交截止时间后送达的竞争性磋商响应文件为无效文件，本代理机构将拒收。</w:t>
      </w:r>
    </w:p>
    <w:p w14:paraId="53475B72">
      <w:pPr>
        <w:spacing w:line="360" w:lineRule="auto"/>
        <w:ind w:firstLine="480" w:firstLineChars="200"/>
        <w:rPr>
          <w:rFonts w:ascii="宋体" w:hAnsi="宋体" w:cs="宋体"/>
          <w:b/>
          <w:snapToGrid w:val="0"/>
          <w:color w:val="auto"/>
          <w:highlight w:val="none"/>
        </w:rPr>
      </w:pPr>
      <w:r>
        <w:rPr>
          <w:rFonts w:hint="eastAsia" w:ascii="宋体" w:hAnsi="宋体"/>
          <w:color w:val="auto"/>
          <w:sz w:val="24"/>
          <w:highlight w:val="none"/>
        </w:rPr>
        <w:t>13.</w:t>
      </w:r>
      <w:r>
        <w:rPr>
          <w:rFonts w:hint="eastAsia" w:ascii="宋体" w:hAnsi="宋体" w:cs="宋体"/>
          <w:b/>
          <w:snapToGrid w:val="0"/>
          <w:color w:val="auto"/>
          <w:kern w:val="28"/>
          <w:sz w:val="24"/>
          <w:highlight w:val="none"/>
        </w:rPr>
        <w:t xml:space="preserve"> 磋商保证金</w:t>
      </w:r>
    </w:p>
    <w:p w14:paraId="53475B73">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本项目不收取磋商保证金。</w:t>
      </w:r>
    </w:p>
    <w:p w14:paraId="53475B74">
      <w:pPr>
        <w:adjustRightInd w:val="0"/>
        <w:snapToGrid w:val="0"/>
        <w:spacing w:line="360" w:lineRule="auto"/>
        <w:ind w:firstLine="482" w:firstLineChars="200"/>
        <w:rPr>
          <w:rFonts w:ascii="宋体" w:hAnsi="宋体"/>
          <w:b/>
          <w:color w:val="auto"/>
          <w:sz w:val="24"/>
          <w:highlight w:val="none"/>
        </w:rPr>
      </w:pPr>
      <w:r>
        <w:rPr>
          <w:rFonts w:hint="eastAsia" w:ascii="宋体" w:hAnsi="宋体"/>
          <w:b/>
          <w:bCs/>
          <w:color w:val="auto"/>
          <w:sz w:val="24"/>
          <w:highlight w:val="none"/>
        </w:rPr>
        <w:t>五、</w:t>
      </w:r>
      <w:r>
        <w:rPr>
          <w:rFonts w:hint="eastAsia" w:ascii="宋体" w:hAnsi="宋体"/>
          <w:b/>
          <w:color w:val="auto"/>
          <w:sz w:val="24"/>
          <w:highlight w:val="none"/>
        </w:rPr>
        <w:t>磋</w:t>
      </w:r>
      <w:r>
        <w:rPr>
          <w:rFonts w:hint="eastAsia" w:ascii="宋体" w:hAnsi="宋体"/>
          <w:b/>
          <w:bCs/>
          <w:color w:val="auto"/>
          <w:sz w:val="24"/>
          <w:highlight w:val="none"/>
        </w:rPr>
        <w:t>商程序及评审方法</w:t>
      </w:r>
    </w:p>
    <w:p w14:paraId="53475B75">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14．磋商程序</w:t>
      </w:r>
    </w:p>
    <w:p w14:paraId="53475B76">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14.1磋商截止时间后，主持人宣布磋商开始。</w:t>
      </w:r>
    </w:p>
    <w:p w14:paraId="53475B77">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14.2供应商登录广西政府采购云平台，用“项目采购-开标评标”功能对电子磋商响应文件进行在线解密。在线解密电子磋商响应文件时间为开标时间起半小时内。</w:t>
      </w:r>
    </w:p>
    <w:p w14:paraId="53475B78">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14.3磋商小组对磋商响应文件进行评估和比较。</w:t>
      </w:r>
    </w:p>
    <w:p w14:paraId="53475B79">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14.4以广西政府采购云平台中“项目采购”应用模块获取磋商文件顺序确定各供应商磋商、顺序。</w:t>
      </w:r>
    </w:p>
    <w:p w14:paraId="53475B7A">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14.5磋商小组与单一供应商分别进行磋商。（磋商时供应商的技术资料、价格和其他信息在评审、磋商过程中保密）</w:t>
      </w:r>
    </w:p>
    <w:p w14:paraId="53475B7B">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14.6磋商小组要求所有实质性响应的供应商在规定时间内提交最后报价（只公开最后报价，最后报价不得高于初次报价）。</w:t>
      </w:r>
    </w:p>
    <w:p w14:paraId="53475B7C">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14.7由磋商小组采用综合评分法对提交最后报价的供应商的响应文件和最后报价进行综合评审，在符合采购需求、质量和服务要求的前提下，按评审得分从高到低顺序推荐确定成交候选供应商。</w:t>
      </w:r>
    </w:p>
    <w:p w14:paraId="53475B7D">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特别说明：广西政府采购云平台如对电子化磋商及评审程序有调整的，按调整后的程序操作。</w:t>
      </w:r>
    </w:p>
    <w:p w14:paraId="53475B7E">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15.采购过程中出现以下情形，导致电子交易平台无法正常运行，或者无法保证电子交易的公平、公正和安全时，采购组织机构可中止电子交易活动：</w:t>
      </w:r>
    </w:p>
    <w:p w14:paraId="53475B7F">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15.1电子交易平台发生故障而无法登录访问的； </w:t>
      </w:r>
    </w:p>
    <w:p w14:paraId="53475B80">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15.2电子交易平台应用或数据库出现错误，不能进行正常操作的；</w:t>
      </w:r>
    </w:p>
    <w:p w14:paraId="53475B81">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15.3电子交易平台发现严重安全漏洞，有潜在泄密危险的；</w:t>
      </w:r>
    </w:p>
    <w:p w14:paraId="53475B82">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15.4病毒发作导致不能进行正常操作的； </w:t>
      </w:r>
    </w:p>
    <w:p w14:paraId="53475B83">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15.5其他无法保证电子交易的公平、公正和安全的情况。</w:t>
      </w:r>
    </w:p>
    <w:p w14:paraId="53475B84">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出现前款规定情形，不影响采购公平、公正性的，采购组织机构可以待上述情形消除后继续组织电子交易活动，也可以决定某些环节以纸质形式进行；影响或可能影响采购公平、公正性的，应当重新采购。</w:t>
      </w:r>
    </w:p>
    <w:p w14:paraId="53475B85">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16．磋商内容</w:t>
      </w:r>
    </w:p>
    <w:p w14:paraId="53475B86">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16.1本次磋商内容为在磋商文件范围内就供应商的磋商响应文件，磋商小组与供应商在技术、价格、服务、合同等问题进行磋商，最终确定成交与否。</w:t>
      </w:r>
    </w:p>
    <w:p w14:paraId="53475B87">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16.2磋商应作书面记录，供应商并就磋商内容作出书面承诺，并由供应商法定代表人或其授权委托人签字后生效，作为磋商响应文件的一部分。</w:t>
      </w:r>
    </w:p>
    <w:p w14:paraId="53475B88">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16.3磋商文件有实质性变动的，磋商小组以书面形式通知所有参加磋商的供应商。</w:t>
      </w:r>
    </w:p>
    <w:p w14:paraId="53475B89">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17．磋商</w:t>
      </w:r>
    </w:p>
    <w:p w14:paraId="53475B8A">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17.1磋商小组由采购人、集中采购机构依法组建，负责评审活动。磋商小组遵循公开、公平、公正、科学合理、竞争择优的原则。</w:t>
      </w:r>
    </w:p>
    <w:p w14:paraId="53475B8B">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17.2磋商小组由采购人代表和有关方面专家组成，成员人数为3人以上单数。</w:t>
      </w:r>
    </w:p>
    <w:p w14:paraId="53475B8C">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17.3磋商小组负责对供应商资格的最终审定。</w:t>
      </w:r>
    </w:p>
    <w:p w14:paraId="53475B8D">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17.4磋商小组可以要求供应商对其磋商响应文件中含义不明确的内容作必要的澄清或者说明，但澄清或者说明不得超过磋商响应文件的范围或者改变磋商响应文件的实质性内容。</w:t>
      </w:r>
    </w:p>
    <w:p w14:paraId="53475B8E">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17.5磋商小组对磋商响应文件的判定，只依据磋商响应文件和磋商文件内容本身，不依据任何外来证明。</w:t>
      </w:r>
    </w:p>
    <w:p w14:paraId="53475B8F">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17.6磋商小组不向落标方解释落标的原因，不退还磋商响应文件。</w:t>
      </w:r>
    </w:p>
    <w:p w14:paraId="53475B90">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18．磋商响应文件的初审鉴定</w:t>
      </w:r>
    </w:p>
    <w:p w14:paraId="53475B91">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18.1资格性审查</w:t>
      </w:r>
    </w:p>
    <w:p w14:paraId="53475B92">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18.1.1依据法律、法规和磋商文件规定，对磋商响应文件提供的资格证明及通过“信用中国”网站（www.creditchina.gov.cn）和中国政府采购网（www.ccgp.gov.cn）查询的相关供应商主体信用记录（查询截止时点为磋商当日）等进行审查，以确定供应商是否具备磋商资格。</w:t>
      </w:r>
    </w:p>
    <w:p w14:paraId="53475B93">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18.2符合性审查</w:t>
      </w:r>
    </w:p>
    <w:p w14:paraId="53475B94">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18.2.1磋商时，磋商小组将首先评定每份磋商响应文件是否在实质上响应了磋商文件要求。所谓实质上的响应，是指磋商响应文件与磋商文件的所有实质性条款、条件和要求相符，无显著差异或保留，或者对合同中约定的采购人的权利和供应商的义务方面造成重大的限制，纠正这些显著差异或保留将会对其他实质上响应磋商文件要求的供应商的竞争地位产生不公正的影响。</w:t>
      </w:r>
    </w:p>
    <w:p w14:paraId="53475B95">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18.3如果磋商响应文件实质不响应磋商文件的各项要求，磋商小组将予以拒绝，并且不允许供应商通过修改或撤销其不符合要求的差异或保留，使之成为具有响应性的磋商。</w:t>
      </w:r>
    </w:p>
    <w:p w14:paraId="53475B96">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 对明显的文字和计算错误的修正原则</w:t>
      </w:r>
    </w:p>
    <w:p w14:paraId="53475B97">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19.1磋商响应文件中报价一览表（报价表）内容与磋商响应文件中相应内容不一致的，以报价一览表（报价表）为准；</w:t>
      </w:r>
    </w:p>
    <w:p w14:paraId="53475B98">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19.2大写金额和小写金额不一致的，以大写金额为准；</w:t>
      </w:r>
    </w:p>
    <w:p w14:paraId="53475B99">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19.3单价金额小数点或者百分比有明显错位的，以开标一览表的总价为准，并修改单价；</w:t>
      </w:r>
    </w:p>
    <w:p w14:paraId="53475B9A">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19.4总价金额与按单价汇总金额不一致的，以单价金额计算结果为准。</w:t>
      </w:r>
    </w:p>
    <w:p w14:paraId="53475B9B">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同时出现两种以上不一致的，按照前款规定的顺序修正。修正后的报价经磋商响应人确认后产生约束力，磋商响应人不确认的，其磋商无效。</w:t>
      </w:r>
    </w:p>
    <w:p w14:paraId="53475B9C">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20.磋商响应文件的评审、比较和否决</w:t>
      </w:r>
    </w:p>
    <w:p w14:paraId="53475B9D">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20.1磋商小组将对在实质上响应磋商文件要求的磋商响应文件进行评估和比较。</w:t>
      </w:r>
    </w:p>
    <w:p w14:paraId="53475B9E">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20.2在评审过程中，磋商小组可以书面形式要求供应商就磋商响应文件含义不明确的内容进行书面说明并提供相关材料。</w:t>
      </w:r>
    </w:p>
    <w:p w14:paraId="53475B9F">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20.3在磋商过程中，如发现与磋商文件要求相偏离的，磋商小组应对其偏离情形进行必要的书面核实。</w:t>
      </w:r>
    </w:p>
    <w:p w14:paraId="53475BA0">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20.4在评审过程中，如属于实质性偏离或符合无效响应条件的，应当询问相关供应商，并允许其进行陈述申辩，但不允许对偏离条款撤回。</w:t>
      </w:r>
    </w:p>
    <w:p w14:paraId="53475BA1">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20.5比较与评价。磋商小组依据磋商文件规定的评审标准和方法，对磋商响应文件进行商务和技术评估，综合比较与评价。</w:t>
      </w:r>
    </w:p>
    <w:p w14:paraId="53475BA2">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20.6汇总（商务技术得分情况）。磋商小组各成员应当独立对每个供应商的磋商响应文件进行评价，并汇总商务技术得分情况。</w:t>
      </w:r>
    </w:p>
    <w:p w14:paraId="53475BA3">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20.7 报价评审 </w:t>
      </w:r>
    </w:p>
    <w:p w14:paraId="53475BA4">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20.7.1根据财政部发布的《政府采购促进中小企业发展管理办法》规定，对于非专门面向中小企业的项目，对小型和微型企业产品的价格给予一定的扣除，用扣除后的价格参与评审。</w:t>
      </w:r>
    </w:p>
    <w:p w14:paraId="53475BA5">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20.7.2供应商存在以下报价情形的，磋商无效</w:t>
      </w:r>
    </w:p>
    <w:p w14:paraId="53475BA6">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 响应文件未提供“供应商须知前附表” 报价文件中规定的“竞标报价表”的； </w:t>
      </w:r>
    </w:p>
    <w:p w14:paraId="53475BA7">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2）未采用人民币报价或者未按照磋商文件标明的币种报价的； </w:t>
      </w:r>
    </w:p>
    <w:p w14:paraId="53475BA8">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 </w:t>
      </w:r>
    </w:p>
    <w:p w14:paraId="53475BA9">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4）竞标报价（包含首次报价、最后报价）超过所竞标分标规定的采购预算金额或者最高限价的（如本项目公布了最高限价）；竞标报价（包含首次报价、最后报价）超过磋商文件分项采购预算金额或者最高限价的（如本项目有要求并公布了分项采购预算金额或者最高限价）； </w:t>
      </w:r>
    </w:p>
    <w:p w14:paraId="53475BAA">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分项采购预算金额或者最高限价的（如本项目有要求并公布了分项采购预算金额或者最高限价）。 </w:t>
      </w:r>
    </w:p>
    <w:p w14:paraId="53475BAB">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6）在单价合同工程中供应商采用总价优惠或以总价百分比优惠的方式进行竞标报价的； </w:t>
      </w:r>
    </w:p>
    <w:p w14:paraId="53475BAC">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7）竞标总报价与已标价工程量清单汇总表不一致的； </w:t>
      </w:r>
    </w:p>
    <w:p w14:paraId="53475BAD">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8）安全文明施工费和规费、增值税不按广西区费用定额及造价管理相关文件规定报价的（园林绿化及仿古建筑工程除外）；（适用于房屋建筑和市政工程项目） </w:t>
      </w:r>
    </w:p>
    <w:p w14:paraId="53475BAE">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9）供应商已标价工程量清单的项目编码（12位）、计量单位、工程量任何一处与工程量清单不一致的； </w:t>
      </w:r>
    </w:p>
    <w:p w14:paraId="53475BAF">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10）供应商已标价工程量清单的项目名称或项目特征与工程量清单不一致，磋商小组要求澄清、说明或补正，但供应商拒绝澄清、说明或补正的；（适用于房屋建筑和市政工程项目） </w:t>
      </w:r>
    </w:p>
    <w:p w14:paraId="53475BB0">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11）设有暂估价、暂列金额的，竞标时未按工程量清单给出的暂估价总价、暂列金额总价计入竞标总报价中的； </w:t>
      </w:r>
    </w:p>
    <w:p w14:paraId="53475BB1">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12）供应商对工程量清单内容进行增减或对竞标范围进行调整的； </w:t>
      </w:r>
    </w:p>
    <w:p w14:paraId="53475BB2">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13）响应文件响应的标的数量及单位与竞争性磋商采购文件要求实质性不一致的； </w:t>
      </w:r>
    </w:p>
    <w:p w14:paraId="53475BB3">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14）未响应磋商文件实质性要求的。 </w:t>
      </w:r>
    </w:p>
    <w:p w14:paraId="53475BB4">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8.8评标委员会依据磋商文件规定的评审标准和方法，对磋商响应文件进行评审和比较后，向代理机构提供书面磋商报告，并按得分高低排序推荐成交候选供应商。</w:t>
      </w:r>
    </w:p>
    <w:p w14:paraId="53475BB5">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9.磋商响应文件的澄清</w:t>
      </w:r>
    </w:p>
    <w:p w14:paraId="53475BB6">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为有利于对磋商响应文件的比较和评议，磋商小组可要求供应商对磋商响应文件进行澄清，必要时磋商小组可要求供应商对澄清的问题作出书面答复。</w:t>
      </w:r>
    </w:p>
    <w:p w14:paraId="53475BB7">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评审中需要供应商对磋商响应文件作出澄清、说明或者补正的，磋商小组和供应商应当通过广西政府采购云平台交换数据电文。给予供应商提交澄清说明或补正的时间不少于半小时，供应商已经明确表示澄清说明或补正完毕的除外。</w:t>
      </w:r>
    </w:p>
    <w:p w14:paraId="53475BB8">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供应商通过广西政府采购云平台交换的数据电文必须进行电子签章。</w:t>
      </w:r>
    </w:p>
    <w:p w14:paraId="53475BB9">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21．无效磋商的情形</w:t>
      </w:r>
    </w:p>
    <w:p w14:paraId="53475BBA">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磋商响应文件有下列情形之一的作无效磋商响应处理：</w:t>
      </w:r>
    </w:p>
    <w:p w14:paraId="53475BBB">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21.1未按照磋商文件规定要求签署、盖章的；</w:t>
      </w:r>
    </w:p>
    <w:p w14:paraId="53475BBC">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21.2单位负责人为同一人或者存在直接控股、管理关系的不同供应商参加同一合同项下的政府采购活动的（均无效）；</w:t>
      </w:r>
    </w:p>
    <w:p w14:paraId="53475BBD">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21.3为采购项目提供整体设计、规范编制或者项目管理、监理、检测等服务的供应商参加该采购项目的其他采购活动的； </w:t>
      </w:r>
    </w:p>
    <w:p w14:paraId="53475BBE">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21.4供应商不具备磋商文件中规定的资格要求的（供应商未提供有效的资格证明文件的，视为其不具备磋商文件中规定的资格要求）；</w:t>
      </w:r>
    </w:p>
    <w:p w14:paraId="53475BBF">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w:t>
      </w:r>
      <w:r>
        <w:rPr>
          <w:rFonts w:hAnsi="宋体" w:cs="Times New Roman"/>
          <w:color w:val="auto"/>
          <w:sz w:val="24"/>
          <w:szCs w:val="24"/>
          <w:highlight w:val="none"/>
        </w:rPr>
        <w:t xml:space="preserve">.5 </w:t>
      </w:r>
      <w:r>
        <w:rPr>
          <w:rFonts w:hint="eastAsia" w:hAnsi="宋体" w:cs="Times New Roman"/>
          <w:color w:val="auto"/>
          <w:sz w:val="24"/>
          <w:szCs w:val="24"/>
          <w:highlight w:val="none"/>
        </w:rPr>
        <w:t>《法定代表人身份证明书》与提供的身份证复印件信息不符的；《法定代表人授权委托书》与提供的身份证复印件信息不符的；</w:t>
      </w:r>
    </w:p>
    <w:p w14:paraId="53475BC0">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21.6《法定代表人授权委托书》或《法定代表人身份证明书》填写不全、错误、未加盖公章(《法定代表人授权委托书》要求“盖章”和“签字”缺一不可）的；</w:t>
      </w:r>
    </w:p>
    <w:p w14:paraId="53475BC1">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21.7磋商响应文件中的磋商响应函未加盖供应商的企业公章或填写不全的；</w:t>
      </w:r>
    </w:p>
    <w:p w14:paraId="53475BC2">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21.8报价一经涂改，未在涂改处加盖磋商响应单位公章或者未经法定代表人或授权代表签字或盖章的；</w:t>
      </w:r>
    </w:p>
    <w:p w14:paraId="53475BC3">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21.9磋商响应文件中未按磋商文件规定的格式填写，或未详细应答磋商服务（或技术或产品等要求），经磋商后仍无法详细应答或应答不完整有缺失，致使磋商小组无法评审的；</w:t>
      </w:r>
    </w:p>
    <w:p w14:paraId="53475BC4">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21.10出现同一标的物或本次磋商产品(服务)内的主要产品(重要组成部分)出现商务技术（资信）文件资料、报价文件资料描述不一致或前后描述不一致，经磋商小组认定后为无法评审的；</w:t>
      </w:r>
    </w:p>
    <w:p w14:paraId="53475BC5">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21.11磋商响应文件有采购人不能接受的条件；</w:t>
      </w:r>
    </w:p>
    <w:p w14:paraId="53475BC6">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21.12最后报价超过预算金额或上限价的；</w:t>
      </w:r>
    </w:p>
    <w:p w14:paraId="53475BC7">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21.13磋商小组认定有重大偏差或实质性不响应磋商文件要求的；</w:t>
      </w:r>
    </w:p>
    <w:p w14:paraId="53475BC8">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21.14采购人拟采购的产品属于政府强制采购的节能产品品目清单范围的，供应商未按磋商文件要求提供国家确定的认证机构出具的、处于有效期之内的节能产品认证证书的；</w:t>
      </w:r>
    </w:p>
    <w:p w14:paraId="53475BC9">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21.15《报价一览表》填写不完整或字迹不能辨认或有漏项的；</w:t>
      </w:r>
    </w:p>
    <w:p w14:paraId="53475BCA">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21.16供应商对根据修正原则修正后的报价不确认的；</w:t>
      </w:r>
    </w:p>
    <w:p w14:paraId="53475BCB">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21.17供应商提供虚假材料磋商的（包括但不限于以下情节）；</w:t>
      </w:r>
    </w:p>
    <w:p w14:paraId="53475BCC">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21.17.1使用伪造、变造的许可证件；</w:t>
      </w:r>
    </w:p>
    <w:p w14:paraId="53475BCD">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21.17.2提供虚假的财务状况或者业绩；</w:t>
      </w:r>
    </w:p>
    <w:p w14:paraId="53475BCE">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21.17.3提供虚假的项目负责人或者主要技术人员简历、劳动关系证明；</w:t>
      </w:r>
    </w:p>
    <w:p w14:paraId="53475BCF">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21.17.4提供虚假的信用状况；</w:t>
      </w:r>
    </w:p>
    <w:p w14:paraId="53475BD0">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21.17.5其他弄虚作假的行为。</w:t>
      </w:r>
    </w:p>
    <w:p w14:paraId="53475BD1">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21.18有下列情形之一的，视为供应商串通磋商，其磋商无效：</w:t>
      </w:r>
    </w:p>
    <w:p w14:paraId="53475BD2">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21.18.1不同供应商的磋商响应文件由同一单位或者个人编制；</w:t>
      </w:r>
    </w:p>
    <w:p w14:paraId="53475BD3">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21.18.2不同供应商委托同一单位或者个人办理磋商事宜；</w:t>
      </w:r>
    </w:p>
    <w:p w14:paraId="53475BD4">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21.18.3不同供应商的磋商响应文件载明的项目管理成员或者联系人员为同一人；</w:t>
      </w:r>
    </w:p>
    <w:p w14:paraId="53475BD5">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21.18.4不同供应商的磋商响应文件异常一致或者磋商报价呈规律性差异；</w:t>
      </w:r>
    </w:p>
    <w:p w14:paraId="53475BD6">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21.18.5不同供应商的磋商响应文件相互混装；</w:t>
      </w:r>
    </w:p>
    <w:p w14:paraId="53475BD7">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21.19有下列情形之一的，属于恶意串通，其磋商无效：</w:t>
      </w:r>
    </w:p>
    <w:p w14:paraId="53475BD8">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21.19.1供应商直接或者间接从采购人或者采购机构处获得其他供应商的相关情况并修改其磋商文件或者响应文件；</w:t>
      </w:r>
    </w:p>
    <w:p w14:paraId="53475BD9">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21.19.2供应商按照采购人或者采购机构的授意撤换、修改磋商文件或者响应文件；</w:t>
      </w:r>
    </w:p>
    <w:p w14:paraId="53475BDA">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21.19.3供应商之间协商报价、技术方案等磋商文件或者响应文件的实质性内容；</w:t>
      </w:r>
    </w:p>
    <w:p w14:paraId="53475BDB">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21.19.4属于同一集团、协会、商会等组织成员的供应商按照该组织要求协同参加政府采购活动；</w:t>
      </w:r>
    </w:p>
    <w:p w14:paraId="53475BDC">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21.19.5供应商之间事先约定由某一特定供应商成交；</w:t>
      </w:r>
    </w:p>
    <w:p w14:paraId="53475BDD">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21.19.6供应商之间商定部分供应商放弃参加政府采购活动或者放弃成交；</w:t>
      </w:r>
    </w:p>
    <w:p w14:paraId="53475BDE">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21.19.7供应商与采购人或者采购机构之间、供应商相互之间，为谋求特定供应商成交或者排斥其他供应商的其他串通行为。</w:t>
      </w:r>
    </w:p>
    <w:p w14:paraId="53475BDF">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21.20其他违反法律、法规的情形。</w:t>
      </w:r>
    </w:p>
    <w:p w14:paraId="53475BE0">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22. 磋商过程保密</w:t>
      </w:r>
    </w:p>
    <w:p w14:paraId="53475BE1">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22.1磋商活动在严格保密的情况下进行。磋商过程中凡是与磋商响应文件评审和比较、成交供应商推荐等磋商有关的情况和评审文件的，以及涉及国家秘密和商业秘密等信息，磋商小组成员、采购人和采购机构工作人员、相关监督人员等与评审有关的人员应当予以保密。</w:t>
      </w:r>
    </w:p>
    <w:p w14:paraId="53475BE2">
      <w:pPr>
        <w:pStyle w:val="22"/>
        <w:adjustRightInd w:val="0"/>
        <w:snapToGrid w:val="0"/>
        <w:spacing w:line="360" w:lineRule="auto"/>
        <w:ind w:firstLine="480" w:firstLineChars="200"/>
        <w:rPr>
          <w:rFonts w:hAnsi="宋体"/>
          <w:color w:val="auto"/>
          <w:sz w:val="24"/>
          <w:szCs w:val="24"/>
          <w:highlight w:val="none"/>
        </w:rPr>
      </w:pPr>
      <w:r>
        <w:rPr>
          <w:rFonts w:hint="eastAsia" w:hAnsi="宋体" w:cs="Times New Roman"/>
          <w:color w:val="auto"/>
          <w:sz w:val="24"/>
          <w:szCs w:val="24"/>
          <w:highlight w:val="none"/>
        </w:rPr>
        <w:t>22.2 在磋商期间，供应商企图影响采购人、集中采购机构或磋商小组的任何活动，都将导致磋商被拒绝，并由其承担相应的法律责任。</w:t>
      </w:r>
    </w:p>
    <w:p w14:paraId="53475BE3">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六、确定成交供应商办法</w:t>
      </w:r>
    </w:p>
    <w:p w14:paraId="53475BE4">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23.1根据以下原则确定成交供应商：</w:t>
      </w:r>
      <w:r>
        <w:rPr>
          <w:rFonts w:ascii="宋体" w:hAnsi="宋体" w:cs="宋体"/>
          <w:color w:val="auto"/>
          <w:sz w:val="24"/>
          <w:highlight w:val="none"/>
        </w:rPr>
        <w:t>确定成交供应商。采购代理机构应当在评审结束后2个工作日内将评审报告送采购人确认。采购人应当在收到评审报告后</w:t>
      </w:r>
      <w:r>
        <w:rPr>
          <w:rFonts w:hint="eastAsia" w:ascii="宋体" w:hAnsi="宋体" w:cs="宋体"/>
          <w:color w:val="auto"/>
          <w:sz w:val="24"/>
          <w:highlight w:val="none"/>
        </w:rPr>
        <w:t>2</w:t>
      </w:r>
      <w:r>
        <w:rPr>
          <w:rFonts w:ascii="宋体" w:hAnsi="宋体" w:cs="宋体"/>
          <w:color w:val="auto"/>
          <w:sz w:val="24"/>
          <w:highlight w:val="none"/>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3475BE5">
      <w:pPr>
        <w:pStyle w:val="22"/>
        <w:adjustRightInd w:val="0"/>
        <w:snapToGrid w:val="0"/>
        <w:spacing w:line="360" w:lineRule="auto"/>
        <w:ind w:firstLine="482" w:firstLineChars="200"/>
        <w:rPr>
          <w:rFonts w:hAnsi="宋体"/>
          <w:b/>
          <w:color w:val="auto"/>
          <w:sz w:val="24"/>
          <w:szCs w:val="24"/>
          <w:highlight w:val="none"/>
        </w:rPr>
      </w:pPr>
      <w:r>
        <w:rPr>
          <w:rFonts w:hint="eastAsia" w:hAnsi="宋体"/>
          <w:b/>
          <w:color w:val="auto"/>
          <w:sz w:val="24"/>
          <w:szCs w:val="24"/>
          <w:highlight w:val="none"/>
        </w:rPr>
        <w:t>七、成交结果公告</w:t>
      </w:r>
    </w:p>
    <w:p w14:paraId="53475BE6">
      <w:pPr>
        <w:adjustRightInd w:val="0"/>
        <w:spacing w:line="360" w:lineRule="auto"/>
        <w:ind w:firstLine="480" w:firstLineChars="200"/>
        <w:rPr>
          <w:rFonts w:ascii="宋体" w:hAnsi="宋体" w:cs="宋体"/>
          <w:color w:val="auto"/>
          <w:sz w:val="24"/>
          <w:highlight w:val="none"/>
        </w:rPr>
      </w:pPr>
      <w:r>
        <w:rPr>
          <w:rFonts w:hint="eastAsia" w:ascii="宋体" w:hAnsi="宋体"/>
          <w:color w:val="auto"/>
          <w:sz w:val="24"/>
          <w:szCs w:val="21"/>
          <w:highlight w:val="none"/>
        </w:rPr>
        <w:t>24.1自</w:t>
      </w:r>
      <w:r>
        <w:rPr>
          <w:rFonts w:ascii="宋体" w:hAnsi="宋体" w:cs="宋体"/>
          <w:color w:val="auto"/>
          <w:sz w:val="24"/>
          <w:highlight w:val="none"/>
        </w:rPr>
        <w:t>成交供应商</w:t>
      </w:r>
      <w:r>
        <w:rPr>
          <w:rFonts w:hint="eastAsia" w:ascii="宋体" w:hAnsi="宋体"/>
          <w:color w:val="auto"/>
          <w:sz w:val="24"/>
          <w:szCs w:val="21"/>
          <w:highlight w:val="none"/>
        </w:rPr>
        <w:t>确定之日起2个工作日内，采购代理机构通过电子交易平台向</w:t>
      </w:r>
      <w:r>
        <w:rPr>
          <w:rFonts w:ascii="宋体" w:hAnsi="宋体" w:cs="宋体"/>
          <w:color w:val="auto"/>
          <w:sz w:val="24"/>
          <w:highlight w:val="none"/>
        </w:rPr>
        <w:t>成交供应商</w:t>
      </w:r>
      <w:r>
        <w:rPr>
          <w:rFonts w:hint="eastAsia" w:ascii="宋体" w:hAnsi="宋体"/>
          <w:color w:val="auto"/>
          <w:sz w:val="24"/>
          <w:szCs w:val="21"/>
          <w:highlight w:val="none"/>
        </w:rPr>
        <w:t>发出成交通知书，</w:t>
      </w:r>
      <w:r>
        <w:rPr>
          <w:rFonts w:hint="eastAsia" w:ascii="宋体" w:hAnsi="宋体" w:cs="宋体"/>
          <w:color w:val="auto"/>
          <w:sz w:val="24"/>
          <w:highlight w:val="none"/>
        </w:rPr>
        <w:t>同时编制发布采购</w:t>
      </w:r>
      <w:r>
        <w:rPr>
          <w:rFonts w:hint="eastAsia" w:ascii="宋体" w:hAnsi="宋体"/>
          <w:color w:val="auto"/>
          <w:sz w:val="24"/>
          <w:szCs w:val="21"/>
          <w:highlight w:val="none"/>
        </w:rPr>
        <w:t>成交结果公告。</w:t>
      </w:r>
    </w:p>
    <w:p w14:paraId="53475BE7">
      <w:pPr>
        <w:adjustRightInd w:val="0"/>
        <w:spacing w:line="360" w:lineRule="auto"/>
        <w:ind w:firstLine="480" w:firstLineChars="200"/>
        <w:rPr>
          <w:rFonts w:ascii="宋体" w:hAnsi="宋体"/>
          <w:color w:val="auto"/>
          <w:sz w:val="24"/>
          <w:szCs w:val="21"/>
          <w:highlight w:val="none"/>
        </w:rPr>
      </w:pPr>
      <w:r>
        <w:rPr>
          <w:rFonts w:hint="eastAsia" w:ascii="宋体" w:hAnsi="宋体" w:cs="宋体"/>
          <w:color w:val="auto"/>
          <w:sz w:val="24"/>
          <w:highlight w:val="none"/>
        </w:rPr>
        <w:t>24.2</w:t>
      </w:r>
      <w:r>
        <w:rPr>
          <w:rFonts w:hint="eastAsia" w:ascii="宋体" w:hAnsi="宋体"/>
          <w:color w:val="auto"/>
          <w:sz w:val="24"/>
          <w:szCs w:val="21"/>
          <w:highlight w:val="none"/>
        </w:rPr>
        <w:t>成交</w:t>
      </w:r>
      <w:r>
        <w:rPr>
          <w:rFonts w:hint="eastAsia" w:ascii="宋体" w:hAnsi="宋体" w:cs="仿宋_GB2312"/>
          <w:color w:val="auto"/>
          <w:sz w:val="24"/>
          <w:highlight w:val="none"/>
        </w:rPr>
        <w:t>结果公告内容包括</w:t>
      </w:r>
      <w:r>
        <w:rPr>
          <w:rFonts w:hint="eastAsia" w:ascii="宋体" w:hAnsi="宋体" w:cs="宋体"/>
          <w:color w:val="auto"/>
          <w:sz w:val="24"/>
          <w:highlight w:val="none"/>
        </w:rPr>
        <w:t>采购人及其委托的采购代理机构的名称、地址、联系方式，项目名称和项目编号，</w:t>
      </w:r>
      <w:r>
        <w:rPr>
          <w:rFonts w:ascii="宋体" w:hAnsi="宋体" w:cs="宋体"/>
          <w:color w:val="auto"/>
          <w:sz w:val="24"/>
          <w:highlight w:val="none"/>
        </w:rPr>
        <w:t>成交供应商</w:t>
      </w:r>
      <w:r>
        <w:rPr>
          <w:rFonts w:hint="eastAsia" w:ascii="宋体" w:hAnsi="宋体" w:cs="宋体"/>
          <w:color w:val="auto"/>
          <w:sz w:val="24"/>
          <w:highlight w:val="none"/>
        </w:rPr>
        <w:t>名称、地址和成交金额，主要成交标的的名称、规格型号、数量、单价、服务要求，</w:t>
      </w:r>
      <w:bookmarkStart w:id="28" w:name="_Hlk101184471"/>
      <w:r>
        <w:rPr>
          <w:rFonts w:hint="eastAsia" w:ascii="宋体" w:hAnsi="宋体" w:cs="宋体"/>
          <w:color w:val="auto"/>
          <w:sz w:val="24"/>
          <w:highlight w:val="none"/>
        </w:rPr>
        <w:t>评审专家抽取规则、</w:t>
      </w:r>
      <w:bookmarkEnd w:id="28"/>
      <w:r>
        <w:rPr>
          <w:rFonts w:hint="eastAsia" w:ascii="宋体" w:hAnsi="宋体" w:cs="宋体"/>
          <w:color w:val="auto"/>
          <w:sz w:val="24"/>
          <w:highlight w:val="none"/>
        </w:rPr>
        <w:t>未成交情况说明、成交公告期限以及评审专家名单、成交供应商和未成交供应商的评审总得分及排名。</w:t>
      </w:r>
    </w:p>
    <w:p w14:paraId="53475BE8">
      <w:pPr>
        <w:adjustRightInd w:val="0"/>
        <w:spacing w:line="360" w:lineRule="auto"/>
        <w:ind w:firstLine="480" w:firstLineChars="200"/>
        <w:rPr>
          <w:rFonts w:ascii="宋体" w:hAnsi="宋体"/>
          <w:color w:val="auto"/>
          <w:sz w:val="24"/>
          <w:szCs w:val="21"/>
          <w:highlight w:val="none"/>
        </w:rPr>
      </w:pPr>
      <w:r>
        <w:rPr>
          <w:rFonts w:hint="eastAsia" w:ascii="宋体" w:hAnsi="宋体"/>
          <w:color w:val="auto"/>
          <w:sz w:val="24"/>
          <w:szCs w:val="21"/>
          <w:highlight w:val="none"/>
        </w:rPr>
        <w:t>24.3公告期限为1个工作日。</w:t>
      </w:r>
    </w:p>
    <w:p w14:paraId="53475BE9">
      <w:pPr>
        <w:pStyle w:val="22"/>
        <w:adjustRightInd w:val="0"/>
        <w:snapToGrid w:val="0"/>
        <w:spacing w:line="360" w:lineRule="auto"/>
        <w:ind w:firstLine="482" w:firstLineChars="200"/>
        <w:rPr>
          <w:rFonts w:hAnsi="宋体"/>
          <w:b/>
          <w:color w:val="auto"/>
          <w:sz w:val="24"/>
          <w:szCs w:val="24"/>
          <w:highlight w:val="none"/>
        </w:rPr>
      </w:pPr>
      <w:r>
        <w:rPr>
          <w:rFonts w:hint="eastAsia" w:hAnsi="宋体"/>
          <w:b/>
          <w:color w:val="auto"/>
          <w:sz w:val="24"/>
          <w:szCs w:val="24"/>
          <w:highlight w:val="none"/>
        </w:rPr>
        <w:t>八、履约保证金</w:t>
      </w:r>
    </w:p>
    <w:p w14:paraId="53475BE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不收取。</w:t>
      </w:r>
    </w:p>
    <w:p w14:paraId="53475BEB">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九、签订合同</w:t>
      </w:r>
    </w:p>
    <w:p w14:paraId="53475BEC">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26.1成交通知书发出后，采购人不得违法改变成交结果，成交供应商无正当理由不得放弃成交，否则，按政府采购采购相关规定处理。</w:t>
      </w:r>
    </w:p>
    <w:p w14:paraId="53475BED">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26.2成交供应商拒绝与采购人签订合同或因不可抗力或者自身原因不能履行采购合同的，采购人可以与成交供应商之后排名第一的成交候选供应商签订采购合同，以此类推,也可以重新采购。成交供应商放弃成交项目，拒绝与采购人签订合同的，给采购人造成损失的，应当赔偿损失，并作为不良行为记录在案。</w:t>
      </w:r>
    </w:p>
    <w:p w14:paraId="53475BEE">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26.3采购人应当自成交通知书发出之日起25日内，按照磋商采购文件和成交供应商磋商响应文件的规定，与成交供应商签订书面合同。所签订的合同不得对磋商采购文件确定的事项和成交供应商磋商响应文件作实质性修改。采购人不得向成交供应商提出任何不合理的要求作为签订合同的条件。</w:t>
      </w:r>
    </w:p>
    <w:p w14:paraId="53475BEF">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26.4政府采购合同应当包括采购人与成交供应商的名称和住所、标的、数量、质量、价款或者报酬、履行期限及地点和方式、验收要求、违约责任、解决争议的方法等内容。政府采购合同签订当日，将政府采购合同送本代理机构备案。</w:t>
      </w:r>
    </w:p>
    <w:p w14:paraId="53475BF0">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26.5采购人与成交供应商应当根据合同的约定依法履行合同义务。政府采购合同的履行、违约责任和解决争议的方法等适用《中华人民共和国民法典》。</w:t>
      </w:r>
    </w:p>
    <w:p w14:paraId="53475BF1">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26.6采购人应当及时对采购项目进行验收。采购人可以邀请参加本项目的其他供应商或者第三方机构参与验收。参与验收的供应商或者第三方机构的意见作为验收书的参考资料一并存档。</w:t>
      </w:r>
    </w:p>
    <w:p w14:paraId="53475BF2">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26.7采购人应当加强对成交供应商的履约管理，并按照采购合同约定，及时向成交供应商支付采购资金。对于成交供应商违反采购合同约定的行为，采购人应当及时处理，依法追究其违约责任。</w:t>
      </w:r>
    </w:p>
    <w:p w14:paraId="53475BF3">
      <w:pPr>
        <w:pStyle w:val="96"/>
        <w:snapToGrid w:val="0"/>
        <w:spacing w:before="0"/>
        <w:ind w:firstLine="480"/>
        <w:rPr>
          <w:rFonts w:ascii="宋体" w:hAnsi="宋体" w:cs="宋体"/>
          <w:color w:val="auto"/>
          <w:highlight w:val="none"/>
        </w:rPr>
      </w:pPr>
      <w:r>
        <w:rPr>
          <w:rFonts w:hint="eastAsia" w:ascii="宋体" w:hAnsi="宋体"/>
          <w:bCs/>
          <w:color w:val="auto"/>
          <w:szCs w:val="24"/>
          <w:highlight w:val="none"/>
        </w:rPr>
        <w:t>26.</w:t>
      </w:r>
      <w:r>
        <w:rPr>
          <w:rFonts w:hint="eastAsia" w:ascii="宋体" w:hAnsi="宋体" w:cs="宋体"/>
          <w:color w:val="auto"/>
          <w:szCs w:val="24"/>
          <w:highlight w:val="none"/>
        </w:rPr>
        <w:t>8</w:t>
      </w:r>
      <w:r>
        <w:rPr>
          <w:rFonts w:hint="eastAsia" w:ascii="宋体" w:hAnsi="宋体" w:cs="宋体"/>
          <w:color w:val="auto"/>
          <w:highlight w:val="none"/>
        </w:rPr>
        <w:t>政采贷</w:t>
      </w:r>
    </w:p>
    <w:p w14:paraId="53475BF4">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53475BF5">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53475BF6">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53475BF7">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53475BF8">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14:paraId="53475BF9">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53475BFA">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14:paraId="53475BFB">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注：相关合作银行的具体操作流程详见北海市政府采购中心首页“政采贷”板块。</w:t>
      </w:r>
    </w:p>
    <w:p w14:paraId="53475BFC">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53475BFD">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14:paraId="53475BFE">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color w:val="auto"/>
          <w:kern w:val="0"/>
          <w:sz w:val="24"/>
          <w:szCs w:val="20"/>
          <w:highlight w:val="none"/>
        </w:rPr>
        <w:t>https</w:t>
      </w:r>
      <w:r>
        <w:rPr>
          <w:rFonts w:hint="eastAsia" w:ascii="宋体" w:hAnsi="宋体"/>
          <w:color w:val="auto"/>
          <w:kern w:val="0"/>
          <w:sz w:val="24"/>
          <w:szCs w:val="20"/>
          <w:highlight w:val="none"/>
          <w:lang w:eastAsia="zh-CN"/>
        </w:rPr>
        <w:t>：</w:t>
      </w:r>
      <w:r>
        <w:rPr>
          <w:rFonts w:ascii="宋体" w:hAnsi="宋体"/>
          <w:color w:val="auto"/>
          <w:kern w:val="0"/>
          <w:sz w:val="24"/>
          <w:szCs w:val="20"/>
          <w:highlight w:val="none"/>
        </w:rPr>
        <w:t>//jinrong.gcy.zfcg.gxzf.gov.cn/finance/loan/gx</w:t>
      </w:r>
      <w:r>
        <w:rPr>
          <w:rFonts w:ascii="宋体" w:hAnsi="宋体"/>
          <w:color w:val="auto"/>
          <w:kern w:val="0"/>
          <w:sz w:val="24"/>
          <w:szCs w:val="20"/>
          <w:highlight w:val="none"/>
        </w:rPr>
        <w:fldChar w:fldCharType="end"/>
      </w:r>
      <w:r>
        <w:rPr>
          <w:rFonts w:hint="eastAsia" w:ascii="宋体" w:hAnsi="宋体"/>
          <w:color w:val="auto"/>
          <w:kern w:val="0"/>
          <w:sz w:val="24"/>
          <w:szCs w:val="20"/>
          <w:highlight w:val="none"/>
        </w:rPr>
        <w:t>）</w:t>
      </w:r>
    </w:p>
    <w:p w14:paraId="53475BFF">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5347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00">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vAlign w:val="center"/>
          </w:tcPr>
          <w:p w14:paraId="53475C01">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vAlign w:val="center"/>
          </w:tcPr>
          <w:p w14:paraId="53475C02">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vAlign w:val="center"/>
          </w:tcPr>
          <w:p w14:paraId="53475C03">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vAlign w:val="center"/>
          </w:tcPr>
          <w:p w14:paraId="53475C04">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vAlign w:val="center"/>
          </w:tcPr>
          <w:p w14:paraId="53475C05">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流程简介</w:t>
            </w:r>
          </w:p>
        </w:tc>
      </w:tr>
      <w:tr w14:paraId="53475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07">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vAlign w:val="center"/>
          </w:tcPr>
          <w:p w14:paraId="53475C08">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vAlign w:val="center"/>
          </w:tcPr>
          <w:p w14:paraId="53475C09">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vAlign w:val="center"/>
          </w:tcPr>
          <w:p w14:paraId="53475C0A">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53475C0B">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vAlign w:val="center"/>
          </w:tcPr>
          <w:p w14:paraId="53475C0C">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14:paraId="5347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0E">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vAlign w:val="center"/>
          </w:tcPr>
          <w:p w14:paraId="53475C0F">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vAlign w:val="center"/>
          </w:tcPr>
          <w:p w14:paraId="53475C10">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53475C11">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vAlign w:val="center"/>
          </w:tcPr>
          <w:p w14:paraId="53475C12">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vAlign w:val="center"/>
          </w:tcPr>
          <w:p w14:paraId="53475C13">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14:paraId="5347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15">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vAlign w:val="center"/>
          </w:tcPr>
          <w:p w14:paraId="53475C16">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vAlign w:val="center"/>
          </w:tcPr>
          <w:p w14:paraId="53475C17">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vAlign w:val="center"/>
          </w:tcPr>
          <w:p w14:paraId="53475C18">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53475C19">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vAlign w:val="center"/>
          </w:tcPr>
          <w:p w14:paraId="53475C1A">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14:paraId="53475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1C">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vAlign w:val="center"/>
          </w:tcPr>
          <w:p w14:paraId="53475C1D">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vAlign w:val="center"/>
          </w:tcPr>
          <w:p w14:paraId="53475C1E">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vAlign w:val="center"/>
          </w:tcPr>
          <w:p w14:paraId="53475C1F">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货物类1年</w:t>
            </w:r>
          </w:p>
          <w:p w14:paraId="53475C20">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服务类3年</w:t>
            </w:r>
          </w:p>
          <w:p w14:paraId="53475C21">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vAlign w:val="center"/>
          </w:tcPr>
          <w:p w14:paraId="53475C22">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53475C23">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14:paraId="5347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25">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vAlign w:val="center"/>
          </w:tcPr>
          <w:p w14:paraId="53475C26">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vAlign w:val="center"/>
          </w:tcPr>
          <w:p w14:paraId="53475C27">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vAlign w:val="center"/>
          </w:tcPr>
          <w:p w14:paraId="53475C28">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vAlign w:val="center"/>
          </w:tcPr>
          <w:p w14:paraId="53475C29">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vAlign w:val="center"/>
          </w:tcPr>
          <w:p w14:paraId="53475C2A">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14:paraId="5347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2C">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vAlign w:val="center"/>
          </w:tcPr>
          <w:p w14:paraId="53475C2D">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vAlign w:val="center"/>
          </w:tcPr>
          <w:p w14:paraId="53475C2E">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53475C2F">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53475C30">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53475C31">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14:paraId="5347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33">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vAlign w:val="center"/>
          </w:tcPr>
          <w:p w14:paraId="53475C34">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vAlign w:val="center"/>
          </w:tcPr>
          <w:p w14:paraId="53475C35">
            <w:pPr>
              <w:adjustRightInd w:val="0"/>
              <w:snapToGrid w:val="0"/>
              <w:spacing w:line="360" w:lineRule="auto"/>
              <w:jc w:val="left"/>
              <w:rPr>
                <w:rFonts w:ascii="宋体" w:hAnsi="宋体"/>
                <w:color w:val="auto"/>
                <w:kern w:val="0"/>
                <w:sz w:val="24"/>
                <w:szCs w:val="20"/>
                <w:highlight w:val="none"/>
              </w:rPr>
            </w:pPr>
          </w:p>
        </w:tc>
        <w:tc>
          <w:tcPr>
            <w:tcW w:w="993" w:type="dxa"/>
            <w:vAlign w:val="center"/>
          </w:tcPr>
          <w:p w14:paraId="53475C36">
            <w:pPr>
              <w:adjustRightInd w:val="0"/>
              <w:snapToGrid w:val="0"/>
              <w:spacing w:line="360" w:lineRule="auto"/>
              <w:jc w:val="center"/>
              <w:rPr>
                <w:rFonts w:ascii="宋体" w:hAnsi="宋体"/>
                <w:color w:val="auto"/>
                <w:kern w:val="0"/>
                <w:sz w:val="24"/>
                <w:szCs w:val="20"/>
                <w:highlight w:val="none"/>
              </w:rPr>
            </w:pPr>
          </w:p>
        </w:tc>
        <w:tc>
          <w:tcPr>
            <w:tcW w:w="850" w:type="dxa"/>
            <w:vAlign w:val="center"/>
          </w:tcPr>
          <w:p w14:paraId="53475C37">
            <w:pPr>
              <w:adjustRightInd w:val="0"/>
              <w:snapToGrid w:val="0"/>
              <w:spacing w:line="360" w:lineRule="auto"/>
              <w:jc w:val="center"/>
              <w:rPr>
                <w:rFonts w:ascii="宋体" w:hAnsi="宋体"/>
                <w:color w:val="auto"/>
                <w:kern w:val="0"/>
                <w:sz w:val="24"/>
                <w:szCs w:val="20"/>
                <w:highlight w:val="none"/>
              </w:rPr>
            </w:pPr>
          </w:p>
        </w:tc>
        <w:tc>
          <w:tcPr>
            <w:tcW w:w="3366" w:type="dxa"/>
            <w:vAlign w:val="center"/>
          </w:tcPr>
          <w:p w14:paraId="53475C38">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14:paraId="53475C3A">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注：表中联系电话\授信金额、授信期限、最低利率等信息可能动态更新，仅供参考，具体以办理时相关银行公布的为准。</w:t>
      </w:r>
    </w:p>
    <w:p w14:paraId="53475C3B">
      <w:pPr>
        <w:numPr>
          <w:ilvl w:val="0"/>
          <w:numId w:val="3"/>
        </w:num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转包与分包</w:t>
      </w:r>
    </w:p>
    <w:p w14:paraId="53475C3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27.1本项目不允许转包。</w:t>
      </w:r>
    </w:p>
    <w:p w14:paraId="53475C3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27.2本项目是否允许分包详见“供应商须知前附表”，本项目不允许违法分包。允许分包的非主体、非关键性工作，根据法律法规规定承担该工作需要资质或者行政许可的，如该工作由供 应商自行承担，供应商应具备相应的资质或者行政许可，如供应商不具备相应的资质或者行政许可必须采用分包的方式，但分包供应商应具备相应资质或者行政许可。</w:t>
      </w:r>
    </w:p>
    <w:p w14:paraId="53475C3E">
      <w:pPr>
        <w:widowControl/>
        <w:kinsoku w:val="0"/>
        <w:autoSpaceDE w:val="0"/>
        <w:autoSpaceDN w:val="0"/>
        <w:adjustRightInd w:val="0"/>
        <w:snapToGrid w:val="0"/>
        <w:spacing w:line="360" w:lineRule="auto"/>
        <w:ind w:firstLine="480" w:firstLineChars="200"/>
        <w:textAlignment w:val="baseline"/>
        <w:rPr>
          <w:rFonts w:ascii="宋体" w:hAnsi="宋体"/>
          <w:color w:val="auto"/>
          <w:sz w:val="24"/>
          <w:highlight w:val="none"/>
        </w:rPr>
      </w:pPr>
      <w:r>
        <w:rPr>
          <w:rFonts w:hint="eastAsia" w:ascii="宋体" w:hAnsi="宋体" w:cs="宋体"/>
          <w:color w:val="auto"/>
          <w:sz w:val="24"/>
          <w:highlight w:val="none"/>
        </w:rPr>
        <w:t>27.3供应商根据磋商文件的规定和采购项目的实际情况，拟在成交后将成交项目的非主体、非关键性工作分包的，应当在响应文件中载明分包承担主体，分包承担主体应当具备相应资质条件且不得再次分包。</w:t>
      </w:r>
    </w:p>
    <w:p w14:paraId="53475C3F">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十一、补充合同</w:t>
      </w:r>
    </w:p>
    <w:p w14:paraId="53475C40">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28.1政府采购采购合同履行过程中，采购人需要追加与合同标的相同的货物或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53475C41">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十二、合同公告</w:t>
      </w:r>
    </w:p>
    <w:p w14:paraId="53475C42">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29.1采购人应当自政府采购合同签订（双方当事人均已签字盖章）之日起1个工作日内，将政府采购合同在省级以上人民政府财政部门指定的媒体上公告（广西政府采购网），但政府采购合同中涉及国家秘密、商业秘密的内容除外。</w:t>
      </w:r>
    </w:p>
    <w:p w14:paraId="53475C43">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十三、适用法律</w:t>
      </w:r>
    </w:p>
    <w:p w14:paraId="53475C4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30.1采购当事人的一切活动均适用于《中华人民共和国政府采购法》及相关规定。最终磋商结束后，磋商小组不得再与供应商进行任何形式的磋商。</w:t>
      </w:r>
    </w:p>
    <w:p w14:paraId="53475C45">
      <w:pPr>
        <w:pStyle w:val="22"/>
        <w:snapToGrid w:val="0"/>
        <w:spacing w:line="360" w:lineRule="auto"/>
        <w:ind w:firstLine="482" w:firstLineChars="200"/>
        <w:rPr>
          <w:rFonts w:hAnsi="宋体" w:cs="宋体"/>
          <w:b/>
          <w:bCs/>
          <w:color w:val="auto"/>
          <w:kern w:val="0"/>
          <w:sz w:val="24"/>
          <w:szCs w:val="24"/>
          <w:highlight w:val="none"/>
        </w:rPr>
      </w:pPr>
      <w:r>
        <w:rPr>
          <w:rFonts w:hAnsi="宋体"/>
          <w:b/>
          <w:color w:val="auto"/>
          <w:kern w:val="0"/>
          <w:sz w:val="24"/>
          <w:szCs w:val="24"/>
          <w:highlight w:val="none"/>
        </w:rPr>
        <w:t>十</w:t>
      </w:r>
      <w:r>
        <w:rPr>
          <w:rFonts w:hint="eastAsia" w:hAnsi="宋体"/>
          <w:b/>
          <w:color w:val="auto"/>
          <w:kern w:val="0"/>
          <w:sz w:val="24"/>
          <w:szCs w:val="24"/>
          <w:highlight w:val="none"/>
        </w:rPr>
        <w:t>四</w:t>
      </w:r>
      <w:r>
        <w:rPr>
          <w:rFonts w:hAnsi="宋体"/>
          <w:b/>
          <w:color w:val="auto"/>
          <w:kern w:val="0"/>
          <w:sz w:val="24"/>
          <w:szCs w:val="24"/>
          <w:highlight w:val="none"/>
        </w:rPr>
        <w:t>、</w:t>
      </w:r>
      <w:r>
        <w:rPr>
          <w:rFonts w:hint="eastAsia" w:hAnsi="宋体" w:cs="宋体"/>
          <w:b/>
          <w:color w:val="auto"/>
          <w:kern w:val="0"/>
          <w:sz w:val="24"/>
          <w:szCs w:val="24"/>
          <w:highlight w:val="none"/>
        </w:rPr>
        <w:t>询问、质疑和投诉</w:t>
      </w:r>
    </w:p>
    <w:p w14:paraId="53475C46">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.1</w:t>
      </w:r>
      <w:r>
        <w:rPr>
          <w:rFonts w:hint="eastAsia" w:ascii="宋体" w:hAnsi="宋体"/>
          <w:color w:val="auto"/>
          <w:sz w:val="24"/>
          <w:highlight w:val="none"/>
        </w:rPr>
        <w:t>供应商</w:t>
      </w:r>
      <w:r>
        <w:rPr>
          <w:rFonts w:hint="eastAsia" w:ascii="宋体" w:hAnsi="宋体" w:cs="宋体"/>
          <w:color w:val="auto"/>
          <w:kern w:val="0"/>
          <w:sz w:val="24"/>
          <w:highlight w:val="none"/>
        </w:rPr>
        <w:t>对政府采购活动事项有疑问的，可以向采购人、采购代理机构提出询问。</w:t>
      </w:r>
    </w:p>
    <w:p w14:paraId="53475C47">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w:t>
      </w:r>
      <w:r>
        <w:rPr>
          <w:rFonts w:hint="eastAsia" w:ascii="宋体" w:hAnsi="宋体" w:cs="宋体"/>
          <w:color w:val="auto"/>
          <w:kern w:val="0"/>
          <w:sz w:val="24"/>
          <w:highlight w:val="none"/>
        </w:rPr>
        <w:t>2供应商认为采购文件、采购过程或成交结果使自己的合法权益受到损害的，应当在知道或者应知其权益受到损害之日起七个工作日内，以书面形式向采购人、采购代理机构提出质疑。具体计算时间如下：</w:t>
      </w:r>
    </w:p>
    <w:p w14:paraId="53475C48">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（1）对可以质疑的采购文件提出质疑的，为收到采购文件之日；</w:t>
      </w:r>
    </w:p>
    <w:p w14:paraId="53475C49">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（2）对采购过程提出质疑的，为各采购程序环节结束之日；</w:t>
      </w:r>
    </w:p>
    <w:p w14:paraId="53475C4A">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（3）对成交结果提出质疑的，为成交结果公告期限届满之日。供应商对采购单位的质疑答复不满意或者采购单位未在规定时间内作出答复的，可以在答复期满后十五个工作日内向同级采购监管部门投诉。</w:t>
      </w:r>
    </w:p>
    <w:p w14:paraId="53475C4B">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w:t>
      </w:r>
      <w:r>
        <w:rPr>
          <w:rFonts w:hint="eastAsia" w:ascii="宋体" w:hAnsi="宋体" w:cs="宋体"/>
          <w:color w:val="auto"/>
          <w:kern w:val="0"/>
          <w:sz w:val="24"/>
          <w:highlight w:val="none"/>
        </w:rPr>
        <w:t>3质疑、投诉应当采用书面形式，质疑书、投诉书均应明确阐述采购文件、采购过程、成交结果中使自己合法权益受到损害的实质性内容，提供相关事实、明确的请求、必要的证明材料，便于有关单位调查、答复和处理。</w:t>
      </w:r>
    </w:p>
    <w:p w14:paraId="53475C4C">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31.4对同一采购程序环节的质疑，供应商须一次性提出。</w:t>
      </w:r>
    </w:p>
    <w:p w14:paraId="53475C4D">
      <w:pPr>
        <w:adjustRightInd w:val="0"/>
        <w:spacing w:line="360" w:lineRule="auto"/>
        <w:ind w:firstLine="482" w:firstLineChars="200"/>
        <w:rPr>
          <w:rFonts w:ascii="宋体" w:hAnsi="宋体"/>
          <w:color w:val="auto"/>
          <w:sz w:val="24"/>
          <w:szCs w:val="20"/>
          <w:highlight w:val="none"/>
        </w:rPr>
      </w:pPr>
      <w:r>
        <w:rPr>
          <w:rFonts w:hint="eastAsia" w:ascii="宋体" w:hAnsi="宋体"/>
          <w:b/>
          <w:color w:val="auto"/>
          <w:sz w:val="24"/>
          <w:szCs w:val="20"/>
          <w:highlight w:val="none"/>
        </w:rPr>
        <w:t>31.5质疑答复</w:t>
      </w:r>
    </w:p>
    <w:p w14:paraId="53475C4E">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31.5.1根据采购人与采购代理机构签订采购委托协议的规定，质疑答复责任主体如下：</w:t>
      </w:r>
    </w:p>
    <w:p w14:paraId="53475C4F">
      <w:pPr>
        <w:widowControl/>
        <w:jc w:val="center"/>
        <w:rPr>
          <w:rFonts w:ascii="宋体" w:hAnsi="宋体"/>
          <w:b/>
          <w:color w:val="auto"/>
          <w:sz w:val="28"/>
          <w:szCs w:val="28"/>
          <w:highlight w:val="none"/>
        </w:rPr>
      </w:pPr>
      <w:r>
        <w:rPr>
          <w:rFonts w:hint="eastAsia" w:ascii="宋体" w:hAnsi="宋体"/>
          <w:b/>
          <w:color w:val="auto"/>
          <w:sz w:val="28"/>
          <w:szCs w:val="28"/>
          <w:highlight w:val="none"/>
        </w:rPr>
        <w:t>质疑答复责任主体一览表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5347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53475C50">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质疑内容</w:t>
            </w:r>
          </w:p>
        </w:tc>
        <w:tc>
          <w:tcPr>
            <w:tcW w:w="2232" w:type="dxa"/>
            <w:vAlign w:val="center"/>
          </w:tcPr>
          <w:p w14:paraId="53475C51">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质疑答复责任主体</w:t>
            </w:r>
          </w:p>
        </w:tc>
      </w:tr>
      <w:tr w14:paraId="5347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3475C53">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对采购文件提出质疑</w:t>
            </w:r>
          </w:p>
        </w:tc>
        <w:tc>
          <w:tcPr>
            <w:tcW w:w="4536" w:type="dxa"/>
            <w:vAlign w:val="center"/>
          </w:tcPr>
          <w:p w14:paraId="53475C54">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对采购文件中特定资格条件、采购需求、评审办法、评审标准提出的质疑</w:t>
            </w:r>
          </w:p>
        </w:tc>
        <w:tc>
          <w:tcPr>
            <w:tcW w:w="2232" w:type="dxa"/>
            <w:vAlign w:val="center"/>
          </w:tcPr>
          <w:p w14:paraId="53475C55">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采购人</w:t>
            </w:r>
          </w:p>
        </w:tc>
      </w:tr>
      <w:tr w14:paraId="5347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53475C57">
            <w:pPr>
              <w:adjustRightInd w:val="0"/>
              <w:spacing w:line="360" w:lineRule="auto"/>
              <w:jc w:val="center"/>
              <w:rPr>
                <w:rFonts w:ascii="宋体" w:hAnsi="宋体"/>
                <w:color w:val="auto"/>
                <w:sz w:val="24"/>
                <w:szCs w:val="20"/>
                <w:highlight w:val="none"/>
              </w:rPr>
            </w:pPr>
          </w:p>
        </w:tc>
        <w:tc>
          <w:tcPr>
            <w:tcW w:w="4536" w:type="dxa"/>
            <w:vAlign w:val="center"/>
          </w:tcPr>
          <w:p w14:paraId="53475C58">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对采购文件中其他内容提出的质疑</w:t>
            </w:r>
          </w:p>
        </w:tc>
        <w:tc>
          <w:tcPr>
            <w:tcW w:w="2232" w:type="dxa"/>
            <w:vAlign w:val="center"/>
          </w:tcPr>
          <w:p w14:paraId="53475C59">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r w14:paraId="5347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3475C5B">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对采购过程提出质疑</w:t>
            </w:r>
          </w:p>
        </w:tc>
        <w:tc>
          <w:tcPr>
            <w:tcW w:w="4536" w:type="dxa"/>
            <w:vAlign w:val="center"/>
          </w:tcPr>
          <w:p w14:paraId="53475C5C">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有关现场考察或开启响应文件前答疑会事项提出的质疑</w:t>
            </w:r>
          </w:p>
        </w:tc>
        <w:tc>
          <w:tcPr>
            <w:tcW w:w="2232" w:type="dxa"/>
            <w:vAlign w:val="center"/>
          </w:tcPr>
          <w:p w14:paraId="53475C5D">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采购人</w:t>
            </w:r>
          </w:p>
        </w:tc>
      </w:tr>
      <w:tr w14:paraId="5347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53475C5F">
            <w:pPr>
              <w:adjustRightInd w:val="0"/>
              <w:spacing w:line="360" w:lineRule="auto"/>
              <w:jc w:val="center"/>
              <w:rPr>
                <w:rFonts w:ascii="宋体" w:hAnsi="宋体"/>
                <w:color w:val="auto"/>
                <w:sz w:val="24"/>
                <w:szCs w:val="20"/>
                <w:highlight w:val="none"/>
              </w:rPr>
            </w:pPr>
          </w:p>
        </w:tc>
        <w:tc>
          <w:tcPr>
            <w:tcW w:w="4536" w:type="dxa"/>
            <w:vAlign w:val="center"/>
          </w:tcPr>
          <w:p w14:paraId="53475C60">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对采购过程中其它事项提出的质疑</w:t>
            </w:r>
          </w:p>
        </w:tc>
        <w:tc>
          <w:tcPr>
            <w:tcW w:w="2232" w:type="dxa"/>
            <w:vAlign w:val="center"/>
          </w:tcPr>
          <w:p w14:paraId="53475C61">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r w14:paraId="5347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53475C63">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对采购结果提出质疑</w:t>
            </w:r>
          </w:p>
        </w:tc>
        <w:tc>
          <w:tcPr>
            <w:tcW w:w="4536" w:type="dxa"/>
            <w:vAlign w:val="center"/>
          </w:tcPr>
          <w:p w14:paraId="53475C64">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对采购结果提出的质疑</w:t>
            </w:r>
          </w:p>
        </w:tc>
        <w:tc>
          <w:tcPr>
            <w:tcW w:w="2232" w:type="dxa"/>
            <w:vAlign w:val="center"/>
          </w:tcPr>
          <w:p w14:paraId="53475C65">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bl>
    <w:p w14:paraId="53475C67">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注：采购人或代理机构应当协助质疑答复责任主体及时答复供应商的书面质疑。</w:t>
      </w:r>
    </w:p>
    <w:p w14:paraId="53475C68">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31.5.2采购人或者采购代理机构应当在收到供应商的书面质疑后七个工作日内作出答复，并以书面形式通知质疑供应商和其他与质疑处理结果有利害关系的政府采购当事人，但答复的内容不得涉及商业秘密。</w:t>
      </w:r>
    </w:p>
    <w:p w14:paraId="53475C69">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31.5.3询问或者质疑事项可能影响采购结果的，采购人应当暂停签订合同，已经签订合同的，应当中止履行合同。</w:t>
      </w:r>
    </w:p>
    <w:p w14:paraId="53475C6A">
      <w:pPr>
        <w:spacing w:line="360" w:lineRule="auto"/>
        <w:ind w:firstLine="480" w:firstLineChars="200"/>
        <w:rPr>
          <w:rFonts w:ascii="宋体" w:hAnsi="宋体"/>
          <w:color w:val="auto"/>
          <w:sz w:val="24"/>
          <w:highlight w:val="none"/>
          <w:lang w:val="zh-CN"/>
        </w:rPr>
      </w:pPr>
      <w:r>
        <w:rPr>
          <w:rFonts w:hint="eastAsia" w:ascii="宋体" w:hAnsi="宋体"/>
          <w:color w:val="auto"/>
          <w:sz w:val="24"/>
          <w:szCs w:val="20"/>
          <w:highlight w:val="none"/>
        </w:rPr>
        <w:t>31.5.4</w:t>
      </w:r>
      <w:r>
        <w:rPr>
          <w:rFonts w:hint="eastAsia" w:ascii="宋体" w:hAnsi="宋体"/>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53475C6B">
      <w:pPr>
        <w:pStyle w:val="101"/>
        <w:rPr>
          <w:rFonts w:cs="宋体"/>
          <w:color w:val="auto"/>
          <w:highlight w:val="none"/>
        </w:rPr>
      </w:pPr>
      <w:r>
        <w:rPr>
          <w:rFonts w:hint="eastAsia"/>
          <w:color w:val="auto"/>
          <w:highlight w:val="none"/>
        </w:rPr>
        <w:t>询问联系部门：</w:t>
      </w:r>
      <w:r>
        <w:rPr>
          <w:rFonts w:hint="eastAsia"/>
          <w:color w:val="auto"/>
          <w:highlight w:val="none"/>
          <w:lang w:eastAsia="zh-CN"/>
        </w:rPr>
        <w:t>广西亿翔荣工程管理有限责任公司</w:t>
      </w:r>
      <w:r>
        <w:rPr>
          <w:rFonts w:hint="eastAsia"/>
          <w:color w:val="auto"/>
          <w:highlight w:val="none"/>
        </w:rPr>
        <w:t xml:space="preserve">   联系电话：</w:t>
      </w:r>
      <w:r>
        <w:rPr>
          <w:rFonts w:hint="eastAsia" w:cs="宋体"/>
          <w:color w:val="auto"/>
          <w:highlight w:val="none"/>
          <w:lang w:eastAsia="zh-CN"/>
        </w:rPr>
        <w:t>0779-2218733</w:t>
      </w:r>
      <w:r>
        <w:rPr>
          <w:rFonts w:hint="eastAsia" w:cs="宋体"/>
          <w:color w:val="auto"/>
          <w:highlight w:val="none"/>
        </w:rPr>
        <w:t xml:space="preserve"> </w:t>
      </w:r>
    </w:p>
    <w:p w14:paraId="53475C6C">
      <w:pPr>
        <w:pStyle w:val="101"/>
        <w:ind w:left="479" w:leftChars="228" w:firstLine="0"/>
        <w:rPr>
          <w:color w:val="auto"/>
          <w:highlight w:val="none"/>
        </w:rPr>
      </w:pPr>
      <w:r>
        <w:rPr>
          <w:rFonts w:hint="eastAsia"/>
          <w:color w:val="auto"/>
          <w:highlight w:val="none"/>
        </w:rPr>
        <w:t>质疑联系部门：</w:t>
      </w:r>
      <w:r>
        <w:rPr>
          <w:rFonts w:hint="eastAsia"/>
          <w:color w:val="auto"/>
          <w:highlight w:val="none"/>
          <w:lang w:eastAsia="zh-CN"/>
        </w:rPr>
        <w:t>广西亿翔荣工程管理有限责任公司</w:t>
      </w:r>
      <w:r>
        <w:rPr>
          <w:rFonts w:hint="eastAsia"/>
          <w:color w:val="auto"/>
          <w:highlight w:val="none"/>
        </w:rPr>
        <w:t xml:space="preserve"> 联系电话：</w:t>
      </w:r>
      <w:r>
        <w:rPr>
          <w:rFonts w:hint="eastAsia" w:cs="宋体"/>
          <w:color w:val="auto"/>
          <w:highlight w:val="none"/>
          <w:lang w:eastAsia="zh-CN"/>
        </w:rPr>
        <w:t>0779-2218733</w:t>
      </w:r>
      <w:r>
        <w:rPr>
          <w:rFonts w:hint="eastAsia" w:cs="宋体"/>
          <w:color w:val="auto"/>
          <w:highlight w:val="none"/>
        </w:rPr>
        <w:t xml:space="preserve"> </w:t>
      </w:r>
      <w:r>
        <w:rPr>
          <w:rFonts w:hint="eastAsia"/>
          <w:color w:val="auto"/>
          <w:highlight w:val="none"/>
        </w:rPr>
        <w:t xml:space="preserve">       </w:t>
      </w:r>
    </w:p>
    <w:p w14:paraId="53475C6D">
      <w:pPr>
        <w:pStyle w:val="101"/>
        <w:rPr>
          <w:color w:val="auto"/>
          <w:highlight w:val="none"/>
        </w:rPr>
      </w:pPr>
      <w:r>
        <w:rPr>
          <w:rFonts w:hint="eastAsia"/>
          <w:color w:val="auto"/>
          <w:highlight w:val="none"/>
        </w:rPr>
        <w:t>投诉联系部门：</w:t>
      </w:r>
      <w:r>
        <w:rPr>
          <w:rFonts w:hint="eastAsia"/>
          <w:color w:val="auto"/>
          <w:highlight w:val="none"/>
          <w:lang w:eastAsia="zh-CN"/>
        </w:rPr>
        <w:t>合浦县财政局</w:t>
      </w:r>
      <w:r>
        <w:rPr>
          <w:rFonts w:hint="eastAsia"/>
          <w:color w:val="auto"/>
          <w:highlight w:val="none"/>
        </w:rPr>
        <w:t xml:space="preserve">  联系电话：</w:t>
      </w:r>
      <w:r>
        <w:rPr>
          <w:rFonts w:hint="eastAsia"/>
          <w:color w:val="auto"/>
          <w:highlight w:val="none"/>
          <w:lang w:eastAsia="zh-CN"/>
        </w:rPr>
        <w:t>0779-7213187</w:t>
      </w:r>
      <w:r>
        <w:rPr>
          <w:rFonts w:hint="eastAsia"/>
          <w:color w:val="auto"/>
          <w:highlight w:val="none"/>
        </w:rPr>
        <w:t xml:space="preserve"> </w:t>
      </w:r>
    </w:p>
    <w:p w14:paraId="53475C6E">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十五、其他事项</w:t>
      </w:r>
    </w:p>
    <w:p w14:paraId="53475C6F">
      <w:pPr>
        <w:spacing w:line="360" w:lineRule="auto"/>
        <w:ind w:firstLine="482" w:firstLineChars="200"/>
        <w:rPr>
          <w:rFonts w:ascii="宋体" w:hAnsi="宋体" w:cs="宋体"/>
          <w:b/>
          <w:color w:val="auto"/>
          <w:sz w:val="24"/>
          <w:highlight w:val="none"/>
        </w:rPr>
      </w:pPr>
      <w:r>
        <w:rPr>
          <w:rFonts w:hint="eastAsia" w:ascii="宋体" w:hAnsi="宋体"/>
          <w:b/>
          <w:color w:val="auto"/>
          <w:sz w:val="24"/>
          <w:highlight w:val="none"/>
        </w:rPr>
        <w:t>32</w:t>
      </w:r>
      <w:r>
        <w:rPr>
          <w:rFonts w:hint="eastAsia" w:ascii="宋体" w:hAnsi="宋体" w:cs="宋体"/>
          <w:b/>
          <w:color w:val="auto"/>
          <w:sz w:val="24"/>
          <w:highlight w:val="none"/>
        </w:rPr>
        <w:t>代理费用的收取标准和方式（适用于有权收取代理费用的采购代理机构）</w:t>
      </w:r>
    </w:p>
    <w:p w14:paraId="53475C70">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32.1采购代理费支付方式：</w:t>
      </w:r>
    </w:p>
    <w:p w14:paraId="53475C71">
      <w:pPr>
        <w:adjustRightInd w:val="0"/>
        <w:snapToGrid w:val="0"/>
        <w:spacing w:line="360" w:lineRule="auto"/>
        <w:ind w:firstLine="480" w:firstLineChars="200"/>
        <w:jc w:val="left"/>
        <w:rPr>
          <w:rFonts w:ascii="宋体" w:hAnsi="宋体" w:cs="宋体"/>
          <w:color w:val="auto"/>
          <w:sz w:val="24"/>
          <w:highlight w:val="none"/>
        </w:rPr>
      </w:pPr>
      <w:r>
        <w:rPr>
          <w:rFonts w:hint="eastAsia" w:ascii="MS Mincho" w:hAnsi="MS Mincho" w:eastAsia="MS Mincho" w:cs="宋体"/>
          <w:color w:val="auto"/>
          <w:sz w:val="24"/>
          <w:highlight w:val="none"/>
        </w:rPr>
        <w:t>☑</w:t>
      </w:r>
      <w:r>
        <w:rPr>
          <w:rFonts w:hint="eastAsia" w:ascii="宋体" w:hAnsi="宋体" w:cs="宋体"/>
          <w:color w:val="auto"/>
          <w:sz w:val="24"/>
          <w:highlight w:val="none"/>
        </w:rPr>
        <w:t>本项目代理服务费由成交供应商一次性向采购代理机构支付。</w:t>
      </w:r>
    </w:p>
    <w:p w14:paraId="53475C7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□采购人支付。</w:t>
      </w:r>
    </w:p>
    <w:p w14:paraId="53475C73">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32.2采购代理费收取标准：</w:t>
      </w:r>
    </w:p>
    <w:p w14:paraId="6BEFD9DA">
      <w:pPr>
        <w:adjustRightInd w:val="0"/>
        <w:snapToGrid w:val="0"/>
        <w:spacing w:line="360" w:lineRule="auto"/>
        <w:ind w:firstLine="480" w:firstLineChars="200"/>
        <w:jc w:val="left"/>
        <w:rPr>
          <w:rFonts w:hint="eastAsia" w:ascii="宋体" w:hAnsi="宋体" w:cs="宋体"/>
          <w:color w:val="auto"/>
          <w:sz w:val="24"/>
          <w:highlight w:val="none"/>
          <w:lang w:eastAsia="zh-CN"/>
        </w:rPr>
      </w:pPr>
      <w:r>
        <w:rPr>
          <w:rFonts w:hint="eastAsia" w:ascii="MS Mincho" w:hAnsi="MS Mincho" w:eastAsia="MS Mincho" w:cs="宋体"/>
          <w:color w:val="auto"/>
          <w:sz w:val="24"/>
          <w:highlight w:val="none"/>
        </w:rPr>
        <w:t>☑</w:t>
      </w:r>
      <w:r>
        <w:rPr>
          <w:rFonts w:hint="eastAsia" w:ascii="宋体" w:hAnsi="宋体" w:cs="宋体"/>
          <w:color w:val="auto"/>
          <w:sz w:val="24"/>
          <w:highlight w:val="none"/>
        </w:rPr>
        <w:t>以分标（</w:t>
      </w:r>
      <w:r>
        <w:rPr>
          <w:rFonts w:hint="eastAsia" w:ascii="MS Mincho" w:hAnsi="MS Mincho" w:eastAsia="MS Mincho" w:cs="宋体"/>
          <w:color w:val="auto"/>
          <w:sz w:val="24"/>
          <w:highlight w:val="none"/>
        </w:rPr>
        <w:t>☑</w:t>
      </w:r>
      <w:r>
        <w:rPr>
          <w:rFonts w:hint="eastAsia" w:ascii="宋体" w:hAnsi="宋体" w:cs="宋体"/>
          <w:color w:val="auto"/>
          <w:sz w:val="24"/>
          <w:highlight w:val="none"/>
        </w:rPr>
        <w:t>成交金额</w:t>
      </w:r>
      <w:r>
        <w:rPr>
          <w:rFonts w:ascii="宋体" w:hAnsi="宋体" w:cs="宋体"/>
          <w:color w:val="auto"/>
          <w:sz w:val="24"/>
          <w:highlight w:val="none"/>
        </w:rPr>
        <w:t>/</w:t>
      </w:r>
      <w:r>
        <w:rPr>
          <w:rFonts w:hint="eastAsia" w:ascii="宋体" w:hAnsi="宋体" w:cs="宋体"/>
          <w:color w:val="auto"/>
          <w:sz w:val="24"/>
          <w:highlight w:val="none"/>
        </w:rPr>
        <w:t>□采购预算</w:t>
      </w:r>
      <w:r>
        <w:rPr>
          <w:rFonts w:ascii="宋体" w:hAnsi="宋体" w:cs="宋体"/>
          <w:color w:val="auto"/>
          <w:sz w:val="24"/>
          <w:highlight w:val="none"/>
        </w:rPr>
        <w:t>/</w:t>
      </w:r>
      <w:r>
        <w:rPr>
          <w:rFonts w:hint="eastAsia" w:ascii="宋体" w:hAnsi="宋体" w:cs="宋体"/>
          <w:color w:val="auto"/>
          <w:sz w:val="24"/>
          <w:highlight w:val="none"/>
        </w:rPr>
        <w:t>□暂定成交金额</w:t>
      </w:r>
      <w:r>
        <w:rPr>
          <w:rFonts w:ascii="宋体" w:hAnsi="宋体" w:cs="宋体"/>
          <w:color w:val="auto"/>
          <w:sz w:val="24"/>
          <w:highlight w:val="none"/>
        </w:rPr>
        <w:t>/</w:t>
      </w:r>
      <w:r>
        <w:rPr>
          <w:rFonts w:hint="eastAsia" w:ascii="宋体" w:hAnsi="宋体" w:cs="宋体"/>
          <w:color w:val="auto"/>
          <w:sz w:val="24"/>
          <w:highlight w:val="none"/>
        </w:rPr>
        <w:t>□其他</w:t>
      </w:r>
      <w:r>
        <w:rPr>
          <w:rFonts w:ascii="宋体" w:hAnsi="宋体" w:cs="宋体"/>
          <w:color w:val="auto"/>
          <w:sz w:val="24"/>
          <w:highlight w:val="none"/>
        </w:rPr>
        <w:t xml:space="preserve"> / </w:t>
      </w:r>
      <w:r>
        <w:rPr>
          <w:rFonts w:hint="eastAsia" w:ascii="宋体" w:hAnsi="宋体" w:cs="宋体"/>
          <w:color w:val="auto"/>
          <w:sz w:val="24"/>
          <w:highlight w:val="none"/>
        </w:rPr>
        <w:t>）为计费额，按代理服务收费标准（□货物类</w:t>
      </w:r>
      <w:r>
        <w:rPr>
          <w:rFonts w:ascii="宋体" w:hAnsi="宋体" w:cs="宋体"/>
          <w:color w:val="auto"/>
          <w:sz w:val="24"/>
          <w:highlight w:val="none"/>
        </w:rPr>
        <w:t>/</w:t>
      </w:r>
      <w:r>
        <w:rPr>
          <w:rFonts w:hint="eastAsia" w:ascii="宋体" w:hAnsi="宋体" w:cs="宋体"/>
          <w:color w:val="auto"/>
          <w:sz w:val="24"/>
          <w:highlight w:val="none"/>
        </w:rPr>
        <w:t>□服务类</w:t>
      </w:r>
      <w:r>
        <w:rPr>
          <w:rFonts w:ascii="宋体" w:hAnsi="宋体" w:cs="宋体"/>
          <w:color w:val="auto"/>
          <w:sz w:val="24"/>
          <w:highlight w:val="none"/>
        </w:rPr>
        <w:t>/</w:t>
      </w:r>
      <w:r>
        <w:rPr>
          <w:rFonts w:hint="eastAsia" w:ascii="MS Mincho" w:hAnsi="MS Mincho" w:eastAsia="MS Mincho" w:cs="宋体"/>
          <w:color w:val="auto"/>
          <w:sz w:val="24"/>
          <w:highlight w:val="none"/>
        </w:rPr>
        <w:t>☑</w:t>
      </w:r>
      <w:r>
        <w:rPr>
          <w:rFonts w:hint="eastAsia" w:ascii="宋体" w:hAnsi="宋体" w:cs="宋体"/>
          <w:color w:val="auto"/>
          <w:sz w:val="24"/>
          <w:highlight w:val="none"/>
        </w:rPr>
        <w:t>工程类）采用差额定率累进法计算出收费基准价格，</w:t>
      </w:r>
      <w:r>
        <w:rPr>
          <w:rFonts w:hint="eastAsia" w:ascii="宋体" w:hAnsi="宋体" w:cs="宋体"/>
          <w:color w:val="auto"/>
          <w:sz w:val="24"/>
          <w:highlight w:val="none"/>
          <w:lang w:eastAsia="zh-CN"/>
        </w:rPr>
        <w:t>采购代理收费以(□收费基准价格/☑收费基准价格下浮</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/□收费基准价格上浮</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%）收取。（注：若计算后不足5000.00元时按5000.00元收取）</w:t>
      </w:r>
    </w:p>
    <w:p w14:paraId="53475C75">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□固定采购代理收费。</w:t>
      </w:r>
    </w:p>
    <w:p w14:paraId="53475C76">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32.3采购代理费收取银行账户</w:t>
      </w:r>
    </w:p>
    <w:p w14:paraId="4C13D48C">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开户名称：广西亿翔荣工程管理有限责任公司</w:t>
      </w:r>
    </w:p>
    <w:p w14:paraId="07985A02">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开户银行：建行北海云南路支行</w:t>
      </w:r>
    </w:p>
    <w:p w14:paraId="53475C79">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银行账号：4500</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1655</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1030</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5070</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2000</w:t>
      </w:r>
    </w:p>
    <w:p w14:paraId="38D3BCFD">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32.4代理服务收费标准：</w:t>
      </w:r>
      <w:r>
        <w:rPr>
          <w:rFonts w:hint="eastAsia" w:ascii="宋体" w:hAnsi="宋体" w:cs="宋体"/>
          <w:bCs/>
          <w:color w:val="auto"/>
          <w:sz w:val="24"/>
          <w:highlight w:val="none"/>
          <w:lang w:eastAsia="zh-CN"/>
        </w:rPr>
        <w:t>依据《广西壮族自治区工程建设其他费用定额》（桂建标〔2018〕第37号）及《合浦县政府投资项目服务性收费指导意见》相关规定，项目招标控制价100万以下的，招标代理服务费≤招标控制价*6.3‰*60%；项目招标控制价100—500万的，招标代理服务费≤[100万*6.3‰+（招标控制价-100万）*4.41‰]*60%。按上述公式*（1-折扣率</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计算</w:t>
      </w:r>
      <w:r>
        <w:rPr>
          <w:rFonts w:hint="eastAsia" w:ascii="宋体" w:hAnsi="宋体" w:cs="宋体"/>
          <w:bCs/>
          <w:color w:val="auto"/>
          <w:sz w:val="24"/>
          <w:highlight w:val="none"/>
          <w:lang w:eastAsia="zh-CN"/>
        </w:rPr>
        <w:t>，如项目招标控制价为200万，折扣率为5%，则招标代理服务费=[100万*6.3‰+（200万-100万）*4.41‰]*60%*（1-5%）。计算后不足5000.00元时按5000.00元收取。</w:t>
      </w:r>
    </w:p>
    <w:p w14:paraId="53475C7B">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33</w:t>
      </w:r>
      <w:r>
        <w:rPr>
          <w:rFonts w:ascii="宋体" w:hAnsi="宋体"/>
          <w:b/>
          <w:color w:val="auto"/>
          <w:sz w:val="24"/>
          <w:highlight w:val="none"/>
        </w:rPr>
        <w:t>解释权</w:t>
      </w:r>
    </w:p>
    <w:p w14:paraId="53475C7C">
      <w:pPr>
        <w:pStyle w:val="22"/>
        <w:adjustRightInd w:val="0"/>
        <w:snapToGrid w:val="0"/>
        <w:spacing w:line="360" w:lineRule="auto"/>
        <w:ind w:firstLine="464" w:firstLineChars="200"/>
        <w:rPr>
          <w:rFonts w:hAnsi="宋体"/>
          <w:color w:val="auto"/>
          <w:spacing w:val="-4"/>
          <w:sz w:val="24"/>
          <w:szCs w:val="24"/>
          <w:highlight w:val="none"/>
        </w:rPr>
      </w:pPr>
      <w:r>
        <w:rPr>
          <w:rFonts w:hint="eastAsia" w:hAnsi="宋体"/>
          <w:color w:val="auto"/>
          <w:spacing w:val="-4"/>
          <w:sz w:val="24"/>
          <w:szCs w:val="24"/>
          <w:highlight w:val="none"/>
        </w:rPr>
        <w:t>本竞争性磋商文件解释权属采购人及本代理机构。</w:t>
      </w:r>
    </w:p>
    <w:p w14:paraId="53475C7D">
      <w:pPr>
        <w:pStyle w:val="22"/>
        <w:spacing w:line="360" w:lineRule="auto"/>
        <w:ind w:firstLine="482" w:firstLineChars="200"/>
        <w:rPr>
          <w:rFonts w:hAnsi="宋体" w:cs="Times New Roman"/>
          <w:b/>
          <w:color w:val="auto"/>
          <w:sz w:val="24"/>
          <w:szCs w:val="24"/>
          <w:highlight w:val="none"/>
        </w:rPr>
      </w:pPr>
      <w:r>
        <w:rPr>
          <w:rFonts w:hint="eastAsia" w:hAnsi="宋体" w:cs="Times New Roman"/>
          <w:b/>
          <w:color w:val="auto"/>
          <w:sz w:val="24"/>
          <w:szCs w:val="24"/>
          <w:highlight w:val="none"/>
        </w:rPr>
        <w:t>34</w:t>
      </w:r>
      <w:r>
        <w:rPr>
          <w:rFonts w:hAnsi="宋体" w:cs="Times New Roman"/>
          <w:b/>
          <w:color w:val="auto"/>
          <w:sz w:val="24"/>
          <w:szCs w:val="24"/>
          <w:highlight w:val="none"/>
        </w:rPr>
        <w:t>有关事宜</w:t>
      </w:r>
    </w:p>
    <w:p w14:paraId="53475C7E">
      <w:pPr>
        <w:pStyle w:val="22"/>
        <w:spacing w:line="360" w:lineRule="auto"/>
        <w:ind w:firstLine="480" w:firstLineChars="200"/>
        <w:rPr>
          <w:rFonts w:hAnsi="宋体" w:cs="Times New Roman"/>
          <w:color w:val="auto"/>
          <w:kern w:val="0"/>
          <w:sz w:val="24"/>
          <w:szCs w:val="24"/>
          <w:highlight w:val="none"/>
        </w:rPr>
      </w:pPr>
      <w:r>
        <w:rPr>
          <w:rFonts w:hAnsi="宋体" w:cs="Times New Roman"/>
          <w:color w:val="auto"/>
          <w:kern w:val="0"/>
          <w:sz w:val="24"/>
          <w:szCs w:val="24"/>
          <w:highlight w:val="none"/>
        </w:rPr>
        <w:t>所有与本</w:t>
      </w:r>
      <w:r>
        <w:rPr>
          <w:rFonts w:hint="eastAsia" w:hAnsi="宋体" w:cs="Times New Roman"/>
          <w:color w:val="auto"/>
          <w:kern w:val="0"/>
          <w:sz w:val="24"/>
          <w:szCs w:val="24"/>
          <w:highlight w:val="none"/>
        </w:rPr>
        <w:t>磋商</w:t>
      </w:r>
      <w:r>
        <w:rPr>
          <w:rFonts w:hAnsi="宋体" w:cs="Times New Roman"/>
          <w:color w:val="auto"/>
          <w:kern w:val="0"/>
          <w:sz w:val="24"/>
          <w:szCs w:val="24"/>
          <w:highlight w:val="none"/>
        </w:rPr>
        <w:t>文件有关的函件请按下列通讯地址联系：</w:t>
      </w:r>
    </w:p>
    <w:p w14:paraId="53475C7F">
      <w:pPr>
        <w:pStyle w:val="22"/>
        <w:spacing w:line="360" w:lineRule="auto"/>
        <w:ind w:firstLine="480" w:firstLineChars="200"/>
        <w:rPr>
          <w:rFonts w:hint="eastAsia" w:hAnsi="宋体" w:eastAsia="宋体" w:cs="Times New Roman"/>
          <w:color w:val="auto"/>
          <w:kern w:val="0"/>
          <w:sz w:val="24"/>
          <w:szCs w:val="24"/>
          <w:highlight w:val="none"/>
          <w:lang w:eastAsia="zh-CN"/>
        </w:rPr>
      </w:pPr>
      <w:r>
        <w:rPr>
          <w:rFonts w:hAnsi="宋体" w:cs="Times New Roman"/>
          <w:color w:val="auto"/>
          <w:kern w:val="0"/>
          <w:sz w:val="24"/>
          <w:szCs w:val="24"/>
          <w:highlight w:val="none"/>
        </w:rPr>
        <w:t>单位全称：</w:t>
      </w:r>
      <w:r>
        <w:rPr>
          <w:rFonts w:hint="eastAsia" w:hAnsi="宋体" w:cs="Times New Roman"/>
          <w:color w:val="auto"/>
          <w:kern w:val="0"/>
          <w:sz w:val="24"/>
          <w:szCs w:val="24"/>
          <w:highlight w:val="none"/>
          <w:lang w:eastAsia="zh-CN"/>
        </w:rPr>
        <w:t>广西亿翔荣工程管理有限责任公司</w:t>
      </w:r>
    </w:p>
    <w:p w14:paraId="53475C80">
      <w:pPr>
        <w:pStyle w:val="22"/>
        <w:spacing w:line="360" w:lineRule="auto"/>
        <w:ind w:firstLine="480" w:firstLineChars="200"/>
        <w:rPr>
          <w:rFonts w:hint="eastAsia" w:hAnsi="宋体" w:eastAsia="宋体" w:cs="Times New Roman"/>
          <w:color w:val="auto"/>
          <w:kern w:val="0"/>
          <w:sz w:val="24"/>
          <w:szCs w:val="24"/>
          <w:highlight w:val="none"/>
          <w:lang w:eastAsia="zh-CN"/>
        </w:rPr>
      </w:pPr>
      <w:r>
        <w:rPr>
          <w:rFonts w:hAnsi="宋体" w:cs="Times New Roman"/>
          <w:color w:val="auto"/>
          <w:kern w:val="0"/>
          <w:sz w:val="24"/>
          <w:szCs w:val="24"/>
          <w:highlight w:val="none"/>
        </w:rPr>
        <w:t>通讯地址：</w:t>
      </w:r>
      <w:r>
        <w:rPr>
          <w:rFonts w:hint="eastAsia" w:hAnsi="宋体" w:cs="Times New Roman"/>
          <w:color w:val="auto"/>
          <w:kern w:val="0"/>
          <w:sz w:val="24"/>
          <w:szCs w:val="24"/>
          <w:highlight w:val="none"/>
          <w:lang w:eastAsia="zh-CN"/>
        </w:rPr>
        <w:t>北海市金海岸大道45号北部湾科技创业中心2幢0301号</w:t>
      </w:r>
    </w:p>
    <w:p w14:paraId="53475C81">
      <w:pPr>
        <w:pStyle w:val="22"/>
        <w:spacing w:line="360" w:lineRule="auto"/>
        <w:ind w:firstLine="480" w:firstLineChars="200"/>
        <w:rPr>
          <w:rFonts w:hAnsi="宋体"/>
          <w:color w:val="auto"/>
          <w:sz w:val="24"/>
          <w:szCs w:val="24"/>
          <w:highlight w:val="none"/>
        </w:rPr>
      </w:pPr>
      <w:r>
        <w:rPr>
          <w:rFonts w:hAnsi="宋体" w:cs="Times New Roman"/>
          <w:color w:val="auto"/>
          <w:kern w:val="0"/>
          <w:sz w:val="24"/>
          <w:szCs w:val="24"/>
          <w:highlight w:val="none"/>
        </w:rPr>
        <w:t>电    话：</w:t>
      </w:r>
      <w:r>
        <w:rPr>
          <w:rFonts w:hint="eastAsia" w:hAnsi="宋体" w:cs="Times New Roman"/>
          <w:color w:val="auto"/>
          <w:kern w:val="0"/>
          <w:sz w:val="24"/>
          <w:szCs w:val="24"/>
          <w:highlight w:val="none"/>
          <w:lang w:eastAsia="zh-CN"/>
        </w:rPr>
        <w:t>0779-2218733</w:t>
      </w:r>
      <w:r>
        <w:rPr>
          <w:rFonts w:hint="eastAsia" w:hAnsi="宋体" w:cs="Times New Roman"/>
          <w:color w:val="auto"/>
          <w:kern w:val="0"/>
          <w:sz w:val="24"/>
          <w:szCs w:val="24"/>
          <w:highlight w:val="none"/>
        </w:rPr>
        <w:t xml:space="preserve"> </w:t>
      </w:r>
      <w:r>
        <w:rPr>
          <w:rFonts w:hAnsi="宋体" w:cs="Times New Roman"/>
          <w:color w:val="auto"/>
          <w:kern w:val="0"/>
          <w:sz w:val="24"/>
          <w:szCs w:val="24"/>
          <w:highlight w:val="none"/>
        </w:rPr>
        <w:t xml:space="preserve">   </w:t>
      </w:r>
    </w:p>
    <w:p w14:paraId="53475C82">
      <w:pPr>
        <w:pStyle w:val="22"/>
        <w:spacing w:line="360" w:lineRule="auto"/>
        <w:ind w:firstLine="480" w:firstLineChars="200"/>
        <w:rPr>
          <w:rFonts w:hint="eastAsia" w:hAnsi="宋体" w:eastAsia="宋体"/>
          <w:b/>
          <w:color w:val="auto"/>
          <w:sz w:val="24"/>
          <w:szCs w:val="24"/>
          <w:highlight w:val="none"/>
          <w:lang w:eastAsia="zh-CN"/>
        </w:rPr>
      </w:pPr>
      <w:r>
        <w:rPr>
          <w:rFonts w:hAnsi="宋体" w:cs="Times New Roman"/>
          <w:color w:val="auto"/>
          <w:kern w:val="0"/>
          <w:sz w:val="24"/>
          <w:szCs w:val="24"/>
          <w:highlight w:val="none"/>
        </w:rPr>
        <w:t>联 系 人</w:t>
      </w:r>
      <w:r>
        <w:rPr>
          <w:rFonts w:hint="eastAsia" w:hAnsi="宋体" w:cs="Times New Roman"/>
          <w:color w:val="auto"/>
          <w:kern w:val="0"/>
          <w:sz w:val="24"/>
          <w:szCs w:val="24"/>
          <w:highlight w:val="none"/>
          <w:lang w:eastAsia="zh-CN"/>
        </w:rPr>
        <w:t>：庄海宁</w:t>
      </w:r>
    </w:p>
    <w:p w14:paraId="53475C83">
      <w:pPr>
        <w:spacing w:line="620" w:lineRule="exact"/>
        <w:rPr>
          <w:rFonts w:ascii="宋体" w:hAnsi="宋体"/>
          <w:b/>
          <w:color w:val="auto"/>
          <w:sz w:val="44"/>
          <w:szCs w:val="44"/>
          <w:highlight w:val="none"/>
        </w:rPr>
      </w:pPr>
      <w:bookmarkStart w:id="29" w:name="_Toc3994506"/>
    </w:p>
    <w:p w14:paraId="53475C84">
      <w:pPr>
        <w:pStyle w:val="22"/>
        <w:rPr>
          <w:color w:val="auto"/>
          <w:highlight w:val="none"/>
        </w:rPr>
      </w:pPr>
      <w:bookmarkStart w:id="30" w:name="_Toc23819"/>
      <w:r>
        <w:rPr>
          <w:color w:val="auto"/>
          <w:highlight w:val="none"/>
        </w:rPr>
        <w:br w:type="page"/>
      </w:r>
    </w:p>
    <w:p w14:paraId="53475C85">
      <w:pPr>
        <w:pStyle w:val="22"/>
        <w:rPr>
          <w:color w:val="auto"/>
          <w:highlight w:val="none"/>
        </w:rPr>
      </w:pPr>
    </w:p>
    <w:p w14:paraId="53475C86">
      <w:pPr>
        <w:pStyle w:val="22"/>
        <w:rPr>
          <w:color w:val="auto"/>
          <w:highlight w:val="none"/>
        </w:rPr>
      </w:pPr>
    </w:p>
    <w:p w14:paraId="53475C87">
      <w:pPr>
        <w:pStyle w:val="22"/>
        <w:rPr>
          <w:color w:val="auto"/>
          <w:highlight w:val="none"/>
        </w:rPr>
      </w:pPr>
    </w:p>
    <w:p w14:paraId="53475C88">
      <w:pPr>
        <w:pStyle w:val="22"/>
        <w:rPr>
          <w:color w:val="auto"/>
          <w:highlight w:val="none"/>
        </w:rPr>
      </w:pPr>
    </w:p>
    <w:p w14:paraId="53475C89">
      <w:pPr>
        <w:pStyle w:val="22"/>
        <w:rPr>
          <w:color w:val="auto"/>
          <w:highlight w:val="none"/>
        </w:rPr>
      </w:pPr>
    </w:p>
    <w:p w14:paraId="53475C8A">
      <w:pPr>
        <w:pStyle w:val="22"/>
        <w:rPr>
          <w:color w:val="auto"/>
          <w:highlight w:val="none"/>
        </w:rPr>
      </w:pPr>
    </w:p>
    <w:p w14:paraId="53475C8B">
      <w:pPr>
        <w:pStyle w:val="22"/>
        <w:rPr>
          <w:color w:val="auto"/>
          <w:highlight w:val="none"/>
        </w:rPr>
      </w:pPr>
    </w:p>
    <w:p w14:paraId="53475C8C">
      <w:pPr>
        <w:pStyle w:val="22"/>
        <w:rPr>
          <w:color w:val="auto"/>
          <w:highlight w:val="none"/>
        </w:rPr>
      </w:pPr>
    </w:p>
    <w:p w14:paraId="53475C8D">
      <w:pPr>
        <w:pStyle w:val="22"/>
        <w:rPr>
          <w:color w:val="auto"/>
          <w:highlight w:val="none"/>
        </w:rPr>
      </w:pPr>
    </w:p>
    <w:p w14:paraId="53475C8E">
      <w:pPr>
        <w:pStyle w:val="22"/>
        <w:rPr>
          <w:color w:val="auto"/>
          <w:highlight w:val="none"/>
        </w:rPr>
      </w:pPr>
    </w:p>
    <w:p w14:paraId="53475C8F">
      <w:pPr>
        <w:pStyle w:val="22"/>
        <w:rPr>
          <w:color w:val="auto"/>
          <w:highlight w:val="none"/>
        </w:rPr>
      </w:pPr>
    </w:p>
    <w:p w14:paraId="53475C90">
      <w:pPr>
        <w:pStyle w:val="22"/>
        <w:rPr>
          <w:color w:val="auto"/>
          <w:highlight w:val="none"/>
        </w:rPr>
      </w:pPr>
    </w:p>
    <w:p w14:paraId="53475C91">
      <w:pPr>
        <w:pStyle w:val="22"/>
        <w:rPr>
          <w:color w:val="auto"/>
          <w:highlight w:val="none"/>
        </w:rPr>
      </w:pPr>
    </w:p>
    <w:p w14:paraId="53475C92">
      <w:pPr>
        <w:pStyle w:val="22"/>
        <w:rPr>
          <w:color w:val="auto"/>
          <w:highlight w:val="none"/>
        </w:rPr>
      </w:pPr>
    </w:p>
    <w:p w14:paraId="53475C93">
      <w:pPr>
        <w:pStyle w:val="22"/>
        <w:rPr>
          <w:color w:val="auto"/>
          <w:highlight w:val="none"/>
        </w:rPr>
      </w:pPr>
    </w:p>
    <w:p w14:paraId="53475C94">
      <w:pPr>
        <w:pStyle w:val="22"/>
        <w:rPr>
          <w:color w:val="auto"/>
          <w:highlight w:val="none"/>
        </w:rPr>
      </w:pPr>
    </w:p>
    <w:p w14:paraId="53475C95">
      <w:pPr>
        <w:pStyle w:val="22"/>
        <w:rPr>
          <w:color w:val="auto"/>
          <w:highlight w:val="none"/>
        </w:rPr>
      </w:pPr>
    </w:p>
    <w:p w14:paraId="53475C96">
      <w:pPr>
        <w:pStyle w:val="22"/>
        <w:rPr>
          <w:color w:val="auto"/>
          <w:highlight w:val="none"/>
        </w:rPr>
      </w:pPr>
    </w:p>
    <w:p w14:paraId="53475C97">
      <w:pPr>
        <w:pStyle w:val="22"/>
        <w:rPr>
          <w:color w:val="auto"/>
          <w:highlight w:val="none"/>
        </w:rPr>
      </w:pPr>
    </w:p>
    <w:p w14:paraId="53475C98">
      <w:pPr>
        <w:pStyle w:val="22"/>
        <w:rPr>
          <w:color w:val="auto"/>
          <w:highlight w:val="none"/>
        </w:rPr>
      </w:pPr>
    </w:p>
    <w:p w14:paraId="53475C99">
      <w:pPr>
        <w:spacing w:line="620" w:lineRule="exact"/>
        <w:jc w:val="center"/>
        <w:outlineLvl w:val="0"/>
        <w:rPr>
          <w:rFonts w:ascii="宋体" w:hAnsi="宋体"/>
          <w:b/>
          <w:color w:val="auto"/>
          <w:sz w:val="44"/>
          <w:szCs w:val="44"/>
          <w:highlight w:val="none"/>
        </w:rPr>
      </w:pPr>
      <w:bookmarkStart w:id="31" w:name="_Toc176861408"/>
      <w:r>
        <w:rPr>
          <w:rFonts w:hint="eastAsia" w:ascii="宋体" w:hAnsi="宋体"/>
          <w:b/>
          <w:color w:val="auto"/>
          <w:sz w:val="44"/>
          <w:szCs w:val="44"/>
          <w:highlight w:val="none"/>
        </w:rPr>
        <w:t>第三章  竞争性磋商响应文件格式</w:t>
      </w:r>
      <w:bookmarkEnd w:id="29"/>
      <w:bookmarkEnd w:id="30"/>
      <w:bookmarkEnd w:id="31"/>
    </w:p>
    <w:p w14:paraId="53475C9A">
      <w:pPr>
        <w:spacing w:line="500" w:lineRule="exact"/>
        <w:rPr>
          <w:rFonts w:ascii="仿宋_GB2312" w:hAnsi="宋体" w:eastAsia="仿宋_GB2312"/>
          <w:b/>
          <w:color w:val="auto"/>
          <w:sz w:val="32"/>
          <w:szCs w:val="32"/>
          <w:highlight w:val="none"/>
        </w:rPr>
      </w:pPr>
    </w:p>
    <w:p w14:paraId="53475C9B">
      <w:pPr>
        <w:spacing w:line="500" w:lineRule="exact"/>
        <w:rPr>
          <w:rFonts w:ascii="仿宋_GB2312" w:hAnsi="宋体" w:eastAsia="仿宋_GB2312"/>
          <w:b/>
          <w:color w:val="auto"/>
          <w:sz w:val="32"/>
          <w:szCs w:val="32"/>
          <w:highlight w:val="none"/>
        </w:rPr>
      </w:pPr>
    </w:p>
    <w:p w14:paraId="53475C9C">
      <w:pPr>
        <w:spacing w:line="500" w:lineRule="exact"/>
        <w:rPr>
          <w:rFonts w:ascii="仿宋_GB2312" w:hAnsi="宋体" w:eastAsia="仿宋_GB2312"/>
          <w:b/>
          <w:color w:val="auto"/>
          <w:sz w:val="32"/>
          <w:szCs w:val="32"/>
          <w:highlight w:val="none"/>
        </w:rPr>
      </w:pPr>
    </w:p>
    <w:p w14:paraId="53475C9D">
      <w:pPr>
        <w:spacing w:line="500" w:lineRule="exact"/>
        <w:rPr>
          <w:rFonts w:ascii="仿宋_GB2312" w:hAnsi="宋体" w:eastAsia="仿宋_GB2312"/>
          <w:b/>
          <w:color w:val="auto"/>
          <w:sz w:val="32"/>
          <w:szCs w:val="32"/>
          <w:highlight w:val="none"/>
        </w:rPr>
      </w:pPr>
    </w:p>
    <w:p w14:paraId="53475C9E">
      <w:pPr>
        <w:spacing w:line="500" w:lineRule="exact"/>
        <w:rPr>
          <w:rFonts w:ascii="仿宋_GB2312" w:hAnsi="宋体" w:eastAsia="仿宋_GB2312"/>
          <w:b/>
          <w:color w:val="auto"/>
          <w:sz w:val="32"/>
          <w:szCs w:val="32"/>
          <w:highlight w:val="none"/>
        </w:rPr>
      </w:pPr>
    </w:p>
    <w:p w14:paraId="53475C9F">
      <w:pPr>
        <w:spacing w:line="500" w:lineRule="exact"/>
        <w:rPr>
          <w:rFonts w:ascii="仿宋_GB2312" w:hAnsi="宋体" w:eastAsia="仿宋_GB2312"/>
          <w:b/>
          <w:color w:val="auto"/>
          <w:sz w:val="32"/>
          <w:szCs w:val="32"/>
          <w:highlight w:val="none"/>
        </w:rPr>
      </w:pPr>
    </w:p>
    <w:p w14:paraId="53475CA0">
      <w:pPr>
        <w:spacing w:line="500" w:lineRule="exact"/>
        <w:rPr>
          <w:rFonts w:ascii="仿宋_GB2312" w:hAnsi="宋体" w:eastAsia="仿宋_GB2312"/>
          <w:b/>
          <w:color w:val="auto"/>
          <w:sz w:val="32"/>
          <w:szCs w:val="32"/>
          <w:highlight w:val="none"/>
        </w:rPr>
      </w:pPr>
    </w:p>
    <w:p w14:paraId="53475CA7">
      <w:pPr>
        <w:pStyle w:val="18"/>
        <w:rPr>
          <w:color w:val="auto"/>
          <w:highlight w:val="none"/>
        </w:rPr>
      </w:pPr>
    </w:p>
    <w:p w14:paraId="53475CA8">
      <w:pPr>
        <w:rPr>
          <w:color w:val="auto"/>
          <w:highlight w:val="none"/>
        </w:rPr>
      </w:pPr>
    </w:p>
    <w:p w14:paraId="53475CA9">
      <w:pPr>
        <w:spacing w:line="360" w:lineRule="auto"/>
        <w:rPr>
          <w:rFonts w:ascii="宋体" w:hAnsi="宋体"/>
          <w:b/>
          <w:color w:val="auto"/>
          <w:sz w:val="28"/>
          <w:szCs w:val="28"/>
          <w:highlight w:val="none"/>
        </w:rPr>
      </w:pPr>
      <w:r>
        <w:rPr>
          <w:color w:val="auto"/>
          <w:highlight w:val="none"/>
        </w:rPr>
        <w:br w:type="page"/>
      </w:r>
      <w:r>
        <w:rPr>
          <w:rFonts w:hint="eastAsia" w:ascii="宋体" w:hAnsi="宋体"/>
          <w:b/>
          <w:color w:val="auto"/>
          <w:sz w:val="28"/>
          <w:szCs w:val="28"/>
          <w:highlight w:val="none"/>
        </w:rPr>
        <w:t>一、竞争性磋商响应文件外包装封面</w:t>
      </w:r>
      <w:r>
        <w:rPr>
          <w:rFonts w:hint="eastAsia" w:ascii="宋体" w:hAnsi="宋体"/>
          <w:b/>
          <w:bCs/>
          <w:color w:val="auto"/>
          <w:sz w:val="28"/>
          <w:szCs w:val="28"/>
          <w:highlight w:val="none"/>
        </w:rPr>
        <w:t>及</w:t>
      </w:r>
      <w:r>
        <w:rPr>
          <w:rFonts w:hint="eastAsia" w:ascii="宋体" w:hAnsi="宋体"/>
          <w:b/>
          <w:color w:val="auto"/>
          <w:sz w:val="28"/>
          <w:szCs w:val="28"/>
          <w:highlight w:val="none"/>
        </w:rPr>
        <w:t>竞争性磋商响应文件封面</w:t>
      </w:r>
      <w:r>
        <w:rPr>
          <w:rFonts w:hint="eastAsia" w:ascii="宋体" w:hAnsi="宋体"/>
          <w:b/>
          <w:bCs/>
          <w:color w:val="auto"/>
          <w:sz w:val="28"/>
          <w:szCs w:val="28"/>
          <w:highlight w:val="none"/>
        </w:rPr>
        <w:t>格式</w:t>
      </w:r>
    </w:p>
    <w:p w14:paraId="53475CAA">
      <w:pPr>
        <w:snapToGrid w:val="0"/>
        <w:spacing w:line="360" w:lineRule="auto"/>
        <w:rPr>
          <w:rFonts w:ascii="宋体" w:hAnsi="宋体"/>
          <w:b/>
          <w:color w:val="auto"/>
          <w:szCs w:val="21"/>
          <w:highlight w:val="none"/>
        </w:rPr>
      </w:pPr>
    </w:p>
    <w:p w14:paraId="53475CAB">
      <w:pPr>
        <w:snapToGrid w:val="0"/>
        <w:spacing w:line="360" w:lineRule="auto"/>
        <w:rPr>
          <w:rFonts w:ascii="宋体" w:hAnsi="宋体"/>
          <w:b/>
          <w:color w:val="auto"/>
          <w:szCs w:val="21"/>
          <w:highlight w:val="none"/>
        </w:rPr>
      </w:pPr>
      <w:r>
        <w:rPr>
          <w:rFonts w:hint="eastAsia" w:ascii="宋体" w:hAnsi="宋体"/>
          <w:b/>
          <w:color w:val="auto"/>
          <w:szCs w:val="21"/>
          <w:highlight w:val="none"/>
        </w:rPr>
        <w:t>一）.</w:t>
      </w:r>
      <w:r>
        <w:rPr>
          <w:rFonts w:hint="eastAsia" w:ascii="宋体" w:hAnsi="宋体"/>
          <w:b/>
          <w:color w:val="auto"/>
          <w:highlight w:val="none"/>
        </w:rPr>
        <w:t xml:space="preserve"> 竞争性磋商响应文件</w:t>
      </w:r>
      <w:r>
        <w:rPr>
          <w:rFonts w:hint="eastAsia" w:ascii="宋体" w:hAnsi="宋体"/>
          <w:b/>
          <w:color w:val="auto"/>
          <w:szCs w:val="21"/>
          <w:highlight w:val="none"/>
        </w:rPr>
        <w:t xml:space="preserve">的外包装封面格式： </w:t>
      </w:r>
    </w:p>
    <w:p w14:paraId="53475CAC">
      <w:pPr>
        <w:snapToGrid w:val="0"/>
        <w:spacing w:line="360" w:lineRule="auto"/>
        <w:rPr>
          <w:rFonts w:ascii="宋体" w:hAnsi="宋体"/>
          <w:color w:val="auto"/>
          <w:szCs w:val="21"/>
          <w:highlight w:val="none"/>
        </w:rPr>
      </w:pPr>
    </w:p>
    <w:p w14:paraId="53475CAD">
      <w:pPr>
        <w:snapToGrid w:val="0"/>
        <w:spacing w:line="360" w:lineRule="auto"/>
        <w:ind w:firstLine="2638" w:firstLineChars="1095"/>
        <w:rPr>
          <w:rFonts w:ascii="宋体" w:hAnsi="宋体"/>
          <w:color w:val="auto"/>
          <w:sz w:val="24"/>
          <w:highlight w:val="none"/>
        </w:rPr>
      </w:pPr>
      <w:r>
        <w:rPr>
          <w:rFonts w:hint="eastAsia" w:ascii="宋体" w:hAnsi="宋体"/>
          <w:b/>
          <w:color w:val="auto"/>
          <w:sz w:val="24"/>
          <w:highlight w:val="none"/>
        </w:rPr>
        <w:t>竞争性磋商响应文件</w:t>
      </w:r>
      <w:r>
        <w:rPr>
          <w:rFonts w:hint="eastAsia" w:ascii="宋体" w:hAnsi="宋体"/>
          <w:b/>
          <w:bCs/>
          <w:color w:val="auto"/>
          <w:sz w:val="24"/>
          <w:highlight w:val="none"/>
        </w:rPr>
        <w:t xml:space="preserve">              </w:t>
      </w:r>
    </w:p>
    <w:p w14:paraId="53475CAE">
      <w:pPr>
        <w:snapToGrid w:val="0"/>
        <w:spacing w:line="360" w:lineRule="auto"/>
        <w:ind w:firstLine="720" w:firstLineChars="300"/>
        <w:rPr>
          <w:rFonts w:ascii="宋体" w:hAnsi="宋体"/>
          <w:bCs/>
          <w:color w:val="auto"/>
          <w:sz w:val="24"/>
          <w:highlight w:val="none"/>
        </w:rPr>
      </w:pPr>
      <w:r>
        <w:rPr>
          <w:rFonts w:hint="eastAsia" w:ascii="宋体" w:hAnsi="宋体"/>
          <w:color w:val="auto"/>
          <w:sz w:val="24"/>
          <w:highlight w:val="none"/>
        </w:rPr>
        <w:t>项目名称</w:t>
      </w:r>
      <w:r>
        <w:rPr>
          <w:rFonts w:hint="eastAsia" w:ascii="宋体" w:hAnsi="宋体"/>
          <w:bCs/>
          <w:color w:val="auto"/>
          <w:sz w:val="24"/>
          <w:highlight w:val="none"/>
        </w:rPr>
        <w:t>：</w:t>
      </w:r>
    </w:p>
    <w:p w14:paraId="53475CAF">
      <w:pPr>
        <w:snapToGrid w:val="0"/>
        <w:spacing w:line="360" w:lineRule="auto"/>
        <w:ind w:firstLine="720" w:firstLineChars="300"/>
        <w:rPr>
          <w:rFonts w:ascii="宋体" w:hAnsi="宋体"/>
          <w:bCs/>
          <w:color w:val="auto"/>
          <w:sz w:val="24"/>
          <w:highlight w:val="none"/>
        </w:rPr>
      </w:pPr>
      <w:r>
        <w:rPr>
          <w:rFonts w:hint="eastAsia" w:ascii="宋体" w:hAnsi="宋体"/>
          <w:color w:val="auto"/>
          <w:sz w:val="24"/>
          <w:highlight w:val="none"/>
        </w:rPr>
        <w:t>项目编号</w:t>
      </w:r>
      <w:r>
        <w:rPr>
          <w:rFonts w:hint="eastAsia" w:ascii="宋体" w:hAnsi="宋体"/>
          <w:bCs/>
          <w:color w:val="auto"/>
          <w:sz w:val="24"/>
          <w:highlight w:val="none"/>
        </w:rPr>
        <w:t>：</w:t>
      </w:r>
    </w:p>
    <w:p w14:paraId="53475CB0">
      <w:pPr>
        <w:pStyle w:val="7"/>
        <w:snapToGrid w:val="0"/>
        <w:spacing w:line="360" w:lineRule="auto"/>
        <w:ind w:firstLine="720" w:firstLineChars="300"/>
        <w:rPr>
          <w:rFonts w:ascii="宋体" w:hAnsi="宋体"/>
          <w:bCs/>
          <w:color w:val="auto"/>
          <w:sz w:val="24"/>
          <w:szCs w:val="24"/>
          <w:highlight w:val="none"/>
        </w:rPr>
      </w:pPr>
      <w:r>
        <w:rPr>
          <w:rFonts w:hint="eastAsia" w:ascii="宋体" w:hAnsi="宋体"/>
          <w:color w:val="auto"/>
          <w:sz w:val="24"/>
          <w:szCs w:val="24"/>
          <w:highlight w:val="none"/>
        </w:rPr>
        <w:t>供应商名称</w:t>
      </w:r>
      <w:r>
        <w:rPr>
          <w:rFonts w:hint="eastAsia" w:ascii="宋体" w:hAnsi="宋体"/>
          <w:bCs/>
          <w:color w:val="auto"/>
          <w:sz w:val="24"/>
          <w:szCs w:val="24"/>
          <w:highlight w:val="none"/>
        </w:rPr>
        <w:t>：</w:t>
      </w:r>
    </w:p>
    <w:p w14:paraId="53475CB1">
      <w:pPr>
        <w:pStyle w:val="7"/>
        <w:snapToGrid w:val="0"/>
        <w:spacing w:line="360" w:lineRule="auto"/>
        <w:ind w:firstLine="720" w:firstLineChars="300"/>
        <w:rPr>
          <w:rFonts w:ascii="宋体" w:hAnsi="宋体"/>
          <w:bCs/>
          <w:color w:val="auto"/>
          <w:sz w:val="24"/>
          <w:szCs w:val="24"/>
          <w:highlight w:val="none"/>
        </w:rPr>
      </w:pPr>
      <w:r>
        <w:rPr>
          <w:rFonts w:hint="eastAsia" w:ascii="宋体" w:hAnsi="宋体"/>
          <w:bCs/>
          <w:color w:val="auto"/>
          <w:sz w:val="24"/>
          <w:szCs w:val="24"/>
          <w:highlight w:val="none"/>
        </w:rPr>
        <w:t>（截标时才能启封）</w:t>
      </w:r>
    </w:p>
    <w:p w14:paraId="53475CB2">
      <w:pPr>
        <w:pStyle w:val="7"/>
        <w:snapToGrid w:val="0"/>
        <w:spacing w:line="360" w:lineRule="auto"/>
        <w:ind w:firstLine="630" w:firstLineChars="300"/>
        <w:rPr>
          <w:rFonts w:ascii="宋体" w:hAnsi="宋体"/>
          <w:bCs/>
          <w:color w:val="auto"/>
          <w:szCs w:val="21"/>
          <w:highlight w:val="none"/>
        </w:rPr>
      </w:pPr>
    </w:p>
    <w:p w14:paraId="53475CB3">
      <w:pPr>
        <w:snapToGrid w:val="0"/>
        <w:spacing w:line="360" w:lineRule="auto"/>
        <w:rPr>
          <w:rFonts w:ascii="宋体" w:hAnsi="宋体"/>
          <w:b/>
          <w:color w:val="auto"/>
          <w:sz w:val="24"/>
          <w:highlight w:val="none"/>
        </w:rPr>
      </w:pPr>
      <w:r>
        <w:rPr>
          <w:rFonts w:hint="eastAsia" w:ascii="宋体" w:hAnsi="宋体"/>
          <w:b/>
          <w:color w:val="auto"/>
          <w:szCs w:val="21"/>
          <w:highlight w:val="none"/>
        </w:rPr>
        <w:t>二）.</w:t>
      </w:r>
      <w:r>
        <w:rPr>
          <w:rFonts w:hint="eastAsia" w:ascii="宋体" w:hAnsi="宋体"/>
          <w:b/>
          <w:color w:val="auto"/>
          <w:highlight w:val="none"/>
        </w:rPr>
        <w:t xml:space="preserve"> 竞争性磋商响应文件</w:t>
      </w:r>
      <w:r>
        <w:rPr>
          <w:rFonts w:hint="eastAsia" w:ascii="宋体" w:hAnsi="宋体"/>
          <w:b/>
          <w:color w:val="auto"/>
          <w:szCs w:val="21"/>
          <w:highlight w:val="none"/>
        </w:rPr>
        <w:t>封面格式：</w:t>
      </w:r>
      <w:r>
        <w:rPr>
          <w:rFonts w:hint="eastAsia" w:ascii="宋体" w:hAnsi="宋体"/>
          <w:b/>
          <w:color w:val="auto"/>
          <w:sz w:val="24"/>
          <w:highlight w:val="none"/>
        </w:rPr>
        <w:t xml:space="preserve"> </w:t>
      </w:r>
    </w:p>
    <w:p w14:paraId="53475CB4">
      <w:pPr>
        <w:snapToGrid w:val="0"/>
        <w:spacing w:line="360" w:lineRule="auto"/>
        <w:ind w:left="7200" w:hanging="7200" w:hangingChars="3000"/>
        <w:rPr>
          <w:rFonts w:ascii="宋体" w:hAnsi="宋体"/>
          <w:bCs/>
          <w:color w:val="auto"/>
          <w:sz w:val="24"/>
          <w:highlight w:val="none"/>
        </w:rPr>
      </w:pPr>
      <w:r>
        <w:rPr>
          <w:rFonts w:hint="eastAsia" w:ascii="宋体" w:hAnsi="宋体"/>
          <w:color w:val="auto"/>
          <w:sz w:val="24"/>
          <w:highlight w:val="none"/>
        </w:rPr>
        <w:t xml:space="preserve">                                                                                             </w:t>
      </w:r>
      <w:r>
        <w:rPr>
          <w:rFonts w:hint="eastAsia" w:ascii="宋体" w:hAnsi="宋体"/>
          <w:b/>
          <w:bCs/>
          <w:color w:val="auto"/>
          <w:szCs w:val="21"/>
          <w:highlight w:val="none"/>
        </w:rPr>
        <w:t>（正/副本）</w:t>
      </w:r>
    </w:p>
    <w:p w14:paraId="53475CB5">
      <w:pPr>
        <w:snapToGrid w:val="0"/>
        <w:spacing w:line="360" w:lineRule="auto"/>
        <w:ind w:firstLine="1915" w:firstLineChars="795"/>
        <w:rPr>
          <w:rFonts w:ascii="宋体" w:hAnsi="宋体"/>
          <w:bCs/>
          <w:color w:val="auto"/>
          <w:sz w:val="24"/>
          <w:highlight w:val="none"/>
        </w:rPr>
      </w:pPr>
      <w:r>
        <w:rPr>
          <w:rFonts w:hint="eastAsia" w:ascii="宋体" w:hAnsi="宋体"/>
          <w:b/>
          <w:color w:val="auto"/>
          <w:sz w:val="24"/>
          <w:highlight w:val="none"/>
        </w:rPr>
        <w:t>竞争性磋商响应文件（封面）</w:t>
      </w:r>
    </w:p>
    <w:p w14:paraId="53475CB6">
      <w:pPr>
        <w:spacing w:line="360" w:lineRule="auto"/>
        <w:ind w:firstLine="480" w:firstLineChars="200"/>
        <w:rPr>
          <w:rFonts w:ascii="宋体" w:hAnsi="宋体"/>
          <w:color w:val="auto"/>
          <w:sz w:val="24"/>
          <w:highlight w:val="none"/>
        </w:rPr>
      </w:pPr>
    </w:p>
    <w:p w14:paraId="53475CB7">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p>
    <w:p w14:paraId="53475CB8">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项目编号</w:t>
      </w:r>
      <w:r>
        <w:rPr>
          <w:rFonts w:hint="eastAsia" w:ascii="宋体" w:hAnsi="宋体"/>
          <w:bCs/>
          <w:color w:val="auto"/>
          <w:sz w:val="24"/>
          <w:highlight w:val="none"/>
        </w:rPr>
        <w:t>：</w:t>
      </w:r>
      <w:r>
        <w:rPr>
          <w:rFonts w:hint="eastAsia" w:ascii="宋体" w:hAnsi="宋体"/>
          <w:color w:val="auto"/>
          <w:sz w:val="24"/>
          <w:highlight w:val="none"/>
          <w:u w:val="single"/>
        </w:rPr>
        <w:t xml:space="preserve">                       </w:t>
      </w:r>
    </w:p>
    <w:p w14:paraId="53475CB9">
      <w:pPr>
        <w:snapToGrid w:val="0"/>
        <w:spacing w:line="360" w:lineRule="auto"/>
        <w:ind w:firstLine="480" w:firstLineChars="200"/>
        <w:rPr>
          <w:rFonts w:ascii="宋体" w:hAnsi="宋体"/>
          <w:bCs/>
          <w:color w:val="auto"/>
          <w:sz w:val="24"/>
          <w:highlight w:val="none"/>
        </w:rPr>
      </w:pPr>
      <w:r>
        <w:rPr>
          <w:rFonts w:hint="eastAsia" w:ascii="宋体" w:hAnsi="宋体"/>
          <w:color w:val="auto"/>
          <w:sz w:val="24"/>
          <w:highlight w:val="none"/>
        </w:rPr>
        <w:t>供应商名称</w:t>
      </w:r>
      <w:r>
        <w:rPr>
          <w:rFonts w:hint="eastAsia" w:ascii="宋体" w:hAnsi="宋体"/>
          <w:bCs/>
          <w:color w:val="auto"/>
          <w:sz w:val="24"/>
          <w:highlight w:val="none"/>
        </w:rPr>
        <w:t>：</w:t>
      </w:r>
      <w:r>
        <w:rPr>
          <w:rFonts w:hint="eastAsia" w:ascii="宋体" w:hAnsi="宋体"/>
          <w:color w:val="auto"/>
          <w:sz w:val="24"/>
          <w:highlight w:val="none"/>
          <w:u w:val="single"/>
        </w:rPr>
        <w:t xml:space="preserve">                      </w:t>
      </w:r>
    </w:p>
    <w:p w14:paraId="53475CBA">
      <w:pPr>
        <w:spacing w:line="360" w:lineRule="auto"/>
        <w:jc w:val="center"/>
        <w:rPr>
          <w:rFonts w:ascii="宋体" w:hAnsi="宋体"/>
          <w:color w:val="auto"/>
          <w:sz w:val="24"/>
          <w:highlight w:val="none"/>
        </w:rPr>
      </w:pPr>
      <w:r>
        <w:rPr>
          <w:rFonts w:hint="eastAsia" w:ascii="宋体" w:hAnsi="宋体"/>
          <w:color w:val="auto"/>
          <w:sz w:val="24"/>
          <w:highlight w:val="none"/>
        </w:rPr>
        <w:t xml:space="preserve">                      </w:t>
      </w:r>
    </w:p>
    <w:p w14:paraId="53475CBB">
      <w:pPr>
        <w:snapToGrid w:val="0"/>
        <w:spacing w:line="360" w:lineRule="auto"/>
        <w:jc w:val="center"/>
        <w:rPr>
          <w:rFonts w:ascii="宋体" w:hAnsi="宋体"/>
          <w:color w:val="auto"/>
          <w:sz w:val="24"/>
          <w:highlight w:val="none"/>
        </w:rPr>
      </w:pPr>
      <w:r>
        <w:rPr>
          <w:rFonts w:hint="eastAsia" w:ascii="宋体" w:hAnsi="宋体"/>
          <w:color w:val="auto"/>
          <w:sz w:val="24"/>
          <w:highlight w:val="none"/>
        </w:rPr>
        <w:t xml:space="preserve">                                       年</w:t>
      </w:r>
      <w:r>
        <w:rPr>
          <w:rFonts w:hint="eastAsia" w:ascii="宋体" w:hAnsi="宋体" w:cs="宋体"/>
          <w:color w:val="auto"/>
          <w:sz w:val="24"/>
          <w:highlight w:val="none"/>
        </w:rPr>
        <w:t xml:space="preserve">    </w:t>
      </w:r>
      <w:r>
        <w:rPr>
          <w:rFonts w:hint="eastAsia" w:ascii="宋体" w:hAnsi="宋体"/>
          <w:color w:val="auto"/>
          <w:sz w:val="24"/>
          <w:highlight w:val="none"/>
        </w:rPr>
        <w:t>月    日</w:t>
      </w:r>
    </w:p>
    <w:p w14:paraId="53475CBC">
      <w:pPr>
        <w:spacing w:line="360" w:lineRule="auto"/>
        <w:ind w:firstLine="3229" w:firstLineChars="1340"/>
        <w:rPr>
          <w:rFonts w:ascii="宋体" w:hAnsi="宋体"/>
          <w:b/>
          <w:color w:val="auto"/>
          <w:sz w:val="24"/>
          <w:highlight w:val="none"/>
        </w:rPr>
      </w:pPr>
    </w:p>
    <w:p w14:paraId="53475CBD">
      <w:pPr>
        <w:spacing w:line="360" w:lineRule="auto"/>
        <w:rPr>
          <w:rFonts w:ascii="宋体" w:hAnsi="宋体"/>
          <w:b/>
          <w:color w:val="auto"/>
          <w:sz w:val="24"/>
          <w:highlight w:val="none"/>
        </w:rPr>
      </w:pPr>
    </w:p>
    <w:p w14:paraId="53475CC4">
      <w:pPr>
        <w:spacing w:line="360" w:lineRule="auto"/>
        <w:rPr>
          <w:rFonts w:ascii="宋体" w:hAnsi="宋体"/>
          <w:b/>
          <w:color w:val="auto"/>
          <w:sz w:val="28"/>
          <w:szCs w:val="28"/>
          <w:highlight w:val="none"/>
        </w:rPr>
      </w:pPr>
    </w:p>
    <w:p w14:paraId="53475CC5">
      <w:pPr>
        <w:spacing w:line="360" w:lineRule="auto"/>
        <w:rPr>
          <w:rFonts w:ascii="宋体" w:hAnsi="宋体"/>
          <w:b/>
          <w:color w:val="auto"/>
          <w:sz w:val="28"/>
          <w:szCs w:val="28"/>
          <w:highlight w:val="none"/>
        </w:rPr>
      </w:pPr>
    </w:p>
    <w:p w14:paraId="10B58E91">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53475CC6">
      <w:pPr>
        <w:spacing w:line="360" w:lineRule="auto"/>
        <w:rPr>
          <w:rFonts w:ascii="宋体" w:hAnsi="宋体"/>
          <w:b/>
          <w:color w:val="auto"/>
          <w:sz w:val="28"/>
          <w:szCs w:val="28"/>
          <w:highlight w:val="none"/>
        </w:rPr>
      </w:pPr>
      <w:r>
        <w:rPr>
          <w:rFonts w:hint="eastAsia" w:ascii="宋体" w:hAnsi="宋体"/>
          <w:b/>
          <w:color w:val="auto"/>
          <w:sz w:val="28"/>
          <w:szCs w:val="28"/>
          <w:highlight w:val="none"/>
        </w:rPr>
        <w:t>二、附  件</w:t>
      </w:r>
    </w:p>
    <w:p w14:paraId="53475CC7">
      <w:pPr>
        <w:spacing w:line="360" w:lineRule="auto"/>
        <w:rPr>
          <w:rFonts w:ascii="宋体" w:hAnsi="宋体"/>
          <w:color w:val="auto"/>
          <w:szCs w:val="21"/>
          <w:highlight w:val="none"/>
        </w:rPr>
      </w:pPr>
    </w:p>
    <w:p w14:paraId="53475CC8">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附件1</w:t>
      </w:r>
    </w:p>
    <w:p w14:paraId="53475CC9">
      <w:pPr>
        <w:adjustRightInd w:val="0"/>
        <w:snapToGrid w:val="0"/>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北海市政府采购供应商信用承诺函（格式）</w:t>
      </w:r>
    </w:p>
    <w:p w14:paraId="53475CCA">
      <w:pPr>
        <w:widowControl/>
        <w:spacing w:line="360" w:lineRule="auto"/>
        <w:ind w:firstLine="480" w:firstLineChars="200"/>
        <w:jc w:val="left"/>
        <w:rPr>
          <w:rFonts w:ascii="宋体" w:hAnsi="宋体" w:cs="宋体"/>
          <w:color w:val="auto"/>
          <w:kern w:val="0"/>
          <w:sz w:val="24"/>
          <w:highlight w:val="none"/>
        </w:rPr>
      </w:pPr>
    </w:p>
    <w:p w14:paraId="53475CCB">
      <w:pPr>
        <w:widowControl/>
        <w:spacing w:line="360" w:lineRule="auto"/>
        <w:jc w:val="left"/>
        <w:rPr>
          <w:rFonts w:ascii="宋体" w:hAnsi="宋体" w:cs="宋体"/>
          <w:color w:val="auto"/>
          <w:kern w:val="0"/>
          <w:sz w:val="24"/>
          <w:highlight w:val="none"/>
        </w:rPr>
      </w:pPr>
      <w:r>
        <w:rPr>
          <w:rFonts w:hint="eastAsia" w:cs="宋体" w:asciiTheme="minorEastAsia" w:hAnsiTheme="minorEastAsia" w:eastAsiaTheme="minorEastAsia"/>
          <w:color w:val="auto"/>
          <w:spacing w:val="-1"/>
          <w:sz w:val="24"/>
          <w:szCs w:val="24"/>
          <w:highlight w:val="none"/>
          <w:lang w:eastAsia="zh-CN"/>
        </w:rPr>
        <w:t>合浦县水利局</w:t>
      </w:r>
      <w:r>
        <w:rPr>
          <w:rFonts w:cs="宋体" w:asciiTheme="minorEastAsia" w:hAnsiTheme="minorEastAsia" w:eastAsiaTheme="minorEastAsia"/>
          <w:color w:val="auto"/>
          <w:spacing w:val="-1"/>
          <w:sz w:val="24"/>
          <w:szCs w:val="24"/>
          <w:highlight w:val="none"/>
          <w:lang w:eastAsia="zh-CN"/>
        </w:rPr>
        <w:t>、</w:t>
      </w:r>
      <w:r>
        <w:rPr>
          <w:rFonts w:hint="eastAsia" w:cs="宋体" w:asciiTheme="minorEastAsia" w:hAnsiTheme="minorEastAsia" w:eastAsiaTheme="minorEastAsia"/>
          <w:color w:val="auto"/>
          <w:sz w:val="24"/>
          <w:szCs w:val="24"/>
          <w:highlight w:val="none"/>
          <w:lang w:val="en-US" w:eastAsia="zh-CN"/>
        </w:rPr>
        <w:t>合浦县水旱灾害防御中心、</w:t>
      </w:r>
      <w:r>
        <w:rPr>
          <w:rFonts w:hint="eastAsia" w:cs="宋体" w:asciiTheme="minorEastAsia" w:hAnsiTheme="minorEastAsia" w:eastAsiaTheme="minorEastAsia"/>
          <w:color w:val="auto"/>
          <w:spacing w:val="-1"/>
          <w:sz w:val="24"/>
          <w:szCs w:val="24"/>
          <w:highlight w:val="none"/>
          <w:lang w:eastAsia="zh-CN"/>
        </w:rPr>
        <w:t>广西亿翔荣工程管理有限责任公司</w:t>
      </w:r>
      <w:r>
        <w:rPr>
          <w:rFonts w:hint="eastAsia" w:ascii="宋体" w:hAnsi="宋体" w:cs="宋体"/>
          <w:color w:val="auto"/>
          <w:kern w:val="0"/>
          <w:sz w:val="24"/>
          <w:highlight w:val="none"/>
        </w:rPr>
        <w:t>：</w:t>
      </w:r>
    </w:p>
    <w:p w14:paraId="53475CCC">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供应商名称：</w:t>
      </w:r>
    </w:p>
    <w:p w14:paraId="53475CCD">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统一社会信用代码：</w:t>
      </w:r>
    </w:p>
    <w:p w14:paraId="53475CCE">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供应商地址：</w:t>
      </w:r>
    </w:p>
    <w:p w14:paraId="53475CCF">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53475CD0">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1.我单位具有符合采购文件资格要求独立承担民事责任的能力。</w:t>
      </w:r>
    </w:p>
    <w:p w14:paraId="53475CD1">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2.我单位具有符合采购文件资格要求的财务状况报告。</w:t>
      </w:r>
    </w:p>
    <w:p w14:paraId="53475CD2">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3.我单位具有符合采购文件资格要求的依法缴纳税收和社会保障记录的良好记录。</w:t>
      </w:r>
    </w:p>
    <w:p w14:paraId="53475CD3">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4.我单位具有符合采购文件资格要求履行合同所必需的设备和专业技术能力。</w:t>
      </w:r>
    </w:p>
    <w:p w14:paraId="53475CD4">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5.参加政府采购活动前三年内，在经营活动中没有重大违法记录。</w:t>
      </w:r>
    </w:p>
    <w:p w14:paraId="53475CD5">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若我单位承诺不实，自愿承担提供虚假材料谋取成交的法律责任。</w:t>
      </w:r>
    </w:p>
    <w:p w14:paraId="53475CD6">
      <w:pPr>
        <w:widowControl/>
        <w:spacing w:line="360" w:lineRule="auto"/>
        <w:ind w:firstLine="480" w:firstLineChars="200"/>
        <w:jc w:val="left"/>
        <w:rPr>
          <w:rFonts w:ascii="宋体" w:hAnsi="宋体" w:cs="宋体"/>
          <w:color w:val="auto"/>
          <w:kern w:val="0"/>
          <w:sz w:val="24"/>
          <w:highlight w:val="none"/>
        </w:rPr>
      </w:pPr>
    </w:p>
    <w:p w14:paraId="53475CD7">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53475CD8">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53475CD9">
      <w:pPr>
        <w:adjustRightInd w:val="0"/>
        <w:snapToGrid w:val="0"/>
        <w:spacing w:line="360" w:lineRule="auto"/>
        <w:ind w:firstLine="360" w:firstLineChars="150"/>
        <w:jc w:val="left"/>
        <w:rPr>
          <w:rFonts w:ascii="宋体" w:hAnsi="宋体"/>
          <w:color w:val="auto"/>
          <w:szCs w:val="21"/>
          <w:highlight w:val="none"/>
          <w:u w:val="single"/>
        </w:rPr>
      </w:pPr>
      <w:r>
        <w:rPr>
          <w:rFonts w:hint="eastAsia" w:ascii="宋体" w:hAnsi="宋体"/>
          <w:color w:val="auto"/>
          <w:sz w:val="24"/>
          <w:highlight w:val="none"/>
        </w:rPr>
        <w:t xml:space="preserve">     日期：  年   月   日</w:t>
      </w:r>
    </w:p>
    <w:p w14:paraId="53475CDA">
      <w:pPr>
        <w:adjustRightInd w:val="0"/>
        <w:snapToGrid w:val="0"/>
        <w:spacing w:line="360" w:lineRule="auto"/>
        <w:ind w:firstLine="315" w:firstLineChars="150"/>
        <w:jc w:val="left"/>
        <w:rPr>
          <w:rFonts w:ascii="宋体" w:hAnsi="宋体"/>
          <w:color w:val="auto"/>
          <w:szCs w:val="21"/>
          <w:highlight w:val="none"/>
          <w:u w:val="single"/>
        </w:rPr>
      </w:pPr>
    </w:p>
    <w:p w14:paraId="53475CDB">
      <w:pPr>
        <w:adjustRightInd w:val="0"/>
        <w:snapToGrid w:val="0"/>
        <w:spacing w:line="360" w:lineRule="auto"/>
        <w:ind w:firstLine="360" w:firstLineChars="150"/>
        <w:jc w:val="left"/>
        <w:rPr>
          <w:rFonts w:ascii="宋体" w:hAnsi="宋体"/>
          <w:color w:val="auto"/>
          <w:szCs w:val="21"/>
          <w:highlight w:val="none"/>
        </w:rPr>
      </w:pPr>
      <w:r>
        <w:rPr>
          <w:rFonts w:hint="eastAsia" w:ascii="宋体" w:hAnsi="宋体" w:cs="宋体"/>
          <w:color w:val="auto"/>
          <w:kern w:val="0"/>
          <w:sz w:val="24"/>
          <w:highlight w:val="none"/>
        </w:rPr>
        <w:t>注：供应商须在响应文件中按此模板提供承诺函，未提供视为未实质性响应采购文件要求，按无效响应处理。</w:t>
      </w:r>
    </w:p>
    <w:p w14:paraId="53475CDC">
      <w:pPr>
        <w:spacing w:line="360" w:lineRule="auto"/>
        <w:ind w:left="420" w:hanging="420"/>
        <w:rPr>
          <w:rFonts w:ascii="宋体" w:hAnsi="宋体"/>
          <w:b/>
          <w:color w:val="auto"/>
          <w:highlight w:val="none"/>
        </w:rPr>
        <w:sectPr>
          <w:footerReference r:id="rId6" w:type="default"/>
          <w:pgSz w:w="11907" w:h="16839"/>
          <w:pgMar w:top="1431" w:right="1272" w:bottom="1364" w:left="1418" w:header="850" w:footer="1204" w:gutter="0"/>
          <w:cols w:space="720" w:num="1"/>
          <w:docGrid w:linePitch="286" w:charSpace="0"/>
        </w:sectPr>
      </w:pPr>
    </w:p>
    <w:p w14:paraId="53475CDD">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附件2</w:t>
      </w:r>
    </w:p>
    <w:p w14:paraId="53475CDE">
      <w:pPr>
        <w:pStyle w:val="26"/>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竞标函及竞标函附录</w:t>
      </w:r>
    </w:p>
    <w:p w14:paraId="53475CDF">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auto"/>
          <w:sz w:val="28"/>
          <w:szCs w:val="28"/>
          <w:highlight w:val="none"/>
        </w:rPr>
      </w:pPr>
    </w:p>
    <w:p w14:paraId="53475CE0">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auto"/>
          <w:sz w:val="28"/>
          <w:szCs w:val="28"/>
          <w:highlight w:val="none"/>
        </w:rPr>
      </w:pPr>
      <w:r>
        <w:rPr>
          <w:rFonts w:hint="eastAsia" w:ascii="宋体" w:hAnsi="宋体" w:cs="宋体"/>
          <w:b/>
          <w:bCs/>
          <w:color w:val="auto"/>
          <w:sz w:val="28"/>
          <w:szCs w:val="28"/>
          <w:highlight w:val="none"/>
        </w:rPr>
        <w:t>（一）竞标函</w:t>
      </w:r>
    </w:p>
    <w:p w14:paraId="53475CE1">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53475CE2">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53475CE3">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（采购人）、（采购代理机构）：</w:t>
      </w:r>
    </w:p>
    <w:p w14:paraId="53475CE4">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1.我方已仔细研究了</w:t>
      </w:r>
      <w:r>
        <w:rPr>
          <w:rFonts w:hint="eastAsia" w:ascii="宋体" w:hAnsi="宋体" w:cs="宋体"/>
          <w:color w:val="auto"/>
          <w:sz w:val="24"/>
          <w:highlight w:val="none"/>
          <w:u w:val="single"/>
        </w:rPr>
        <w:t xml:space="preserve">          （项目名称、项目编号：）          </w:t>
      </w:r>
      <w:r>
        <w:rPr>
          <w:rFonts w:hint="eastAsia" w:ascii="宋体" w:hAnsi="宋体" w:cs="宋体"/>
          <w:color w:val="auto"/>
          <w:sz w:val="24"/>
          <w:highlight w:val="none"/>
        </w:rPr>
        <w:t>磋商文件的全部内容，愿意以人民币（大写）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的竞标总报价，工期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，按合同约定实施和完成承包工程，修补工程中的任何缺陷，工程质量达到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3475CE5">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2.我方承认竞标函附录是我方竞标函的组成部分。</w:t>
      </w:r>
    </w:p>
    <w:p w14:paraId="53475CE6">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3.如我方成交：</w:t>
      </w:r>
    </w:p>
    <w:p w14:paraId="53475CE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（1）我方承诺在收到成交通知书后，在成交通知书规定的期限内与你方签订合同。</w:t>
      </w:r>
    </w:p>
    <w:p w14:paraId="53475CE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（2）在签订合同时不向你方提出附加条件。</w:t>
      </w:r>
    </w:p>
    <w:p w14:paraId="53475CE9">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（3）我方承诺按照磋商文件规定向你方递交履约担保。</w:t>
      </w:r>
    </w:p>
    <w:p w14:paraId="53475CEA">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（4）我方承诺在合同约定的期限内完成并移交全部合同工程。</w:t>
      </w:r>
    </w:p>
    <w:p w14:paraId="53475CEB">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4.在合同协议书正式签署生效之前，本竞标函连同你方的成交通知书将构成我们双方之间共同遵守的文件，对双方具有约束力。</w:t>
      </w:r>
    </w:p>
    <w:p w14:paraId="53475CE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5.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（其他补充说明）。                                                                                           </w:t>
      </w:r>
    </w:p>
    <w:p w14:paraId="53475CE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53475CE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53475CE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53475CF0">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53475CF1">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53475CF2">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53475CF3">
      <w:pPr>
        <w:spacing w:line="360" w:lineRule="auto"/>
        <w:ind w:left="3222"/>
        <w:rPr>
          <w:rFonts w:ascii="宋体" w:hAnsi="宋体"/>
          <w:color w:val="auto"/>
          <w:sz w:val="24"/>
          <w:highlight w:val="none"/>
        </w:rPr>
      </w:pPr>
    </w:p>
    <w:p w14:paraId="53475CF4">
      <w:pPr>
        <w:spacing w:line="360" w:lineRule="auto"/>
        <w:ind w:left="3222"/>
        <w:rPr>
          <w:rFonts w:ascii="宋体" w:hAnsi="宋体"/>
          <w:color w:val="auto"/>
          <w:sz w:val="24"/>
          <w:highlight w:val="none"/>
        </w:rPr>
      </w:pPr>
    </w:p>
    <w:p w14:paraId="53475CF5">
      <w:pPr>
        <w:spacing w:line="360" w:lineRule="auto"/>
        <w:ind w:left="3222"/>
        <w:rPr>
          <w:rFonts w:ascii="宋体" w:hAnsi="宋体"/>
          <w:color w:val="auto"/>
          <w:sz w:val="24"/>
          <w:highlight w:val="none"/>
        </w:rPr>
      </w:pPr>
    </w:p>
    <w:p w14:paraId="53475CF6">
      <w:pPr>
        <w:spacing w:line="360" w:lineRule="auto"/>
        <w:ind w:left="3222"/>
        <w:rPr>
          <w:rFonts w:ascii="宋体" w:hAnsi="宋体" w:cs="宋体"/>
          <w:b/>
          <w:bCs/>
          <w:color w:val="auto"/>
          <w:sz w:val="31"/>
          <w:szCs w:val="31"/>
          <w:highlight w:val="none"/>
        </w:rPr>
      </w:pPr>
      <w:r>
        <w:rPr>
          <w:rFonts w:hint="eastAsia" w:ascii="宋体" w:hAnsi="宋体" w:cs="宋体"/>
          <w:b/>
          <w:bCs/>
          <w:color w:val="auto"/>
          <w:spacing w:val="-12"/>
          <w:sz w:val="31"/>
          <w:szCs w:val="31"/>
          <w:highlight w:val="none"/>
        </w:rPr>
        <w:t>（二） 竞标函附录</w:t>
      </w:r>
    </w:p>
    <w:tbl>
      <w:tblPr>
        <w:tblStyle w:val="37"/>
        <w:tblpPr w:leftFromText="180" w:rightFromText="180" w:vertAnchor="text" w:horzAnchor="page" w:tblpX="1516" w:tblpY="271"/>
        <w:tblOverlap w:val="never"/>
        <w:tblW w:w="89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386"/>
        <w:gridCol w:w="1395"/>
        <w:gridCol w:w="2966"/>
        <w:gridCol w:w="1516"/>
      </w:tblGrid>
      <w:tr w14:paraId="53475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95" w:type="dxa"/>
            <w:vAlign w:val="center"/>
          </w:tcPr>
          <w:p w14:paraId="53475CF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序号</w:t>
            </w:r>
          </w:p>
        </w:tc>
        <w:tc>
          <w:tcPr>
            <w:tcW w:w="2386" w:type="dxa"/>
            <w:vAlign w:val="center"/>
          </w:tcPr>
          <w:p w14:paraId="53475CF8">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条款内容</w:t>
            </w:r>
          </w:p>
        </w:tc>
        <w:tc>
          <w:tcPr>
            <w:tcW w:w="1395" w:type="dxa"/>
            <w:vAlign w:val="center"/>
          </w:tcPr>
          <w:p w14:paraId="53475CF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合同条款号</w:t>
            </w:r>
          </w:p>
        </w:tc>
        <w:tc>
          <w:tcPr>
            <w:tcW w:w="2966" w:type="dxa"/>
            <w:vAlign w:val="center"/>
          </w:tcPr>
          <w:p w14:paraId="53475CFA">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约定内容</w:t>
            </w:r>
          </w:p>
        </w:tc>
        <w:tc>
          <w:tcPr>
            <w:tcW w:w="1516" w:type="dxa"/>
            <w:vAlign w:val="center"/>
          </w:tcPr>
          <w:p w14:paraId="53475CF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供应商承诺</w:t>
            </w:r>
          </w:p>
        </w:tc>
      </w:tr>
      <w:tr w14:paraId="53475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vAlign w:val="center"/>
          </w:tcPr>
          <w:p w14:paraId="53475CF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w:t>
            </w:r>
          </w:p>
        </w:tc>
        <w:tc>
          <w:tcPr>
            <w:tcW w:w="2386" w:type="dxa"/>
            <w:vAlign w:val="center"/>
          </w:tcPr>
          <w:p w14:paraId="53475CF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项目经理</w:t>
            </w:r>
          </w:p>
        </w:tc>
        <w:tc>
          <w:tcPr>
            <w:tcW w:w="1395" w:type="dxa"/>
            <w:vAlign w:val="center"/>
          </w:tcPr>
          <w:p w14:paraId="53475CF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00">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姓名：</w:t>
            </w:r>
          </w:p>
        </w:tc>
        <w:tc>
          <w:tcPr>
            <w:tcW w:w="1516" w:type="dxa"/>
            <w:vAlign w:val="center"/>
          </w:tcPr>
          <w:p w14:paraId="53475D01">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vAlign w:val="center"/>
          </w:tcPr>
          <w:p w14:paraId="53475D03">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2</w:t>
            </w:r>
          </w:p>
        </w:tc>
        <w:tc>
          <w:tcPr>
            <w:tcW w:w="2386" w:type="dxa"/>
            <w:vAlign w:val="center"/>
          </w:tcPr>
          <w:p w14:paraId="53475D04">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竞标有效期</w:t>
            </w:r>
          </w:p>
        </w:tc>
        <w:tc>
          <w:tcPr>
            <w:tcW w:w="1395" w:type="dxa"/>
            <w:vAlign w:val="center"/>
          </w:tcPr>
          <w:p w14:paraId="53475D0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2966" w:type="dxa"/>
            <w:vAlign w:val="center"/>
          </w:tcPr>
          <w:p w14:paraId="53475D06">
            <w:pPr>
              <w:widowControl/>
              <w:kinsoku w:val="0"/>
              <w:autoSpaceDE w:val="0"/>
              <w:autoSpaceDN w:val="0"/>
              <w:adjustRightInd w:val="0"/>
              <w:snapToGrid w:val="0"/>
              <w:spacing w:line="360" w:lineRule="auto"/>
              <w:jc w:val="left"/>
              <w:textAlignment w:val="baseline"/>
              <w:rPr>
                <w:rFonts w:hint="eastAsia" w:ascii="宋体" w:hAnsi="宋体" w:eastAsia="宋体" w:cs="宋体"/>
                <w:color w:val="auto"/>
                <w:sz w:val="24"/>
                <w:highlight w:val="none"/>
                <w:lang w:eastAsia="zh-CN"/>
              </w:rPr>
            </w:pPr>
            <w:r>
              <w:rPr>
                <w:rFonts w:hint="eastAsia" w:ascii="宋体" w:hAnsi="宋体" w:cs="宋体"/>
                <w:color w:val="auto"/>
                <w:sz w:val="24"/>
                <w:highlight w:val="none"/>
                <w:u w:val="single"/>
                <w:lang w:val="en-US" w:eastAsia="zh-CN"/>
              </w:rPr>
              <w:t>60</w:t>
            </w:r>
            <w:r>
              <w:rPr>
                <w:rFonts w:hint="eastAsia" w:ascii="宋体" w:hAnsi="宋体" w:cs="宋体"/>
                <w:color w:val="auto"/>
                <w:sz w:val="24"/>
                <w:highlight w:val="none"/>
                <w:u w:val="single"/>
                <w:lang w:eastAsia="zh-CN"/>
              </w:rPr>
              <w:t>日历天</w:t>
            </w:r>
          </w:p>
        </w:tc>
        <w:tc>
          <w:tcPr>
            <w:tcW w:w="1516" w:type="dxa"/>
            <w:vAlign w:val="center"/>
          </w:tcPr>
          <w:p w14:paraId="53475D0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vAlign w:val="center"/>
          </w:tcPr>
          <w:p w14:paraId="53475D0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3</w:t>
            </w:r>
          </w:p>
        </w:tc>
        <w:tc>
          <w:tcPr>
            <w:tcW w:w="2386" w:type="dxa"/>
            <w:vAlign w:val="center"/>
          </w:tcPr>
          <w:p w14:paraId="53475D0A">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工期</w:t>
            </w:r>
          </w:p>
        </w:tc>
        <w:tc>
          <w:tcPr>
            <w:tcW w:w="1395" w:type="dxa"/>
            <w:vAlign w:val="center"/>
          </w:tcPr>
          <w:p w14:paraId="53475D0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0C">
            <w:pPr>
              <w:widowControl/>
              <w:kinsoku w:val="0"/>
              <w:autoSpaceDE w:val="0"/>
              <w:autoSpaceDN w:val="0"/>
              <w:adjustRightInd w:val="0"/>
              <w:snapToGrid w:val="0"/>
              <w:spacing w:line="360" w:lineRule="auto"/>
              <w:ind w:firstLine="720" w:firstLineChars="300"/>
              <w:jc w:val="left"/>
              <w:textAlignment w:val="baseline"/>
              <w:rPr>
                <w:rFonts w:ascii="宋体" w:hAnsi="宋体" w:cs="宋体"/>
                <w:color w:val="auto"/>
                <w:sz w:val="24"/>
                <w:highlight w:val="none"/>
              </w:rPr>
            </w:pPr>
          </w:p>
        </w:tc>
        <w:tc>
          <w:tcPr>
            <w:tcW w:w="1516" w:type="dxa"/>
            <w:vAlign w:val="center"/>
          </w:tcPr>
          <w:p w14:paraId="53475D0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5" w:type="dxa"/>
            <w:vAlign w:val="center"/>
          </w:tcPr>
          <w:p w14:paraId="53475D0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4</w:t>
            </w:r>
          </w:p>
        </w:tc>
        <w:tc>
          <w:tcPr>
            <w:tcW w:w="2386" w:type="dxa"/>
            <w:vAlign w:val="center"/>
          </w:tcPr>
          <w:p w14:paraId="53475D10">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缺陷责任期</w:t>
            </w:r>
          </w:p>
        </w:tc>
        <w:tc>
          <w:tcPr>
            <w:tcW w:w="1395" w:type="dxa"/>
            <w:vAlign w:val="center"/>
          </w:tcPr>
          <w:p w14:paraId="53475D11">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1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（自竣工验收合格之日起计算）</w:t>
            </w:r>
          </w:p>
        </w:tc>
        <w:tc>
          <w:tcPr>
            <w:tcW w:w="1516" w:type="dxa"/>
            <w:vAlign w:val="center"/>
          </w:tcPr>
          <w:p w14:paraId="53475D13">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vAlign w:val="center"/>
          </w:tcPr>
          <w:p w14:paraId="53475D1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5</w:t>
            </w:r>
          </w:p>
        </w:tc>
        <w:tc>
          <w:tcPr>
            <w:tcW w:w="2386" w:type="dxa"/>
            <w:vAlign w:val="center"/>
          </w:tcPr>
          <w:p w14:paraId="53475D1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发包人支付担保</w:t>
            </w:r>
          </w:p>
        </w:tc>
        <w:tc>
          <w:tcPr>
            <w:tcW w:w="1395" w:type="dxa"/>
            <w:vAlign w:val="center"/>
          </w:tcPr>
          <w:p w14:paraId="53475D1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18">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vAlign w:val="center"/>
          </w:tcPr>
          <w:p w14:paraId="53475D1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vAlign w:val="center"/>
          </w:tcPr>
          <w:p w14:paraId="53475D1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6</w:t>
            </w:r>
          </w:p>
        </w:tc>
        <w:tc>
          <w:tcPr>
            <w:tcW w:w="2386" w:type="dxa"/>
            <w:vAlign w:val="center"/>
          </w:tcPr>
          <w:p w14:paraId="53475D1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承包人履约担保金额</w:t>
            </w:r>
          </w:p>
        </w:tc>
        <w:tc>
          <w:tcPr>
            <w:tcW w:w="1395" w:type="dxa"/>
            <w:vAlign w:val="center"/>
          </w:tcPr>
          <w:p w14:paraId="53475D1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1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vAlign w:val="center"/>
          </w:tcPr>
          <w:p w14:paraId="53475D1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vAlign w:val="center"/>
          </w:tcPr>
          <w:p w14:paraId="53475D21">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7</w:t>
            </w:r>
          </w:p>
        </w:tc>
        <w:tc>
          <w:tcPr>
            <w:tcW w:w="2386" w:type="dxa"/>
            <w:vAlign w:val="center"/>
          </w:tcPr>
          <w:p w14:paraId="53475D2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分包</w:t>
            </w:r>
          </w:p>
        </w:tc>
        <w:tc>
          <w:tcPr>
            <w:tcW w:w="1395" w:type="dxa"/>
            <w:vAlign w:val="center"/>
          </w:tcPr>
          <w:p w14:paraId="53475D23">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24">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不允许</w:t>
            </w:r>
          </w:p>
        </w:tc>
        <w:tc>
          <w:tcPr>
            <w:tcW w:w="1516" w:type="dxa"/>
            <w:vAlign w:val="center"/>
          </w:tcPr>
          <w:p w14:paraId="53475D2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vAlign w:val="center"/>
          </w:tcPr>
          <w:p w14:paraId="53475D2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8</w:t>
            </w:r>
          </w:p>
        </w:tc>
        <w:tc>
          <w:tcPr>
            <w:tcW w:w="2386" w:type="dxa"/>
            <w:vAlign w:val="center"/>
          </w:tcPr>
          <w:p w14:paraId="53475D28">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逾期竣工违约金</w:t>
            </w:r>
          </w:p>
        </w:tc>
        <w:tc>
          <w:tcPr>
            <w:tcW w:w="1395" w:type="dxa"/>
            <w:vAlign w:val="center"/>
          </w:tcPr>
          <w:p w14:paraId="53475D2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2A">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vAlign w:val="center"/>
          </w:tcPr>
          <w:p w14:paraId="53475D2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95" w:type="dxa"/>
            <w:vAlign w:val="center"/>
          </w:tcPr>
          <w:p w14:paraId="53475D2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9</w:t>
            </w:r>
          </w:p>
        </w:tc>
        <w:tc>
          <w:tcPr>
            <w:tcW w:w="2386" w:type="dxa"/>
            <w:vAlign w:val="center"/>
          </w:tcPr>
          <w:p w14:paraId="53475D2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逾期竣工违约金的上限</w:t>
            </w:r>
          </w:p>
        </w:tc>
        <w:tc>
          <w:tcPr>
            <w:tcW w:w="1395" w:type="dxa"/>
            <w:vAlign w:val="center"/>
          </w:tcPr>
          <w:p w14:paraId="53475D2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30">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vAlign w:val="center"/>
          </w:tcPr>
          <w:p w14:paraId="53475D31">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vAlign w:val="center"/>
          </w:tcPr>
          <w:p w14:paraId="53475D33">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10</w:t>
            </w:r>
          </w:p>
        </w:tc>
        <w:tc>
          <w:tcPr>
            <w:tcW w:w="2386" w:type="dxa"/>
            <w:vAlign w:val="center"/>
          </w:tcPr>
          <w:p w14:paraId="53475D34">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质量标准</w:t>
            </w:r>
          </w:p>
        </w:tc>
        <w:tc>
          <w:tcPr>
            <w:tcW w:w="1395" w:type="dxa"/>
            <w:vAlign w:val="center"/>
          </w:tcPr>
          <w:p w14:paraId="53475D3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3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vAlign w:val="center"/>
          </w:tcPr>
          <w:p w14:paraId="53475D3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vAlign w:val="center"/>
          </w:tcPr>
          <w:p w14:paraId="53475D3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11</w:t>
            </w:r>
          </w:p>
        </w:tc>
        <w:tc>
          <w:tcPr>
            <w:tcW w:w="2386" w:type="dxa"/>
            <w:vAlign w:val="center"/>
          </w:tcPr>
          <w:p w14:paraId="53475D3A">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预付款额度</w:t>
            </w:r>
          </w:p>
        </w:tc>
        <w:tc>
          <w:tcPr>
            <w:tcW w:w="1395" w:type="dxa"/>
            <w:vAlign w:val="center"/>
          </w:tcPr>
          <w:p w14:paraId="53475D3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3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vAlign w:val="center"/>
          </w:tcPr>
          <w:p w14:paraId="53475D3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vAlign w:val="center"/>
          </w:tcPr>
          <w:p w14:paraId="53475D3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12</w:t>
            </w:r>
          </w:p>
        </w:tc>
        <w:tc>
          <w:tcPr>
            <w:tcW w:w="2386" w:type="dxa"/>
            <w:vAlign w:val="center"/>
          </w:tcPr>
          <w:p w14:paraId="53475D40">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预付款保函金额</w:t>
            </w:r>
          </w:p>
        </w:tc>
        <w:tc>
          <w:tcPr>
            <w:tcW w:w="1395" w:type="dxa"/>
            <w:vAlign w:val="center"/>
          </w:tcPr>
          <w:p w14:paraId="53475D41">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4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page">
                        <wp:posOffset>4598670</wp:posOffset>
                      </wp:positionH>
                      <wp:positionV relativeFrom="page">
                        <wp:posOffset>6225540</wp:posOffset>
                      </wp:positionV>
                      <wp:extent cx="67310" cy="6350"/>
                      <wp:effectExtent l="0" t="0" r="0" b="0"/>
                      <wp:wrapNone/>
                      <wp:docPr id="6" name="矩形 6"/>
                      <wp:cNvGraphicFramePr/>
                      <a:graphic xmlns:a="http://schemas.openxmlformats.org/drawingml/2006/main">
                        <a:graphicData uri="http://schemas.microsoft.com/office/word/2010/wordprocessingShape">
                          <wps:wsp>
                            <wps:cNvSpPr/>
                            <wps:spPr>
                              <a:xfrm>
                                <a:off x="0" y="0"/>
                                <a:ext cx="67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62.1pt;margin-top:490.2pt;height:0.5pt;width:5.3pt;mso-position-horizontal-relative:page;mso-position-vertical-relative:page;z-index:251660288;mso-width-relative:page;mso-height-relative:page;" fillcolor="#000000" filled="t" stroked="f" coordsize="21600,21600" o:gfxdata="UEsDBAoAAAAAAIdO4kAAAAAAAAAAAAAAAAAEAAAAZHJzL1BLAwQUAAAACACHTuJAzzxkINoAAAAL&#10;AQAADwAAAGRycy9kb3ducmV2LnhtbE2Py07DMBBF90j8gzVI7KidYGga4lQqEkskWljQnRMPSdR4&#10;HGz3AV+PuyrLmTm6c261PNmRHdCHwZGCbCaAIbXODNQp+Hh/uSuAhajJ6NERKvjBAMv6+qrSpXFH&#10;WuNhEzuWQiiUWkEf41RyHtoerQ4zNyGl25fzVsc0+o4br48p3I48F+KRWz1Q+tDrCZ97bHebvVWw&#10;WhSr7zdJr7/rZovbz2b3kHuh1O1NJp6ARTzFCwxn/aQOdXJq3J5MYKOCeS7zhCpYFEICS8T8XqYy&#10;zXmTSeB1xf93qP8AUEsDBBQAAAAIAIdO4kCm8KtTrgEAAFsDAAAOAAAAZHJzL2Uyb0RvYy54bWyt&#10;U82O0zAQviPxDpbv1O2uCChqugeq5YJgpYUHcB07seQ/zbhN+zRI3HgIHgfxGoydbheWyx7IwZnx&#10;zHwz3zfJ+uboHTtoQBtDx1eLJWc6qNjbMHT8y+fbV285wyxDL10MuuMnjfxm8/LFekqtvopjdL0G&#10;RiAB2yl1fMw5tUKgGrWXuIhJBwqaCF5mcmEQPciJ0L0TV8tlI6YIfYKoNCLdbucgPyPCcwCjMVbp&#10;bVR7r0OeUUE7mYkSjjYh39RpjdEqfzIGdWau48Q015OakL0rp9isZTuATKNV5xHkc0Z4wslLG6jp&#10;BWors2R7sP9AeasgYjR5oaIXM5GqCLFYLZ9ocz/KpCsXkhrTRXT8f7Dq4+EOmO073nAWpKeF//r6&#10;/eePb6wp2kwJW0q5T3dw9pDMQvRowJc3UWDHqufpoqc+ZqbosnlzvSKhFUWa69dVbPFYmQDzex09&#10;K0bHgXZVJZSHD5ipG6U+pJRGGJ3tb61z1YFh984BO8iy1/qUcankrzQXSnKIpWwOlxtRWM08irWL&#10;/Yk02Ceww0iDrCpSiZDmFfP8fZSl/ulXpMd/Yv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zxk&#10;INoAAAALAQAADwAAAAAAAAABACAAAAAiAAAAZHJzL2Rvd25yZXYueG1sUEsBAhQAFAAAAAgAh07i&#10;QKbwq1OuAQAAWwMAAA4AAAAAAAAAAQAgAAAAKQEAAGRycy9lMm9Eb2MueG1sUEsFBgAAAAAGAAYA&#10;WQEAAEkFAAAAAA==&#10;">
                      <v:fill on="t" focussize="0,0"/>
                      <v:stroke on="f"/>
                      <v:imagedata o:title=""/>
                      <o:lock v:ext="edit" aspectratio="f"/>
                    </v:rect>
                  </w:pict>
                </mc:Fallback>
              </mc:AlternateContent>
            </w:r>
          </w:p>
        </w:tc>
        <w:tc>
          <w:tcPr>
            <w:tcW w:w="1516" w:type="dxa"/>
            <w:vAlign w:val="center"/>
          </w:tcPr>
          <w:p w14:paraId="53475D43">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vAlign w:val="center"/>
          </w:tcPr>
          <w:p w14:paraId="53475D4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13</w:t>
            </w:r>
          </w:p>
        </w:tc>
        <w:tc>
          <w:tcPr>
            <w:tcW w:w="2386" w:type="dxa"/>
            <w:vAlign w:val="center"/>
          </w:tcPr>
          <w:p w14:paraId="53475D4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质量保证金额度</w:t>
            </w:r>
          </w:p>
        </w:tc>
        <w:tc>
          <w:tcPr>
            <w:tcW w:w="1395" w:type="dxa"/>
            <w:vAlign w:val="center"/>
          </w:tcPr>
          <w:p w14:paraId="53475D4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48">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结算价的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c>
        <w:tc>
          <w:tcPr>
            <w:tcW w:w="1516" w:type="dxa"/>
            <w:vAlign w:val="center"/>
          </w:tcPr>
          <w:p w14:paraId="53475D4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vAlign w:val="center"/>
          </w:tcPr>
          <w:p w14:paraId="53475D4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p w14:paraId="53475D4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w:t>
            </w:r>
          </w:p>
        </w:tc>
        <w:tc>
          <w:tcPr>
            <w:tcW w:w="2386" w:type="dxa"/>
            <w:vAlign w:val="center"/>
          </w:tcPr>
          <w:p w14:paraId="53475D4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p w14:paraId="53475D4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w:t>
            </w:r>
          </w:p>
        </w:tc>
        <w:tc>
          <w:tcPr>
            <w:tcW w:w="1395" w:type="dxa"/>
            <w:vAlign w:val="center"/>
          </w:tcPr>
          <w:p w14:paraId="53475D4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2966" w:type="dxa"/>
            <w:vAlign w:val="center"/>
          </w:tcPr>
          <w:p w14:paraId="53475D50">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vAlign w:val="center"/>
          </w:tcPr>
          <w:p w14:paraId="53475D51">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958" w:type="dxa"/>
            <w:gridSpan w:val="5"/>
            <w:vAlign w:val="center"/>
          </w:tcPr>
          <w:p w14:paraId="53475D53">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说明： 供应商在响应磋商文件中规定的实质性要求和条件的基础上，可做出其他有利于采购人的承诺。此类承诺可在本表中予以补充填写。</w:t>
            </w:r>
          </w:p>
        </w:tc>
      </w:tr>
    </w:tbl>
    <w:p w14:paraId="53475D5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p w14:paraId="53475D56">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53475D57">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53475D58">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53475D59">
      <w:pPr>
        <w:spacing w:line="360" w:lineRule="auto"/>
        <w:jc w:val="left"/>
        <w:rPr>
          <w:rFonts w:ascii="宋体" w:hAnsi="宋体" w:cs="宋体"/>
          <w:b/>
          <w:bCs/>
          <w:color w:val="auto"/>
          <w:spacing w:val="7"/>
          <w:sz w:val="24"/>
          <w:highlight w:val="none"/>
        </w:rPr>
      </w:pPr>
    </w:p>
    <w:p w14:paraId="53475D5A">
      <w:pPr>
        <w:spacing w:line="360" w:lineRule="auto"/>
        <w:jc w:val="left"/>
        <w:rPr>
          <w:rFonts w:ascii="宋体" w:hAnsi="宋体" w:cs="宋体"/>
          <w:b/>
          <w:bCs/>
          <w:color w:val="auto"/>
          <w:spacing w:val="7"/>
          <w:sz w:val="24"/>
          <w:highlight w:val="none"/>
        </w:rPr>
      </w:pPr>
      <w:r>
        <w:rPr>
          <w:rFonts w:hint="eastAsia" w:ascii="宋体" w:hAnsi="宋体" w:cs="宋体"/>
          <w:b/>
          <w:bCs/>
          <w:color w:val="auto"/>
          <w:spacing w:val="7"/>
          <w:sz w:val="24"/>
          <w:highlight w:val="none"/>
        </w:rPr>
        <w:t>附件3</w:t>
      </w:r>
    </w:p>
    <w:p w14:paraId="53475D5B">
      <w:pPr>
        <w:spacing w:line="360" w:lineRule="auto"/>
        <w:ind w:left="3643"/>
        <w:rPr>
          <w:rFonts w:ascii="宋体" w:hAnsi="宋体" w:cs="宋体"/>
          <w:color w:val="auto"/>
          <w:sz w:val="31"/>
          <w:szCs w:val="31"/>
          <w:highlight w:val="none"/>
        </w:rPr>
      </w:pPr>
      <w:r>
        <w:rPr>
          <w:rFonts w:hint="eastAsia" w:ascii="宋体" w:hAnsi="宋体" w:cs="宋体"/>
          <w:color w:val="auto"/>
          <w:spacing w:val="7"/>
          <w:sz w:val="31"/>
          <w:szCs w:val="31"/>
          <w:highlight w:val="none"/>
        </w:rPr>
        <w:t>竞标报价表</w:t>
      </w:r>
    </w:p>
    <w:p w14:paraId="53475D5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项目名称：                  项目编号：                    </w:t>
      </w:r>
    </w:p>
    <w:p w14:paraId="53475D5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分标（如有）：             </w:t>
      </w:r>
    </w:p>
    <w:p w14:paraId="53475D5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供应商名称：                                            </w:t>
      </w:r>
    </w:p>
    <w:p w14:paraId="53475D5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单位：元</w:t>
      </w:r>
    </w:p>
    <w:tbl>
      <w:tblPr>
        <w:tblStyle w:val="37"/>
        <w:tblW w:w="880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3121"/>
        <w:gridCol w:w="1984"/>
        <w:gridCol w:w="1710"/>
      </w:tblGrid>
      <w:tr w14:paraId="53475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109" w:type="dxa"/>
            <w:gridSpan w:val="2"/>
            <w:vAlign w:val="center"/>
          </w:tcPr>
          <w:p w14:paraId="53475D60">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磋商报价</w:t>
            </w:r>
          </w:p>
        </w:tc>
        <w:tc>
          <w:tcPr>
            <w:tcW w:w="1984" w:type="dxa"/>
            <w:vAlign w:val="center"/>
          </w:tcPr>
          <w:p w14:paraId="53475D61">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vAlign w:val="center"/>
          </w:tcPr>
          <w:p w14:paraId="53475D62">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备注</w:t>
            </w:r>
          </w:p>
        </w:tc>
      </w:tr>
      <w:tr w14:paraId="53475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988" w:type="dxa"/>
            <w:vMerge w:val="restart"/>
            <w:tcBorders>
              <w:bottom w:val="nil"/>
            </w:tcBorders>
            <w:vAlign w:val="center"/>
          </w:tcPr>
          <w:p w14:paraId="53475D64">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p>
          <w:p w14:paraId="53475D65">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其中</w:t>
            </w:r>
          </w:p>
        </w:tc>
        <w:tc>
          <w:tcPr>
            <w:tcW w:w="3121" w:type="dxa"/>
            <w:vAlign w:val="center"/>
          </w:tcPr>
          <w:p w14:paraId="53475D66">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安全文明施工费</w:t>
            </w:r>
          </w:p>
        </w:tc>
        <w:tc>
          <w:tcPr>
            <w:tcW w:w="1984" w:type="dxa"/>
            <w:vAlign w:val="center"/>
          </w:tcPr>
          <w:p w14:paraId="53475D67">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vAlign w:val="center"/>
          </w:tcPr>
          <w:p w14:paraId="53475D68">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rPr>
            </w:pPr>
          </w:p>
        </w:tc>
      </w:tr>
      <w:tr w14:paraId="53475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vAlign w:val="center"/>
          </w:tcPr>
          <w:p w14:paraId="53475D6A">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rPr>
            </w:pPr>
          </w:p>
        </w:tc>
        <w:tc>
          <w:tcPr>
            <w:tcW w:w="3121" w:type="dxa"/>
            <w:vAlign w:val="center"/>
          </w:tcPr>
          <w:p w14:paraId="53475D6B">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发包人提供材料（如有）</w:t>
            </w:r>
          </w:p>
        </w:tc>
        <w:tc>
          <w:tcPr>
            <w:tcW w:w="1984" w:type="dxa"/>
            <w:vAlign w:val="center"/>
          </w:tcPr>
          <w:p w14:paraId="53475D6C">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vAlign w:val="center"/>
          </w:tcPr>
          <w:p w14:paraId="53475D6D">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rPr>
            </w:pPr>
          </w:p>
        </w:tc>
      </w:tr>
      <w:tr w14:paraId="53475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88" w:type="dxa"/>
            <w:vMerge w:val="continue"/>
            <w:tcBorders>
              <w:top w:val="nil"/>
              <w:bottom w:val="nil"/>
            </w:tcBorders>
            <w:vAlign w:val="center"/>
          </w:tcPr>
          <w:p w14:paraId="53475D6F">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rPr>
            </w:pPr>
          </w:p>
        </w:tc>
        <w:tc>
          <w:tcPr>
            <w:tcW w:w="3121" w:type="dxa"/>
            <w:vAlign w:val="center"/>
          </w:tcPr>
          <w:p w14:paraId="53475D71">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rPr>
              <w:t>承包人提供材料（设备）暂估价</w:t>
            </w:r>
            <w:r>
              <w:rPr>
                <w:rFonts w:hint="eastAsia" w:ascii="宋体" w:hAnsi="宋体" w:cs="宋体"/>
                <w:color w:val="auto"/>
                <w:sz w:val="24"/>
                <w:highlight w:val="none"/>
                <w:lang w:eastAsia="en-US"/>
              </w:rPr>
              <w:t>（如有）</w:t>
            </w:r>
          </w:p>
        </w:tc>
        <w:tc>
          <w:tcPr>
            <w:tcW w:w="1984" w:type="dxa"/>
            <w:vAlign w:val="center"/>
          </w:tcPr>
          <w:p w14:paraId="53475D72">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vAlign w:val="center"/>
          </w:tcPr>
          <w:p w14:paraId="53475D73">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rPr>
            </w:pPr>
          </w:p>
        </w:tc>
      </w:tr>
      <w:tr w14:paraId="53475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vAlign w:val="center"/>
          </w:tcPr>
          <w:p w14:paraId="53475D75">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rPr>
            </w:pPr>
          </w:p>
        </w:tc>
        <w:tc>
          <w:tcPr>
            <w:tcW w:w="3121" w:type="dxa"/>
            <w:vAlign w:val="center"/>
          </w:tcPr>
          <w:p w14:paraId="53475D76">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暂估专业工程（如有）</w:t>
            </w:r>
          </w:p>
        </w:tc>
        <w:tc>
          <w:tcPr>
            <w:tcW w:w="1984" w:type="dxa"/>
            <w:vAlign w:val="center"/>
          </w:tcPr>
          <w:p w14:paraId="53475D77">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vAlign w:val="center"/>
          </w:tcPr>
          <w:p w14:paraId="53475D78">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rPr>
            </w:pPr>
          </w:p>
        </w:tc>
      </w:tr>
      <w:tr w14:paraId="53475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88" w:type="dxa"/>
            <w:vMerge w:val="continue"/>
            <w:tcBorders>
              <w:top w:val="nil"/>
            </w:tcBorders>
            <w:vAlign w:val="center"/>
          </w:tcPr>
          <w:p w14:paraId="53475D7A">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rPr>
            </w:pPr>
          </w:p>
        </w:tc>
        <w:tc>
          <w:tcPr>
            <w:tcW w:w="3121" w:type="dxa"/>
            <w:vAlign w:val="center"/>
          </w:tcPr>
          <w:p w14:paraId="53475D7B">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暂列金额（如有）</w:t>
            </w:r>
          </w:p>
        </w:tc>
        <w:tc>
          <w:tcPr>
            <w:tcW w:w="1984" w:type="dxa"/>
            <w:vAlign w:val="center"/>
          </w:tcPr>
          <w:p w14:paraId="53475D7C">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vAlign w:val="center"/>
          </w:tcPr>
          <w:p w14:paraId="53475D7D">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rPr>
            </w:pPr>
          </w:p>
        </w:tc>
      </w:tr>
    </w:tbl>
    <w:p w14:paraId="53475D7F">
      <w:pPr>
        <w:widowControl/>
        <w:kinsoku w:val="0"/>
        <w:autoSpaceDE w:val="0"/>
        <w:autoSpaceDN w:val="0"/>
        <w:adjustRightInd w:val="0"/>
        <w:snapToGrid w:val="0"/>
        <w:spacing w:line="360" w:lineRule="auto"/>
        <w:ind w:firstLine="480" w:firstLineChars="200"/>
        <w:textAlignment w:val="baseline"/>
        <w:rPr>
          <w:rFonts w:hint="eastAsia" w:ascii="宋体" w:hAnsi="宋体" w:eastAsia="宋体" w:cs="宋体"/>
          <w:color w:val="auto"/>
          <w:sz w:val="24"/>
          <w:highlight w:val="none"/>
          <w:lang w:eastAsia="zh-CN"/>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w:t>
      </w:r>
    </w:p>
    <w:p w14:paraId="53475D80">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 供应商的报价表使用电子签名，否则其响应文件按无效处理。</w:t>
      </w:r>
    </w:p>
    <w:p w14:paraId="53475D81">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 报价一经涂改，应在涂改处使用电子签名，或由法定代表人或者授权委托人签字，否则其响应文件按无效处理。</w:t>
      </w:r>
    </w:p>
    <w:p w14:paraId="53475D82">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3.如有多分标，分别列明各分标的报价表，否则其响应文件按无效处理。</w:t>
      </w:r>
    </w:p>
    <w:p w14:paraId="53475D83">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r>
        <w:rPr>
          <w:rFonts w:hint="eastAsia" w:ascii="宋体" w:hAnsi="宋体" w:cs="宋体"/>
          <w:b/>
          <w:bCs/>
          <w:color w:val="auto"/>
          <w:sz w:val="24"/>
          <w:highlight w:val="none"/>
        </w:rPr>
        <w:t>4.如果供应商的最后报价与首次报价不一致的，不能只报竞标总报价，必须同时提供“已标价工程量清单”，否则做无效响应处理。</w:t>
      </w:r>
    </w:p>
    <w:p w14:paraId="53475D84">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53475D85">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53475D86">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53475D87">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53475D88">
      <w:pPr>
        <w:spacing w:line="360" w:lineRule="auto"/>
        <w:rPr>
          <w:rFonts w:ascii="宋体" w:hAnsi="宋体"/>
          <w:b/>
          <w:bCs/>
          <w:color w:val="auto"/>
          <w:sz w:val="24"/>
          <w:highlight w:val="none"/>
        </w:rPr>
      </w:pPr>
    </w:p>
    <w:p w14:paraId="53475D89">
      <w:pPr>
        <w:spacing w:line="360" w:lineRule="auto"/>
        <w:rPr>
          <w:rFonts w:ascii="宋体" w:hAnsi="宋体"/>
          <w:b/>
          <w:bCs/>
          <w:color w:val="auto"/>
          <w:sz w:val="24"/>
          <w:highlight w:val="none"/>
        </w:rPr>
      </w:pPr>
    </w:p>
    <w:p w14:paraId="53475D8A">
      <w:pPr>
        <w:rPr>
          <w:rFonts w:ascii="宋体" w:hAnsi="宋体"/>
          <w:b/>
          <w:bCs/>
          <w:color w:val="auto"/>
          <w:sz w:val="24"/>
          <w:highlight w:val="none"/>
        </w:rPr>
      </w:pPr>
      <w:r>
        <w:rPr>
          <w:rFonts w:hint="eastAsia" w:ascii="宋体" w:hAnsi="宋体"/>
          <w:b/>
          <w:bCs/>
          <w:color w:val="auto"/>
          <w:sz w:val="24"/>
          <w:highlight w:val="none"/>
        </w:rPr>
        <w:br w:type="page"/>
      </w:r>
    </w:p>
    <w:p w14:paraId="53475D8B">
      <w:pPr>
        <w:spacing w:line="360" w:lineRule="auto"/>
        <w:rPr>
          <w:rFonts w:ascii="宋体" w:hAnsi="宋体"/>
          <w:b/>
          <w:bCs/>
          <w:color w:val="auto"/>
          <w:sz w:val="24"/>
          <w:highlight w:val="none"/>
        </w:rPr>
      </w:pPr>
      <w:r>
        <w:rPr>
          <w:rFonts w:hint="eastAsia" w:ascii="宋体" w:hAnsi="宋体"/>
          <w:b/>
          <w:bCs/>
          <w:color w:val="auto"/>
          <w:sz w:val="24"/>
          <w:highlight w:val="none"/>
        </w:rPr>
        <w:t>附件4</w:t>
      </w:r>
    </w:p>
    <w:p w14:paraId="53475D8C">
      <w:pPr>
        <w:widowControl/>
        <w:kinsoku w:val="0"/>
        <w:autoSpaceDE w:val="0"/>
        <w:autoSpaceDN w:val="0"/>
        <w:adjustRightInd w:val="0"/>
        <w:snapToGrid w:val="0"/>
        <w:spacing w:line="360" w:lineRule="auto"/>
        <w:ind w:firstLine="562" w:firstLineChars="200"/>
        <w:jc w:val="center"/>
        <w:textAlignment w:val="baseline"/>
        <w:rPr>
          <w:rFonts w:ascii="宋体" w:hAnsi="宋体" w:cs="宋体"/>
          <w:b/>
          <w:bCs/>
          <w:color w:val="auto"/>
          <w:sz w:val="28"/>
          <w:szCs w:val="28"/>
          <w:highlight w:val="none"/>
        </w:rPr>
      </w:pPr>
    </w:p>
    <w:p w14:paraId="53475D8D">
      <w:pPr>
        <w:widowControl/>
        <w:kinsoku w:val="0"/>
        <w:autoSpaceDE w:val="0"/>
        <w:autoSpaceDN w:val="0"/>
        <w:adjustRightInd w:val="0"/>
        <w:snapToGrid w:val="0"/>
        <w:spacing w:line="360" w:lineRule="auto"/>
        <w:ind w:firstLine="482" w:firstLineChars="200"/>
        <w:jc w:val="center"/>
        <w:textAlignment w:val="baseline"/>
        <w:rPr>
          <w:rFonts w:ascii="宋体" w:hAnsi="宋体" w:cs="宋体"/>
          <w:b/>
          <w:bCs/>
          <w:color w:val="auto"/>
          <w:sz w:val="24"/>
          <w:highlight w:val="none"/>
        </w:rPr>
      </w:pPr>
      <w:r>
        <w:rPr>
          <w:rFonts w:hint="eastAsia" w:ascii="宋体" w:hAnsi="宋体" w:cs="宋体"/>
          <w:b/>
          <w:bCs/>
          <w:color w:val="auto"/>
          <w:sz w:val="24"/>
          <w:highlight w:val="none"/>
        </w:rPr>
        <w:t>已标价工程量清单</w:t>
      </w:r>
    </w:p>
    <w:p w14:paraId="53475D8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1.已标价工程量清单应按第四章“工程量清单及图纸”中的相关表格及竞标报价说明填写。构成合同文件的已标价工程量清单包括第四章“工程量清单及图纸”有关工程量清单、竞标报价以及其他说明的内容。</w:t>
      </w:r>
    </w:p>
    <w:p w14:paraId="53475D8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2.一般计税法建设工程已标价工程量清单表格按《关于建筑业实施营业税改征增值税后广西壮族自治区建设工程计价依据调整的通知》（桂建标〔2016〕17 号）附件“增值税一般计税方法工程计价表”要求提供，简易计税法表格按《&lt;建设工程工程量清单计价规范&gt;（GB5050-2013）广西壮族自治区实施细则》要求的表格提供，但规费和税费按照《关于建筑业实施营业税改征增值税后广西壮族自治区建设工程计价依据调整的通知》（桂建标〔2016〕17 号）、《自治区住房城乡建设厅关于调整建设工程计价增值税税率的通知》（桂建标〔2018〕14 号）、《自治区住房城乡建设厅关于调整建设工程计价增值税税率的通知》（桂建标〔2019〕12 号）调整，具体内容以工程量清单为准。</w:t>
      </w:r>
    </w:p>
    <w:p w14:paraId="53475D90">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53475D91">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53475D92">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p>
    <w:p w14:paraId="53475D93">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r>
        <w:rPr>
          <w:rFonts w:hint="eastAsia" w:ascii="宋体" w:hAnsi="宋体" w:cs="宋体"/>
          <w:b/>
          <w:bCs/>
          <w:color w:val="auto"/>
          <w:sz w:val="24"/>
          <w:highlight w:val="none"/>
        </w:rPr>
        <w:t>备注：</w:t>
      </w:r>
    </w:p>
    <w:p w14:paraId="53475D94">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r>
        <w:rPr>
          <w:rFonts w:hint="eastAsia" w:ascii="宋体" w:hAnsi="宋体" w:cs="宋体"/>
          <w:b/>
          <w:bCs/>
          <w:color w:val="auto"/>
          <w:sz w:val="24"/>
          <w:highlight w:val="none"/>
        </w:rPr>
        <w:t>（1）供应商在上传竞标报价文件时应上传纸质竞标总价封面的原件扫描件。报标总价封面必须经供应商盖章，并由法定代表人（或其授权人）签字（或盖章），同时由编制人签字盖专用章，否则按无效磋商处理。</w:t>
      </w:r>
    </w:p>
    <w:p w14:paraId="53475D95">
      <w:pPr>
        <w:spacing w:line="360" w:lineRule="auto"/>
        <w:ind w:firstLine="482" w:firstLineChars="200"/>
        <w:rPr>
          <w:rFonts w:ascii="宋体" w:hAnsi="宋体"/>
          <w:b/>
          <w:color w:val="auto"/>
          <w:sz w:val="24"/>
          <w:highlight w:val="none"/>
        </w:rPr>
        <w:sectPr>
          <w:pgSz w:w="11907" w:h="16839"/>
          <w:pgMar w:top="1431" w:right="1272" w:bottom="1364" w:left="1418" w:header="850" w:footer="1204" w:gutter="0"/>
          <w:cols w:space="720" w:num="1"/>
          <w:docGrid w:linePitch="286" w:charSpace="0"/>
        </w:sectPr>
      </w:pPr>
      <w:r>
        <w:rPr>
          <w:rFonts w:hint="eastAsia" w:ascii="宋体" w:hAnsi="宋体" w:cs="宋体"/>
          <w:b/>
          <w:bCs/>
          <w:color w:val="auto"/>
          <w:sz w:val="24"/>
          <w:highlight w:val="none"/>
        </w:rPr>
        <w:t>（2）已标价工程量清单表格要严格按照工程量清单给出的表格要求和内容填报，否则按无效磋商处理。</w:t>
      </w:r>
    </w:p>
    <w:p w14:paraId="53475D96">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附件5</w:t>
      </w:r>
    </w:p>
    <w:p w14:paraId="53475D97">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磋 商 书</w:t>
      </w:r>
    </w:p>
    <w:p w14:paraId="53475D98">
      <w:pPr>
        <w:spacing w:line="360" w:lineRule="auto"/>
        <w:jc w:val="center"/>
        <w:rPr>
          <w:rFonts w:ascii="宋体" w:hAnsi="宋体"/>
          <w:b/>
          <w:color w:val="auto"/>
          <w:sz w:val="24"/>
          <w:highlight w:val="none"/>
        </w:rPr>
      </w:pPr>
    </w:p>
    <w:p w14:paraId="53475D99">
      <w:pPr>
        <w:pStyle w:val="22"/>
        <w:spacing w:line="360" w:lineRule="auto"/>
        <w:rPr>
          <w:rFonts w:hAnsi="宋体"/>
          <w:color w:val="auto"/>
          <w:sz w:val="24"/>
          <w:szCs w:val="24"/>
          <w:highlight w:val="none"/>
        </w:rPr>
      </w:pPr>
      <w:r>
        <w:rPr>
          <w:rFonts w:hint="eastAsia" w:hAnsi="宋体"/>
          <w:color w:val="auto"/>
          <w:sz w:val="24"/>
          <w:szCs w:val="24"/>
          <w:highlight w:val="none"/>
        </w:rPr>
        <w:t>（采购人）、（采购代理机构）：</w:t>
      </w:r>
    </w:p>
    <w:p w14:paraId="53475D9A">
      <w:pPr>
        <w:pStyle w:val="22"/>
        <w:spacing w:line="360" w:lineRule="auto"/>
        <w:ind w:firstLine="480"/>
        <w:rPr>
          <w:rFonts w:hAnsi="宋体"/>
          <w:color w:val="auto"/>
          <w:sz w:val="24"/>
          <w:szCs w:val="24"/>
          <w:highlight w:val="none"/>
        </w:rPr>
      </w:pPr>
      <w:r>
        <w:rPr>
          <w:rFonts w:hint="eastAsia" w:hAnsi="宋体"/>
          <w:color w:val="auto"/>
          <w:sz w:val="24"/>
          <w:szCs w:val="24"/>
          <w:highlight w:val="none"/>
        </w:rPr>
        <w:t>依据贵方</w:t>
      </w:r>
      <w:r>
        <w:rPr>
          <w:rFonts w:hint="eastAsia" w:hAnsi="宋体"/>
          <w:color w:val="auto"/>
          <w:sz w:val="24"/>
          <w:szCs w:val="24"/>
          <w:highlight w:val="none"/>
          <w:u w:val="single"/>
        </w:rPr>
        <w:t>（项目名称/项目编号）</w:t>
      </w:r>
      <w:r>
        <w:rPr>
          <w:rFonts w:hint="eastAsia" w:hAnsi="宋体"/>
          <w:color w:val="auto"/>
          <w:sz w:val="24"/>
          <w:szCs w:val="24"/>
          <w:highlight w:val="none"/>
        </w:rPr>
        <w:t>项目政府采购的磋商邀请，我方</w:t>
      </w:r>
      <w:r>
        <w:rPr>
          <w:rFonts w:hint="eastAsia" w:hAnsi="宋体"/>
          <w:color w:val="auto"/>
          <w:sz w:val="24"/>
          <w:szCs w:val="24"/>
          <w:highlight w:val="none"/>
          <w:u w:val="single"/>
        </w:rPr>
        <w:t>（姓名和职务）</w:t>
      </w:r>
      <w:r>
        <w:rPr>
          <w:rFonts w:hint="eastAsia" w:hAnsi="宋体"/>
          <w:color w:val="auto"/>
          <w:sz w:val="24"/>
          <w:szCs w:val="24"/>
          <w:highlight w:val="none"/>
        </w:rPr>
        <w:t>经正式授权并代表本单位</w:t>
      </w:r>
      <w:r>
        <w:rPr>
          <w:rFonts w:hint="eastAsia" w:hAnsi="宋体"/>
          <w:color w:val="auto"/>
          <w:sz w:val="24"/>
          <w:szCs w:val="24"/>
          <w:highlight w:val="none"/>
          <w:u w:val="single"/>
        </w:rPr>
        <w:t>（供应商名称、地址）</w:t>
      </w:r>
      <w:r>
        <w:rPr>
          <w:rFonts w:hint="eastAsia" w:hAnsi="宋体"/>
          <w:color w:val="auto"/>
          <w:sz w:val="24"/>
          <w:szCs w:val="24"/>
          <w:highlight w:val="none"/>
        </w:rPr>
        <w:t>提交下述竞争性磋商响应文件</w:t>
      </w:r>
      <w:r>
        <w:rPr>
          <w:rFonts w:hint="eastAsia" w:hAnsi="宋体"/>
          <w:b/>
          <w:color w:val="auto"/>
          <w:sz w:val="24"/>
          <w:szCs w:val="24"/>
          <w:highlight w:val="none"/>
        </w:rPr>
        <w:t>（资格文件、价格文件、商务技术文件）</w:t>
      </w:r>
      <w:r>
        <w:rPr>
          <w:rFonts w:hint="eastAsia" w:hAnsi="宋体"/>
          <w:color w:val="auto"/>
          <w:sz w:val="24"/>
          <w:szCs w:val="24"/>
          <w:highlight w:val="none"/>
        </w:rPr>
        <w:t>。</w:t>
      </w:r>
    </w:p>
    <w:p w14:paraId="53475D9B">
      <w:pPr>
        <w:pStyle w:val="22"/>
        <w:spacing w:line="360" w:lineRule="auto"/>
        <w:ind w:firstLine="480"/>
        <w:rPr>
          <w:rFonts w:hAnsi="宋体"/>
          <w:color w:val="auto"/>
          <w:sz w:val="24"/>
          <w:szCs w:val="24"/>
          <w:highlight w:val="none"/>
        </w:rPr>
      </w:pPr>
      <w:r>
        <w:rPr>
          <w:rFonts w:hint="eastAsia" w:hAnsi="宋体"/>
          <w:color w:val="auto"/>
          <w:sz w:val="24"/>
          <w:szCs w:val="24"/>
          <w:highlight w:val="none"/>
        </w:rPr>
        <w:t>1. 报价表；</w:t>
      </w:r>
    </w:p>
    <w:p w14:paraId="53475D9C">
      <w:pPr>
        <w:pStyle w:val="22"/>
        <w:spacing w:line="360" w:lineRule="auto"/>
        <w:ind w:firstLine="480"/>
        <w:rPr>
          <w:rFonts w:hAnsi="宋体"/>
          <w:color w:val="auto"/>
          <w:sz w:val="24"/>
          <w:szCs w:val="24"/>
          <w:highlight w:val="none"/>
        </w:rPr>
      </w:pPr>
      <w:r>
        <w:rPr>
          <w:rFonts w:hint="eastAsia" w:hAnsi="宋体"/>
          <w:color w:val="auto"/>
          <w:sz w:val="24"/>
          <w:szCs w:val="24"/>
          <w:highlight w:val="none"/>
        </w:rPr>
        <w:t xml:space="preserve">2. 资格证明文件； </w:t>
      </w:r>
    </w:p>
    <w:p w14:paraId="53475D9D">
      <w:pPr>
        <w:pStyle w:val="22"/>
        <w:spacing w:line="360" w:lineRule="auto"/>
        <w:ind w:firstLine="480"/>
        <w:rPr>
          <w:rFonts w:hAnsi="宋体"/>
          <w:color w:val="auto"/>
          <w:sz w:val="24"/>
          <w:szCs w:val="24"/>
          <w:highlight w:val="none"/>
        </w:rPr>
      </w:pPr>
      <w:r>
        <w:rPr>
          <w:rFonts w:hint="eastAsia" w:hAnsi="宋体"/>
          <w:color w:val="auto"/>
          <w:sz w:val="24"/>
          <w:szCs w:val="24"/>
          <w:highlight w:val="none"/>
        </w:rPr>
        <w:t>3. 按竞争性磋商文件供应商须知和采购需求提供的有关文件。</w:t>
      </w:r>
    </w:p>
    <w:p w14:paraId="53475D9E">
      <w:pPr>
        <w:pStyle w:val="22"/>
        <w:spacing w:line="360" w:lineRule="auto"/>
        <w:ind w:firstLine="360" w:firstLineChars="150"/>
        <w:rPr>
          <w:rFonts w:hAnsi="宋体"/>
          <w:color w:val="auto"/>
          <w:sz w:val="24"/>
          <w:szCs w:val="24"/>
          <w:highlight w:val="none"/>
        </w:rPr>
      </w:pPr>
      <w:r>
        <w:rPr>
          <w:rFonts w:hint="eastAsia" w:hAnsi="宋体"/>
          <w:color w:val="auto"/>
          <w:sz w:val="24"/>
          <w:szCs w:val="24"/>
          <w:highlight w:val="none"/>
        </w:rPr>
        <w:t>在此，授权代表宣布同意如下：</w:t>
      </w:r>
    </w:p>
    <w:p w14:paraId="53475D9F">
      <w:pPr>
        <w:pStyle w:val="22"/>
        <w:spacing w:line="360" w:lineRule="auto"/>
        <w:ind w:firstLine="480" w:firstLineChars="200"/>
        <w:rPr>
          <w:rFonts w:hAnsi="宋体"/>
          <w:color w:val="auto"/>
          <w:sz w:val="24"/>
          <w:szCs w:val="24"/>
          <w:highlight w:val="none"/>
        </w:rPr>
      </w:pPr>
      <w:r>
        <w:rPr>
          <w:rFonts w:hint="eastAsia" w:hAnsi="宋体"/>
          <w:color w:val="auto"/>
          <w:sz w:val="24"/>
          <w:szCs w:val="24"/>
          <w:highlight w:val="none"/>
        </w:rPr>
        <w:t>1. 将按竞争性磋商文件的约定履行合同责任和义务；</w:t>
      </w:r>
    </w:p>
    <w:p w14:paraId="53475DA0">
      <w:pPr>
        <w:pStyle w:val="22"/>
        <w:spacing w:line="360" w:lineRule="auto"/>
        <w:ind w:firstLine="480" w:firstLineChars="200"/>
        <w:rPr>
          <w:rFonts w:hAnsi="宋体"/>
          <w:color w:val="auto"/>
          <w:sz w:val="24"/>
          <w:szCs w:val="24"/>
          <w:highlight w:val="none"/>
        </w:rPr>
      </w:pPr>
      <w:r>
        <w:rPr>
          <w:rFonts w:hint="eastAsia" w:hAnsi="宋体"/>
          <w:color w:val="auto"/>
          <w:sz w:val="24"/>
          <w:szCs w:val="24"/>
          <w:highlight w:val="none"/>
        </w:rPr>
        <w:t>2. 已详细审查全部竞争性磋商文件，包括</w:t>
      </w:r>
      <w:r>
        <w:rPr>
          <w:rFonts w:hint="eastAsia" w:hAnsi="宋体"/>
          <w:color w:val="auto"/>
          <w:sz w:val="24"/>
          <w:szCs w:val="24"/>
          <w:highlight w:val="none"/>
          <w:u w:val="single"/>
        </w:rPr>
        <w:t>（补遗文件）（如果有的话）</w:t>
      </w:r>
      <w:r>
        <w:rPr>
          <w:rFonts w:hint="eastAsia" w:hAnsi="宋体"/>
          <w:color w:val="auto"/>
          <w:sz w:val="24"/>
          <w:szCs w:val="24"/>
          <w:highlight w:val="none"/>
        </w:rPr>
        <w:t>；</w:t>
      </w:r>
    </w:p>
    <w:p w14:paraId="53475DA1">
      <w:pPr>
        <w:pStyle w:val="22"/>
        <w:spacing w:line="360" w:lineRule="auto"/>
        <w:ind w:firstLine="480" w:firstLineChars="200"/>
        <w:rPr>
          <w:rFonts w:hAnsi="宋体"/>
          <w:color w:val="auto"/>
          <w:sz w:val="24"/>
          <w:szCs w:val="24"/>
          <w:highlight w:val="none"/>
        </w:rPr>
      </w:pPr>
      <w:r>
        <w:rPr>
          <w:rFonts w:hint="eastAsia" w:hAnsi="宋体"/>
          <w:color w:val="auto"/>
          <w:sz w:val="24"/>
          <w:szCs w:val="24"/>
          <w:highlight w:val="none"/>
        </w:rPr>
        <w:t>3. 同意提供按照贵方可能要求的与其磋商有关的一切数据或资料；</w:t>
      </w:r>
    </w:p>
    <w:p w14:paraId="53475DA2">
      <w:pPr>
        <w:pStyle w:val="22"/>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rPr>
        <w:t>4. 与本磋商有关的一切正式往来信函请寄：</w:t>
      </w:r>
      <w:r>
        <w:rPr>
          <w:rFonts w:hint="eastAsia" w:hAnsi="宋体"/>
          <w:color w:val="auto"/>
          <w:sz w:val="24"/>
          <w:szCs w:val="24"/>
          <w:highlight w:val="none"/>
          <w:u w:val="single"/>
        </w:rPr>
        <w:t xml:space="preserve">                       </w:t>
      </w:r>
    </w:p>
    <w:p w14:paraId="53475DA3">
      <w:pPr>
        <w:pStyle w:val="22"/>
        <w:spacing w:line="360" w:lineRule="auto"/>
        <w:ind w:firstLine="840"/>
        <w:rPr>
          <w:rFonts w:hAnsi="宋体"/>
          <w:color w:val="auto"/>
          <w:sz w:val="24"/>
          <w:szCs w:val="24"/>
          <w:highlight w:val="none"/>
          <w:u w:val="single"/>
        </w:rPr>
      </w:pPr>
      <w:r>
        <w:rPr>
          <w:rFonts w:hint="eastAsia" w:hAnsi="宋体"/>
          <w:color w:val="auto"/>
          <w:sz w:val="24"/>
          <w:szCs w:val="24"/>
          <w:highlight w:val="none"/>
        </w:rPr>
        <w:t>开户银行：</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帐号/行号：</w:t>
      </w:r>
      <w:r>
        <w:rPr>
          <w:rFonts w:hint="eastAsia" w:hAnsi="宋体"/>
          <w:color w:val="auto"/>
          <w:sz w:val="24"/>
          <w:szCs w:val="24"/>
          <w:highlight w:val="none"/>
          <w:u w:val="single"/>
        </w:rPr>
        <w:t xml:space="preserve">                </w:t>
      </w:r>
    </w:p>
    <w:p w14:paraId="53475DA4">
      <w:pPr>
        <w:pStyle w:val="22"/>
        <w:spacing w:line="360" w:lineRule="auto"/>
        <w:ind w:firstLine="840"/>
        <w:rPr>
          <w:rFonts w:hAnsi="宋体"/>
          <w:color w:val="auto"/>
          <w:sz w:val="24"/>
          <w:szCs w:val="24"/>
          <w:highlight w:val="none"/>
        </w:rPr>
      </w:pPr>
      <w:r>
        <w:rPr>
          <w:rFonts w:hint="eastAsia" w:hAnsi="宋体"/>
          <w:color w:val="auto"/>
          <w:sz w:val="24"/>
          <w:szCs w:val="24"/>
          <w:highlight w:val="none"/>
        </w:rPr>
        <w:t>电话/传真：</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电子函件：</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p>
    <w:p w14:paraId="53475DA5">
      <w:pPr>
        <w:pStyle w:val="22"/>
        <w:spacing w:line="360" w:lineRule="auto"/>
        <w:ind w:firstLine="840"/>
        <w:rPr>
          <w:rFonts w:hAnsi="宋体"/>
          <w:color w:val="auto"/>
          <w:sz w:val="24"/>
          <w:szCs w:val="24"/>
          <w:highlight w:val="none"/>
          <w:u w:val="single"/>
        </w:rPr>
      </w:pPr>
      <w:r>
        <w:rPr>
          <w:rFonts w:hint="eastAsia" w:hAnsi="宋体"/>
          <w:color w:val="auto"/>
          <w:sz w:val="24"/>
          <w:szCs w:val="24"/>
          <w:highlight w:val="none"/>
        </w:rPr>
        <w:t>日期：</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53475DA6">
      <w:pPr>
        <w:adjustRightInd w:val="0"/>
        <w:snapToGrid w:val="0"/>
        <w:spacing w:line="360" w:lineRule="auto"/>
        <w:ind w:firstLine="1440" w:firstLineChars="600"/>
        <w:jc w:val="left"/>
        <w:rPr>
          <w:rFonts w:ascii="宋体" w:hAnsi="宋体"/>
          <w:color w:val="auto"/>
          <w:sz w:val="24"/>
          <w:highlight w:val="none"/>
        </w:rPr>
      </w:pPr>
    </w:p>
    <w:p w14:paraId="53475DA7">
      <w:pPr>
        <w:adjustRightInd w:val="0"/>
        <w:snapToGrid w:val="0"/>
        <w:spacing w:line="360" w:lineRule="auto"/>
        <w:ind w:firstLine="1440" w:firstLineChars="600"/>
        <w:jc w:val="left"/>
        <w:rPr>
          <w:rFonts w:ascii="宋体" w:hAnsi="宋体"/>
          <w:color w:val="auto"/>
          <w:sz w:val="24"/>
          <w:highlight w:val="none"/>
        </w:rPr>
      </w:pPr>
    </w:p>
    <w:p w14:paraId="53475DA8">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53475DA9">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53475DAA">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53475DAB">
      <w:pPr>
        <w:pStyle w:val="22"/>
        <w:spacing w:line="360" w:lineRule="auto"/>
        <w:ind w:firstLine="840"/>
        <w:rPr>
          <w:rFonts w:hAnsi="宋体"/>
          <w:color w:val="auto"/>
          <w:sz w:val="24"/>
          <w:szCs w:val="24"/>
          <w:highlight w:val="none"/>
        </w:rPr>
      </w:pPr>
      <w:r>
        <w:rPr>
          <w:rFonts w:hint="eastAsia" w:hAnsi="宋体"/>
          <w:color w:val="auto"/>
          <w:sz w:val="24"/>
          <w:szCs w:val="24"/>
          <w:highlight w:val="none"/>
        </w:rPr>
        <w:t xml:space="preserve">                       </w:t>
      </w:r>
    </w:p>
    <w:p w14:paraId="53475DAC">
      <w:pPr>
        <w:spacing w:line="360" w:lineRule="auto"/>
        <w:rPr>
          <w:rFonts w:ascii="宋体" w:hAnsi="宋体"/>
          <w:color w:val="auto"/>
          <w:sz w:val="24"/>
          <w:highlight w:val="none"/>
        </w:rPr>
      </w:pPr>
    </w:p>
    <w:p w14:paraId="53475DAF">
      <w:pPr>
        <w:spacing w:line="360" w:lineRule="auto"/>
        <w:rPr>
          <w:rFonts w:ascii="宋体" w:hAnsi="宋体"/>
          <w:color w:val="auto"/>
          <w:highlight w:val="none"/>
        </w:rPr>
      </w:pPr>
    </w:p>
    <w:p w14:paraId="53475DB0">
      <w:pPr>
        <w:spacing w:line="360" w:lineRule="auto"/>
        <w:ind w:left="420" w:hanging="420"/>
        <w:rPr>
          <w:rFonts w:ascii="宋体" w:hAnsi="宋体"/>
          <w:b/>
          <w:color w:val="auto"/>
          <w:highlight w:val="none"/>
        </w:rPr>
      </w:pPr>
      <w:r>
        <w:rPr>
          <w:rFonts w:hint="eastAsia" w:ascii="宋体" w:hAnsi="宋体"/>
          <w:color w:val="auto"/>
          <w:highlight w:val="none"/>
        </w:rPr>
        <w:br w:type="page"/>
      </w:r>
    </w:p>
    <w:p w14:paraId="53475DB1">
      <w:pPr>
        <w:spacing w:line="360" w:lineRule="auto"/>
        <w:ind w:left="420" w:hanging="420"/>
        <w:rPr>
          <w:rFonts w:ascii="宋体" w:hAnsi="宋体"/>
          <w:b/>
          <w:color w:val="auto"/>
          <w:highlight w:val="none"/>
        </w:rPr>
      </w:pPr>
    </w:p>
    <w:p w14:paraId="53475DB2">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附件6</w:t>
      </w:r>
    </w:p>
    <w:p w14:paraId="53475DB3">
      <w:pPr>
        <w:adjustRightInd w:val="0"/>
        <w:snapToGrid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法定代表人（负责人）授权委托书</w:t>
      </w:r>
    </w:p>
    <w:p w14:paraId="53475DB4">
      <w:pPr>
        <w:adjustRightInd w:val="0"/>
        <w:snapToGrid w:val="0"/>
        <w:spacing w:line="360" w:lineRule="auto"/>
        <w:rPr>
          <w:rFonts w:ascii="宋体" w:hAnsi="宋体"/>
          <w:color w:val="auto"/>
          <w:szCs w:val="21"/>
          <w:highlight w:val="none"/>
        </w:rPr>
      </w:pPr>
    </w:p>
    <w:p w14:paraId="53475DB5">
      <w:pPr>
        <w:spacing w:line="360" w:lineRule="auto"/>
        <w:rPr>
          <w:rFonts w:ascii="宋体" w:hAnsi="宋体"/>
          <w:color w:val="auto"/>
          <w:sz w:val="24"/>
          <w:highlight w:val="none"/>
        </w:rPr>
      </w:pPr>
      <w:r>
        <w:rPr>
          <w:rFonts w:hint="eastAsia" w:hAnsi="宋体"/>
          <w:color w:val="auto"/>
          <w:sz w:val="24"/>
          <w:highlight w:val="none"/>
        </w:rPr>
        <w:t>（采购人）、（采购代理机构）</w:t>
      </w:r>
      <w:r>
        <w:rPr>
          <w:rFonts w:hint="eastAsia" w:ascii="宋体" w:hAnsi="宋体"/>
          <w:color w:val="auto"/>
          <w:sz w:val="24"/>
          <w:highlight w:val="none"/>
        </w:rPr>
        <w:t>：</w:t>
      </w:r>
    </w:p>
    <w:p w14:paraId="53475DB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兹授权</w:t>
      </w:r>
      <w:r>
        <w:rPr>
          <w:rFonts w:hint="eastAsia" w:ascii="宋体" w:hAnsi="宋体"/>
          <w:color w:val="auto"/>
          <w:sz w:val="24"/>
          <w:highlight w:val="none"/>
          <w:u w:val="single"/>
        </w:rPr>
        <w:t xml:space="preserve">      </w:t>
      </w:r>
      <w:r>
        <w:rPr>
          <w:rFonts w:hint="eastAsia" w:ascii="宋体" w:hAnsi="宋体"/>
          <w:color w:val="auto"/>
          <w:sz w:val="24"/>
          <w:highlight w:val="none"/>
        </w:rPr>
        <w:t>同志为我公司参加贵单位组织的</w:t>
      </w:r>
      <w:r>
        <w:rPr>
          <w:rFonts w:hint="eastAsia" w:ascii="宋体" w:hAnsi="宋体"/>
          <w:color w:val="auto"/>
          <w:sz w:val="24"/>
          <w:highlight w:val="none"/>
          <w:u w:val="single"/>
        </w:rPr>
        <w:t xml:space="preserve">                     项目</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）竞争性磋商采购活动的委托代理人，全权代表我公司处理在该项目活动中的一切事宜。代理期限从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日起至</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日止。 </w:t>
      </w:r>
    </w:p>
    <w:p w14:paraId="53475DB7">
      <w:pPr>
        <w:spacing w:line="360" w:lineRule="auto"/>
        <w:rPr>
          <w:rFonts w:ascii="宋体" w:hAnsi="宋体"/>
          <w:color w:val="auto"/>
          <w:sz w:val="24"/>
          <w:highlight w:val="none"/>
        </w:rPr>
      </w:pPr>
    </w:p>
    <w:p w14:paraId="53475DB8">
      <w:pPr>
        <w:spacing w:line="360" w:lineRule="auto"/>
        <w:rPr>
          <w:rFonts w:ascii="宋体" w:hAnsi="宋体"/>
          <w:color w:val="auto"/>
          <w:sz w:val="24"/>
          <w:highlight w:val="none"/>
        </w:rPr>
      </w:pPr>
      <w:r>
        <w:rPr>
          <w:rFonts w:hint="eastAsia" w:ascii="宋体" w:hAnsi="宋体"/>
          <w:color w:val="auto"/>
          <w:sz w:val="24"/>
          <w:highlight w:val="none"/>
        </w:rPr>
        <w:t>磋商供应商（公章）：</w:t>
      </w:r>
      <w:r>
        <w:rPr>
          <w:rFonts w:hint="eastAsia" w:ascii="宋体" w:hAnsi="宋体"/>
          <w:color w:val="auto"/>
          <w:sz w:val="24"/>
          <w:highlight w:val="none"/>
          <w:u w:val="single"/>
        </w:rPr>
        <w:t xml:space="preserve">               </w:t>
      </w:r>
    </w:p>
    <w:p w14:paraId="53475DB9">
      <w:pPr>
        <w:spacing w:line="360" w:lineRule="auto"/>
        <w:rPr>
          <w:rFonts w:ascii="宋体" w:hAnsi="宋体"/>
          <w:color w:val="auto"/>
          <w:sz w:val="24"/>
          <w:highlight w:val="none"/>
        </w:rPr>
      </w:pPr>
      <w:r>
        <w:rPr>
          <w:rFonts w:hint="eastAsia" w:ascii="宋体" w:hAnsi="宋体"/>
          <w:color w:val="auto"/>
          <w:sz w:val="24"/>
          <w:highlight w:val="none"/>
        </w:rPr>
        <w:t>法定代表人（负责人）（签名）：</w:t>
      </w:r>
      <w:r>
        <w:rPr>
          <w:rFonts w:hint="eastAsia" w:ascii="宋体" w:hAnsi="宋体"/>
          <w:color w:val="auto"/>
          <w:sz w:val="24"/>
          <w:highlight w:val="none"/>
          <w:u w:val="single"/>
        </w:rPr>
        <w:t xml:space="preserve">       </w:t>
      </w:r>
    </w:p>
    <w:p w14:paraId="53475DBA">
      <w:pPr>
        <w:spacing w:line="360" w:lineRule="auto"/>
        <w:rPr>
          <w:rFonts w:ascii="宋体" w:hAnsi="宋体"/>
          <w:color w:val="auto"/>
          <w:sz w:val="24"/>
          <w:highlight w:val="none"/>
        </w:rPr>
      </w:pPr>
      <w:r>
        <w:rPr>
          <w:rFonts w:hint="eastAsia" w:ascii="宋体" w:hAnsi="宋体"/>
          <w:color w:val="auto"/>
          <w:sz w:val="24"/>
          <w:highlight w:val="none"/>
        </w:rPr>
        <w:t>签发日期：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3475DBB">
      <w:pPr>
        <w:spacing w:line="360" w:lineRule="auto"/>
        <w:rPr>
          <w:rFonts w:ascii="宋体" w:hAnsi="宋体"/>
          <w:color w:val="auto"/>
          <w:sz w:val="24"/>
          <w:highlight w:val="none"/>
        </w:rPr>
      </w:pPr>
    </w:p>
    <w:p w14:paraId="53475DBC">
      <w:pPr>
        <w:spacing w:line="360" w:lineRule="auto"/>
        <w:rPr>
          <w:rFonts w:ascii="宋体" w:hAnsi="宋体"/>
          <w:color w:val="auto"/>
          <w:sz w:val="24"/>
          <w:highlight w:val="none"/>
        </w:rPr>
      </w:pPr>
      <w:r>
        <w:rPr>
          <w:rFonts w:hint="eastAsia" w:ascii="宋体" w:hAnsi="宋体"/>
          <w:color w:val="auto"/>
          <w:sz w:val="24"/>
          <w:highlight w:val="none"/>
        </w:rPr>
        <w:t>附：委托代理人工作单位</w:t>
      </w:r>
      <w:r>
        <w:rPr>
          <w:rFonts w:hint="eastAsia" w:ascii="宋体" w:hAnsi="宋体"/>
          <w:color w:val="auto"/>
          <w:sz w:val="24"/>
          <w:highlight w:val="none"/>
          <w:u w:val="single"/>
        </w:rPr>
        <w:t xml:space="preserve">               </w:t>
      </w:r>
    </w:p>
    <w:p w14:paraId="53475DB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职务：</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性别：</w:t>
      </w:r>
      <w:r>
        <w:rPr>
          <w:rFonts w:hint="eastAsia" w:ascii="宋体" w:hAnsi="宋体"/>
          <w:color w:val="auto"/>
          <w:sz w:val="24"/>
          <w:highlight w:val="none"/>
          <w:u w:val="single"/>
        </w:rPr>
        <w:t xml:space="preserve">    </w:t>
      </w:r>
    </w:p>
    <w:p w14:paraId="53475DBE">
      <w:pPr>
        <w:adjustRightInd w:val="0"/>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tbl>
      <w:tblPr>
        <w:tblStyle w:val="3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5347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53475DBF">
            <w:pPr>
              <w:spacing w:line="360" w:lineRule="auto"/>
              <w:rPr>
                <w:rFonts w:ascii="宋体" w:hAnsi="宋体"/>
                <w:color w:val="auto"/>
                <w:sz w:val="24"/>
                <w:highlight w:val="none"/>
              </w:rPr>
            </w:pPr>
            <w:r>
              <w:rPr>
                <w:rFonts w:hint="eastAsia" w:ascii="宋体" w:hAnsi="宋体"/>
                <w:color w:val="auto"/>
                <w:sz w:val="24"/>
                <w:highlight w:val="none"/>
              </w:rPr>
              <w:t>粘贴委托代理人的正面及反面身份证复印件</w:t>
            </w:r>
          </w:p>
        </w:tc>
      </w:tr>
    </w:tbl>
    <w:p w14:paraId="53475DC1">
      <w:pPr>
        <w:autoSpaceDE w:val="0"/>
        <w:autoSpaceDN w:val="0"/>
        <w:spacing w:line="360" w:lineRule="auto"/>
        <w:ind w:left="480" w:hanging="480"/>
        <w:rPr>
          <w:rFonts w:ascii="宋体" w:hAnsi="宋体"/>
          <w:color w:val="auto"/>
          <w:sz w:val="24"/>
          <w:highlight w:val="none"/>
        </w:rPr>
      </w:pPr>
    </w:p>
    <w:p w14:paraId="53475DC2">
      <w:pPr>
        <w:pStyle w:val="22"/>
        <w:spacing w:line="360" w:lineRule="auto"/>
        <w:rPr>
          <w:rFonts w:hAnsi="宋体"/>
          <w:color w:val="auto"/>
          <w:sz w:val="24"/>
          <w:szCs w:val="24"/>
          <w:highlight w:val="none"/>
        </w:rPr>
      </w:pPr>
    </w:p>
    <w:p w14:paraId="53475DC3">
      <w:pPr>
        <w:pStyle w:val="22"/>
        <w:spacing w:line="360" w:lineRule="auto"/>
        <w:rPr>
          <w:rFonts w:hAnsi="宋体"/>
          <w:color w:val="auto"/>
          <w:sz w:val="24"/>
          <w:szCs w:val="24"/>
          <w:highlight w:val="none"/>
        </w:rPr>
      </w:pPr>
      <w:r>
        <w:rPr>
          <w:rFonts w:hAnsi="宋体"/>
          <w:color w:val="auto"/>
          <w:sz w:val="24"/>
          <w:szCs w:val="24"/>
          <w:highlight w:val="none"/>
        </w:rPr>
        <w:br w:type="page"/>
      </w:r>
    </w:p>
    <w:p w14:paraId="53475DC4">
      <w:pPr>
        <w:pStyle w:val="22"/>
        <w:spacing w:line="360" w:lineRule="auto"/>
        <w:rPr>
          <w:rFonts w:hAnsi="宋体"/>
          <w:color w:val="auto"/>
          <w:highlight w:val="none"/>
        </w:rPr>
      </w:pPr>
    </w:p>
    <w:p w14:paraId="53475DC5">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附件7</w:t>
      </w:r>
    </w:p>
    <w:p w14:paraId="53475DC6">
      <w:pPr>
        <w:adjustRightInd w:val="0"/>
        <w:snapToGrid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法定代表人（负责人）身份证明书</w:t>
      </w:r>
    </w:p>
    <w:p w14:paraId="53475DC7">
      <w:pPr>
        <w:adjustRightInd w:val="0"/>
        <w:snapToGrid w:val="0"/>
        <w:spacing w:line="360" w:lineRule="auto"/>
        <w:ind w:firstLine="960" w:firstLineChars="400"/>
        <w:rPr>
          <w:rFonts w:ascii="宋体" w:hAnsi="宋体"/>
          <w:color w:val="auto"/>
          <w:sz w:val="24"/>
          <w:highlight w:val="none"/>
          <w:u w:val="single"/>
        </w:rPr>
      </w:pPr>
    </w:p>
    <w:p w14:paraId="53475DC8">
      <w:pPr>
        <w:adjustRightInd w:val="0"/>
        <w:snapToGrid w:val="0"/>
        <w:spacing w:line="360" w:lineRule="auto"/>
        <w:ind w:firstLine="960" w:firstLineChars="400"/>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 xml:space="preserve"> 在我</w:t>
      </w:r>
      <w:r>
        <w:rPr>
          <w:rFonts w:hint="eastAsia" w:ascii="宋体" w:hAnsi="宋体"/>
          <w:color w:val="auto"/>
          <w:sz w:val="24"/>
          <w:highlight w:val="none"/>
          <w:u w:val="single"/>
        </w:rPr>
        <w:t xml:space="preserve">       </w:t>
      </w:r>
      <w:r>
        <w:rPr>
          <w:rFonts w:hint="eastAsia" w:ascii="宋体" w:hAnsi="宋体"/>
          <w:color w:val="auto"/>
          <w:sz w:val="24"/>
          <w:highlight w:val="none"/>
        </w:rPr>
        <w:t>任</w:t>
      </w:r>
      <w:r>
        <w:rPr>
          <w:rFonts w:hint="eastAsia" w:ascii="宋体" w:hAnsi="宋体"/>
          <w:color w:val="auto"/>
          <w:sz w:val="24"/>
          <w:highlight w:val="none"/>
          <w:u w:val="single"/>
        </w:rPr>
        <w:t xml:space="preserve">          </w:t>
      </w:r>
      <w:r>
        <w:rPr>
          <w:rFonts w:hint="eastAsia" w:ascii="宋体" w:hAnsi="宋体"/>
          <w:color w:val="auto"/>
          <w:sz w:val="24"/>
          <w:highlight w:val="none"/>
        </w:rPr>
        <w:t>职务，是我</w:t>
      </w:r>
      <w:r>
        <w:rPr>
          <w:rFonts w:hint="eastAsia" w:ascii="宋体" w:hAnsi="宋体"/>
          <w:color w:val="auto"/>
          <w:sz w:val="24"/>
          <w:highlight w:val="none"/>
          <w:u w:val="single"/>
        </w:rPr>
        <w:t xml:space="preserve">                 </w:t>
      </w:r>
      <w:r>
        <w:rPr>
          <w:rFonts w:hint="eastAsia" w:ascii="宋体" w:hAnsi="宋体"/>
          <w:color w:val="auto"/>
          <w:sz w:val="24"/>
          <w:highlight w:val="none"/>
        </w:rPr>
        <w:t>的法定代表人（负责人）。</w:t>
      </w:r>
    </w:p>
    <w:p w14:paraId="53475DC9">
      <w:pPr>
        <w:adjustRightInd w:val="0"/>
        <w:snapToGrid w:val="0"/>
        <w:spacing w:line="360" w:lineRule="auto"/>
        <w:ind w:firstLine="840" w:firstLineChars="350"/>
        <w:rPr>
          <w:rFonts w:ascii="宋体" w:hAnsi="宋体"/>
          <w:color w:val="auto"/>
          <w:sz w:val="24"/>
          <w:highlight w:val="none"/>
        </w:rPr>
      </w:pPr>
      <w:r>
        <w:rPr>
          <w:rFonts w:hint="eastAsia" w:ascii="宋体" w:hAnsi="宋体"/>
          <w:color w:val="auto"/>
          <w:sz w:val="24"/>
          <w:highlight w:val="none"/>
        </w:rPr>
        <w:t>特此证明。</w:t>
      </w:r>
    </w:p>
    <w:p w14:paraId="53475DCA">
      <w:pPr>
        <w:adjustRightInd w:val="0"/>
        <w:snapToGrid w:val="0"/>
        <w:spacing w:line="360" w:lineRule="auto"/>
        <w:rPr>
          <w:rFonts w:ascii="宋体" w:hAnsi="宋体"/>
          <w:color w:val="auto"/>
          <w:sz w:val="24"/>
          <w:highlight w:val="none"/>
        </w:rPr>
      </w:pPr>
    </w:p>
    <w:p w14:paraId="53475DCB">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xml:space="preserve">                        </w:t>
      </w:r>
    </w:p>
    <w:p w14:paraId="53475DCC">
      <w:pPr>
        <w:adjustRightInd w:val="0"/>
        <w:snapToGrid w:val="0"/>
        <w:spacing w:line="360" w:lineRule="auto"/>
        <w:rPr>
          <w:rFonts w:ascii="宋体" w:hAnsi="宋体"/>
          <w:color w:val="auto"/>
          <w:sz w:val="24"/>
          <w:highlight w:val="none"/>
        </w:rPr>
      </w:pPr>
    </w:p>
    <w:p w14:paraId="53475DCD">
      <w:pPr>
        <w:adjustRightInd w:val="0"/>
        <w:snapToGrid w:val="0"/>
        <w:spacing w:line="360" w:lineRule="auto"/>
        <w:ind w:firstLine="3360" w:firstLineChars="1400"/>
        <w:rPr>
          <w:rFonts w:ascii="宋体" w:hAnsi="宋体"/>
          <w:color w:val="auto"/>
          <w:sz w:val="24"/>
          <w:highlight w:val="none"/>
          <w:u w:val="single"/>
        </w:rPr>
      </w:pPr>
      <w:r>
        <w:rPr>
          <w:rFonts w:hint="eastAsia" w:ascii="宋体" w:hAnsi="宋体"/>
          <w:color w:val="auto"/>
          <w:sz w:val="24"/>
          <w:highlight w:val="none"/>
        </w:rPr>
        <w:t>单位名称：</w:t>
      </w:r>
      <w:r>
        <w:rPr>
          <w:rFonts w:hint="eastAsia" w:ascii="宋体" w:hAnsi="宋体"/>
          <w:color w:val="auto"/>
          <w:sz w:val="24"/>
          <w:highlight w:val="none"/>
          <w:u w:val="single"/>
        </w:rPr>
        <w:t xml:space="preserve">                              </w:t>
      </w:r>
    </w:p>
    <w:p w14:paraId="53475DCE">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xml:space="preserve">                                          （单位公章）</w:t>
      </w:r>
    </w:p>
    <w:p w14:paraId="53475DCF">
      <w:pPr>
        <w:adjustRightInd w:val="0"/>
        <w:snapToGrid w:val="0"/>
        <w:spacing w:line="360" w:lineRule="auto"/>
        <w:rPr>
          <w:rFonts w:ascii="宋体" w:hAnsi="宋体"/>
          <w:color w:val="auto"/>
          <w:sz w:val="24"/>
          <w:highlight w:val="none"/>
        </w:rPr>
      </w:pPr>
    </w:p>
    <w:p w14:paraId="53475DD2">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xml:space="preserve">                                         年     月    日</w:t>
      </w:r>
    </w:p>
    <w:p w14:paraId="53475DD3">
      <w:pPr>
        <w:adjustRightInd w:val="0"/>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住    址：</w:t>
      </w:r>
    </w:p>
    <w:p w14:paraId="53475DD4">
      <w:pPr>
        <w:adjustRightInd w:val="0"/>
        <w:snapToGrid w:val="0"/>
        <w:spacing w:line="360" w:lineRule="auto"/>
        <w:ind w:firstLine="360" w:firstLineChars="150"/>
        <w:rPr>
          <w:rFonts w:ascii="宋体" w:hAnsi="宋体"/>
          <w:color w:val="auto"/>
          <w:sz w:val="24"/>
          <w:highlight w:val="none"/>
        </w:rPr>
      </w:pPr>
    </w:p>
    <w:p w14:paraId="53475DD5">
      <w:pPr>
        <w:pStyle w:val="22"/>
        <w:adjustRightInd w:val="0"/>
        <w:snapToGrid w:val="0"/>
        <w:spacing w:line="360" w:lineRule="auto"/>
        <w:ind w:firstLine="360" w:firstLineChars="150"/>
        <w:rPr>
          <w:rFonts w:hAnsi="宋体"/>
          <w:color w:val="auto"/>
          <w:sz w:val="24"/>
          <w:szCs w:val="24"/>
          <w:highlight w:val="none"/>
        </w:rPr>
      </w:pPr>
      <w:r>
        <w:rPr>
          <w:rFonts w:hint="eastAsia" w:hAnsi="宋体"/>
          <w:color w:val="auto"/>
          <w:sz w:val="24"/>
          <w:szCs w:val="24"/>
          <w:highlight w:val="none"/>
        </w:rPr>
        <w:t>联系电话：</w:t>
      </w:r>
    </w:p>
    <w:p w14:paraId="53475DD6">
      <w:pPr>
        <w:pStyle w:val="22"/>
        <w:adjustRightInd w:val="0"/>
        <w:snapToGrid w:val="0"/>
        <w:spacing w:line="360" w:lineRule="auto"/>
        <w:ind w:firstLine="360" w:firstLineChars="150"/>
        <w:rPr>
          <w:rFonts w:hAnsi="宋体"/>
          <w:color w:val="auto"/>
          <w:sz w:val="24"/>
          <w:szCs w:val="24"/>
          <w:highlight w:val="none"/>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5347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tcPr>
          <w:p w14:paraId="53475DD7">
            <w:pPr>
              <w:snapToGrid w:val="0"/>
              <w:spacing w:line="360" w:lineRule="auto"/>
              <w:rPr>
                <w:rFonts w:ascii="宋体" w:hAnsi="宋体"/>
                <w:color w:val="auto"/>
                <w:sz w:val="24"/>
                <w:highlight w:val="none"/>
              </w:rPr>
            </w:pPr>
            <w:r>
              <w:rPr>
                <w:rFonts w:hint="eastAsia" w:ascii="宋体" w:hAnsi="宋体"/>
                <w:color w:val="auto"/>
                <w:sz w:val="24"/>
                <w:highlight w:val="none"/>
              </w:rPr>
              <w:t>贴附“身份证复印件”（正反两面）</w:t>
            </w:r>
          </w:p>
        </w:tc>
      </w:tr>
      <w:tr w14:paraId="53475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9124" w:type="dxa"/>
          </w:tcPr>
          <w:p w14:paraId="53475DD9">
            <w:pPr>
              <w:snapToGrid w:val="0"/>
              <w:spacing w:line="360" w:lineRule="auto"/>
              <w:rPr>
                <w:rFonts w:ascii="宋体" w:hAnsi="宋体"/>
                <w:color w:val="auto"/>
                <w:szCs w:val="21"/>
                <w:highlight w:val="none"/>
              </w:rPr>
            </w:pPr>
          </w:p>
        </w:tc>
      </w:tr>
    </w:tbl>
    <w:p w14:paraId="0204BD4A">
      <w:pPr>
        <w:rPr>
          <w:rFonts w:hint="eastAsia" w:ascii="宋体" w:hAnsi="宋体"/>
          <w:b/>
          <w:color w:val="auto"/>
          <w:sz w:val="24"/>
          <w:highlight w:val="none"/>
        </w:rPr>
      </w:pPr>
      <w:r>
        <w:rPr>
          <w:rFonts w:hint="eastAsia" w:ascii="宋体" w:hAnsi="宋体"/>
          <w:b/>
          <w:color w:val="auto"/>
          <w:sz w:val="24"/>
          <w:highlight w:val="none"/>
        </w:rPr>
        <w:br w:type="page"/>
      </w:r>
    </w:p>
    <w:p w14:paraId="53475DDB">
      <w:pPr>
        <w:autoSpaceDE w:val="0"/>
        <w:autoSpaceDN w:val="0"/>
        <w:adjustRightInd w:val="0"/>
        <w:snapToGrid w:val="0"/>
        <w:spacing w:line="360" w:lineRule="auto"/>
        <w:rPr>
          <w:rFonts w:ascii="宋体" w:hAnsi="宋体"/>
          <w:b/>
          <w:color w:val="auto"/>
          <w:kern w:val="0"/>
          <w:sz w:val="24"/>
          <w:highlight w:val="none"/>
        </w:rPr>
      </w:pPr>
      <w:r>
        <w:rPr>
          <w:rFonts w:hint="eastAsia" w:ascii="宋体" w:hAnsi="宋体"/>
          <w:b/>
          <w:color w:val="auto"/>
          <w:sz w:val="24"/>
          <w:highlight w:val="none"/>
        </w:rPr>
        <w:t>附件8</w:t>
      </w:r>
    </w:p>
    <w:p w14:paraId="53475DDD">
      <w:pPr>
        <w:spacing w:line="360" w:lineRule="auto"/>
        <w:jc w:val="center"/>
        <w:rPr>
          <w:rFonts w:ascii="宋体" w:hAnsi="宋体"/>
          <w:color w:val="auto"/>
          <w:kern w:val="0"/>
          <w:sz w:val="32"/>
          <w:szCs w:val="21"/>
          <w:highlight w:val="none"/>
        </w:rPr>
      </w:pPr>
      <w:r>
        <w:rPr>
          <w:rFonts w:hint="eastAsia" w:ascii="宋体" w:hAnsi="宋体"/>
          <w:color w:val="auto"/>
          <w:kern w:val="0"/>
          <w:sz w:val="32"/>
          <w:szCs w:val="21"/>
          <w:highlight w:val="none"/>
        </w:rPr>
        <w:t>承诺函（格式）</w:t>
      </w:r>
    </w:p>
    <w:p w14:paraId="53475DDE">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auto"/>
          <w:kern w:val="0"/>
          <w:sz w:val="24"/>
          <w:highlight w:val="none"/>
        </w:rPr>
      </w:pPr>
    </w:p>
    <w:p w14:paraId="53475DDF">
      <w:pPr>
        <w:keepNext w:val="0"/>
        <w:keepLines w:val="0"/>
        <w:pageBreakBefore w:val="0"/>
        <w:widowControl/>
        <w:kinsoku/>
        <w:wordWrap/>
        <w:overflowPunct/>
        <w:topLinePunct w:val="0"/>
        <w:autoSpaceDE/>
        <w:autoSpaceDN/>
        <w:bidi w:val="0"/>
        <w:spacing w:line="276" w:lineRule="auto"/>
        <w:jc w:val="left"/>
        <w:textAlignment w:val="auto"/>
        <w:rPr>
          <w:rFonts w:ascii="宋体" w:hAnsi="宋体"/>
          <w:color w:val="auto"/>
          <w:kern w:val="0"/>
          <w:sz w:val="24"/>
          <w:highlight w:val="none"/>
        </w:rPr>
      </w:pPr>
      <w:r>
        <w:rPr>
          <w:rFonts w:hint="eastAsia" w:cs="宋体" w:asciiTheme="minorEastAsia" w:hAnsiTheme="minorEastAsia" w:eastAsiaTheme="minorEastAsia"/>
          <w:color w:val="auto"/>
          <w:spacing w:val="-1"/>
          <w:sz w:val="24"/>
          <w:szCs w:val="24"/>
          <w:highlight w:val="none"/>
          <w:lang w:eastAsia="zh-CN"/>
        </w:rPr>
        <w:t>合浦县水利局</w:t>
      </w:r>
      <w:r>
        <w:rPr>
          <w:rFonts w:cs="宋体" w:asciiTheme="minorEastAsia" w:hAnsiTheme="minorEastAsia" w:eastAsiaTheme="minorEastAsia"/>
          <w:color w:val="auto"/>
          <w:spacing w:val="-1"/>
          <w:sz w:val="24"/>
          <w:szCs w:val="24"/>
          <w:highlight w:val="none"/>
          <w:lang w:eastAsia="zh-CN"/>
        </w:rPr>
        <w:t>、</w:t>
      </w:r>
      <w:r>
        <w:rPr>
          <w:rFonts w:hint="eastAsia" w:cs="宋体" w:asciiTheme="minorEastAsia" w:hAnsiTheme="minorEastAsia" w:eastAsiaTheme="minorEastAsia"/>
          <w:color w:val="auto"/>
          <w:sz w:val="24"/>
          <w:szCs w:val="24"/>
          <w:highlight w:val="none"/>
          <w:lang w:val="en-US" w:eastAsia="zh-CN"/>
        </w:rPr>
        <w:t>合浦县水旱灾害防御中心、</w:t>
      </w:r>
      <w:r>
        <w:rPr>
          <w:rFonts w:hint="eastAsia" w:cs="宋体" w:asciiTheme="minorEastAsia" w:hAnsiTheme="minorEastAsia" w:eastAsiaTheme="minorEastAsia"/>
          <w:color w:val="auto"/>
          <w:spacing w:val="-1"/>
          <w:sz w:val="24"/>
          <w:szCs w:val="24"/>
          <w:highlight w:val="none"/>
          <w:lang w:eastAsia="zh-CN"/>
        </w:rPr>
        <w:t>广西亿翔荣工程管理有限责任公司</w:t>
      </w:r>
      <w:r>
        <w:rPr>
          <w:rFonts w:hint="eastAsia" w:ascii="宋体" w:hAnsi="宋体"/>
          <w:color w:val="auto"/>
          <w:kern w:val="0"/>
          <w:sz w:val="24"/>
          <w:highlight w:val="none"/>
        </w:rPr>
        <w:t>：</w:t>
      </w:r>
    </w:p>
    <w:p w14:paraId="53475DE0">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我方作为本次采购项目的磋商供应商，根据磋商文件要求，现郑重承诺如下：</w:t>
      </w:r>
    </w:p>
    <w:p w14:paraId="53475DE1">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一、我方已认真阅读并接受本项目磋商文件第二章的全部实质性要求，如对磋商文件有异议，已依法进行维权救济，不存在对磋商文件有异议的同时又参加磋商以求侥幸成交或者为实现其他非法目的的行为。</w:t>
      </w:r>
    </w:p>
    <w:p w14:paraId="53475DE2">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二、参加本次采购活动，不存在与单位负责人为同一人或者存在直接控股、管理关系的其他供应商参与同一合同项下的政府采购活动的行为。</w:t>
      </w:r>
    </w:p>
    <w:p w14:paraId="53475DE3">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53475DE4">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四、参加本次采购活动，不存在和其他供应商在同一合同项下的采购项目中，同时委托同一个自然人、同一家庭的人员、同一单位的人员作为代理人的行为。</w:t>
      </w:r>
    </w:p>
    <w:p w14:paraId="53475DE5">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五、响应文件中提供的能够给予我方带来优惠、好处的任何材料资料和技术、服务、商务、响应产品等响应承诺情况都是真实的、有效的、合法的。</w:t>
      </w:r>
    </w:p>
    <w:p w14:paraId="53475DE6">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六、参加本次采购活动，我方完全同意磋商文件第二章关于“成交费用”、 “履约保证金”的实质性要求，并承诺严格按照磋商文件要求履行。</w:t>
      </w:r>
    </w:p>
    <w:p w14:paraId="53475DE7">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七、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53475DE8">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我方对上述承诺的内容事项真实性负责。如经查实上述承诺的内容事项存在虚假，我方愿意接受以提供虚假材料谋取成交追究法律责任。</w:t>
      </w:r>
    </w:p>
    <w:p w14:paraId="53475DE9">
      <w:pPr>
        <w:keepNext w:val="0"/>
        <w:keepLines w:val="0"/>
        <w:pageBreakBefore w:val="0"/>
        <w:kinsoku/>
        <w:wordWrap/>
        <w:overflowPunct/>
        <w:topLinePunct w:val="0"/>
        <w:autoSpaceDE/>
        <w:autoSpaceDN/>
        <w:bidi w:val="0"/>
        <w:adjustRightInd w:val="0"/>
        <w:snapToGrid w:val="0"/>
        <w:spacing w:line="276" w:lineRule="auto"/>
        <w:ind w:right="1470" w:rightChars="700"/>
        <w:textAlignment w:val="auto"/>
        <w:rPr>
          <w:rFonts w:ascii="宋体" w:hAnsi="宋体"/>
          <w:color w:val="auto"/>
          <w:kern w:val="0"/>
          <w:sz w:val="24"/>
          <w:highlight w:val="none"/>
        </w:rPr>
      </w:pPr>
    </w:p>
    <w:p w14:paraId="53475DEA">
      <w:pPr>
        <w:keepNext w:val="0"/>
        <w:keepLines w:val="0"/>
        <w:pageBreakBefore w:val="0"/>
        <w:kinsoku/>
        <w:wordWrap/>
        <w:overflowPunct/>
        <w:topLinePunct w:val="0"/>
        <w:autoSpaceDE/>
        <w:autoSpaceDN/>
        <w:bidi w:val="0"/>
        <w:adjustRightInd w:val="0"/>
        <w:snapToGrid w:val="0"/>
        <w:spacing w:line="276" w:lineRule="auto"/>
        <w:ind w:firstLine="960" w:firstLineChars="400"/>
        <w:jc w:val="left"/>
        <w:textAlignment w:val="auto"/>
        <w:rPr>
          <w:rFonts w:ascii="宋体" w:hAnsi="宋体"/>
          <w:color w:val="auto"/>
          <w:sz w:val="24"/>
          <w:highlight w:val="none"/>
        </w:rPr>
      </w:pPr>
      <w:r>
        <w:rPr>
          <w:rFonts w:hint="eastAsia" w:ascii="宋体" w:hAnsi="宋体"/>
          <w:color w:val="auto"/>
          <w:sz w:val="24"/>
          <w:highlight w:val="none"/>
        </w:rPr>
        <w:t xml:space="preserve">磋商供应商名称(公章)： </w:t>
      </w:r>
    </w:p>
    <w:p w14:paraId="53475DEB">
      <w:pPr>
        <w:keepNext w:val="0"/>
        <w:keepLines w:val="0"/>
        <w:pageBreakBefore w:val="0"/>
        <w:kinsoku/>
        <w:wordWrap/>
        <w:overflowPunct/>
        <w:topLinePunct w:val="0"/>
        <w:autoSpaceDE/>
        <w:autoSpaceDN/>
        <w:bidi w:val="0"/>
        <w:adjustRightInd w:val="0"/>
        <w:snapToGrid w:val="0"/>
        <w:spacing w:line="276" w:lineRule="auto"/>
        <w:ind w:firstLine="960" w:firstLineChars="400"/>
        <w:jc w:val="left"/>
        <w:textAlignment w:val="auto"/>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53475DEC">
      <w:pPr>
        <w:keepNext w:val="0"/>
        <w:keepLines w:val="0"/>
        <w:pageBreakBefore w:val="0"/>
        <w:kinsoku/>
        <w:wordWrap/>
        <w:overflowPunct/>
        <w:topLinePunct w:val="0"/>
        <w:autoSpaceDE/>
        <w:autoSpaceDN/>
        <w:bidi w:val="0"/>
        <w:spacing w:line="276" w:lineRule="auto"/>
        <w:ind w:firstLine="960" w:firstLineChars="400"/>
        <w:textAlignment w:val="auto"/>
        <w:rPr>
          <w:rFonts w:ascii="宋体" w:hAnsi="宋体"/>
          <w:color w:val="auto"/>
          <w:sz w:val="24"/>
          <w:highlight w:val="none"/>
        </w:rPr>
      </w:pPr>
      <w:r>
        <w:rPr>
          <w:rFonts w:hint="eastAsia" w:ascii="宋体" w:hAnsi="宋体"/>
          <w:color w:val="auto"/>
          <w:sz w:val="24"/>
          <w:highlight w:val="none"/>
        </w:rPr>
        <w:t>日期：  年   月   日</w:t>
      </w:r>
    </w:p>
    <w:p w14:paraId="53475DED">
      <w:pPr>
        <w:pStyle w:val="45"/>
        <w:spacing w:before="0" w:after="0"/>
        <w:ind w:firstLine="605"/>
        <w:rPr>
          <w:rFonts w:ascii="宋体" w:hAnsi="宋体" w:eastAsia="宋体"/>
          <w:color w:val="auto"/>
          <w:highlight w:val="none"/>
        </w:rPr>
      </w:pPr>
    </w:p>
    <w:p w14:paraId="53475DEE">
      <w:pPr>
        <w:rPr>
          <w:rFonts w:ascii="宋体" w:hAnsi="宋体"/>
          <w:b/>
          <w:color w:val="auto"/>
          <w:sz w:val="24"/>
          <w:highlight w:val="none"/>
        </w:rPr>
      </w:pPr>
      <w:r>
        <w:rPr>
          <w:rFonts w:hint="eastAsia" w:ascii="宋体" w:hAnsi="宋体"/>
          <w:b/>
          <w:color w:val="auto"/>
          <w:sz w:val="24"/>
          <w:highlight w:val="none"/>
        </w:rPr>
        <w:br w:type="page"/>
      </w:r>
    </w:p>
    <w:p w14:paraId="53475DEF">
      <w:pPr>
        <w:spacing w:line="360" w:lineRule="auto"/>
        <w:rPr>
          <w:rFonts w:ascii="宋体" w:hAnsi="宋体"/>
          <w:b/>
          <w:color w:val="auto"/>
          <w:sz w:val="24"/>
          <w:highlight w:val="none"/>
        </w:rPr>
      </w:pPr>
      <w:r>
        <w:rPr>
          <w:rFonts w:hint="eastAsia" w:ascii="宋体" w:hAnsi="宋体"/>
          <w:b/>
          <w:color w:val="auto"/>
          <w:sz w:val="24"/>
          <w:highlight w:val="none"/>
        </w:rPr>
        <w:t>附件9</w:t>
      </w:r>
    </w:p>
    <w:p w14:paraId="53475DF0">
      <w:pPr>
        <w:tabs>
          <w:tab w:val="left" w:pos="5387"/>
        </w:tabs>
        <w:spacing w:line="360" w:lineRule="auto"/>
        <w:jc w:val="center"/>
        <w:rPr>
          <w:rFonts w:ascii="宋体" w:hAnsi="宋体" w:cs="宋体"/>
          <w:color w:val="auto"/>
          <w:sz w:val="24"/>
          <w:highlight w:val="none"/>
        </w:rPr>
      </w:pPr>
      <w:r>
        <w:rPr>
          <w:rFonts w:hint="eastAsia" w:ascii="宋体" w:hAnsi="宋体"/>
          <w:b/>
          <w:color w:val="auto"/>
          <w:sz w:val="24"/>
          <w:highlight w:val="none"/>
        </w:rPr>
        <w:t>施工组织设计</w:t>
      </w:r>
    </w:p>
    <w:p w14:paraId="53475DF1">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磋商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53475DF2">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．施工组织设计除采用文字表述外可附下列图表，图表及格式要求附后。</w:t>
      </w:r>
    </w:p>
    <w:p w14:paraId="53475D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附表一</w:t>
      </w:r>
      <w:r>
        <w:rPr>
          <w:rFonts w:ascii="宋体" w:hAnsi="宋体" w:cs="宋体"/>
          <w:color w:val="auto"/>
          <w:sz w:val="24"/>
          <w:highlight w:val="none"/>
        </w:rPr>
        <w:t xml:space="preserve">  </w:t>
      </w:r>
      <w:r>
        <w:rPr>
          <w:rFonts w:hint="eastAsia" w:ascii="宋体" w:hAnsi="宋体" w:cs="宋体"/>
          <w:color w:val="auto"/>
          <w:sz w:val="24"/>
          <w:highlight w:val="none"/>
        </w:rPr>
        <w:t>拟投入本工程的主要施工设备表</w:t>
      </w:r>
    </w:p>
    <w:p w14:paraId="53475DF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附表二</w:t>
      </w:r>
      <w:r>
        <w:rPr>
          <w:rFonts w:ascii="宋体" w:hAnsi="宋体" w:cs="宋体"/>
          <w:color w:val="auto"/>
          <w:sz w:val="24"/>
          <w:highlight w:val="none"/>
        </w:rPr>
        <w:t xml:space="preserve">  </w:t>
      </w:r>
      <w:r>
        <w:rPr>
          <w:rFonts w:hint="eastAsia" w:ascii="宋体" w:hAnsi="宋体" w:cs="宋体"/>
          <w:color w:val="auto"/>
          <w:sz w:val="24"/>
          <w:highlight w:val="none"/>
        </w:rPr>
        <w:t>拟配备本工程的试验和检测仪器设备表</w:t>
      </w:r>
    </w:p>
    <w:p w14:paraId="53475DF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附表三</w:t>
      </w:r>
      <w:r>
        <w:rPr>
          <w:rFonts w:ascii="宋体" w:hAnsi="宋体" w:cs="宋体"/>
          <w:color w:val="auto"/>
          <w:sz w:val="24"/>
          <w:highlight w:val="none"/>
        </w:rPr>
        <w:t xml:space="preserve">  </w:t>
      </w:r>
      <w:r>
        <w:rPr>
          <w:rFonts w:hint="eastAsia" w:ascii="宋体" w:hAnsi="宋体" w:cs="宋体"/>
          <w:color w:val="auto"/>
          <w:sz w:val="24"/>
          <w:highlight w:val="none"/>
        </w:rPr>
        <w:t>劳动力计划表</w:t>
      </w:r>
    </w:p>
    <w:p w14:paraId="53475DF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附表四</w:t>
      </w:r>
      <w:r>
        <w:rPr>
          <w:rFonts w:ascii="宋体" w:hAnsi="宋体" w:cs="宋体"/>
          <w:color w:val="auto"/>
          <w:sz w:val="24"/>
          <w:highlight w:val="none"/>
        </w:rPr>
        <w:t xml:space="preserve">  </w:t>
      </w:r>
      <w:r>
        <w:rPr>
          <w:rFonts w:hint="eastAsia" w:ascii="宋体" w:hAnsi="宋体" w:cs="宋体"/>
          <w:color w:val="auto"/>
          <w:sz w:val="24"/>
          <w:highlight w:val="none"/>
        </w:rPr>
        <w:t>计划开、竣工日期和施工进度网络图</w:t>
      </w:r>
    </w:p>
    <w:p w14:paraId="53475D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附表五</w:t>
      </w:r>
      <w:r>
        <w:rPr>
          <w:rFonts w:ascii="宋体" w:hAnsi="宋体" w:cs="宋体"/>
          <w:color w:val="auto"/>
          <w:sz w:val="24"/>
          <w:highlight w:val="none"/>
        </w:rPr>
        <w:t xml:space="preserve">  </w:t>
      </w:r>
      <w:r>
        <w:rPr>
          <w:rFonts w:hint="eastAsia" w:ascii="宋体" w:hAnsi="宋体" w:cs="宋体"/>
          <w:color w:val="auto"/>
          <w:sz w:val="24"/>
          <w:highlight w:val="none"/>
        </w:rPr>
        <w:t>施工总平面图</w:t>
      </w:r>
    </w:p>
    <w:p w14:paraId="53475DF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附表六</w:t>
      </w:r>
      <w:r>
        <w:rPr>
          <w:rFonts w:ascii="宋体" w:hAnsi="宋体" w:cs="宋体"/>
          <w:color w:val="auto"/>
          <w:sz w:val="24"/>
          <w:highlight w:val="none"/>
        </w:rPr>
        <w:t xml:space="preserve">  </w:t>
      </w:r>
      <w:r>
        <w:rPr>
          <w:rFonts w:hint="eastAsia" w:ascii="宋体" w:hAnsi="宋体" w:cs="宋体"/>
          <w:color w:val="auto"/>
          <w:sz w:val="24"/>
          <w:highlight w:val="none"/>
        </w:rPr>
        <w:t>临时用地表</w:t>
      </w:r>
    </w:p>
    <w:p w14:paraId="53475DF9">
      <w:pPr>
        <w:spacing w:line="360" w:lineRule="auto"/>
        <w:ind w:firstLine="480" w:firstLineChars="200"/>
        <w:rPr>
          <w:rFonts w:ascii="宋体" w:hAnsi="宋体" w:cs="宋体"/>
          <w:color w:val="auto"/>
          <w:sz w:val="24"/>
          <w:highlight w:val="none"/>
        </w:rPr>
      </w:pPr>
    </w:p>
    <w:p w14:paraId="53475DFA">
      <w:pPr>
        <w:spacing w:line="360" w:lineRule="auto"/>
        <w:rPr>
          <w:rFonts w:ascii="宋体" w:hAnsi="宋体" w:cs="宋体"/>
          <w:color w:val="auto"/>
          <w:sz w:val="24"/>
          <w:highlight w:val="none"/>
        </w:rPr>
      </w:pPr>
      <w:r>
        <w:rPr>
          <w:rFonts w:hint="eastAsia" w:ascii="宋体" w:hAnsi="宋体" w:cs="宋体"/>
          <w:color w:val="auto"/>
          <w:sz w:val="24"/>
          <w:highlight w:val="none"/>
        </w:rPr>
        <w:t>附表一：拟投入本工程的主要施工设备表</w:t>
      </w:r>
    </w:p>
    <w:tbl>
      <w:tblPr>
        <w:tblStyle w:val="37"/>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44"/>
        <w:gridCol w:w="864"/>
        <w:gridCol w:w="719"/>
        <w:gridCol w:w="720"/>
        <w:gridCol w:w="864"/>
        <w:gridCol w:w="1151"/>
        <w:gridCol w:w="1007"/>
        <w:gridCol w:w="1151"/>
        <w:gridCol w:w="1007"/>
      </w:tblGrid>
      <w:tr w14:paraId="5347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53475DF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44" w:type="dxa"/>
            <w:tcBorders>
              <w:top w:val="single" w:color="auto" w:sz="4" w:space="0"/>
              <w:left w:val="single" w:color="auto" w:sz="4" w:space="0"/>
              <w:bottom w:val="single" w:color="auto" w:sz="4" w:space="0"/>
              <w:right w:val="single" w:color="auto" w:sz="4" w:space="0"/>
            </w:tcBorders>
            <w:vAlign w:val="center"/>
          </w:tcPr>
          <w:p w14:paraId="53475DF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设备名称</w:t>
            </w:r>
          </w:p>
        </w:tc>
        <w:tc>
          <w:tcPr>
            <w:tcW w:w="864" w:type="dxa"/>
            <w:tcBorders>
              <w:top w:val="single" w:color="auto" w:sz="4" w:space="0"/>
              <w:left w:val="single" w:color="auto" w:sz="4" w:space="0"/>
              <w:bottom w:val="single" w:color="auto" w:sz="4" w:space="0"/>
              <w:right w:val="single" w:color="auto" w:sz="4" w:space="0"/>
            </w:tcBorders>
            <w:vAlign w:val="center"/>
          </w:tcPr>
          <w:p w14:paraId="53475DF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型号</w:t>
            </w:r>
          </w:p>
          <w:p w14:paraId="53475DF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规格</w:t>
            </w:r>
          </w:p>
        </w:tc>
        <w:tc>
          <w:tcPr>
            <w:tcW w:w="719" w:type="dxa"/>
            <w:tcBorders>
              <w:top w:val="single" w:color="auto" w:sz="4" w:space="0"/>
              <w:left w:val="single" w:color="auto" w:sz="4" w:space="0"/>
              <w:bottom w:val="single" w:color="auto" w:sz="4" w:space="0"/>
              <w:right w:val="single" w:color="auto" w:sz="4" w:space="0"/>
            </w:tcBorders>
            <w:vAlign w:val="center"/>
          </w:tcPr>
          <w:p w14:paraId="53475DF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720" w:type="dxa"/>
            <w:tcBorders>
              <w:top w:val="single" w:color="auto" w:sz="4" w:space="0"/>
              <w:left w:val="single" w:color="auto" w:sz="4" w:space="0"/>
              <w:bottom w:val="single" w:color="auto" w:sz="4" w:space="0"/>
              <w:right w:val="single" w:color="auto" w:sz="4" w:space="0"/>
            </w:tcBorders>
            <w:vAlign w:val="center"/>
          </w:tcPr>
          <w:p w14:paraId="53475E0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国别</w:t>
            </w:r>
          </w:p>
          <w:p w14:paraId="53475E0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产地</w:t>
            </w:r>
          </w:p>
        </w:tc>
        <w:tc>
          <w:tcPr>
            <w:tcW w:w="864" w:type="dxa"/>
            <w:tcBorders>
              <w:top w:val="single" w:color="auto" w:sz="4" w:space="0"/>
              <w:left w:val="single" w:color="auto" w:sz="4" w:space="0"/>
              <w:bottom w:val="single" w:color="auto" w:sz="4" w:space="0"/>
              <w:right w:val="single" w:color="auto" w:sz="4" w:space="0"/>
            </w:tcBorders>
            <w:vAlign w:val="center"/>
          </w:tcPr>
          <w:p w14:paraId="53475E0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制造</w:t>
            </w:r>
          </w:p>
          <w:p w14:paraId="53475E0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年份</w:t>
            </w:r>
          </w:p>
        </w:tc>
        <w:tc>
          <w:tcPr>
            <w:tcW w:w="1151" w:type="dxa"/>
            <w:tcBorders>
              <w:top w:val="single" w:color="auto" w:sz="4" w:space="0"/>
              <w:left w:val="single" w:color="auto" w:sz="4" w:space="0"/>
              <w:bottom w:val="single" w:color="auto" w:sz="4" w:space="0"/>
              <w:right w:val="single" w:color="auto" w:sz="4" w:space="0"/>
            </w:tcBorders>
            <w:vAlign w:val="center"/>
          </w:tcPr>
          <w:p w14:paraId="53475E0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额定功率</w:t>
            </w:r>
          </w:p>
          <w:p w14:paraId="53475E0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KW</w:t>
            </w:r>
            <w:r>
              <w:rPr>
                <w:rFonts w:hint="eastAsia" w:ascii="宋体" w:hAnsi="宋体" w:cs="宋体"/>
                <w:color w:val="auto"/>
                <w:sz w:val="24"/>
                <w:highlight w:val="none"/>
              </w:rPr>
              <w:t>）</w:t>
            </w:r>
          </w:p>
        </w:tc>
        <w:tc>
          <w:tcPr>
            <w:tcW w:w="1007" w:type="dxa"/>
            <w:tcBorders>
              <w:top w:val="single" w:color="auto" w:sz="4" w:space="0"/>
              <w:left w:val="single" w:color="auto" w:sz="4" w:space="0"/>
              <w:bottom w:val="single" w:color="auto" w:sz="4" w:space="0"/>
              <w:right w:val="single" w:color="auto" w:sz="4" w:space="0"/>
            </w:tcBorders>
            <w:vAlign w:val="center"/>
          </w:tcPr>
          <w:p w14:paraId="53475E0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生产</w:t>
            </w:r>
          </w:p>
          <w:p w14:paraId="53475E0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能力</w:t>
            </w:r>
          </w:p>
        </w:tc>
        <w:tc>
          <w:tcPr>
            <w:tcW w:w="1151" w:type="dxa"/>
            <w:tcBorders>
              <w:top w:val="single" w:color="auto" w:sz="4" w:space="0"/>
              <w:left w:val="single" w:color="auto" w:sz="4" w:space="0"/>
              <w:bottom w:val="single" w:color="auto" w:sz="4" w:space="0"/>
              <w:right w:val="single" w:color="auto" w:sz="4" w:space="0"/>
            </w:tcBorders>
            <w:vAlign w:val="center"/>
          </w:tcPr>
          <w:p w14:paraId="53475E0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用于施</w:t>
            </w:r>
          </w:p>
          <w:p w14:paraId="53475E0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工部位</w:t>
            </w:r>
          </w:p>
        </w:tc>
        <w:tc>
          <w:tcPr>
            <w:tcW w:w="1007" w:type="dxa"/>
            <w:tcBorders>
              <w:top w:val="single" w:color="auto" w:sz="4" w:space="0"/>
              <w:left w:val="single" w:color="auto" w:sz="4" w:space="0"/>
              <w:bottom w:val="single" w:color="auto" w:sz="4" w:space="0"/>
              <w:right w:val="single" w:color="auto" w:sz="4" w:space="0"/>
            </w:tcBorders>
            <w:vAlign w:val="center"/>
          </w:tcPr>
          <w:p w14:paraId="53475E0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14:paraId="53475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53475E0C">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53475E0D">
            <w:pPr>
              <w:spacing w:line="360" w:lineRule="auto"/>
              <w:ind w:firstLine="480" w:firstLineChars="200"/>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53475E0E">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53475E0F">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53475E10">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53475E11">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3475E12">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53475E13">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3475E14">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53475E15">
            <w:pPr>
              <w:spacing w:line="360" w:lineRule="auto"/>
              <w:rPr>
                <w:rFonts w:ascii="宋体" w:hAnsi="宋体" w:cs="宋体"/>
                <w:color w:val="auto"/>
                <w:sz w:val="24"/>
                <w:highlight w:val="none"/>
              </w:rPr>
            </w:pPr>
          </w:p>
        </w:tc>
      </w:tr>
      <w:tr w14:paraId="5347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53475E17">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53475E18">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53475E19">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53475E1A">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53475E1B">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53475E1C">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3475E1D">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53475E1E">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3475E1F">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53475E20">
            <w:pPr>
              <w:spacing w:line="360" w:lineRule="auto"/>
              <w:rPr>
                <w:rFonts w:ascii="宋体" w:hAnsi="宋体" w:cs="宋体"/>
                <w:color w:val="auto"/>
                <w:sz w:val="24"/>
                <w:highlight w:val="none"/>
              </w:rPr>
            </w:pPr>
          </w:p>
        </w:tc>
      </w:tr>
      <w:tr w14:paraId="5347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53475E22">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53475E23">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53475E24">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53475E25">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53475E26">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53475E27">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3475E28">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53475E29">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3475E2A">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53475E2B">
            <w:pPr>
              <w:spacing w:line="360" w:lineRule="auto"/>
              <w:rPr>
                <w:rFonts w:ascii="宋体" w:hAnsi="宋体" w:cs="宋体"/>
                <w:color w:val="auto"/>
                <w:sz w:val="24"/>
                <w:highlight w:val="none"/>
              </w:rPr>
            </w:pPr>
          </w:p>
        </w:tc>
      </w:tr>
      <w:tr w14:paraId="5347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53475E2D">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53475E2E">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53475E2F">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53475E30">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53475E31">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53475E32">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3475E33">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53475E34">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3475E35">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53475E36">
            <w:pPr>
              <w:spacing w:line="360" w:lineRule="auto"/>
              <w:rPr>
                <w:rFonts w:ascii="宋体" w:hAnsi="宋体" w:cs="宋体"/>
                <w:color w:val="auto"/>
                <w:sz w:val="24"/>
                <w:highlight w:val="none"/>
              </w:rPr>
            </w:pPr>
          </w:p>
        </w:tc>
      </w:tr>
    </w:tbl>
    <w:p w14:paraId="53475E38">
      <w:pPr>
        <w:spacing w:line="360" w:lineRule="auto"/>
        <w:rPr>
          <w:rFonts w:ascii="宋体" w:hAnsi="宋体" w:cs="宋体"/>
          <w:color w:val="auto"/>
          <w:sz w:val="24"/>
          <w:highlight w:val="none"/>
        </w:rPr>
      </w:pPr>
    </w:p>
    <w:p w14:paraId="53475E39">
      <w:pPr>
        <w:spacing w:line="360" w:lineRule="auto"/>
        <w:rPr>
          <w:rFonts w:ascii="宋体" w:hAnsi="宋体" w:cs="宋体"/>
          <w:color w:val="auto"/>
          <w:sz w:val="24"/>
          <w:highlight w:val="none"/>
        </w:rPr>
      </w:pPr>
    </w:p>
    <w:p w14:paraId="53475E3A">
      <w:pPr>
        <w:spacing w:line="360" w:lineRule="auto"/>
        <w:rPr>
          <w:rFonts w:ascii="宋体" w:hAnsi="宋体" w:cs="宋体"/>
          <w:color w:val="auto"/>
          <w:sz w:val="24"/>
          <w:highlight w:val="none"/>
        </w:rPr>
      </w:pPr>
      <w:r>
        <w:rPr>
          <w:rFonts w:hint="eastAsia" w:ascii="宋体" w:hAnsi="宋体" w:cs="宋体"/>
          <w:color w:val="auto"/>
          <w:sz w:val="24"/>
          <w:highlight w:val="none"/>
        </w:rPr>
        <w:t>附表二：拟配备本工程的试验和检测仪器设备表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35"/>
        <w:gridCol w:w="857"/>
        <w:gridCol w:w="713"/>
        <w:gridCol w:w="714"/>
        <w:gridCol w:w="1142"/>
        <w:gridCol w:w="1285"/>
        <w:gridCol w:w="1142"/>
        <w:gridCol w:w="1570"/>
      </w:tblGrid>
      <w:tr w14:paraId="5347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3475E3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35" w:type="dxa"/>
            <w:tcBorders>
              <w:top w:val="single" w:color="auto" w:sz="4" w:space="0"/>
              <w:left w:val="single" w:color="auto" w:sz="4" w:space="0"/>
              <w:bottom w:val="single" w:color="auto" w:sz="4" w:space="0"/>
              <w:right w:val="single" w:color="auto" w:sz="4" w:space="0"/>
            </w:tcBorders>
            <w:vAlign w:val="center"/>
          </w:tcPr>
          <w:p w14:paraId="53475E3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仪器设备名称</w:t>
            </w:r>
          </w:p>
        </w:tc>
        <w:tc>
          <w:tcPr>
            <w:tcW w:w="857" w:type="dxa"/>
            <w:tcBorders>
              <w:top w:val="single" w:color="auto" w:sz="4" w:space="0"/>
              <w:left w:val="single" w:color="auto" w:sz="4" w:space="0"/>
              <w:bottom w:val="single" w:color="auto" w:sz="4" w:space="0"/>
              <w:right w:val="single" w:color="auto" w:sz="4" w:space="0"/>
            </w:tcBorders>
            <w:vAlign w:val="center"/>
          </w:tcPr>
          <w:p w14:paraId="53475E3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型号</w:t>
            </w:r>
          </w:p>
          <w:p w14:paraId="53475E3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规格</w:t>
            </w:r>
          </w:p>
        </w:tc>
        <w:tc>
          <w:tcPr>
            <w:tcW w:w="713" w:type="dxa"/>
            <w:tcBorders>
              <w:top w:val="single" w:color="auto" w:sz="4" w:space="0"/>
              <w:left w:val="single" w:color="auto" w:sz="4" w:space="0"/>
              <w:bottom w:val="single" w:color="auto" w:sz="4" w:space="0"/>
              <w:right w:val="single" w:color="auto" w:sz="4" w:space="0"/>
            </w:tcBorders>
            <w:vAlign w:val="center"/>
          </w:tcPr>
          <w:p w14:paraId="53475E3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714" w:type="dxa"/>
            <w:tcBorders>
              <w:top w:val="single" w:color="auto" w:sz="4" w:space="0"/>
              <w:left w:val="single" w:color="auto" w:sz="4" w:space="0"/>
              <w:bottom w:val="single" w:color="auto" w:sz="4" w:space="0"/>
              <w:right w:val="single" w:color="auto" w:sz="4" w:space="0"/>
            </w:tcBorders>
            <w:vAlign w:val="center"/>
          </w:tcPr>
          <w:p w14:paraId="53475E4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国别</w:t>
            </w:r>
          </w:p>
          <w:p w14:paraId="53475E4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产地</w:t>
            </w:r>
          </w:p>
        </w:tc>
        <w:tc>
          <w:tcPr>
            <w:tcW w:w="1142" w:type="dxa"/>
            <w:tcBorders>
              <w:top w:val="single" w:color="auto" w:sz="4" w:space="0"/>
              <w:left w:val="single" w:color="auto" w:sz="4" w:space="0"/>
              <w:bottom w:val="single" w:color="auto" w:sz="4" w:space="0"/>
              <w:right w:val="single" w:color="auto" w:sz="4" w:space="0"/>
            </w:tcBorders>
            <w:vAlign w:val="center"/>
          </w:tcPr>
          <w:p w14:paraId="53475E4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制造年份</w:t>
            </w:r>
          </w:p>
        </w:tc>
        <w:tc>
          <w:tcPr>
            <w:tcW w:w="1285" w:type="dxa"/>
            <w:tcBorders>
              <w:top w:val="single" w:color="auto" w:sz="4" w:space="0"/>
              <w:left w:val="single" w:color="auto" w:sz="4" w:space="0"/>
              <w:bottom w:val="single" w:color="auto" w:sz="4" w:space="0"/>
              <w:right w:val="single" w:color="auto" w:sz="4" w:space="0"/>
            </w:tcBorders>
            <w:vAlign w:val="center"/>
          </w:tcPr>
          <w:p w14:paraId="53475E4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已使用</w:t>
            </w:r>
          </w:p>
          <w:p w14:paraId="53475E4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台时数</w:t>
            </w:r>
          </w:p>
        </w:tc>
        <w:tc>
          <w:tcPr>
            <w:tcW w:w="1142" w:type="dxa"/>
            <w:tcBorders>
              <w:top w:val="single" w:color="auto" w:sz="4" w:space="0"/>
              <w:left w:val="single" w:color="auto" w:sz="4" w:space="0"/>
              <w:bottom w:val="single" w:color="auto" w:sz="4" w:space="0"/>
              <w:right w:val="single" w:color="auto" w:sz="4" w:space="0"/>
            </w:tcBorders>
            <w:vAlign w:val="center"/>
          </w:tcPr>
          <w:p w14:paraId="53475E4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用途</w:t>
            </w:r>
          </w:p>
        </w:tc>
        <w:tc>
          <w:tcPr>
            <w:tcW w:w="1570" w:type="dxa"/>
            <w:tcBorders>
              <w:top w:val="single" w:color="auto" w:sz="4" w:space="0"/>
              <w:left w:val="single" w:color="auto" w:sz="4" w:space="0"/>
              <w:bottom w:val="single" w:color="auto" w:sz="4" w:space="0"/>
              <w:right w:val="single" w:color="auto" w:sz="4" w:space="0"/>
            </w:tcBorders>
            <w:vAlign w:val="center"/>
          </w:tcPr>
          <w:p w14:paraId="53475E4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14:paraId="5347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3475E48">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53475E49">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53475E4A">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53475E4B">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53475E4C">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4D">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53475E4E">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4F">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53475E50">
            <w:pPr>
              <w:spacing w:line="360" w:lineRule="auto"/>
              <w:ind w:firstLine="480" w:firstLineChars="200"/>
              <w:rPr>
                <w:rFonts w:ascii="宋体" w:hAnsi="宋体" w:cs="宋体"/>
                <w:color w:val="auto"/>
                <w:sz w:val="24"/>
                <w:highlight w:val="none"/>
              </w:rPr>
            </w:pPr>
          </w:p>
        </w:tc>
      </w:tr>
      <w:tr w14:paraId="5347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3475E52">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53475E53">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53475E54">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53475E55">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53475E56">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57">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53475E58">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59">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53475E5A">
            <w:pPr>
              <w:spacing w:line="360" w:lineRule="auto"/>
              <w:ind w:firstLine="480" w:firstLineChars="200"/>
              <w:rPr>
                <w:rFonts w:ascii="宋体" w:hAnsi="宋体" w:cs="宋体"/>
                <w:color w:val="auto"/>
                <w:sz w:val="24"/>
                <w:highlight w:val="none"/>
              </w:rPr>
            </w:pPr>
          </w:p>
        </w:tc>
      </w:tr>
      <w:tr w14:paraId="53475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3475E5C">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53475E5D">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53475E5E">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53475E5F">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53475E60">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61">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53475E62">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63">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53475E64">
            <w:pPr>
              <w:spacing w:line="360" w:lineRule="auto"/>
              <w:ind w:firstLine="480" w:firstLineChars="200"/>
              <w:rPr>
                <w:rFonts w:ascii="宋体" w:hAnsi="宋体" w:cs="宋体"/>
                <w:color w:val="auto"/>
                <w:sz w:val="24"/>
                <w:highlight w:val="none"/>
              </w:rPr>
            </w:pPr>
          </w:p>
        </w:tc>
      </w:tr>
      <w:tr w14:paraId="53475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3475E66">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53475E67">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53475E68">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53475E69">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53475E6A">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6B">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53475E6C">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6D">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53475E6E">
            <w:pPr>
              <w:spacing w:line="360" w:lineRule="auto"/>
              <w:ind w:firstLine="480" w:firstLineChars="200"/>
              <w:rPr>
                <w:rFonts w:ascii="宋体" w:hAnsi="宋体" w:cs="宋体"/>
                <w:color w:val="auto"/>
                <w:sz w:val="24"/>
                <w:highlight w:val="none"/>
              </w:rPr>
            </w:pPr>
          </w:p>
        </w:tc>
      </w:tr>
      <w:tr w14:paraId="5347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3475E70">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53475E71">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53475E72">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53475E73">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53475E74">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75">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53475E76">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77">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53475E78">
            <w:pPr>
              <w:spacing w:line="360" w:lineRule="auto"/>
              <w:ind w:firstLine="480" w:firstLineChars="200"/>
              <w:rPr>
                <w:rFonts w:ascii="宋体" w:hAnsi="宋体" w:cs="宋体"/>
                <w:color w:val="auto"/>
                <w:sz w:val="24"/>
                <w:highlight w:val="none"/>
              </w:rPr>
            </w:pPr>
          </w:p>
        </w:tc>
      </w:tr>
    </w:tbl>
    <w:p w14:paraId="53475E7A">
      <w:pPr>
        <w:spacing w:line="360" w:lineRule="auto"/>
        <w:rPr>
          <w:rFonts w:ascii="宋体" w:hAnsi="宋体" w:cs="宋体"/>
          <w:color w:val="auto"/>
          <w:sz w:val="24"/>
          <w:highlight w:val="none"/>
        </w:rPr>
      </w:pPr>
    </w:p>
    <w:p w14:paraId="53475E7B">
      <w:pPr>
        <w:spacing w:line="360" w:lineRule="auto"/>
        <w:rPr>
          <w:rFonts w:ascii="宋体" w:hAnsi="宋体" w:cs="宋体"/>
          <w:color w:val="auto"/>
          <w:sz w:val="24"/>
          <w:highlight w:val="none"/>
        </w:rPr>
      </w:pPr>
      <w:r>
        <w:rPr>
          <w:rFonts w:hint="eastAsia" w:ascii="宋体" w:hAnsi="宋体" w:cs="宋体"/>
          <w:color w:val="auto"/>
          <w:sz w:val="24"/>
          <w:highlight w:val="none"/>
        </w:rPr>
        <w:t>附表三：劳动力计划表</w:t>
      </w:r>
    </w:p>
    <w:p w14:paraId="53475E7C">
      <w:pPr>
        <w:spacing w:line="360" w:lineRule="auto"/>
        <w:rPr>
          <w:rFonts w:ascii="宋体" w:hAnsi="宋体" w:cs="宋体"/>
          <w:color w:val="auto"/>
          <w:sz w:val="24"/>
          <w:highlight w:val="none"/>
        </w:rPr>
      </w:pPr>
      <w:r>
        <w:rPr>
          <w:rFonts w:hint="eastAsia" w:ascii="宋体" w:hAnsi="宋体" w:cs="宋体"/>
          <w:color w:val="auto"/>
          <w:sz w:val="24"/>
          <w:highlight w:val="none"/>
        </w:rPr>
        <w:t>单位：人</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64"/>
        <w:gridCol w:w="1261"/>
        <w:gridCol w:w="1262"/>
        <w:gridCol w:w="1261"/>
        <w:gridCol w:w="1262"/>
        <w:gridCol w:w="1261"/>
        <w:gridCol w:w="1265"/>
      </w:tblGrid>
      <w:tr w14:paraId="5347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3475E7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工种</w:t>
            </w:r>
          </w:p>
        </w:tc>
        <w:tc>
          <w:tcPr>
            <w:tcW w:w="8536" w:type="dxa"/>
            <w:gridSpan w:val="7"/>
            <w:tcBorders>
              <w:top w:val="single" w:color="auto" w:sz="4" w:space="0"/>
              <w:left w:val="single" w:color="auto" w:sz="4" w:space="0"/>
              <w:bottom w:val="single" w:color="auto" w:sz="4" w:space="0"/>
              <w:right w:val="single" w:color="auto" w:sz="4" w:space="0"/>
            </w:tcBorders>
            <w:vAlign w:val="center"/>
          </w:tcPr>
          <w:p w14:paraId="53475E7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按工程施工阶段投入劳动力情况</w:t>
            </w:r>
          </w:p>
        </w:tc>
      </w:tr>
      <w:tr w14:paraId="53475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3475E80">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53475E81">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82">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83">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84">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85">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86">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53475E87">
            <w:pPr>
              <w:spacing w:line="360" w:lineRule="auto"/>
              <w:jc w:val="center"/>
              <w:rPr>
                <w:rFonts w:ascii="宋体" w:hAnsi="宋体" w:cs="宋体"/>
                <w:color w:val="auto"/>
                <w:sz w:val="24"/>
                <w:highlight w:val="none"/>
              </w:rPr>
            </w:pPr>
          </w:p>
        </w:tc>
      </w:tr>
      <w:tr w14:paraId="5347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3475E89">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53475E8A">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8B">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8C">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8D">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8E">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8F">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53475E90">
            <w:pPr>
              <w:spacing w:line="360" w:lineRule="auto"/>
              <w:jc w:val="center"/>
              <w:rPr>
                <w:rFonts w:ascii="宋体" w:hAnsi="宋体" w:cs="宋体"/>
                <w:color w:val="auto"/>
                <w:sz w:val="24"/>
                <w:highlight w:val="none"/>
              </w:rPr>
            </w:pPr>
          </w:p>
        </w:tc>
      </w:tr>
      <w:tr w14:paraId="5347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3475E92">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53475E93">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94">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95">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96">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97">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98">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53475E99">
            <w:pPr>
              <w:spacing w:line="360" w:lineRule="auto"/>
              <w:jc w:val="center"/>
              <w:rPr>
                <w:rFonts w:ascii="宋体" w:hAnsi="宋体" w:cs="宋体"/>
                <w:color w:val="auto"/>
                <w:sz w:val="24"/>
                <w:highlight w:val="none"/>
              </w:rPr>
            </w:pPr>
          </w:p>
        </w:tc>
      </w:tr>
      <w:tr w14:paraId="53475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3475E9B">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53475E9C">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9D">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9E">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9F">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A0">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A1">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53475EA2">
            <w:pPr>
              <w:spacing w:line="360" w:lineRule="auto"/>
              <w:jc w:val="center"/>
              <w:rPr>
                <w:rFonts w:ascii="宋体" w:hAnsi="宋体" w:cs="宋体"/>
                <w:color w:val="auto"/>
                <w:sz w:val="24"/>
                <w:highlight w:val="none"/>
              </w:rPr>
            </w:pPr>
          </w:p>
        </w:tc>
      </w:tr>
      <w:tr w14:paraId="5347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3475EA4">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53475EA5">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A6">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A7">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A8">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A9">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AA">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53475EAB">
            <w:pPr>
              <w:spacing w:line="360" w:lineRule="auto"/>
              <w:jc w:val="center"/>
              <w:rPr>
                <w:rFonts w:ascii="宋体" w:hAnsi="宋体" w:cs="宋体"/>
                <w:color w:val="auto"/>
                <w:sz w:val="24"/>
                <w:highlight w:val="none"/>
              </w:rPr>
            </w:pPr>
          </w:p>
        </w:tc>
      </w:tr>
    </w:tbl>
    <w:p w14:paraId="53475EAD">
      <w:pPr>
        <w:spacing w:line="360" w:lineRule="auto"/>
        <w:rPr>
          <w:rFonts w:ascii="宋体" w:hAnsi="宋体" w:cs="宋体"/>
          <w:color w:val="auto"/>
          <w:sz w:val="24"/>
          <w:highlight w:val="none"/>
        </w:rPr>
      </w:pPr>
    </w:p>
    <w:p w14:paraId="53475EAE">
      <w:pPr>
        <w:spacing w:line="360" w:lineRule="auto"/>
        <w:rPr>
          <w:rFonts w:ascii="宋体" w:hAnsi="宋体" w:cs="宋体"/>
          <w:color w:val="auto"/>
          <w:sz w:val="24"/>
          <w:highlight w:val="none"/>
        </w:rPr>
      </w:pPr>
    </w:p>
    <w:p w14:paraId="53475EAF">
      <w:pPr>
        <w:spacing w:line="360" w:lineRule="auto"/>
        <w:rPr>
          <w:rFonts w:ascii="宋体" w:hAnsi="宋体" w:cs="宋体"/>
          <w:color w:val="auto"/>
          <w:sz w:val="24"/>
          <w:highlight w:val="none"/>
        </w:rPr>
      </w:pPr>
      <w:r>
        <w:rPr>
          <w:rFonts w:hint="eastAsia" w:ascii="宋体" w:hAnsi="宋体" w:cs="宋体"/>
          <w:color w:val="auto"/>
          <w:sz w:val="24"/>
          <w:highlight w:val="none"/>
        </w:rPr>
        <w:t>附表四：计划开、竣工日期和施工进度计划（网络图或横道图）</w:t>
      </w:r>
    </w:p>
    <w:p w14:paraId="53475EB0">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1. </w:t>
      </w:r>
      <w:r>
        <w:rPr>
          <w:rFonts w:hint="eastAsia" w:ascii="宋体" w:hAnsi="宋体" w:cs="宋体"/>
          <w:color w:val="auto"/>
          <w:sz w:val="24"/>
          <w:highlight w:val="none"/>
        </w:rPr>
        <w:t>磋商供应商应提交施工进度计划，说明按磋商文件要求的工期进行施工的各个关键日期。成交的磋商供应商还应按合同条件有关条款的要求提交详细的施工进度计划。</w:t>
      </w:r>
    </w:p>
    <w:p w14:paraId="53475EB1">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2. </w:t>
      </w:r>
      <w:r>
        <w:rPr>
          <w:rFonts w:hint="eastAsia" w:ascii="宋体" w:hAnsi="宋体" w:cs="宋体"/>
          <w:color w:val="auto"/>
          <w:sz w:val="24"/>
          <w:highlight w:val="none"/>
        </w:rPr>
        <w:t>施工进度计划可采用网络图（或横道图）表示，说明计划开工日期和各分项工程各阶段的完工日期和分包合同签订的日期。</w:t>
      </w:r>
    </w:p>
    <w:p w14:paraId="53475EB2">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3. </w:t>
      </w:r>
      <w:r>
        <w:rPr>
          <w:rFonts w:hint="eastAsia" w:ascii="宋体" w:hAnsi="宋体" w:cs="宋体"/>
          <w:color w:val="auto"/>
          <w:sz w:val="24"/>
          <w:highlight w:val="none"/>
        </w:rPr>
        <w:t>施工进度计划应与施工组织设计相适应。</w:t>
      </w:r>
    </w:p>
    <w:p w14:paraId="53475EB3">
      <w:pPr>
        <w:spacing w:line="360" w:lineRule="auto"/>
        <w:rPr>
          <w:rFonts w:ascii="宋体" w:hAnsi="宋体" w:cs="宋体"/>
          <w:color w:val="auto"/>
          <w:sz w:val="24"/>
          <w:highlight w:val="none"/>
        </w:rPr>
      </w:pPr>
    </w:p>
    <w:p w14:paraId="53475EB4">
      <w:pPr>
        <w:spacing w:line="360" w:lineRule="auto"/>
        <w:rPr>
          <w:rFonts w:ascii="宋体" w:hAnsi="宋体" w:cs="宋体"/>
          <w:color w:val="auto"/>
          <w:sz w:val="24"/>
          <w:highlight w:val="none"/>
        </w:rPr>
      </w:pPr>
    </w:p>
    <w:p w14:paraId="53475EB5">
      <w:pPr>
        <w:spacing w:line="360" w:lineRule="auto"/>
        <w:rPr>
          <w:rFonts w:ascii="宋体" w:hAnsi="宋体" w:cs="宋体"/>
          <w:color w:val="auto"/>
          <w:sz w:val="24"/>
          <w:highlight w:val="none"/>
        </w:rPr>
      </w:pPr>
      <w:r>
        <w:rPr>
          <w:rFonts w:hint="eastAsia" w:ascii="宋体" w:hAnsi="宋体" w:cs="宋体"/>
          <w:color w:val="auto"/>
          <w:sz w:val="24"/>
          <w:highlight w:val="none"/>
        </w:rPr>
        <w:t>附表五：施工总平面图</w:t>
      </w:r>
    </w:p>
    <w:p w14:paraId="53475EB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磋商供应商应递交一份施工总平面图，绘出现场临时设施布置图表并附文字说明，说明临时设施、加工车间、现场办公、设备及仓储、供电、供水、卫生、生活、道路、消防等设施的情况和布置。</w:t>
      </w:r>
    </w:p>
    <w:p w14:paraId="53475EB7">
      <w:pPr>
        <w:spacing w:line="360" w:lineRule="auto"/>
        <w:rPr>
          <w:rFonts w:ascii="宋体" w:hAnsi="宋体" w:cs="宋体"/>
          <w:color w:val="auto"/>
          <w:sz w:val="24"/>
          <w:highlight w:val="none"/>
        </w:rPr>
      </w:pPr>
    </w:p>
    <w:p w14:paraId="53475EB8">
      <w:pPr>
        <w:spacing w:line="360" w:lineRule="auto"/>
        <w:rPr>
          <w:rFonts w:ascii="宋体" w:hAnsi="宋体" w:cs="宋体"/>
          <w:color w:val="auto"/>
          <w:sz w:val="24"/>
          <w:highlight w:val="none"/>
        </w:rPr>
      </w:pPr>
    </w:p>
    <w:p w14:paraId="53475EB9">
      <w:pPr>
        <w:spacing w:line="360" w:lineRule="auto"/>
        <w:rPr>
          <w:rFonts w:ascii="宋体" w:hAnsi="宋体" w:cs="宋体"/>
          <w:color w:val="auto"/>
          <w:sz w:val="24"/>
          <w:highlight w:val="none"/>
        </w:rPr>
      </w:pPr>
      <w:r>
        <w:rPr>
          <w:rFonts w:hint="eastAsia" w:ascii="宋体" w:hAnsi="宋体" w:cs="宋体"/>
          <w:color w:val="auto"/>
          <w:sz w:val="24"/>
          <w:highlight w:val="none"/>
        </w:rPr>
        <w:t>附表六：临时用地表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366"/>
        <w:gridCol w:w="2365"/>
        <w:gridCol w:w="2366"/>
      </w:tblGrid>
      <w:tr w14:paraId="5347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65" w:type="dxa"/>
            <w:tcBorders>
              <w:top w:val="single" w:color="auto" w:sz="4" w:space="0"/>
              <w:left w:val="single" w:color="auto" w:sz="4" w:space="0"/>
              <w:bottom w:val="single" w:color="auto" w:sz="4" w:space="0"/>
              <w:right w:val="single" w:color="auto" w:sz="4" w:space="0"/>
            </w:tcBorders>
            <w:vAlign w:val="center"/>
          </w:tcPr>
          <w:p w14:paraId="53475EB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用途</w:t>
            </w:r>
          </w:p>
        </w:tc>
        <w:tc>
          <w:tcPr>
            <w:tcW w:w="2366" w:type="dxa"/>
            <w:tcBorders>
              <w:top w:val="single" w:color="auto" w:sz="4" w:space="0"/>
              <w:left w:val="single" w:color="auto" w:sz="4" w:space="0"/>
              <w:bottom w:val="single" w:color="auto" w:sz="4" w:space="0"/>
              <w:right w:val="single" w:color="auto" w:sz="4" w:space="0"/>
            </w:tcBorders>
            <w:vAlign w:val="center"/>
          </w:tcPr>
          <w:p w14:paraId="53475EB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面积（平方米）</w:t>
            </w:r>
          </w:p>
        </w:tc>
        <w:tc>
          <w:tcPr>
            <w:tcW w:w="2365" w:type="dxa"/>
            <w:tcBorders>
              <w:top w:val="single" w:color="auto" w:sz="4" w:space="0"/>
              <w:left w:val="single" w:color="auto" w:sz="4" w:space="0"/>
              <w:bottom w:val="single" w:color="auto" w:sz="4" w:space="0"/>
              <w:right w:val="single" w:color="auto" w:sz="4" w:space="0"/>
            </w:tcBorders>
            <w:vAlign w:val="center"/>
          </w:tcPr>
          <w:p w14:paraId="53475EB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位置</w:t>
            </w:r>
          </w:p>
        </w:tc>
        <w:tc>
          <w:tcPr>
            <w:tcW w:w="2366" w:type="dxa"/>
            <w:tcBorders>
              <w:top w:val="single" w:color="auto" w:sz="4" w:space="0"/>
              <w:left w:val="single" w:color="auto" w:sz="4" w:space="0"/>
              <w:bottom w:val="single" w:color="auto" w:sz="4" w:space="0"/>
              <w:right w:val="single" w:color="auto" w:sz="4" w:space="0"/>
            </w:tcBorders>
            <w:vAlign w:val="center"/>
          </w:tcPr>
          <w:p w14:paraId="53475EB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需用时间</w:t>
            </w:r>
          </w:p>
        </w:tc>
      </w:tr>
      <w:tr w14:paraId="5347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53475EBF">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53475EC0">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53475EC1">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53475EC2">
            <w:pPr>
              <w:spacing w:line="360" w:lineRule="auto"/>
              <w:rPr>
                <w:rFonts w:ascii="宋体" w:hAnsi="宋体" w:cs="宋体"/>
                <w:color w:val="auto"/>
                <w:sz w:val="24"/>
                <w:highlight w:val="none"/>
              </w:rPr>
            </w:pPr>
          </w:p>
        </w:tc>
      </w:tr>
      <w:tr w14:paraId="53475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53475EC4">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53475EC5">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53475EC6">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53475EC7">
            <w:pPr>
              <w:spacing w:line="360" w:lineRule="auto"/>
              <w:rPr>
                <w:rFonts w:ascii="宋体" w:hAnsi="宋体" w:cs="宋体"/>
                <w:color w:val="auto"/>
                <w:sz w:val="24"/>
                <w:highlight w:val="none"/>
              </w:rPr>
            </w:pPr>
          </w:p>
        </w:tc>
      </w:tr>
      <w:tr w14:paraId="5347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365" w:type="dxa"/>
            <w:tcBorders>
              <w:top w:val="single" w:color="auto" w:sz="4" w:space="0"/>
              <w:left w:val="single" w:color="auto" w:sz="4" w:space="0"/>
              <w:bottom w:val="single" w:color="auto" w:sz="4" w:space="0"/>
              <w:right w:val="single" w:color="auto" w:sz="4" w:space="0"/>
            </w:tcBorders>
          </w:tcPr>
          <w:p w14:paraId="53475EC9">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53475ECA">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53475ECB">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53475ECC">
            <w:pPr>
              <w:spacing w:line="360" w:lineRule="auto"/>
              <w:rPr>
                <w:rFonts w:ascii="宋体" w:hAnsi="宋体" w:cs="宋体"/>
                <w:color w:val="auto"/>
                <w:sz w:val="24"/>
                <w:highlight w:val="none"/>
              </w:rPr>
            </w:pPr>
          </w:p>
        </w:tc>
      </w:tr>
      <w:tr w14:paraId="5347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53475ECE">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53475ECF">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53475ED0">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53475ED1">
            <w:pPr>
              <w:spacing w:line="360" w:lineRule="auto"/>
              <w:rPr>
                <w:rFonts w:ascii="宋体" w:hAnsi="宋体" w:cs="宋体"/>
                <w:color w:val="auto"/>
                <w:sz w:val="24"/>
                <w:highlight w:val="none"/>
              </w:rPr>
            </w:pPr>
          </w:p>
        </w:tc>
      </w:tr>
    </w:tbl>
    <w:p w14:paraId="53475ED3">
      <w:pPr>
        <w:kinsoku w:val="0"/>
        <w:autoSpaceDE w:val="0"/>
        <w:autoSpaceDN w:val="0"/>
        <w:adjustRightInd w:val="0"/>
        <w:snapToGrid w:val="0"/>
        <w:spacing w:line="360" w:lineRule="auto"/>
        <w:jc w:val="left"/>
        <w:textAlignment w:val="baseline"/>
        <w:rPr>
          <w:rFonts w:ascii="宋体" w:hAnsi="宋体" w:cs="宋体"/>
          <w:snapToGrid w:val="0"/>
          <w:color w:val="auto"/>
          <w:kern w:val="0"/>
          <w:szCs w:val="21"/>
          <w:highlight w:val="none"/>
          <w:lang w:eastAsia="en-US"/>
        </w:rPr>
      </w:pPr>
    </w:p>
    <w:p w14:paraId="53475ED4">
      <w:pPr>
        <w:spacing w:line="360" w:lineRule="auto"/>
        <w:rPr>
          <w:rFonts w:ascii="宋体" w:hAnsi="宋体" w:cs="宋体"/>
          <w:color w:val="auto"/>
          <w:highlight w:val="none"/>
        </w:rPr>
        <w:sectPr>
          <w:pgSz w:w="11907" w:h="16839"/>
          <w:pgMar w:top="1431" w:right="1272" w:bottom="1364" w:left="1418" w:header="850" w:footer="1204" w:gutter="0"/>
          <w:cols w:space="720" w:num="1"/>
          <w:docGrid w:linePitch="286" w:charSpace="0"/>
        </w:sectPr>
      </w:pPr>
    </w:p>
    <w:p w14:paraId="53475ED5">
      <w:pPr>
        <w:spacing w:line="360" w:lineRule="auto"/>
        <w:rPr>
          <w:rFonts w:ascii="宋体" w:hAnsi="宋体" w:cs="宋体"/>
          <w:b/>
          <w:bCs/>
          <w:color w:val="auto"/>
          <w:spacing w:val="9"/>
          <w:position w:val="3"/>
          <w:sz w:val="24"/>
          <w:highlight w:val="none"/>
        </w:rPr>
      </w:pPr>
      <w:r>
        <w:rPr>
          <w:rFonts w:hint="eastAsia" w:ascii="宋体" w:hAnsi="宋体" w:cs="宋体"/>
          <w:b/>
          <w:bCs/>
          <w:color w:val="auto"/>
          <w:spacing w:val="9"/>
          <w:position w:val="3"/>
          <w:sz w:val="24"/>
          <w:highlight w:val="none"/>
        </w:rPr>
        <w:t>附件10</w:t>
      </w:r>
    </w:p>
    <w:p w14:paraId="53475ED6">
      <w:pPr>
        <w:spacing w:line="360" w:lineRule="auto"/>
        <w:jc w:val="center"/>
        <w:rPr>
          <w:rFonts w:ascii="宋体" w:hAnsi="宋体" w:cs="宋体"/>
          <w:color w:val="auto"/>
          <w:sz w:val="43"/>
          <w:szCs w:val="43"/>
          <w:highlight w:val="none"/>
        </w:rPr>
      </w:pPr>
      <w:r>
        <w:rPr>
          <w:rFonts w:hint="eastAsia" w:ascii="宋体" w:hAnsi="宋体" w:cs="宋体"/>
          <w:color w:val="auto"/>
          <w:spacing w:val="9"/>
          <w:position w:val="3"/>
          <w:sz w:val="43"/>
          <w:szCs w:val="43"/>
          <w:highlight w:val="none"/>
        </w:rPr>
        <w:t>项目管理机构配备情况表及主要人员简历表</w:t>
      </w:r>
    </w:p>
    <w:p w14:paraId="53475ED7">
      <w:pPr>
        <w:kinsoku w:val="0"/>
        <w:autoSpaceDE w:val="0"/>
        <w:autoSpaceDN w:val="0"/>
        <w:adjustRightInd w:val="0"/>
        <w:snapToGrid w:val="0"/>
        <w:spacing w:line="360" w:lineRule="auto"/>
        <w:jc w:val="left"/>
        <w:textAlignment w:val="baseline"/>
        <w:rPr>
          <w:rFonts w:ascii="宋体" w:hAnsi="宋体" w:cs="宋体"/>
          <w:snapToGrid w:val="0"/>
          <w:color w:val="auto"/>
          <w:kern w:val="0"/>
          <w:szCs w:val="21"/>
          <w:highlight w:val="none"/>
        </w:rPr>
      </w:pPr>
    </w:p>
    <w:p w14:paraId="53475ED8">
      <w:pPr>
        <w:spacing w:line="360" w:lineRule="auto"/>
        <w:ind w:left="2716"/>
        <w:rPr>
          <w:rFonts w:ascii="宋体" w:hAnsi="宋体" w:cs="宋体"/>
          <w:color w:val="auto"/>
          <w:sz w:val="31"/>
          <w:szCs w:val="31"/>
          <w:highlight w:val="none"/>
        </w:rPr>
      </w:pPr>
      <w:r>
        <w:rPr>
          <w:rFonts w:hint="eastAsia" w:ascii="宋体" w:hAnsi="宋体" w:cs="宋体"/>
          <w:color w:val="auto"/>
          <w:spacing w:val="8"/>
          <w:sz w:val="31"/>
          <w:szCs w:val="31"/>
          <w:highlight w:val="none"/>
        </w:rPr>
        <w:t>（一）项目管理机构配备情况表</w:t>
      </w:r>
    </w:p>
    <w:p w14:paraId="53475EDA">
      <w:pPr>
        <w:spacing w:line="360" w:lineRule="auto"/>
        <w:ind w:left="511"/>
        <w:rPr>
          <w:rFonts w:ascii="宋体" w:hAnsi="宋体" w:cs="宋体"/>
          <w:color w:val="auto"/>
          <w:highlight w:val="none"/>
        </w:rPr>
      </w:pPr>
      <w:r>
        <w:rPr>
          <w:rFonts w:hint="eastAsia" w:ascii="宋体" w:hAnsi="宋体" w:cs="宋体"/>
          <w:color w:val="auto"/>
          <w:spacing w:val="-25"/>
          <w:sz w:val="24"/>
          <w:highlight w:val="none"/>
        </w:rPr>
        <w:t>分标（如有</w:t>
      </w:r>
      <w:r>
        <w:rPr>
          <w:rFonts w:hint="eastAsia" w:ascii="宋体" w:hAnsi="宋体" w:cs="宋体"/>
          <w:color w:val="auto"/>
          <w:spacing w:val="-28"/>
          <w:sz w:val="24"/>
          <w:highlight w:val="none"/>
        </w:rPr>
        <w:t>）</w:t>
      </w:r>
      <w:r>
        <w:rPr>
          <w:rFonts w:hint="eastAsia" w:ascii="宋体" w:hAnsi="宋体" w:cs="宋体"/>
          <w:color w:val="auto"/>
          <w:spacing w:val="47"/>
          <w:sz w:val="24"/>
          <w:highlight w:val="none"/>
        </w:rPr>
        <w:t xml:space="preserve"> </w:t>
      </w:r>
      <w:r>
        <w:rPr>
          <w:rFonts w:hint="eastAsia" w:ascii="宋体" w:hAnsi="宋体" w:cs="宋体"/>
          <w:color w:val="auto"/>
          <w:spacing w:val="-28"/>
          <w:sz w:val="24"/>
          <w:highlight w:val="none"/>
        </w:rPr>
        <w:t>：</w:t>
      </w:r>
      <w:r>
        <w:rPr>
          <w:rFonts w:hint="eastAsia" w:ascii="宋体" w:hAnsi="宋体" w:cs="宋体"/>
          <w:color w:val="auto"/>
          <w:sz w:val="24"/>
          <w:highlight w:val="none"/>
          <w:u w:val="single"/>
        </w:rPr>
        <w:t xml:space="preserve">         </w:t>
      </w:r>
    </w:p>
    <w:tbl>
      <w:tblPr>
        <w:tblStyle w:val="37"/>
        <w:tblW w:w="98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669"/>
        <w:gridCol w:w="827"/>
        <w:gridCol w:w="815"/>
        <w:gridCol w:w="1147"/>
        <w:gridCol w:w="1149"/>
        <w:gridCol w:w="1147"/>
        <w:gridCol w:w="744"/>
        <w:gridCol w:w="1166"/>
        <w:gridCol w:w="1281"/>
      </w:tblGrid>
      <w:tr w14:paraId="53475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26" w:type="dxa"/>
            <w:vMerge w:val="restart"/>
            <w:tcBorders>
              <w:bottom w:val="nil"/>
            </w:tcBorders>
            <w:vAlign w:val="center"/>
          </w:tcPr>
          <w:p w14:paraId="53475EDB">
            <w:pPr>
              <w:spacing w:line="240" w:lineRule="auto"/>
              <w:rPr>
                <w:rFonts w:ascii="宋体" w:hAnsi="宋体" w:cs="宋体"/>
                <w:color w:val="auto"/>
                <w:sz w:val="24"/>
                <w:highlight w:val="none"/>
              </w:rPr>
            </w:pPr>
          </w:p>
          <w:p w14:paraId="53475EDC">
            <w:pPr>
              <w:kinsoku w:val="0"/>
              <w:autoSpaceDE w:val="0"/>
              <w:autoSpaceDN w:val="0"/>
              <w:adjustRightInd w:val="0"/>
              <w:snapToGrid w:val="0"/>
              <w:spacing w:line="240" w:lineRule="auto"/>
              <w:ind w:left="28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669" w:type="dxa"/>
            <w:vMerge w:val="restart"/>
            <w:tcBorders>
              <w:bottom w:val="nil"/>
            </w:tcBorders>
            <w:vAlign w:val="center"/>
          </w:tcPr>
          <w:p w14:paraId="53475EDD">
            <w:pPr>
              <w:spacing w:line="240" w:lineRule="auto"/>
              <w:rPr>
                <w:rFonts w:ascii="宋体" w:hAnsi="宋体" w:cs="宋体"/>
                <w:color w:val="auto"/>
                <w:sz w:val="24"/>
                <w:highlight w:val="none"/>
              </w:rPr>
            </w:pPr>
          </w:p>
          <w:p w14:paraId="53475EDE">
            <w:pPr>
              <w:kinsoku w:val="0"/>
              <w:autoSpaceDE w:val="0"/>
              <w:autoSpaceDN w:val="0"/>
              <w:adjustRightInd w:val="0"/>
              <w:snapToGrid w:val="0"/>
              <w:spacing w:line="240" w:lineRule="auto"/>
              <w:ind w:left="12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827" w:type="dxa"/>
            <w:vMerge w:val="restart"/>
            <w:tcBorders>
              <w:bottom w:val="nil"/>
            </w:tcBorders>
            <w:vAlign w:val="center"/>
          </w:tcPr>
          <w:p w14:paraId="53475EDF">
            <w:pPr>
              <w:kinsoku w:val="0"/>
              <w:autoSpaceDE w:val="0"/>
              <w:autoSpaceDN w:val="0"/>
              <w:adjustRightInd w:val="0"/>
              <w:snapToGrid w:val="0"/>
              <w:spacing w:line="240" w:lineRule="auto"/>
              <w:ind w:left="21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position w:val="7"/>
                <w:sz w:val="24"/>
                <w:highlight w:val="none"/>
                <w:lang w:eastAsia="en-US"/>
              </w:rPr>
              <w:t>身份</w:t>
            </w:r>
          </w:p>
          <w:p w14:paraId="53475EE0">
            <w:pPr>
              <w:kinsoku w:val="0"/>
              <w:autoSpaceDE w:val="0"/>
              <w:autoSpaceDN w:val="0"/>
              <w:adjustRightInd w:val="0"/>
              <w:snapToGrid w:val="0"/>
              <w:spacing w:line="240" w:lineRule="auto"/>
              <w:ind w:left="20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证号</w:t>
            </w:r>
          </w:p>
        </w:tc>
        <w:tc>
          <w:tcPr>
            <w:tcW w:w="815" w:type="dxa"/>
            <w:vMerge w:val="restart"/>
            <w:tcBorders>
              <w:bottom w:val="nil"/>
            </w:tcBorders>
            <w:vAlign w:val="center"/>
          </w:tcPr>
          <w:p w14:paraId="53475EE1">
            <w:pPr>
              <w:spacing w:line="240" w:lineRule="auto"/>
              <w:rPr>
                <w:rFonts w:ascii="宋体" w:hAnsi="宋体" w:cs="宋体"/>
                <w:color w:val="auto"/>
                <w:sz w:val="24"/>
                <w:highlight w:val="none"/>
              </w:rPr>
            </w:pPr>
          </w:p>
          <w:p w14:paraId="53475EE2">
            <w:pPr>
              <w:kinsoku w:val="0"/>
              <w:autoSpaceDE w:val="0"/>
              <w:autoSpaceDN w:val="0"/>
              <w:adjustRightInd w:val="0"/>
              <w:snapToGrid w:val="0"/>
              <w:spacing w:line="240" w:lineRule="auto"/>
              <w:ind w:left="2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4187" w:type="dxa"/>
            <w:gridSpan w:val="4"/>
            <w:vAlign w:val="center"/>
          </w:tcPr>
          <w:p w14:paraId="53475EE3">
            <w:pPr>
              <w:kinsoku w:val="0"/>
              <w:autoSpaceDE w:val="0"/>
              <w:autoSpaceDN w:val="0"/>
              <w:adjustRightInd w:val="0"/>
              <w:snapToGrid w:val="0"/>
              <w:spacing w:line="240" w:lineRule="auto"/>
              <w:ind w:left="136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执业或职业资格</w:t>
            </w:r>
          </w:p>
        </w:tc>
        <w:tc>
          <w:tcPr>
            <w:tcW w:w="2447" w:type="dxa"/>
            <w:gridSpan w:val="2"/>
            <w:vAlign w:val="center"/>
          </w:tcPr>
          <w:p w14:paraId="53475EE4">
            <w:pPr>
              <w:kinsoku w:val="0"/>
              <w:autoSpaceDE w:val="0"/>
              <w:autoSpaceDN w:val="0"/>
              <w:adjustRightInd w:val="0"/>
              <w:snapToGrid w:val="0"/>
              <w:spacing w:line="240" w:lineRule="auto"/>
              <w:ind w:left="115"/>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9"/>
                <w:kern w:val="0"/>
                <w:sz w:val="24"/>
                <w:highlight w:val="none"/>
              </w:rPr>
              <w:t>承担完工、在建工程情况</w:t>
            </w:r>
          </w:p>
        </w:tc>
      </w:tr>
      <w:tr w14:paraId="53475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6" w:type="dxa"/>
            <w:vMerge w:val="continue"/>
            <w:tcBorders>
              <w:top w:val="nil"/>
            </w:tcBorders>
            <w:vAlign w:val="center"/>
          </w:tcPr>
          <w:p w14:paraId="53475EE6">
            <w:pPr>
              <w:spacing w:line="240" w:lineRule="auto"/>
              <w:rPr>
                <w:rFonts w:ascii="宋体" w:hAnsi="宋体" w:cs="宋体"/>
                <w:color w:val="auto"/>
                <w:sz w:val="24"/>
                <w:highlight w:val="none"/>
              </w:rPr>
            </w:pPr>
          </w:p>
        </w:tc>
        <w:tc>
          <w:tcPr>
            <w:tcW w:w="669" w:type="dxa"/>
            <w:vMerge w:val="continue"/>
            <w:tcBorders>
              <w:top w:val="nil"/>
            </w:tcBorders>
            <w:vAlign w:val="center"/>
          </w:tcPr>
          <w:p w14:paraId="53475EE7">
            <w:pPr>
              <w:spacing w:line="240" w:lineRule="auto"/>
              <w:rPr>
                <w:rFonts w:ascii="宋体" w:hAnsi="宋体" w:cs="宋体"/>
                <w:color w:val="auto"/>
                <w:sz w:val="24"/>
                <w:highlight w:val="none"/>
              </w:rPr>
            </w:pPr>
          </w:p>
        </w:tc>
        <w:tc>
          <w:tcPr>
            <w:tcW w:w="827" w:type="dxa"/>
            <w:vMerge w:val="continue"/>
            <w:tcBorders>
              <w:top w:val="nil"/>
            </w:tcBorders>
            <w:vAlign w:val="center"/>
          </w:tcPr>
          <w:p w14:paraId="53475EE8">
            <w:pPr>
              <w:spacing w:line="240" w:lineRule="auto"/>
              <w:rPr>
                <w:rFonts w:ascii="宋体" w:hAnsi="宋体" w:cs="宋体"/>
                <w:color w:val="auto"/>
                <w:sz w:val="24"/>
                <w:highlight w:val="none"/>
              </w:rPr>
            </w:pPr>
          </w:p>
        </w:tc>
        <w:tc>
          <w:tcPr>
            <w:tcW w:w="815" w:type="dxa"/>
            <w:vMerge w:val="continue"/>
            <w:tcBorders>
              <w:top w:val="nil"/>
            </w:tcBorders>
            <w:vAlign w:val="center"/>
          </w:tcPr>
          <w:p w14:paraId="53475EE9">
            <w:pPr>
              <w:spacing w:line="240" w:lineRule="auto"/>
              <w:rPr>
                <w:rFonts w:ascii="宋体" w:hAnsi="宋体" w:cs="宋体"/>
                <w:color w:val="auto"/>
                <w:sz w:val="24"/>
                <w:highlight w:val="none"/>
              </w:rPr>
            </w:pPr>
          </w:p>
        </w:tc>
        <w:tc>
          <w:tcPr>
            <w:tcW w:w="1147" w:type="dxa"/>
            <w:vAlign w:val="center"/>
          </w:tcPr>
          <w:p w14:paraId="53475EEA">
            <w:pPr>
              <w:kinsoku w:val="0"/>
              <w:autoSpaceDE w:val="0"/>
              <w:autoSpaceDN w:val="0"/>
              <w:adjustRightInd w:val="0"/>
              <w:snapToGrid w:val="0"/>
              <w:spacing w:line="240" w:lineRule="auto"/>
              <w:ind w:left="15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149" w:type="dxa"/>
            <w:vAlign w:val="center"/>
          </w:tcPr>
          <w:p w14:paraId="53475EEB">
            <w:pPr>
              <w:kinsoku w:val="0"/>
              <w:autoSpaceDE w:val="0"/>
              <w:autoSpaceDN w:val="0"/>
              <w:adjustRightInd w:val="0"/>
              <w:snapToGrid w:val="0"/>
              <w:spacing w:line="240" w:lineRule="auto"/>
              <w:ind w:left="37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147" w:type="dxa"/>
            <w:vAlign w:val="center"/>
          </w:tcPr>
          <w:p w14:paraId="53475EEC">
            <w:pPr>
              <w:kinsoku w:val="0"/>
              <w:autoSpaceDE w:val="0"/>
              <w:autoSpaceDN w:val="0"/>
              <w:adjustRightInd w:val="0"/>
              <w:snapToGrid w:val="0"/>
              <w:spacing w:line="240" w:lineRule="auto"/>
              <w:ind w:left="36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证号</w:t>
            </w:r>
          </w:p>
        </w:tc>
        <w:tc>
          <w:tcPr>
            <w:tcW w:w="744" w:type="dxa"/>
            <w:vAlign w:val="center"/>
          </w:tcPr>
          <w:p w14:paraId="53475EED">
            <w:pPr>
              <w:kinsoku w:val="0"/>
              <w:autoSpaceDE w:val="0"/>
              <w:autoSpaceDN w:val="0"/>
              <w:adjustRightInd w:val="0"/>
              <w:snapToGrid w:val="0"/>
              <w:spacing w:line="240" w:lineRule="auto"/>
              <w:ind w:left="16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专业</w:t>
            </w:r>
          </w:p>
        </w:tc>
        <w:tc>
          <w:tcPr>
            <w:tcW w:w="1166" w:type="dxa"/>
            <w:vAlign w:val="center"/>
          </w:tcPr>
          <w:p w14:paraId="53475EEE">
            <w:pPr>
              <w:kinsoku w:val="0"/>
              <w:autoSpaceDE w:val="0"/>
              <w:autoSpaceDN w:val="0"/>
              <w:adjustRightInd w:val="0"/>
              <w:snapToGrid w:val="0"/>
              <w:spacing w:line="240" w:lineRule="auto"/>
              <w:ind w:left="1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position w:val="1"/>
                <w:sz w:val="24"/>
                <w:highlight w:val="none"/>
                <w:lang w:eastAsia="en-US"/>
              </w:rPr>
              <w:t>完工/在建</w:t>
            </w:r>
          </w:p>
        </w:tc>
        <w:tc>
          <w:tcPr>
            <w:tcW w:w="1281" w:type="dxa"/>
            <w:vAlign w:val="center"/>
          </w:tcPr>
          <w:p w14:paraId="53475EEF">
            <w:pPr>
              <w:kinsoku w:val="0"/>
              <w:autoSpaceDE w:val="0"/>
              <w:autoSpaceDN w:val="0"/>
              <w:adjustRightInd w:val="0"/>
              <w:snapToGrid w:val="0"/>
              <w:spacing w:line="240" w:lineRule="auto"/>
              <w:ind w:left="439" w:right="213" w:hanging="2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主要项目</w:t>
            </w:r>
            <w:r>
              <w:rPr>
                <w:rFonts w:hint="eastAsia" w:ascii="宋体" w:hAnsi="宋体" w:cs="宋体"/>
                <w:snapToGrid w:val="0"/>
                <w:color w:val="auto"/>
                <w:kern w:val="0"/>
                <w:sz w:val="24"/>
                <w:highlight w:val="none"/>
                <w:lang w:eastAsia="en-US"/>
              </w:rPr>
              <w:t xml:space="preserve"> </w:t>
            </w:r>
            <w:r>
              <w:rPr>
                <w:rFonts w:hint="eastAsia" w:ascii="宋体" w:hAnsi="宋体" w:cs="宋体"/>
                <w:snapToGrid w:val="0"/>
                <w:color w:val="auto"/>
                <w:spacing w:val="-3"/>
                <w:kern w:val="0"/>
                <w:sz w:val="24"/>
                <w:highlight w:val="none"/>
                <w:lang w:eastAsia="en-US"/>
              </w:rPr>
              <w:t>名称</w:t>
            </w:r>
          </w:p>
        </w:tc>
      </w:tr>
      <w:tr w14:paraId="53475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vAlign w:val="center"/>
          </w:tcPr>
          <w:p w14:paraId="53475EF1">
            <w:pPr>
              <w:kinsoku w:val="0"/>
              <w:autoSpaceDE w:val="0"/>
              <w:autoSpaceDN w:val="0"/>
              <w:adjustRightInd w:val="0"/>
              <w:snapToGrid w:val="0"/>
              <w:spacing w:line="240" w:lineRule="auto"/>
              <w:ind w:left="1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7"/>
                <w:sz w:val="24"/>
                <w:highlight w:val="none"/>
                <w:lang w:eastAsia="en-US"/>
              </w:rPr>
              <w:t>1.项目</w:t>
            </w:r>
          </w:p>
          <w:p w14:paraId="53475EF2">
            <w:pPr>
              <w:kinsoku w:val="0"/>
              <w:autoSpaceDE w:val="0"/>
              <w:autoSpaceDN w:val="0"/>
              <w:adjustRightInd w:val="0"/>
              <w:snapToGrid w:val="0"/>
              <w:spacing w:line="240" w:lineRule="auto"/>
              <w:ind w:left="11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经理</w:t>
            </w:r>
          </w:p>
        </w:tc>
        <w:tc>
          <w:tcPr>
            <w:tcW w:w="669" w:type="dxa"/>
            <w:vAlign w:val="center"/>
          </w:tcPr>
          <w:p w14:paraId="53475EF3">
            <w:pPr>
              <w:spacing w:line="240" w:lineRule="auto"/>
              <w:rPr>
                <w:rFonts w:ascii="宋体" w:hAnsi="宋体" w:cs="宋体"/>
                <w:color w:val="auto"/>
                <w:sz w:val="24"/>
                <w:highlight w:val="none"/>
              </w:rPr>
            </w:pPr>
          </w:p>
        </w:tc>
        <w:tc>
          <w:tcPr>
            <w:tcW w:w="827" w:type="dxa"/>
            <w:vAlign w:val="center"/>
          </w:tcPr>
          <w:p w14:paraId="53475EF4">
            <w:pPr>
              <w:spacing w:line="240" w:lineRule="auto"/>
              <w:rPr>
                <w:rFonts w:ascii="宋体" w:hAnsi="宋体" w:cs="宋体"/>
                <w:color w:val="auto"/>
                <w:sz w:val="24"/>
                <w:highlight w:val="none"/>
              </w:rPr>
            </w:pPr>
          </w:p>
        </w:tc>
        <w:tc>
          <w:tcPr>
            <w:tcW w:w="815" w:type="dxa"/>
            <w:vAlign w:val="center"/>
          </w:tcPr>
          <w:p w14:paraId="53475EF5">
            <w:pPr>
              <w:spacing w:line="240" w:lineRule="auto"/>
              <w:rPr>
                <w:rFonts w:ascii="宋体" w:hAnsi="宋体" w:cs="宋体"/>
                <w:color w:val="auto"/>
                <w:sz w:val="24"/>
                <w:highlight w:val="none"/>
              </w:rPr>
            </w:pPr>
          </w:p>
        </w:tc>
        <w:tc>
          <w:tcPr>
            <w:tcW w:w="1147" w:type="dxa"/>
            <w:vAlign w:val="center"/>
          </w:tcPr>
          <w:p w14:paraId="53475EF6">
            <w:pPr>
              <w:spacing w:line="240" w:lineRule="auto"/>
              <w:rPr>
                <w:rFonts w:ascii="宋体" w:hAnsi="宋体" w:cs="宋体"/>
                <w:color w:val="auto"/>
                <w:sz w:val="24"/>
                <w:highlight w:val="none"/>
              </w:rPr>
            </w:pPr>
          </w:p>
        </w:tc>
        <w:tc>
          <w:tcPr>
            <w:tcW w:w="1149" w:type="dxa"/>
            <w:vAlign w:val="center"/>
          </w:tcPr>
          <w:p w14:paraId="53475EF7">
            <w:pPr>
              <w:spacing w:line="240" w:lineRule="auto"/>
              <w:rPr>
                <w:rFonts w:ascii="宋体" w:hAnsi="宋体" w:cs="宋体"/>
                <w:color w:val="auto"/>
                <w:sz w:val="24"/>
                <w:highlight w:val="none"/>
              </w:rPr>
            </w:pPr>
          </w:p>
        </w:tc>
        <w:tc>
          <w:tcPr>
            <w:tcW w:w="1147" w:type="dxa"/>
            <w:vAlign w:val="center"/>
          </w:tcPr>
          <w:p w14:paraId="53475EF8">
            <w:pPr>
              <w:spacing w:line="240" w:lineRule="auto"/>
              <w:rPr>
                <w:rFonts w:ascii="宋体" w:hAnsi="宋体" w:cs="宋体"/>
                <w:color w:val="auto"/>
                <w:sz w:val="24"/>
                <w:highlight w:val="none"/>
              </w:rPr>
            </w:pPr>
          </w:p>
        </w:tc>
        <w:tc>
          <w:tcPr>
            <w:tcW w:w="744" w:type="dxa"/>
            <w:vAlign w:val="center"/>
          </w:tcPr>
          <w:p w14:paraId="53475EF9">
            <w:pPr>
              <w:spacing w:line="240" w:lineRule="auto"/>
              <w:rPr>
                <w:rFonts w:ascii="宋体" w:hAnsi="宋体" w:cs="宋体"/>
                <w:color w:val="auto"/>
                <w:sz w:val="24"/>
                <w:highlight w:val="none"/>
              </w:rPr>
            </w:pPr>
          </w:p>
        </w:tc>
        <w:tc>
          <w:tcPr>
            <w:tcW w:w="1166" w:type="dxa"/>
            <w:vAlign w:val="center"/>
          </w:tcPr>
          <w:p w14:paraId="53475EFA">
            <w:pPr>
              <w:spacing w:line="240" w:lineRule="auto"/>
              <w:rPr>
                <w:rFonts w:ascii="宋体" w:hAnsi="宋体" w:cs="宋体"/>
                <w:color w:val="auto"/>
                <w:sz w:val="24"/>
                <w:highlight w:val="none"/>
              </w:rPr>
            </w:pPr>
          </w:p>
        </w:tc>
        <w:tc>
          <w:tcPr>
            <w:tcW w:w="1281" w:type="dxa"/>
            <w:vAlign w:val="center"/>
          </w:tcPr>
          <w:p w14:paraId="53475EFB">
            <w:pPr>
              <w:spacing w:line="240" w:lineRule="auto"/>
              <w:rPr>
                <w:rFonts w:ascii="宋体" w:hAnsi="宋体" w:cs="宋体"/>
                <w:color w:val="auto"/>
                <w:sz w:val="24"/>
                <w:highlight w:val="none"/>
              </w:rPr>
            </w:pPr>
          </w:p>
        </w:tc>
      </w:tr>
      <w:tr w14:paraId="53475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926" w:type="dxa"/>
            <w:vAlign w:val="center"/>
          </w:tcPr>
          <w:p w14:paraId="53475EFD">
            <w:pPr>
              <w:kinsoku w:val="0"/>
              <w:autoSpaceDE w:val="0"/>
              <w:autoSpaceDN w:val="0"/>
              <w:adjustRightInd w:val="0"/>
              <w:snapToGrid w:val="0"/>
              <w:spacing w:line="240" w:lineRule="auto"/>
              <w:ind w:left="118" w:right="179" w:hanging="6"/>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2.技术</w:t>
            </w:r>
            <w:r>
              <w:rPr>
                <w:rFonts w:hint="eastAsia" w:ascii="宋体" w:hAnsi="宋体" w:cs="宋体"/>
                <w:snapToGrid w:val="0"/>
                <w:color w:val="auto"/>
                <w:spacing w:val="1"/>
                <w:kern w:val="0"/>
                <w:sz w:val="24"/>
                <w:highlight w:val="none"/>
              </w:rPr>
              <w:t xml:space="preserve"> </w:t>
            </w:r>
            <w:r>
              <w:rPr>
                <w:rFonts w:hint="eastAsia" w:ascii="宋体" w:hAnsi="宋体" w:cs="宋体"/>
                <w:snapToGrid w:val="0"/>
                <w:color w:val="auto"/>
                <w:spacing w:val="-3"/>
                <w:kern w:val="0"/>
                <w:sz w:val="24"/>
                <w:highlight w:val="none"/>
              </w:rPr>
              <w:t>负责人</w:t>
            </w:r>
            <w:r>
              <w:rPr>
                <w:rFonts w:hint="eastAsia" w:ascii="宋体" w:hAnsi="宋体" w:cs="宋体"/>
                <w:snapToGrid w:val="0"/>
                <w:color w:val="auto"/>
                <w:spacing w:val="-16"/>
                <w:kern w:val="0"/>
                <w:sz w:val="24"/>
                <w:highlight w:val="none"/>
              </w:rPr>
              <w:t>（项目</w:t>
            </w:r>
            <w:r>
              <w:rPr>
                <w:rFonts w:hint="eastAsia" w:ascii="宋体" w:hAnsi="宋体" w:cs="宋体"/>
                <w:snapToGrid w:val="0"/>
                <w:color w:val="auto"/>
                <w:kern w:val="0"/>
                <w:sz w:val="24"/>
                <w:highlight w:val="none"/>
              </w:rPr>
              <w:t xml:space="preserve"> </w:t>
            </w:r>
            <w:r>
              <w:rPr>
                <w:rFonts w:hint="eastAsia" w:ascii="宋体" w:hAnsi="宋体" w:cs="宋体"/>
                <w:snapToGrid w:val="0"/>
                <w:color w:val="auto"/>
                <w:spacing w:val="-5"/>
                <w:kern w:val="0"/>
                <w:sz w:val="24"/>
                <w:highlight w:val="none"/>
              </w:rPr>
              <w:t>总工）</w:t>
            </w:r>
          </w:p>
        </w:tc>
        <w:tc>
          <w:tcPr>
            <w:tcW w:w="669" w:type="dxa"/>
            <w:vAlign w:val="center"/>
          </w:tcPr>
          <w:p w14:paraId="53475EFE">
            <w:pPr>
              <w:spacing w:line="240" w:lineRule="auto"/>
              <w:rPr>
                <w:rFonts w:ascii="宋体" w:hAnsi="宋体" w:cs="宋体"/>
                <w:color w:val="auto"/>
                <w:sz w:val="24"/>
                <w:highlight w:val="none"/>
              </w:rPr>
            </w:pPr>
          </w:p>
        </w:tc>
        <w:tc>
          <w:tcPr>
            <w:tcW w:w="827" w:type="dxa"/>
            <w:vAlign w:val="center"/>
          </w:tcPr>
          <w:p w14:paraId="53475EFF">
            <w:pPr>
              <w:spacing w:line="240" w:lineRule="auto"/>
              <w:rPr>
                <w:rFonts w:ascii="宋体" w:hAnsi="宋体" w:cs="宋体"/>
                <w:color w:val="auto"/>
                <w:sz w:val="24"/>
                <w:highlight w:val="none"/>
              </w:rPr>
            </w:pPr>
          </w:p>
        </w:tc>
        <w:tc>
          <w:tcPr>
            <w:tcW w:w="815" w:type="dxa"/>
            <w:vAlign w:val="center"/>
          </w:tcPr>
          <w:p w14:paraId="53475F00">
            <w:pPr>
              <w:spacing w:line="240" w:lineRule="auto"/>
              <w:rPr>
                <w:rFonts w:ascii="宋体" w:hAnsi="宋体" w:cs="宋体"/>
                <w:color w:val="auto"/>
                <w:sz w:val="24"/>
                <w:highlight w:val="none"/>
              </w:rPr>
            </w:pPr>
          </w:p>
        </w:tc>
        <w:tc>
          <w:tcPr>
            <w:tcW w:w="1147" w:type="dxa"/>
            <w:vAlign w:val="center"/>
          </w:tcPr>
          <w:p w14:paraId="53475F01">
            <w:pPr>
              <w:spacing w:line="240" w:lineRule="auto"/>
              <w:rPr>
                <w:rFonts w:ascii="宋体" w:hAnsi="宋体" w:cs="宋体"/>
                <w:color w:val="auto"/>
                <w:sz w:val="24"/>
                <w:highlight w:val="none"/>
              </w:rPr>
            </w:pPr>
          </w:p>
        </w:tc>
        <w:tc>
          <w:tcPr>
            <w:tcW w:w="1149" w:type="dxa"/>
            <w:vAlign w:val="center"/>
          </w:tcPr>
          <w:p w14:paraId="53475F02">
            <w:pPr>
              <w:spacing w:line="240" w:lineRule="auto"/>
              <w:rPr>
                <w:rFonts w:ascii="宋体" w:hAnsi="宋体" w:cs="宋体"/>
                <w:color w:val="auto"/>
                <w:sz w:val="24"/>
                <w:highlight w:val="none"/>
              </w:rPr>
            </w:pPr>
          </w:p>
        </w:tc>
        <w:tc>
          <w:tcPr>
            <w:tcW w:w="1147" w:type="dxa"/>
            <w:vAlign w:val="center"/>
          </w:tcPr>
          <w:p w14:paraId="53475F03">
            <w:pPr>
              <w:spacing w:line="240" w:lineRule="auto"/>
              <w:rPr>
                <w:rFonts w:ascii="宋体" w:hAnsi="宋体" w:cs="宋体"/>
                <w:color w:val="auto"/>
                <w:sz w:val="24"/>
                <w:highlight w:val="none"/>
              </w:rPr>
            </w:pPr>
          </w:p>
        </w:tc>
        <w:tc>
          <w:tcPr>
            <w:tcW w:w="744" w:type="dxa"/>
            <w:vAlign w:val="center"/>
          </w:tcPr>
          <w:p w14:paraId="53475F04">
            <w:pPr>
              <w:spacing w:line="240" w:lineRule="auto"/>
              <w:rPr>
                <w:rFonts w:ascii="宋体" w:hAnsi="宋体" w:cs="宋体"/>
                <w:color w:val="auto"/>
                <w:sz w:val="24"/>
                <w:highlight w:val="none"/>
              </w:rPr>
            </w:pPr>
          </w:p>
        </w:tc>
        <w:tc>
          <w:tcPr>
            <w:tcW w:w="1166" w:type="dxa"/>
            <w:vAlign w:val="center"/>
          </w:tcPr>
          <w:p w14:paraId="53475F05">
            <w:pPr>
              <w:spacing w:line="240" w:lineRule="auto"/>
              <w:rPr>
                <w:rFonts w:ascii="宋体" w:hAnsi="宋体" w:cs="宋体"/>
                <w:color w:val="auto"/>
                <w:sz w:val="24"/>
                <w:highlight w:val="none"/>
              </w:rPr>
            </w:pPr>
          </w:p>
        </w:tc>
        <w:tc>
          <w:tcPr>
            <w:tcW w:w="1281" w:type="dxa"/>
            <w:vAlign w:val="center"/>
          </w:tcPr>
          <w:p w14:paraId="53475F06">
            <w:pPr>
              <w:spacing w:line="240" w:lineRule="auto"/>
              <w:rPr>
                <w:rFonts w:ascii="宋体" w:hAnsi="宋体" w:cs="宋体"/>
                <w:color w:val="auto"/>
                <w:sz w:val="24"/>
                <w:highlight w:val="none"/>
              </w:rPr>
            </w:pPr>
          </w:p>
        </w:tc>
      </w:tr>
      <w:tr w14:paraId="53475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926" w:type="dxa"/>
            <w:vAlign w:val="center"/>
          </w:tcPr>
          <w:p w14:paraId="53475F08">
            <w:pPr>
              <w:kinsoku w:val="0"/>
              <w:autoSpaceDE w:val="0"/>
              <w:autoSpaceDN w:val="0"/>
              <w:adjustRightInd w:val="0"/>
              <w:snapToGrid w:val="0"/>
              <w:spacing w:line="240" w:lineRule="auto"/>
              <w:ind w:left="123" w:right="129" w:hanging="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3.</w:t>
            </w:r>
            <w:r>
              <w:rPr>
                <w:rFonts w:hint="eastAsia" w:ascii="宋体" w:hAnsi="宋体" w:cs="宋体"/>
                <w:snapToGrid w:val="0"/>
                <w:color w:val="auto"/>
                <w:spacing w:val="3"/>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施工</w:t>
            </w:r>
            <w:r>
              <w:rPr>
                <w:rFonts w:hint="eastAsia" w:ascii="宋体" w:hAnsi="宋体" w:cs="宋体"/>
                <w:snapToGrid w:val="0"/>
                <w:color w:val="auto"/>
                <w:spacing w:val="1"/>
                <w:kern w:val="0"/>
                <w:sz w:val="24"/>
                <w:highlight w:val="none"/>
                <w:lang w:eastAsia="en-US"/>
              </w:rPr>
              <w:t xml:space="preserve"> </w:t>
            </w:r>
            <w:r>
              <w:rPr>
                <w:rFonts w:hint="eastAsia" w:ascii="宋体" w:hAnsi="宋体" w:cs="宋体"/>
                <w:snapToGrid w:val="0"/>
                <w:color w:val="auto"/>
                <w:kern w:val="0"/>
                <w:sz w:val="24"/>
                <w:highlight w:val="none"/>
                <w:lang w:eastAsia="en-US"/>
              </w:rPr>
              <w:t>员</w:t>
            </w:r>
          </w:p>
        </w:tc>
        <w:tc>
          <w:tcPr>
            <w:tcW w:w="669" w:type="dxa"/>
            <w:vAlign w:val="center"/>
          </w:tcPr>
          <w:p w14:paraId="53475F09">
            <w:pPr>
              <w:spacing w:line="240" w:lineRule="auto"/>
              <w:rPr>
                <w:rFonts w:ascii="宋体" w:hAnsi="宋体" w:cs="宋体"/>
                <w:color w:val="auto"/>
                <w:sz w:val="24"/>
                <w:highlight w:val="none"/>
              </w:rPr>
            </w:pPr>
          </w:p>
        </w:tc>
        <w:tc>
          <w:tcPr>
            <w:tcW w:w="827" w:type="dxa"/>
            <w:vAlign w:val="center"/>
          </w:tcPr>
          <w:p w14:paraId="53475F0A">
            <w:pPr>
              <w:spacing w:line="240" w:lineRule="auto"/>
              <w:rPr>
                <w:rFonts w:ascii="宋体" w:hAnsi="宋体" w:cs="宋体"/>
                <w:color w:val="auto"/>
                <w:sz w:val="24"/>
                <w:highlight w:val="none"/>
              </w:rPr>
            </w:pPr>
          </w:p>
        </w:tc>
        <w:tc>
          <w:tcPr>
            <w:tcW w:w="815" w:type="dxa"/>
            <w:vAlign w:val="center"/>
          </w:tcPr>
          <w:p w14:paraId="53475F0B">
            <w:pPr>
              <w:spacing w:line="240" w:lineRule="auto"/>
              <w:rPr>
                <w:rFonts w:ascii="宋体" w:hAnsi="宋体" w:cs="宋体"/>
                <w:color w:val="auto"/>
                <w:sz w:val="24"/>
                <w:highlight w:val="none"/>
              </w:rPr>
            </w:pPr>
          </w:p>
        </w:tc>
        <w:tc>
          <w:tcPr>
            <w:tcW w:w="1147" w:type="dxa"/>
            <w:vAlign w:val="center"/>
          </w:tcPr>
          <w:p w14:paraId="53475F0C">
            <w:pPr>
              <w:spacing w:line="240" w:lineRule="auto"/>
              <w:rPr>
                <w:rFonts w:ascii="宋体" w:hAnsi="宋体" w:cs="宋体"/>
                <w:color w:val="auto"/>
                <w:sz w:val="24"/>
                <w:highlight w:val="none"/>
              </w:rPr>
            </w:pPr>
          </w:p>
        </w:tc>
        <w:tc>
          <w:tcPr>
            <w:tcW w:w="1149" w:type="dxa"/>
            <w:vAlign w:val="center"/>
          </w:tcPr>
          <w:p w14:paraId="53475F0D">
            <w:pPr>
              <w:spacing w:line="240" w:lineRule="auto"/>
              <w:rPr>
                <w:rFonts w:ascii="宋体" w:hAnsi="宋体" w:cs="宋体"/>
                <w:color w:val="auto"/>
                <w:sz w:val="24"/>
                <w:highlight w:val="none"/>
              </w:rPr>
            </w:pPr>
          </w:p>
        </w:tc>
        <w:tc>
          <w:tcPr>
            <w:tcW w:w="1147" w:type="dxa"/>
            <w:vAlign w:val="center"/>
          </w:tcPr>
          <w:p w14:paraId="53475F0E">
            <w:pPr>
              <w:spacing w:line="240" w:lineRule="auto"/>
              <w:rPr>
                <w:rFonts w:ascii="宋体" w:hAnsi="宋体" w:cs="宋体"/>
                <w:color w:val="auto"/>
                <w:sz w:val="24"/>
                <w:highlight w:val="none"/>
              </w:rPr>
            </w:pPr>
          </w:p>
        </w:tc>
        <w:tc>
          <w:tcPr>
            <w:tcW w:w="744" w:type="dxa"/>
            <w:vAlign w:val="center"/>
          </w:tcPr>
          <w:p w14:paraId="53475F0F">
            <w:pPr>
              <w:spacing w:line="240" w:lineRule="auto"/>
              <w:rPr>
                <w:rFonts w:ascii="宋体" w:hAnsi="宋体" w:cs="宋体"/>
                <w:color w:val="auto"/>
                <w:sz w:val="24"/>
                <w:highlight w:val="none"/>
              </w:rPr>
            </w:pPr>
          </w:p>
        </w:tc>
        <w:tc>
          <w:tcPr>
            <w:tcW w:w="1166" w:type="dxa"/>
            <w:vAlign w:val="center"/>
          </w:tcPr>
          <w:p w14:paraId="53475F10">
            <w:pPr>
              <w:spacing w:line="240" w:lineRule="auto"/>
              <w:rPr>
                <w:rFonts w:ascii="宋体" w:hAnsi="宋体" w:cs="宋体"/>
                <w:color w:val="auto"/>
                <w:sz w:val="24"/>
                <w:highlight w:val="none"/>
              </w:rPr>
            </w:pPr>
          </w:p>
        </w:tc>
        <w:tc>
          <w:tcPr>
            <w:tcW w:w="1281" w:type="dxa"/>
            <w:vAlign w:val="center"/>
          </w:tcPr>
          <w:p w14:paraId="53475F11">
            <w:pPr>
              <w:spacing w:line="240" w:lineRule="auto"/>
              <w:rPr>
                <w:rFonts w:ascii="宋体" w:hAnsi="宋体" w:cs="宋体"/>
                <w:color w:val="auto"/>
                <w:sz w:val="24"/>
                <w:highlight w:val="none"/>
              </w:rPr>
            </w:pPr>
          </w:p>
        </w:tc>
      </w:tr>
      <w:tr w14:paraId="53475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vAlign w:val="center"/>
          </w:tcPr>
          <w:p w14:paraId="53475F13">
            <w:pPr>
              <w:kinsoku w:val="0"/>
              <w:autoSpaceDE w:val="0"/>
              <w:autoSpaceDN w:val="0"/>
              <w:adjustRightInd w:val="0"/>
              <w:snapToGrid w:val="0"/>
              <w:spacing w:line="240" w:lineRule="auto"/>
              <w:ind w:left="1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position w:val="7"/>
                <w:sz w:val="24"/>
                <w:highlight w:val="none"/>
                <w:lang w:eastAsia="en-US"/>
              </w:rPr>
              <w:t>4.安全</w:t>
            </w:r>
          </w:p>
          <w:p w14:paraId="53475F14">
            <w:pPr>
              <w:kinsoku w:val="0"/>
              <w:autoSpaceDE w:val="0"/>
              <w:autoSpaceDN w:val="0"/>
              <w:adjustRightInd w:val="0"/>
              <w:snapToGrid w:val="0"/>
              <w:spacing w:line="240" w:lineRule="auto"/>
              <w:ind w:left="12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员</w:t>
            </w:r>
          </w:p>
        </w:tc>
        <w:tc>
          <w:tcPr>
            <w:tcW w:w="669" w:type="dxa"/>
            <w:vAlign w:val="center"/>
          </w:tcPr>
          <w:p w14:paraId="53475F15">
            <w:pPr>
              <w:spacing w:line="240" w:lineRule="auto"/>
              <w:rPr>
                <w:rFonts w:ascii="宋体" w:hAnsi="宋体" w:cs="宋体"/>
                <w:color w:val="auto"/>
                <w:sz w:val="24"/>
                <w:highlight w:val="none"/>
              </w:rPr>
            </w:pPr>
          </w:p>
        </w:tc>
        <w:tc>
          <w:tcPr>
            <w:tcW w:w="827" w:type="dxa"/>
            <w:vAlign w:val="center"/>
          </w:tcPr>
          <w:p w14:paraId="53475F16">
            <w:pPr>
              <w:spacing w:line="240" w:lineRule="auto"/>
              <w:rPr>
                <w:rFonts w:ascii="宋体" w:hAnsi="宋体" w:cs="宋体"/>
                <w:color w:val="auto"/>
                <w:sz w:val="24"/>
                <w:highlight w:val="none"/>
              </w:rPr>
            </w:pPr>
          </w:p>
        </w:tc>
        <w:tc>
          <w:tcPr>
            <w:tcW w:w="815" w:type="dxa"/>
            <w:vAlign w:val="center"/>
          </w:tcPr>
          <w:p w14:paraId="53475F17">
            <w:pPr>
              <w:spacing w:line="240" w:lineRule="auto"/>
              <w:rPr>
                <w:rFonts w:ascii="宋体" w:hAnsi="宋体" w:cs="宋体"/>
                <w:color w:val="auto"/>
                <w:sz w:val="24"/>
                <w:highlight w:val="none"/>
              </w:rPr>
            </w:pPr>
          </w:p>
        </w:tc>
        <w:tc>
          <w:tcPr>
            <w:tcW w:w="1147" w:type="dxa"/>
            <w:vAlign w:val="center"/>
          </w:tcPr>
          <w:p w14:paraId="53475F18">
            <w:pPr>
              <w:spacing w:line="240" w:lineRule="auto"/>
              <w:rPr>
                <w:rFonts w:ascii="宋体" w:hAnsi="宋体" w:cs="宋体"/>
                <w:color w:val="auto"/>
                <w:sz w:val="24"/>
                <w:highlight w:val="none"/>
              </w:rPr>
            </w:pPr>
          </w:p>
        </w:tc>
        <w:tc>
          <w:tcPr>
            <w:tcW w:w="1149" w:type="dxa"/>
            <w:vAlign w:val="center"/>
          </w:tcPr>
          <w:p w14:paraId="53475F19">
            <w:pPr>
              <w:spacing w:line="240" w:lineRule="auto"/>
              <w:rPr>
                <w:rFonts w:ascii="宋体" w:hAnsi="宋体" w:cs="宋体"/>
                <w:color w:val="auto"/>
                <w:sz w:val="24"/>
                <w:highlight w:val="none"/>
              </w:rPr>
            </w:pPr>
          </w:p>
        </w:tc>
        <w:tc>
          <w:tcPr>
            <w:tcW w:w="1147" w:type="dxa"/>
            <w:vAlign w:val="center"/>
          </w:tcPr>
          <w:p w14:paraId="53475F1A">
            <w:pPr>
              <w:spacing w:line="240" w:lineRule="auto"/>
              <w:rPr>
                <w:rFonts w:ascii="宋体" w:hAnsi="宋体" w:cs="宋体"/>
                <w:color w:val="auto"/>
                <w:sz w:val="24"/>
                <w:highlight w:val="none"/>
              </w:rPr>
            </w:pPr>
          </w:p>
        </w:tc>
        <w:tc>
          <w:tcPr>
            <w:tcW w:w="744" w:type="dxa"/>
            <w:vAlign w:val="center"/>
          </w:tcPr>
          <w:p w14:paraId="53475F1B">
            <w:pPr>
              <w:spacing w:line="240" w:lineRule="auto"/>
              <w:rPr>
                <w:rFonts w:ascii="宋体" w:hAnsi="宋体" w:cs="宋体"/>
                <w:color w:val="auto"/>
                <w:sz w:val="24"/>
                <w:highlight w:val="none"/>
              </w:rPr>
            </w:pPr>
          </w:p>
        </w:tc>
        <w:tc>
          <w:tcPr>
            <w:tcW w:w="1166" w:type="dxa"/>
            <w:vAlign w:val="center"/>
          </w:tcPr>
          <w:p w14:paraId="53475F1C">
            <w:pPr>
              <w:spacing w:line="240" w:lineRule="auto"/>
              <w:rPr>
                <w:rFonts w:ascii="宋体" w:hAnsi="宋体" w:cs="宋体"/>
                <w:color w:val="auto"/>
                <w:sz w:val="24"/>
                <w:highlight w:val="none"/>
              </w:rPr>
            </w:pPr>
          </w:p>
        </w:tc>
        <w:tc>
          <w:tcPr>
            <w:tcW w:w="1281" w:type="dxa"/>
            <w:vAlign w:val="center"/>
          </w:tcPr>
          <w:p w14:paraId="53475F1D">
            <w:pPr>
              <w:spacing w:line="240" w:lineRule="auto"/>
              <w:rPr>
                <w:rFonts w:ascii="宋体" w:hAnsi="宋体" w:cs="宋体"/>
                <w:color w:val="auto"/>
                <w:sz w:val="24"/>
                <w:highlight w:val="none"/>
              </w:rPr>
            </w:pPr>
          </w:p>
        </w:tc>
      </w:tr>
      <w:tr w14:paraId="53475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vAlign w:val="center"/>
          </w:tcPr>
          <w:p w14:paraId="53475F1F">
            <w:pPr>
              <w:kinsoku w:val="0"/>
              <w:autoSpaceDE w:val="0"/>
              <w:autoSpaceDN w:val="0"/>
              <w:adjustRightInd w:val="0"/>
              <w:snapToGrid w:val="0"/>
              <w:spacing w:line="240" w:lineRule="auto"/>
              <w:ind w:left="123" w:right="129" w:hanging="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sz w:val="24"/>
                <w:highlight w:val="none"/>
                <w:lang w:eastAsia="en-US"/>
              </w:rPr>
              <w:t>5.质量</w:t>
            </w:r>
            <w:r>
              <w:rPr>
                <w:rFonts w:hint="eastAsia" w:ascii="宋体" w:hAnsi="宋体" w:cs="宋体"/>
                <w:snapToGrid w:val="0"/>
                <w:color w:val="auto"/>
                <w:kern w:val="0"/>
                <w:sz w:val="24"/>
                <w:highlight w:val="none"/>
                <w:lang w:eastAsia="en-US"/>
              </w:rPr>
              <w:t>员</w:t>
            </w:r>
          </w:p>
        </w:tc>
        <w:tc>
          <w:tcPr>
            <w:tcW w:w="669" w:type="dxa"/>
            <w:vAlign w:val="center"/>
          </w:tcPr>
          <w:p w14:paraId="53475F20">
            <w:pPr>
              <w:spacing w:line="240" w:lineRule="auto"/>
              <w:rPr>
                <w:rFonts w:ascii="宋体" w:hAnsi="宋体" w:cs="宋体"/>
                <w:color w:val="auto"/>
                <w:sz w:val="24"/>
                <w:highlight w:val="none"/>
              </w:rPr>
            </w:pPr>
          </w:p>
        </w:tc>
        <w:tc>
          <w:tcPr>
            <w:tcW w:w="827" w:type="dxa"/>
            <w:vAlign w:val="center"/>
          </w:tcPr>
          <w:p w14:paraId="53475F21">
            <w:pPr>
              <w:spacing w:line="240" w:lineRule="auto"/>
              <w:rPr>
                <w:rFonts w:ascii="宋体" w:hAnsi="宋体" w:cs="宋体"/>
                <w:color w:val="auto"/>
                <w:sz w:val="24"/>
                <w:highlight w:val="none"/>
              </w:rPr>
            </w:pPr>
          </w:p>
        </w:tc>
        <w:tc>
          <w:tcPr>
            <w:tcW w:w="815" w:type="dxa"/>
            <w:vAlign w:val="center"/>
          </w:tcPr>
          <w:p w14:paraId="53475F22">
            <w:pPr>
              <w:spacing w:line="240" w:lineRule="auto"/>
              <w:rPr>
                <w:rFonts w:ascii="宋体" w:hAnsi="宋体" w:cs="宋体"/>
                <w:color w:val="auto"/>
                <w:sz w:val="24"/>
                <w:highlight w:val="none"/>
              </w:rPr>
            </w:pPr>
          </w:p>
        </w:tc>
        <w:tc>
          <w:tcPr>
            <w:tcW w:w="1147" w:type="dxa"/>
            <w:vAlign w:val="center"/>
          </w:tcPr>
          <w:p w14:paraId="53475F23">
            <w:pPr>
              <w:spacing w:line="240" w:lineRule="auto"/>
              <w:rPr>
                <w:rFonts w:ascii="宋体" w:hAnsi="宋体" w:cs="宋体"/>
                <w:color w:val="auto"/>
                <w:sz w:val="24"/>
                <w:highlight w:val="none"/>
              </w:rPr>
            </w:pPr>
          </w:p>
        </w:tc>
        <w:tc>
          <w:tcPr>
            <w:tcW w:w="1149" w:type="dxa"/>
            <w:vAlign w:val="center"/>
          </w:tcPr>
          <w:p w14:paraId="53475F24">
            <w:pPr>
              <w:spacing w:line="240" w:lineRule="auto"/>
              <w:rPr>
                <w:rFonts w:ascii="宋体" w:hAnsi="宋体" w:cs="宋体"/>
                <w:color w:val="auto"/>
                <w:sz w:val="24"/>
                <w:highlight w:val="none"/>
              </w:rPr>
            </w:pPr>
          </w:p>
        </w:tc>
        <w:tc>
          <w:tcPr>
            <w:tcW w:w="1147" w:type="dxa"/>
            <w:vAlign w:val="center"/>
          </w:tcPr>
          <w:p w14:paraId="53475F25">
            <w:pPr>
              <w:spacing w:line="240" w:lineRule="auto"/>
              <w:rPr>
                <w:rFonts w:ascii="宋体" w:hAnsi="宋体" w:cs="宋体"/>
                <w:color w:val="auto"/>
                <w:sz w:val="24"/>
                <w:highlight w:val="none"/>
              </w:rPr>
            </w:pPr>
          </w:p>
        </w:tc>
        <w:tc>
          <w:tcPr>
            <w:tcW w:w="744" w:type="dxa"/>
            <w:vAlign w:val="center"/>
          </w:tcPr>
          <w:p w14:paraId="53475F26">
            <w:pPr>
              <w:spacing w:line="240" w:lineRule="auto"/>
              <w:rPr>
                <w:rFonts w:ascii="宋体" w:hAnsi="宋体" w:cs="宋体"/>
                <w:color w:val="auto"/>
                <w:sz w:val="24"/>
                <w:highlight w:val="none"/>
              </w:rPr>
            </w:pPr>
          </w:p>
        </w:tc>
        <w:tc>
          <w:tcPr>
            <w:tcW w:w="1166" w:type="dxa"/>
            <w:vAlign w:val="center"/>
          </w:tcPr>
          <w:p w14:paraId="53475F27">
            <w:pPr>
              <w:spacing w:line="240" w:lineRule="auto"/>
              <w:rPr>
                <w:rFonts w:ascii="宋体" w:hAnsi="宋体" w:cs="宋体"/>
                <w:color w:val="auto"/>
                <w:sz w:val="24"/>
                <w:highlight w:val="none"/>
              </w:rPr>
            </w:pPr>
          </w:p>
        </w:tc>
        <w:tc>
          <w:tcPr>
            <w:tcW w:w="1281" w:type="dxa"/>
            <w:vAlign w:val="center"/>
          </w:tcPr>
          <w:p w14:paraId="53475F28">
            <w:pPr>
              <w:spacing w:line="240" w:lineRule="auto"/>
              <w:rPr>
                <w:rFonts w:ascii="宋体" w:hAnsi="宋体" w:cs="宋体"/>
                <w:color w:val="auto"/>
                <w:sz w:val="24"/>
                <w:highlight w:val="none"/>
              </w:rPr>
            </w:pPr>
          </w:p>
        </w:tc>
      </w:tr>
      <w:tr w14:paraId="53475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vAlign w:val="center"/>
          </w:tcPr>
          <w:p w14:paraId="53475F2A">
            <w:pPr>
              <w:kinsoku w:val="0"/>
              <w:autoSpaceDE w:val="0"/>
              <w:autoSpaceDN w:val="0"/>
              <w:adjustRightInd w:val="0"/>
              <w:snapToGrid w:val="0"/>
              <w:spacing w:line="240" w:lineRule="auto"/>
              <w:ind w:left="124"/>
              <w:jc w:val="left"/>
              <w:textAlignment w:val="baseline"/>
              <w:rPr>
                <w:rFonts w:ascii="宋体" w:hAnsi="宋体" w:cs="宋体"/>
                <w:snapToGrid w:val="0"/>
                <w:color w:val="auto"/>
                <w:kern w:val="0"/>
                <w:sz w:val="24"/>
                <w:highlight w:val="none"/>
                <w:lang w:eastAsia="en-US"/>
              </w:rPr>
            </w:pPr>
          </w:p>
        </w:tc>
        <w:tc>
          <w:tcPr>
            <w:tcW w:w="669" w:type="dxa"/>
            <w:vAlign w:val="center"/>
          </w:tcPr>
          <w:p w14:paraId="53475F2B">
            <w:pPr>
              <w:spacing w:line="240" w:lineRule="auto"/>
              <w:rPr>
                <w:rFonts w:ascii="宋体" w:hAnsi="宋体" w:cs="宋体"/>
                <w:color w:val="auto"/>
                <w:sz w:val="24"/>
                <w:highlight w:val="none"/>
              </w:rPr>
            </w:pPr>
          </w:p>
        </w:tc>
        <w:tc>
          <w:tcPr>
            <w:tcW w:w="827" w:type="dxa"/>
            <w:vAlign w:val="center"/>
          </w:tcPr>
          <w:p w14:paraId="53475F2C">
            <w:pPr>
              <w:spacing w:line="240" w:lineRule="auto"/>
              <w:rPr>
                <w:rFonts w:ascii="宋体" w:hAnsi="宋体" w:cs="宋体"/>
                <w:color w:val="auto"/>
                <w:sz w:val="24"/>
                <w:highlight w:val="none"/>
              </w:rPr>
            </w:pPr>
          </w:p>
        </w:tc>
        <w:tc>
          <w:tcPr>
            <w:tcW w:w="815" w:type="dxa"/>
            <w:vAlign w:val="center"/>
          </w:tcPr>
          <w:p w14:paraId="53475F2D">
            <w:pPr>
              <w:spacing w:line="240" w:lineRule="auto"/>
              <w:rPr>
                <w:rFonts w:ascii="宋体" w:hAnsi="宋体" w:cs="宋体"/>
                <w:color w:val="auto"/>
                <w:sz w:val="24"/>
                <w:highlight w:val="none"/>
              </w:rPr>
            </w:pPr>
          </w:p>
        </w:tc>
        <w:tc>
          <w:tcPr>
            <w:tcW w:w="1147" w:type="dxa"/>
            <w:vAlign w:val="center"/>
          </w:tcPr>
          <w:p w14:paraId="53475F2E">
            <w:pPr>
              <w:spacing w:line="240" w:lineRule="auto"/>
              <w:rPr>
                <w:rFonts w:ascii="宋体" w:hAnsi="宋体" w:cs="宋体"/>
                <w:color w:val="auto"/>
                <w:sz w:val="24"/>
                <w:highlight w:val="none"/>
              </w:rPr>
            </w:pPr>
          </w:p>
        </w:tc>
        <w:tc>
          <w:tcPr>
            <w:tcW w:w="1149" w:type="dxa"/>
            <w:vAlign w:val="center"/>
          </w:tcPr>
          <w:p w14:paraId="53475F2F">
            <w:pPr>
              <w:spacing w:line="240" w:lineRule="auto"/>
              <w:rPr>
                <w:rFonts w:ascii="宋体" w:hAnsi="宋体" w:cs="宋体"/>
                <w:color w:val="auto"/>
                <w:sz w:val="24"/>
                <w:highlight w:val="none"/>
              </w:rPr>
            </w:pPr>
          </w:p>
        </w:tc>
        <w:tc>
          <w:tcPr>
            <w:tcW w:w="1147" w:type="dxa"/>
            <w:vAlign w:val="center"/>
          </w:tcPr>
          <w:p w14:paraId="53475F30">
            <w:pPr>
              <w:spacing w:line="240" w:lineRule="auto"/>
              <w:rPr>
                <w:rFonts w:ascii="宋体" w:hAnsi="宋体" w:cs="宋体"/>
                <w:color w:val="auto"/>
                <w:sz w:val="24"/>
                <w:highlight w:val="none"/>
              </w:rPr>
            </w:pPr>
          </w:p>
        </w:tc>
        <w:tc>
          <w:tcPr>
            <w:tcW w:w="744" w:type="dxa"/>
            <w:vAlign w:val="center"/>
          </w:tcPr>
          <w:p w14:paraId="53475F31">
            <w:pPr>
              <w:spacing w:line="240" w:lineRule="auto"/>
              <w:rPr>
                <w:rFonts w:ascii="宋体" w:hAnsi="宋体" w:cs="宋体"/>
                <w:color w:val="auto"/>
                <w:sz w:val="24"/>
                <w:highlight w:val="none"/>
              </w:rPr>
            </w:pPr>
          </w:p>
        </w:tc>
        <w:tc>
          <w:tcPr>
            <w:tcW w:w="1166" w:type="dxa"/>
            <w:vAlign w:val="center"/>
          </w:tcPr>
          <w:p w14:paraId="53475F32">
            <w:pPr>
              <w:spacing w:line="240" w:lineRule="auto"/>
              <w:rPr>
                <w:rFonts w:ascii="宋体" w:hAnsi="宋体" w:cs="宋体"/>
                <w:color w:val="auto"/>
                <w:sz w:val="24"/>
                <w:highlight w:val="none"/>
              </w:rPr>
            </w:pPr>
          </w:p>
        </w:tc>
        <w:tc>
          <w:tcPr>
            <w:tcW w:w="1281" w:type="dxa"/>
            <w:vAlign w:val="center"/>
          </w:tcPr>
          <w:p w14:paraId="53475F33">
            <w:pPr>
              <w:spacing w:line="240" w:lineRule="auto"/>
              <w:rPr>
                <w:rFonts w:ascii="宋体" w:hAnsi="宋体" w:cs="宋体"/>
                <w:color w:val="auto"/>
                <w:sz w:val="24"/>
                <w:highlight w:val="none"/>
              </w:rPr>
            </w:pPr>
          </w:p>
        </w:tc>
      </w:tr>
      <w:tr w14:paraId="53475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vAlign w:val="center"/>
          </w:tcPr>
          <w:p w14:paraId="53475F35">
            <w:pPr>
              <w:spacing w:line="240" w:lineRule="auto"/>
              <w:rPr>
                <w:rFonts w:ascii="宋体" w:hAnsi="宋体" w:cs="宋体"/>
                <w:color w:val="auto"/>
                <w:sz w:val="24"/>
                <w:highlight w:val="none"/>
              </w:rPr>
            </w:pPr>
          </w:p>
        </w:tc>
        <w:tc>
          <w:tcPr>
            <w:tcW w:w="669" w:type="dxa"/>
            <w:vAlign w:val="center"/>
          </w:tcPr>
          <w:p w14:paraId="53475F36">
            <w:pPr>
              <w:spacing w:line="240" w:lineRule="auto"/>
              <w:rPr>
                <w:rFonts w:ascii="宋体" w:hAnsi="宋体" w:cs="宋体"/>
                <w:color w:val="auto"/>
                <w:sz w:val="24"/>
                <w:highlight w:val="none"/>
              </w:rPr>
            </w:pPr>
          </w:p>
        </w:tc>
        <w:tc>
          <w:tcPr>
            <w:tcW w:w="827" w:type="dxa"/>
            <w:vAlign w:val="center"/>
          </w:tcPr>
          <w:p w14:paraId="53475F37">
            <w:pPr>
              <w:spacing w:line="240" w:lineRule="auto"/>
              <w:rPr>
                <w:rFonts w:ascii="宋体" w:hAnsi="宋体" w:cs="宋体"/>
                <w:color w:val="auto"/>
                <w:sz w:val="24"/>
                <w:highlight w:val="none"/>
              </w:rPr>
            </w:pPr>
          </w:p>
        </w:tc>
        <w:tc>
          <w:tcPr>
            <w:tcW w:w="815" w:type="dxa"/>
            <w:vAlign w:val="center"/>
          </w:tcPr>
          <w:p w14:paraId="53475F38">
            <w:pPr>
              <w:spacing w:line="240" w:lineRule="auto"/>
              <w:rPr>
                <w:rFonts w:ascii="宋体" w:hAnsi="宋体" w:cs="宋体"/>
                <w:color w:val="auto"/>
                <w:sz w:val="24"/>
                <w:highlight w:val="none"/>
              </w:rPr>
            </w:pPr>
          </w:p>
        </w:tc>
        <w:tc>
          <w:tcPr>
            <w:tcW w:w="1147" w:type="dxa"/>
            <w:vAlign w:val="center"/>
          </w:tcPr>
          <w:p w14:paraId="53475F39">
            <w:pPr>
              <w:spacing w:line="240" w:lineRule="auto"/>
              <w:rPr>
                <w:rFonts w:ascii="宋体" w:hAnsi="宋体" w:cs="宋体"/>
                <w:color w:val="auto"/>
                <w:sz w:val="24"/>
                <w:highlight w:val="none"/>
              </w:rPr>
            </w:pPr>
          </w:p>
        </w:tc>
        <w:tc>
          <w:tcPr>
            <w:tcW w:w="1149" w:type="dxa"/>
            <w:vAlign w:val="center"/>
          </w:tcPr>
          <w:p w14:paraId="53475F3A">
            <w:pPr>
              <w:spacing w:line="240" w:lineRule="auto"/>
              <w:rPr>
                <w:rFonts w:ascii="宋体" w:hAnsi="宋体" w:cs="宋体"/>
                <w:color w:val="auto"/>
                <w:sz w:val="24"/>
                <w:highlight w:val="none"/>
              </w:rPr>
            </w:pPr>
          </w:p>
        </w:tc>
        <w:tc>
          <w:tcPr>
            <w:tcW w:w="1147" w:type="dxa"/>
            <w:vAlign w:val="center"/>
          </w:tcPr>
          <w:p w14:paraId="53475F3B">
            <w:pPr>
              <w:spacing w:line="240" w:lineRule="auto"/>
              <w:rPr>
                <w:rFonts w:ascii="宋体" w:hAnsi="宋体" w:cs="宋体"/>
                <w:color w:val="auto"/>
                <w:sz w:val="24"/>
                <w:highlight w:val="none"/>
              </w:rPr>
            </w:pPr>
          </w:p>
        </w:tc>
        <w:tc>
          <w:tcPr>
            <w:tcW w:w="744" w:type="dxa"/>
            <w:vAlign w:val="center"/>
          </w:tcPr>
          <w:p w14:paraId="53475F3C">
            <w:pPr>
              <w:spacing w:line="240" w:lineRule="auto"/>
              <w:rPr>
                <w:rFonts w:ascii="宋体" w:hAnsi="宋体" w:cs="宋体"/>
                <w:color w:val="auto"/>
                <w:sz w:val="24"/>
                <w:highlight w:val="none"/>
              </w:rPr>
            </w:pPr>
          </w:p>
        </w:tc>
        <w:tc>
          <w:tcPr>
            <w:tcW w:w="1166" w:type="dxa"/>
            <w:vAlign w:val="center"/>
          </w:tcPr>
          <w:p w14:paraId="53475F3D">
            <w:pPr>
              <w:spacing w:line="240" w:lineRule="auto"/>
              <w:rPr>
                <w:rFonts w:ascii="宋体" w:hAnsi="宋体" w:cs="宋体"/>
                <w:color w:val="auto"/>
                <w:sz w:val="24"/>
                <w:highlight w:val="none"/>
              </w:rPr>
            </w:pPr>
          </w:p>
        </w:tc>
        <w:tc>
          <w:tcPr>
            <w:tcW w:w="1281" w:type="dxa"/>
            <w:vAlign w:val="center"/>
          </w:tcPr>
          <w:p w14:paraId="53475F3E">
            <w:pPr>
              <w:spacing w:line="240" w:lineRule="auto"/>
              <w:rPr>
                <w:rFonts w:ascii="宋体" w:hAnsi="宋体" w:cs="宋体"/>
                <w:color w:val="auto"/>
                <w:sz w:val="24"/>
                <w:highlight w:val="none"/>
              </w:rPr>
            </w:pPr>
          </w:p>
        </w:tc>
      </w:tr>
      <w:tr w14:paraId="53475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9871" w:type="dxa"/>
            <w:gridSpan w:val="10"/>
            <w:vAlign w:val="center"/>
          </w:tcPr>
          <w:p w14:paraId="53475F40">
            <w:pPr>
              <w:kinsoku w:val="0"/>
              <w:autoSpaceDE w:val="0"/>
              <w:autoSpaceDN w:val="0"/>
              <w:adjustRightInd w:val="0"/>
              <w:snapToGrid w:val="0"/>
              <w:spacing w:line="240" w:lineRule="auto"/>
              <w:ind w:left="11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一旦我单位成交，将实行项目经理负责制，我方保证并配备上述项目管</w:t>
            </w:r>
            <w:r>
              <w:rPr>
                <w:rFonts w:hint="eastAsia" w:ascii="宋体" w:hAnsi="宋体" w:cs="宋体"/>
                <w:snapToGrid w:val="0"/>
                <w:color w:val="auto"/>
                <w:spacing w:val="-1"/>
                <w:kern w:val="0"/>
                <w:sz w:val="24"/>
                <w:highlight w:val="none"/>
              </w:rPr>
              <w:t>理机构。上述填报内容真实，若不</w:t>
            </w:r>
            <w:r>
              <w:rPr>
                <w:rFonts w:hint="eastAsia" w:ascii="宋体" w:hAnsi="宋体" w:cs="宋体"/>
                <w:snapToGrid w:val="0"/>
                <w:color w:val="auto"/>
                <w:spacing w:val="-3"/>
                <w:kern w:val="0"/>
                <w:sz w:val="24"/>
                <w:highlight w:val="none"/>
              </w:rPr>
              <w:t>真实，愿按有关规定接受处理。项目管理班子机构设置、职责分工等情况另附资料说明。</w:t>
            </w:r>
          </w:p>
        </w:tc>
      </w:tr>
    </w:tbl>
    <w:p w14:paraId="53475F42">
      <w:pPr>
        <w:widowControl/>
        <w:kinsoku w:val="0"/>
        <w:autoSpaceDE w:val="0"/>
        <w:autoSpaceDN w:val="0"/>
        <w:adjustRightInd w:val="0"/>
        <w:snapToGrid w:val="0"/>
        <w:spacing w:line="24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备注：</w:t>
      </w:r>
    </w:p>
    <w:p w14:paraId="53475F43">
      <w:pPr>
        <w:widowControl/>
        <w:kinsoku w:val="0"/>
        <w:autoSpaceDE w:val="0"/>
        <w:autoSpaceDN w:val="0"/>
        <w:adjustRightInd w:val="0"/>
        <w:snapToGrid w:val="0"/>
        <w:spacing w:line="24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1.本表所列岗位的所有管理人员的情况均应如实填写。可按以上格式扩展为多页填写。</w:t>
      </w:r>
    </w:p>
    <w:p w14:paraId="53475F44">
      <w:pPr>
        <w:widowControl/>
        <w:kinsoku w:val="0"/>
        <w:autoSpaceDE w:val="0"/>
        <w:autoSpaceDN w:val="0"/>
        <w:adjustRightInd w:val="0"/>
        <w:snapToGrid w:val="0"/>
        <w:spacing w:line="24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2.供应商应当在本表后附所有管理人员的身份证、职称证、执业或职业资格证书的复印件并加盖供应商公章。</w:t>
      </w:r>
    </w:p>
    <w:p w14:paraId="53475F46">
      <w:pPr>
        <w:kinsoku w:val="0"/>
        <w:autoSpaceDE w:val="0"/>
        <w:autoSpaceDN w:val="0"/>
        <w:adjustRightInd w:val="0"/>
        <w:snapToGrid w:val="0"/>
        <w:spacing w:line="240" w:lineRule="auto"/>
        <w:jc w:val="left"/>
        <w:textAlignment w:val="baseline"/>
        <w:rPr>
          <w:rFonts w:ascii="宋体" w:hAnsi="宋体" w:cs="宋体"/>
          <w:snapToGrid w:val="0"/>
          <w:color w:val="auto"/>
          <w:kern w:val="0"/>
          <w:sz w:val="24"/>
          <w:highlight w:val="none"/>
        </w:rPr>
      </w:pPr>
    </w:p>
    <w:p w14:paraId="53475F47">
      <w:pPr>
        <w:adjustRightInd w:val="0"/>
        <w:snapToGrid w:val="0"/>
        <w:spacing w:line="24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53475F48">
      <w:pPr>
        <w:adjustRightInd w:val="0"/>
        <w:snapToGrid w:val="0"/>
        <w:spacing w:line="24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53475F49">
      <w:pPr>
        <w:spacing w:line="24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53475F4A">
      <w:pPr>
        <w:spacing w:line="360" w:lineRule="auto"/>
        <w:rPr>
          <w:rFonts w:ascii="宋体" w:hAnsi="宋体"/>
          <w:color w:val="auto"/>
          <w:highlight w:val="none"/>
        </w:rPr>
      </w:pPr>
      <w:r>
        <w:rPr>
          <w:rFonts w:hint="eastAsia" w:ascii="宋体" w:hAnsi="宋体"/>
          <w:color w:val="auto"/>
          <w:highlight w:val="none"/>
        </w:rPr>
        <w:br w:type="page"/>
      </w:r>
    </w:p>
    <w:p w14:paraId="53475F4B">
      <w:pPr>
        <w:spacing w:line="360" w:lineRule="auto"/>
        <w:ind w:left="2591"/>
        <w:rPr>
          <w:rFonts w:ascii="宋体" w:hAnsi="宋体" w:cs="宋体"/>
          <w:color w:val="auto"/>
          <w:sz w:val="31"/>
          <w:szCs w:val="31"/>
          <w:highlight w:val="none"/>
        </w:rPr>
      </w:pPr>
      <w:r>
        <w:rPr>
          <w:rFonts w:hint="eastAsia" w:ascii="宋体" w:hAnsi="宋体" w:cs="宋体"/>
          <w:color w:val="auto"/>
          <w:spacing w:val="-3"/>
          <w:position w:val="23"/>
          <w:sz w:val="31"/>
          <w:szCs w:val="31"/>
          <w:highlight w:val="none"/>
        </w:rPr>
        <w:t>（二） 拟投入的主要人员简历表</w:t>
      </w:r>
    </w:p>
    <w:p w14:paraId="53475F4D">
      <w:pPr>
        <w:spacing w:line="360" w:lineRule="auto"/>
        <w:ind w:left="4027"/>
        <w:rPr>
          <w:rFonts w:ascii="宋体" w:hAnsi="宋体" w:cs="宋体"/>
          <w:color w:val="auto"/>
          <w:highlight w:val="none"/>
        </w:rPr>
      </w:pPr>
      <w:r>
        <w:rPr>
          <w:rFonts w:hint="eastAsia" w:ascii="宋体" w:hAnsi="宋体" w:cs="宋体"/>
          <w:color w:val="auto"/>
          <w:spacing w:val="8"/>
          <w:sz w:val="31"/>
          <w:szCs w:val="31"/>
          <w:highlight w:val="none"/>
        </w:rPr>
        <w:t>项目经理简历表</w:t>
      </w: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2"/>
        <w:gridCol w:w="418"/>
        <w:gridCol w:w="856"/>
        <w:gridCol w:w="692"/>
        <w:gridCol w:w="325"/>
        <w:gridCol w:w="208"/>
        <w:gridCol w:w="1441"/>
        <w:gridCol w:w="245"/>
        <w:gridCol w:w="1084"/>
        <w:gridCol w:w="89"/>
        <w:gridCol w:w="411"/>
        <w:gridCol w:w="1134"/>
        <w:gridCol w:w="87"/>
        <w:gridCol w:w="1396"/>
        <w:gridCol w:w="25"/>
      </w:tblGrid>
      <w:tr w14:paraId="53475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12" w:type="dxa"/>
          </w:tcPr>
          <w:p w14:paraId="53475F4E">
            <w:pPr>
              <w:keepNext w:val="0"/>
              <w:keepLines w:val="0"/>
              <w:pageBreakBefore w:val="0"/>
              <w:widowControl w:val="0"/>
              <w:kinsoku w:val="0"/>
              <w:wordWrap/>
              <w:overflowPunct/>
              <w:topLinePunct w:val="0"/>
              <w:autoSpaceDE w:val="0"/>
              <w:autoSpaceDN w:val="0"/>
              <w:bidi w:val="0"/>
              <w:adjustRightInd w:val="0"/>
              <w:snapToGrid w:val="0"/>
              <w:spacing w:line="240" w:lineRule="auto"/>
              <w:ind w:left="39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291" w:type="dxa"/>
            <w:gridSpan w:val="4"/>
          </w:tcPr>
          <w:p w14:paraId="53475F4F">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894" w:type="dxa"/>
            <w:gridSpan w:val="3"/>
          </w:tcPr>
          <w:p w14:paraId="53475F50">
            <w:pPr>
              <w:keepNext w:val="0"/>
              <w:keepLines w:val="0"/>
              <w:pageBreakBefore w:val="0"/>
              <w:widowControl w:val="0"/>
              <w:kinsoku w:val="0"/>
              <w:wordWrap/>
              <w:overflowPunct/>
              <w:topLinePunct w:val="0"/>
              <w:autoSpaceDE w:val="0"/>
              <w:autoSpaceDN w:val="0"/>
              <w:bidi w:val="0"/>
              <w:adjustRightInd w:val="0"/>
              <w:snapToGrid w:val="0"/>
              <w:spacing w:line="240" w:lineRule="auto"/>
              <w:ind w:left="7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584" w:type="dxa"/>
            <w:gridSpan w:val="3"/>
          </w:tcPr>
          <w:p w14:paraId="53475F51">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134" w:type="dxa"/>
          </w:tcPr>
          <w:p w14:paraId="53475F52">
            <w:pPr>
              <w:keepNext w:val="0"/>
              <w:keepLines w:val="0"/>
              <w:pageBreakBefore w:val="0"/>
              <w:widowControl w:val="0"/>
              <w:kinsoku w:val="0"/>
              <w:wordWrap/>
              <w:overflowPunct/>
              <w:topLinePunct w:val="0"/>
              <w:autoSpaceDE w:val="0"/>
              <w:autoSpaceDN w:val="0"/>
              <w:bidi w:val="0"/>
              <w:adjustRightInd w:val="0"/>
              <w:snapToGrid w:val="0"/>
              <w:spacing w:line="240" w:lineRule="auto"/>
              <w:ind w:left="3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8" w:type="dxa"/>
            <w:gridSpan w:val="3"/>
          </w:tcPr>
          <w:p w14:paraId="53475F53">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tcPr>
          <w:p w14:paraId="53475F55">
            <w:pPr>
              <w:keepNext w:val="0"/>
              <w:keepLines w:val="0"/>
              <w:pageBreakBefore w:val="0"/>
              <w:widowControl w:val="0"/>
              <w:kinsoku w:val="0"/>
              <w:wordWrap/>
              <w:overflowPunct/>
              <w:topLinePunct w:val="0"/>
              <w:autoSpaceDE w:val="0"/>
              <w:autoSpaceDN w:val="0"/>
              <w:bidi w:val="0"/>
              <w:adjustRightInd w:val="0"/>
              <w:snapToGrid w:val="0"/>
              <w:spacing w:line="240" w:lineRule="auto"/>
              <w:ind w:left="41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291" w:type="dxa"/>
            <w:gridSpan w:val="4"/>
          </w:tcPr>
          <w:p w14:paraId="53475F56">
            <w:pPr>
              <w:keepNext w:val="0"/>
              <w:keepLines w:val="0"/>
              <w:pageBreakBefore w:val="0"/>
              <w:widowControl w:val="0"/>
              <w:kinsoku w:val="0"/>
              <w:wordWrap/>
              <w:overflowPunct/>
              <w:topLinePunct w:val="0"/>
              <w:autoSpaceDE w:val="0"/>
              <w:autoSpaceDN w:val="0"/>
              <w:bidi w:val="0"/>
              <w:adjustRightInd w:val="0"/>
              <w:snapToGrid w:val="0"/>
              <w:spacing w:line="240" w:lineRule="auto"/>
              <w:ind w:left="72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项目经理</w:t>
            </w:r>
          </w:p>
        </w:tc>
        <w:tc>
          <w:tcPr>
            <w:tcW w:w="1894" w:type="dxa"/>
            <w:gridSpan w:val="3"/>
          </w:tcPr>
          <w:p w14:paraId="53475F57">
            <w:pPr>
              <w:keepNext w:val="0"/>
              <w:keepLines w:val="0"/>
              <w:pageBreakBefore w:val="0"/>
              <w:widowControl w:val="0"/>
              <w:kinsoku w:val="0"/>
              <w:wordWrap/>
              <w:overflowPunct/>
              <w:topLinePunct w:val="0"/>
              <w:autoSpaceDE w:val="0"/>
              <w:autoSpaceDN w:val="0"/>
              <w:bidi w:val="0"/>
              <w:adjustRightInd w:val="0"/>
              <w:snapToGrid w:val="0"/>
              <w:spacing w:line="240" w:lineRule="auto"/>
              <w:ind w:left="74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584" w:type="dxa"/>
            <w:gridSpan w:val="3"/>
          </w:tcPr>
          <w:p w14:paraId="53475F58">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134" w:type="dxa"/>
          </w:tcPr>
          <w:p w14:paraId="53475F59">
            <w:pPr>
              <w:keepNext w:val="0"/>
              <w:keepLines w:val="0"/>
              <w:pageBreakBefore w:val="0"/>
              <w:widowControl w:val="0"/>
              <w:kinsoku w:val="0"/>
              <w:wordWrap/>
              <w:overflowPunct/>
              <w:topLinePunct w:val="0"/>
              <w:autoSpaceDE w:val="0"/>
              <w:autoSpaceDN w:val="0"/>
              <w:bidi w:val="0"/>
              <w:adjustRightInd w:val="0"/>
              <w:snapToGrid w:val="0"/>
              <w:spacing w:line="240" w:lineRule="auto"/>
              <w:ind w:left="35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8" w:type="dxa"/>
            <w:gridSpan w:val="3"/>
          </w:tcPr>
          <w:p w14:paraId="53475F5A">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tcPr>
          <w:p w14:paraId="53475F5C">
            <w:pPr>
              <w:keepNext w:val="0"/>
              <w:keepLines w:val="0"/>
              <w:pageBreakBefore w:val="0"/>
              <w:widowControl w:val="0"/>
              <w:kinsoku w:val="0"/>
              <w:wordWrap/>
              <w:overflowPunct/>
              <w:topLinePunct w:val="0"/>
              <w:autoSpaceDE w:val="0"/>
              <w:autoSpaceDN w:val="0"/>
              <w:bidi w:val="0"/>
              <w:adjustRightInd w:val="0"/>
              <w:snapToGrid w:val="0"/>
              <w:spacing w:line="240" w:lineRule="auto"/>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从业开始 时间</w:t>
            </w:r>
          </w:p>
        </w:tc>
        <w:tc>
          <w:tcPr>
            <w:tcW w:w="2291" w:type="dxa"/>
            <w:gridSpan w:val="4"/>
          </w:tcPr>
          <w:p w14:paraId="53475F5D">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894" w:type="dxa"/>
            <w:gridSpan w:val="3"/>
          </w:tcPr>
          <w:p w14:paraId="53475F5E">
            <w:pPr>
              <w:keepNext w:val="0"/>
              <w:keepLines w:val="0"/>
              <w:pageBreakBefore w:val="0"/>
              <w:widowControl w:val="0"/>
              <w:kinsoku w:val="0"/>
              <w:wordWrap/>
              <w:overflowPunct/>
              <w:topLinePunct w:val="0"/>
              <w:autoSpaceDE w:val="0"/>
              <w:autoSpaceDN w:val="0"/>
              <w:bidi w:val="0"/>
              <w:adjustRightInd w:val="0"/>
              <w:snapToGrid w:val="0"/>
              <w:spacing w:line="240" w:lineRule="auto"/>
              <w:ind w:left="32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584" w:type="dxa"/>
            <w:gridSpan w:val="3"/>
          </w:tcPr>
          <w:p w14:paraId="53475F5F">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134" w:type="dxa"/>
          </w:tcPr>
          <w:p w14:paraId="53475F60">
            <w:pPr>
              <w:keepNext w:val="0"/>
              <w:keepLines w:val="0"/>
              <w:pageBreakBefore w:val="0"/>
              <w:widowControl w:val="0"/>
              <w:kinsoku w:val="0"/>
              <w:wordWrap/>
              <w:overflowPunct/>
              <w:topLinePunct w:val="0"/>
              <w:autoSpaceDE w:val="0"/>
              <w:autoSpaceDN w:val="0"/>
              <w:bidi w:val="0"/>
              <w:adjustRightInd w:val="0"/>
              <w:snapToGrid w:val="0"/>
              <w:spacing w:line="240" w:lineRule="auto"/>
              <w:ind w:left="14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8" w:type="dxa"/>
            <w:gridSpan w:val="3"/>
          </w:tcPr>
          <w:p w14:paraId="53475F61">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tcPr>
          <w:p w14:paraId="53475F63">
            <w:pPr>
              <w:keepNext w:val="0"/>
              <w:keepLines w:val="0"/>
              <w:pageBreakBefore w:val="0"/>
              <w:widowControl w:val="0"/>
              <w:kinsoku w:val="0"/>
              <w:wordWrap/>
              <w:overflowPunct/>
              <w:topLinePunct w:val="0"/>
              <w:autoSpaceDE w:val="0"/>
              <w:autoSpaceDN w:val="0"/>
              <w:bidi w:val="0"/>
              <w:adjustRightInd w:val="0"/>
              <w:snapToGrid w:val="0"/>
              <w:spacing w:line="240" w:lineRule="auto"/>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担任项目 经理年限</w:t>
            </w:r>
          </w:p>
        </w:tc>
        <w:tc>
          <w:tcPr>
            <w:tcW w:w="2291" w:type="dxa"/>
            <w:gridSpan w:val="4"/>
          </w:tcPr>
          <w:p w14:paraId="53475F64">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49" w:type="dxa"/>
            <w:gridSpan w:val="2"/>
          </w:tcPr>
          <w:p w14:paraId="53475F65">
            <w:pPr>
              <w:keepNext w:val="0"/>
              <w:keepLines w:val="0"/>
              <w:pageBreakBefore w:val="0"/>
              <w:widowControl w:val="0"/>
              <w:kinsoku w:val="0"/>
              <w:wordWrap/>
              <w:overflowPunct/>
              <w:topLinePunct w:val="0"/>
              <w:autoSpaceDE w:val="0"/>
              <w:autoSpaceDN w:val="0"/>
              <w:bidi w:val="0"/>
              <w:adjustRightInd w:val="0"/>
              <w:snapToGrid w:val="0"/>
              <w:spacing w:line="240" w:lineRule="auto"/>
              <w:ind w:left="31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身份证号码</w:t>
            </w:r>
          </w:p>
        </w:tc>
        <w:tc>
          <w:tcPr>
            <w:tcW w:w="4471" w:type="dxa"/>
            <w:gridSpan w:val="8"/>
          </w:tcPr>
          <w:p w14:paraId="53475F66">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12" w:type="dxa"/>
          </w:tcPr>
          <w:p w14:paraId="53475F68">
            <w:pPr>
              <w:keepNext w:val="0"/>
              <w:keepLines w:val="0"/>
              <w:pageBreakBefore w:val="0"/>
              <w:widowControl w:val="0"/>
              <w:kinsoku w:val="0"/>
              <w:wordWrap/>
              <w:overflowPunct/>
              <w:topLinePunct w:val="0"/>
              <w:autoSpaceDE w:val="0"/>
              <w:autoSpaceDN w:val="0"/>
              <w:bidi w:val="0"/>
              <w:adjustRightInd w:val="0"/>
              <w:snapToGrid w:val="0"/>
              <w:spacing w:line="240" w:lineRule="auto"/>
              <w:ind w:left="2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274" w:type="dxa"/>
            <w:gridSpan w:val="2"/>
          </w:tcPr>
          <w:p w14:paraId="53475F69">
            <w:pPr>
              <w:keepNext w:val="0"/>
              <w:keepLines w:val="0"/>
              <w:pageBreakBefore w:val="0"/>
              <w:widowControl w:val="0"/>
              <w:kinsoku w:val="0"/>
              <w:wordWrap/>
              <w:overflowPunct/>
              <w:topLinePunct w:val="0"/>
              <w:autoSpaceDE w:val="0"/>
              <w:autoSpaceDN w:val="0"/>
              <w:bidi w:val="0"/>
              <w:adjustRightInd w:val="0"/>
              <w:snapToGrid w:val="0"/>
              <w:spacing w:line="240" w:lineRule="auto"/>
              <w:ind w:left="2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5" w:type="dxa"/>
            <w:gridSpan w:val="3"/>
          </w:tcPr>
          <w:p w14:paraId="53475F6A">
            <w:pPr>
              <w:keepNext w:val="0"/>
              <w:keepLines w:val="0"/>
              <w:pageBreakBefore w:val="0"/>
              <w:widowControl w:val="0"/>
              <w:kinsoku w:val="0"/>
              <w:wordWrap/>
              <w:overflowPunct/>
              <w:topLinePunct w:val="0"/>
              <w:autoSpaceDE w:val="0"/>
              <w:autoSpaceDN w:val="0"/>
              <w:bidi w:val="0"/>
              <w:adjustRightInd w:val="0"/>
              <w:snapToGrid w:val="0"/>
              <w:spacing w:line="240" w:lineRule="auto"/>
              <w:ind w:left="4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41" w:type="dxa"/>
          </w:tcPr>
          <w:p w14:paraId="53475F6B">
            <w:pPr>
              <w:keepNext w:val="0"/>
              <w:keepLines w:val="0"/>
              <w:pageBreakBefore w:val="0"/>
              <w:widowControl w:val="0"/>
              <w:kinsoku w:val="0"/>
              <w:wordWrap/>
              <w:overflowPunct/>
              <w:topLinePunct w:val="0"/>
              <w:autoSpaceDE w:val="0"/>
              <w:autoSpaceDN w:val="0"/>
              <w:bidi w:val="0"/>
              <w:adjustRightInd w:val="0"/>
              <w:snapToGrid w:val="0"/>
              <w:spacing w:line="240" w:lineRule="auto"/>
              <w:ind w:left="32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8" w:type="dxa"/>
            <w:gridSpan w:val="3"/>
          </w:tcPr>
          <w:p w14:paraId="53475F6C">
            <w:pPr>
              <w:keepNext w:val="0"/>
              <w:keepLines w:val="0"/>
              <w:pageBreakBefore w:val="0"/>
              <w:widowControl w:val="0"/>
              <w:kinsoku w:val="0"/>
              <w:wordWrap/>
              <w:overflowPunct/>
              <w:topLinePunct w:val="0"/>
              <w:autoSpaceDE w:val="0"/>
              <w:autoSpaceDN w:val="0"/>
              <w:bidi w:val="0"/>
              <w:adjustRightInd w:val="0"/>
              <w:snapToGrid w:val="0"/>
              <w:spacing w:line="240" w:lineRule="auto"/>
              <w:ind w:left="29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2" w:type="dxa"/>
            <w:gridSpan w:val="3"/>
          </w:tcPr>
          <w:p w14:paraId="53475F6D">
            <w:pPr>
              <w:keepNext w:val="0"/>
              <w:keepLines w:val="0"/>
              <w:pageBreakBefore w:val="0"/>
              <w:widowControl w:val="0"/>
              <w:kinsoku w:val="0"/>
              <w:wordWrap/>
              <w:overflowPunct/>
              <w:topLinePunct w:val="0"/>
              <w:autoSpaceDE w:val="0"/>
              <w:autoSpaceDN w:val="0"/>
              <w:bidi w:val="0"/>
              <w:adjustRightInd w:val="0"/>
              <w:snapToGrid w:val="0"/>
              <w:spacing w:line="24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21" w:type="dxa"/>
            <w:gridSpan w:val="2"/>
          </w:tcPr>
          <w:p w14:paraId="53475F6E">
            <w:pPr>
              <w:keepNext w:val="0"/>
              <w:keepLines w:val="0"/>
              <w:pageBreakBefore w:val="0"/>
              <w:widowControl w:val="0"/>
              <w:kinsoku w:val="0"/>
              <w:wordWrap/>
              <w:overflowPunct/>
              <w:topLinePunct w:val="0"/>
              <w:autoSpaceDE w:val="0"/>
              <w:autoSpaceDN w:val="0"/>
              <w:bidi w:val="0"/>
              <w:adjustRightInd w:val="0"/>
              <w:snapToGrid w:val="0"/>
              <w:spacing w:line="240" w:lineRule="auto"/>
              <w:ind w:left="19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53475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212" w:type="dxa"/>
          </w:tcPr>
          <w:p w14:paraId="53475F70">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274" w:type="dxa"/>
            <w:gridSpan w:val="2"/>
          </w:tcPr>
          <w:p w14:paraId="53475F71">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225" w:type="dxa"/>
            <w:gridSpan w:val="3"/>
          </w:tcPr>
          <w:p w14:paraId="53475F72">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41" w:type="dxa"/>
          </w:tcPr>
          <w:p w14:paraId="53475F73">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18" w:type="dxa"/>
            <w:gridSpan w:val="3"/>
          </w:tcPr>
          <w:p w14:paraId="53475F74">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32" w:type="dxa"/>
            <w:gridSpan w:val="3"/>
          </w:tcPr>
          <w:p w14:paraId="53475F75">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21" w:type="dxa"/>
            <w:gridSpan w:val="2"/>
          </w:tcPr>
          <w:p w14:paraId="53475F76">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212" w:type="dxa"/>
          </w:tcPr>
          <w:p w14:paraId="53475F78">
            <w:pPr>
              <w:keepNext w:val="0"/>
              <w:keepLines w:val="0"/>
              <w:pageBreakBefore w:val="0"/>
              <w:widowControl w:val="0"/>
              <w:kinsoku w:val="0"/>
              <w:wordWrap/>
              <w:overflowPunct/>
              <w:topLinePunct w:val="0"/>
              <w:autoSpaceDE w:val="0"/>
              <w:autoSpaceDN w:val="0"/>
              <w:bidi w:val="0"/>
              <w:adjustRightInd w:val="0"/>
              <w:snapToGrid w:val="0"/>
              <w:spacing w:line="240" w:lineRule="auto"/>
              <w:ind w:left="213"/>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3"/>
                <w:kern w:val="0"/>
                <w:sz w:val="24"/>
                <w:highlight w:val="none"/>
              </w:rPr>
              <w:t>安全生产</w:t>
            </w:r>
          </w:p>
          <w:p w14:paraId="53475F79">
            <w:pPr>
              <w:keepNext w:val="0"/>
              <w:keepLines w:val="0"/>
              <w:pageBreakBefore w:val="0"/>
              <w:widowControl w:val="0"/>
              <w:kinsoku w:val="0"/>
              <w:wordWrap/>
              <w:overflowPunct/>
              <w:topLinePunct w:val="0"/>
              <w:autoSpaceDE w:val="0"/>
              <w:autoSpaceDN w:val="0"/>
              <w:bidi w:val="0"/>
              <w:adjustRightInd w:val="0"/>
              <w:snapToGrid w:val="0"/>
              <w:spacing w:line="240" w:lineRule="auto"/>
              <w:ind w:left="20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考核合格</w:t>
            </w:r>
          </w:p>
          <w:p w14:paraId="53475F7A">
            <w:pPr>
              <w:keepNext w:val="0"/>
              <w:keepLines w:val="0"/>
              <w:pageBreakBefore w:val="0"/>
              <w:widowControl w:val="0"/>
              <w:kinsoku w:val="0"/>
              <w:wordWrap/>
              <w:overflowPunct/>
              <w:topLinePunct w:val="0"/>
              <w:autoSpaceDE w:val="0"/>
              <w:autoSpaceDN w:val="0"/>
              <w:bidi w:val="0"/>
              <w:adjustRightInd w:val="0"/>
              <w:snapToGrid w:val="0"/>
              <w:spacing w:line="240" w:lineRule="auto"/>
              <w:ind w:left="420"/>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证书</w:t>
            </w:r>
          </w:p>
        </w:tc>
        <w:tc>
          <w:tcPr>
            <w:tcW w:w="1274" w:type="dxa"/>
            <w:gridSpan w:val="2"/>
          </w:tcPr>
          <w:p w14:paraId="53475F7B">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225" w:type="dxa"/>
            <w:gridSpan w:val="3"/>
          </w:tcPr>
          <w:p w14:paraId="53475F7C">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p w14:paraId="53475F7D">
            <w:pPr>
              <w:keepNext w:val="0"/>
              <w:keepLines w:val="0"/>
              <w:pageBreakBefore w:val="0"/>
              <w:widowControl w:val="0"/>
              <w:kinsoku w:val="0"/>
              <w:wordWrap/>
              <w:overflowPunct/>
              <w:topLinePunct w:val="0"/>
              <w:autoSpaceDE w:val="0"/>
              <w:autoSpaceDN w:val="0"/>
              <w:bidi w:val="0"/>
              <w:adjustRightInd w:val="0"/>
              <w:snapToGrid w:val="0"/>
              <w:spacing w:line="240" w:lineRule="auto"/>
              <w:ind w:left="44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B</w:t>
            </w:r>
            <w:r>
              <w:rPr>
                <w:rFonts w:hint="eastAsia" w:ascii="宋体" w:hAnsi="宋体" w:cs="宋体"/>
                <w:snapToGrid w:val="0"/>
                <w:color w:val="auto"/>
                <w:spacing w:val="9"/>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类</w:t>
            </w:r>
          </w:p>
        </w:tc>
        <w:tc>
          <w:tcPr>
            <w:tcW w:w="1441" w:type="dxa"/>
          </w:tcPr>
          <w:p w14:paraId="53475F7E">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18" w:type="dxa"/>
            <w:gridSpan w:val="3"/>
          </w:tcPr>
          <w:p w14:paraId="53475F7F">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32" w:type="dxa"/>
            <w:gridSpan w:val="3"/>
          </w:tcPr>
          <w:p w14:paraId="53475F80">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21" w:type="dxa"/>
            <w:gridSpan w:val="2"/>
          </w:tcPr>
          <w:p w14:paraId="53475F81">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5"/>
          </w:tcPr>
          <w:p w14:paraId="53475F83">
            <w:pPr>
              <w:keepNext w:val="0"/>
              <w:keepLines w:val="0"/>
              <w:pageBreakBefore w:val="0"/>
              <w:widowControl w:val="0"/>
              <w:kinsoku w:val="0"/>
              <w:wordWrap/>
              <w:overflowPunct/>
              <w:topLinePunct w:val="0"/>
              <w:autoSpaceDE w:val="0"/>
              <w:autoSpaceDN w:val="0"/>
              <w:bidi w:val="0"/>
              <w:adjustRightInd w:val="0"/>
              <w:snapToGrid w:val="0"/>
              <w:spacing w:line="240" w:lineRule="auto"/>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53475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tcPr>
          <w:p w14:paraId="53475F85">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548" w:type="dxa"/>
            <w:gridSpan w:val="2"/>
          </w:tcPr>
          <w:p w14:paraId="53475F86">
            <w:pPr>
              <w:keepNext w:val="0"/>
              <w:keepLines w:val="0"/>
              <w:pageBreakBefore w:val="0"/>
              <w:widowControl w:val="0"/>
              <w:kinsoku w:val="0"/>
              <w:wordWrap/>
              <w:overflowPunct/>
              <w:topLinePunct w:val="0"/>
              <w:autoSpaceDE w:val="0"/>
              <w:autoSpaceDN w:val="0"/>
              <w:bidi w:val="0"/>
              <w:adjustRightInd w:val="0"/>
              <w:snapToGrid w:val="0"/>
              <w:spacing w:line="240" w:lineRule="auto"/>
              <w:ind w:left="4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74" w:type="dxa"/>
            <w:gridSpan w:val="3"/>
          </w:tcPr>
          <w:p w14:paraId="53475F87">
            <w:pPr>
              <w:keepNext w:val="0"/>
              <w:keepLines w:val="0"/>
              <w:pageBreakBefore w:val="0"/>
              <w:widowControl w:val="0"/>
              <w:kinsoku w:val="0"/>
              <w:wordWrap/>
              <w:overflowPunct/>
              <w:topLinePunct w:val="0"/>
              <w:autoSpaceDE w:val="0"/>
              <w:autoSpaceDN w:val="0"/>
              <w:bidi w:val="0"/>
              <w:adjustRightInd w:val="0"/>
              <w:snapToGrid w:val="0"/>
              <w:spacing w:line="240" w:lineRule="auto"/>
              <w:ind w:left="7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29" w:type="dxa"/>
            <w:gridSpan w:val="2"/>
          </w:tcPr>
          <w:p w14:paraId="53475F88">
            <w:pPr>
              <w:keepNext w:val="0"/>
              <w:keepLines w:val="0"/>
              <w:pageBreakBefore w:val="0"/>
              <w:widowControl w:val="0"/>
              <w:kinsoku w:val="0"/>
              <w:wordWrap/>
              <w:overflowPunct/>
              <w:topLinePunct w:val="0"/>
              <w:autoSpaceDE w:val="0"/>
              <w:autoSpaceDN w:val="0"/>
              <w:bidi w:val="0"/>
              <w:adjustRightInd w:val="0"/>
              <w:snapToGrid w:val="0"/>
              <w:spacing w:line="240" w:lineRule="auto"/>
              <w:ind w:left="38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4" w:type="dxa"/>
            <w:gridSpan w:val="3"/>
          </w:tcPr>
          <w:p w14:paraId="53475F89">
            <w:pPr>
              <w:keepNext w:val="0"/>
              <w:keepLines w:val="0"/>
              <w:pageBreakBefore w:val="0"/>
              <w:widowControl w:val="0"/>
              <w:kinsoku w:val="0"/>
              <w:wordWrap/>
              <w:overflowPunct/>
              <w:topLinePunct w:val="0"/>
              <w:autoSpaceDE w:val="0"/>
              <w:autoSpaceDN w:val="0"/>
              <w:bidi w:val="0"/>
              <w:adjustRightInd w:val="0"/>
              <w:snapToGrid w:val="0"/>
              <w:spacing w:line="240" w:lineRule="auto"/>
              <w:ind w:left="5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3" w:type="dxa"/>
            <w:gridSpan w:val="2"/>
          </w:tcPr>
          <w:p w14:paraId="53475F8A">
            <w:pPr>
              <w:keepNext w:val="0"/>
              <w:keepLines w:val="0"/>
              <w:pageBreakBefore w:val="0"/>
              <w:widowControl w:val="0"/>
              <w:kinsoku w:val="0"/>
              <w:wordWrap/>
              <w:overflowPunct/>
              <w:topLinePunct w:val="0"/>
              <w:autoSpaceDE w:val="0"/>
              <w:autoSpaceDN w:val="0"/>
              <w:bidi w:val="0"/>
              <w:adjustRightInd w:val="0"/>
              <w:snapToGrid w:val="0"/>
              <w:spacing w:line="240" w:lineRule="auto"/>
              <w:ind w:left="56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5" w:type="dxa"/>
            <w:tcBorders>
              <w:top w:val="single" w:color="FFFFFF" w:sz="2" w:space="0"/>
              <w:bottom w:val="nil"/>
              <w:right w:val="nil"/>
            </w:tcBorders>
          </w:tcPr>
          <w:p w14:paraId="53475F8B">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tcPr>
          <w:p w14:paraId="53475F8D">
            <w:pPr>
              <w:keepNext w:val="0"/>
              <w:keepLines w:val="0"/>
              <w:pageBreakBefore w:val="0"/>
              <w:widowControl w:val="0"/>
              <w:kinsoku w:val="0"/>
              <w:wordWrap/>
              <w:overflowPunct/>
              <w:topLinePunct w:val="0"/>
              <w:autoSpaceDE w:val="0"/>
              <w:autoSpaceDN w:val="0"/>
              <w:bidi w:val="0"/>
              <w:adjustRightInd w:val="0"/>
              <w:snapToGrid w:val="0"/>
              <w:spacing w:line="24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8" w:type="dxa"/>
            <w:gridSpan w:val="2"/>
          </w:tcPr>
          <w:p w14:paraId="53475F8E">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974" w:type="dxa"/>
            <w:gridSpan w:val="3"/>
          </w:tcPr>
          <w:p w14:paraId="53475F8F">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329" w:type="dxa"/>
            <w:gridSpan w:val="2"/>
          </w:tcPr>
          <w:p w14:paraId="53475F90">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34" w:type="dxa"/>
            <w:gridSpan w:val="3"/>
          </w:tcPr>
          <w:p w14:paraId="53475F91">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83" w:type="dxa"/>
            <w:gridSpan w:val="2"/>
          </w:tcPr>
          <w:p w14:paraId="53475F92">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25" w:type="dxa"/>
            <w:tcBorders>
              <w:top w:val="nil"/>
              <w:bottom w:val="nil"/>
              <w:right w:val="nil"/>
            </w:tcBorders>
          </w:tcPr>
          <w:p w14:paraId="53475F93">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tcPr>
          <w:p w14:paraId="53475F95">
            <w:pPr>
              <w:keepNext w:val="0"/>
              <w:keepLines w:val="0"/>
              <w:pageBreakBefore w:val="0"/>
              <w:widowControl w:val="0"/>
              <w:kinsoku w:val="0"/>
              <w:wordWrap/>
              <w:overflowPunct/>
              <w:topLinePunct w:val="0"/>
              <w:autoSpaceDE w:val="0"/>
              <w:autoSpaceDN w:val="0"/>
              <w:bidi w:val="0"/>
              <w:adjustRightInd w:val="0"/>
              <w:snapToGrid w:val="0"/>
              <w:spacing w:line="24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8" w:type="dxa"/>
            <w:gridSpan w:val="2"/>
          </w:tcPr>
          <w:p w14:paraId="53475F96">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974" w:type="dxa"/>
            <w:gridSpan w:val="3"/>
          </w:tcPr>
          <w:p w14:paraId="53475F97">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329" w:type="dxa"/>
            <w:gridSpan w:val="2"/>
          </w:tcPr>
          <w:p w14:paraId="53475F98">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34" w:type="dxa"/>
            <w:gridSpan w:val="3"/>
          </w:tcPr>
          <w:p w14:paraId="53475F99">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83" w:type="dxa"/>
            <w:gridSpan w:val="2"/>
          </w:tcPr>
          <w:p w14:paraId="53475F9A">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25" w:type="dxa"/>
            <w:tcBorders>
              <w:top w:val="nil"/>
              <w:bottom w:val="nil"/>
              <w:right w:val="nil"/>
            </w:tcBorders>
          </w:tcPr>
          <w:p w14:paraId="53475F9B">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tcPr>
          <w:p w14:paraId="53475F9D">
            <w:pPr>
              <w:keepNext w:val="0"/>
              <w:keepLines w:val="0"/>
              <w:pageBreakBefore w:val="0"/>
              <w:widowControl w:val="0"/>
              <w:kinsoku w:val="0"/>
              <w:wordWrap/>
              <w:overflowPunct/>
              <w:topLinePunct w:val="0"/>
              <w:autoSpaceDE w:val="0"/>
              <w:autoSpaceDN w:val="0"/>
              <w:bidi w:val="0"/>
              <w:adjustRightInd w:val="0"/>
              <w:snapToGrid w:val="0"/>
              <w:spacing w:line="24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8" w:type="dxa"/>
            <w:gridSpan w:val="2"/>
          </w:tcPr>
          <w:p w14:paraId="53475F9E">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974" w:type="dxa"/>
            <w:gridSpan w:val="3"/>
          </w:tcPr>
          <w:p w14:paraId="53475F9F">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329" w:type="dxa"/>
            <w:gridSpan w:val="2"/>
          </w:tcPr>
          <w:p w14:paraId="53475FA0">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34" w:type="dxa"/>
            <w:gridSpan w:val="3"/>
          </w:tcPr>
          <w:p w14:paraId="53475FA1">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83" w:type="dxa"/>
            <w:gridSpan w:val="2"/>
          </w:tcPr>
          <w:p w14:paraId="53475FA2">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25" w:type="dxa"/>
            <w:tcBorders>
              <w:top w:val="nil"/>
              <w:bottom w:val="nil"/>
              <w:right w:val="nil"/>
            </w:tcBorders>
          </w:tcPr>
          <w:p w14:paraId="53475FA3">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tcPr>
          <w:p w14:paraId="53475FA5">
            <w:pPr>
              <w:keepNext w:val="0"/>
              <w:keepLines w:val="0"/>
              <w:pageBreakBefore w:val="0"/>
              <w:widowControl w:val="0"/>
              <w:kinsoku w:val="0"/>
              <w:wordWrap/>
              <w:overflowPunct/>
              <w:topLinePunct w:val="0"/>
              <w:autoSpaceDE w:val="0"/>
              <w:autoSpaceDN w:val="0"/>
              <w:bidi w:val="0"/>
              <w:adjustRightInd w:val="0"/>
              <w:snapToGrid w:val="0"/>
              <w:spacing w:line="24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8" w:type="dxa"/>
            <w:gridSpan w:val="2"/>
          </w:tcPr>
          <w:p w14:paraId="53475FA6">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974" w:type="dxa"/>
            <w:gridSpan w:val="3"/>
          </w:tcPr>
          <w:p w14:paraId="53475FA7">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329" w:type="dxa"/>
            <w:gridSpan w:val="2"/>
          </w:tcPr>
          <w:p w14:paraId="53475FA8">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34" w:type="dxa"/>
            <w:gridSpan w:val="3"/>
          </w:tcPr>
          <w:p w14:paraId="53475FA9">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83" w:type="dxa"/>
            <w:gridSpan w:val="2"/>
          </w:tcPr>
          <w:p w14:paraId="53475FAA">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25" w:type="dxa"/>
            <w:tcBorders>
              <w:top w:val="nil"/>
              <w:bottom w:val="nil"/>
              <w:right w:val="nil"/>
            </w:tcBorders>
          </w:tcPr>
          <w:p w14:paraId="53475FAB">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5FAD">
            <w:pPr>
              <w:keepNext w:val="0"/>
              <w:keepLines w:val="0"/>
              <w:pageBreakBefore w:val="0"/>
              <w:widowControl w:val="0"/>
              <w:kinsoku w:val="0"/>
              <w:wordWrap/>
              <w:overflowPunct/>
              <w:topLinePunct w:val="0"/>
              <w:autoSpaceDE w:val="0"/>
              <w:autoSpaceDN w:val="0"/>
              <w:bidi w:val="0"/>
              <w:adjustRightInd w:val="0"/>
              <w:snapToGrid w:val="0"/>
              <w:spacing w:line="24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8" w:type="dxa"/>
            <w:gridSpan w:val="2"/>
          </w:tcPr>
          <w:p w14:paraId="53475FAE">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974" w:type="dxa"/>
            <w:gridSpan w:val="3"/>
          </w:tcPr>
          <w:p w14:paraId="53475FAF">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329" w:type="dxa"/>
            <w:gridSpan w:val="2"/>
          </w:tcPr>
          <w:p w14:paraId="53475FB0">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34" w:type="dxa"/>
            <w:gridSpan w:val="3"/>
          </w:tcPr>
          <w:p w14:paraId="53475FB1">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83" w:type="dxa"/>
            <w:gridSpan w:val="2"/>
          </w:tcPr>
          <w:p w14:paraId="53475FB2">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25" w:type="dxa"/>
            <w:tcBorders>
              <w:top w:val="nil"/>
              <w:bottom w:val="nil"/>
              <w:right w:val="nil"/>
            </w:tcBorders>
          </w:tcPr>
          <w:p w14:paraId="53475FB3">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5FB5">
            <w:pPr>
              <w:keepNext w:val="0"/>
              <w:keepLines w:val="0"/>
              <w:pageBreakBefore w:val="0"/>
              <w:widowControl w:val="0"/>
              <w:kinsoku w:val="0"/>
              <w:wordWrap/>
              <w:overflowPunct/>
              <w:topLinePunct w:val="0"/>
              <w:autoSpaceDE w:val="0"/>
              <w:autoSpaceDN w:val="0"/>
              <w:bidi w:val="0"/>
              <w:adjustRightInd w:val="0"/>
              <w:snapToGrid w:val="0"/>
              <w:spacing w:line="240" w:lineRule="auto"/>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8" w:type="dxa"/>
            <w:gridSpan w:val="2"/>
          </w:tcPr>
          <w:p w14:paraId="53475FB6">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974" w:type="dxa"/>
            <w:gridSpan w:val="3"/>
          </w:tcPr>
          <w:p w14:paraId="53475FB7">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329" w:type="dxa"/>
            <w:gridSpan w:val="2"/>
          </w:tcPr>
          <w:p w14:paraId="53475FB8">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34" w:type="dxa"/>
            <w:gridSpan w:val="3"/>
          </w:tcPr>
          <w:p w14:paraId="53475FB9">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83" w:type="dxa"/>
            <w:gridSpan w:val="2"/>
          </w:tcPr>
          <w:p w14:paraId="53475FBA">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25" w:type="dxa"/>
            <w:tcBorders>
              <w:top w:val="nil"/>
              <w:bottom w:val="nil"/>
              <w:right w:val="nil"/>
            </w:tcBorders>
          </w:tcPr>
          <w:p w14:paraId="53475FBB">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5FBD">
            <w:pPr>
              <w:keepNext w:val="0"/>
              <w:keepLines w:val="0"/>
              <w:pageBreakBefore w:val="0"/>
              <w:widowControl w:val="0"/>
              <w:kinsoku w:val="0"/>
              <w:wordWrap/>
              <w:overflowPunct/>
              <w:topLinePunct w:val="0"/>
              <w:autoSpaceDE w:val="0"/>
              <w:autoSpaceDN w:val="0"/>
              <w:bidi w:val="0"/>
              <w:adjustRightInd w:val="0"/>
              <w:snapToGrid w:val="0"/>
              <w:spacing w:line="240" w:lineRule="auto"/>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8" w:type="dxa"/>
            <w:gridSpan w:val="2"/>
          </w:tcPr>
          <w:p w14:paraId="53475FBE">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974" w:type="dxa"/>
            <w:gridSpan w:val="3"/>
          </w:tcPr>
          <w:p w14:paraId="53475FBF">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329" w:type="dxa"/>
            <w:gridSpan w:val="2"/>
          </w:tcPr>
          <w:p w14:paraId="53475FC0">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34" w:type="dxa"/>
            <w:gridSpan w:val="3"/>
          </w:tcPr>
          <w:p w14:paraId="53475FC1">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83" w:type="dxa"/>
            <w:gridSpan w:val="2"/>
          </w:tcPr>
          <w:p w14:paraId="53475FC2">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25" w:type="dxa"/>
            <w:tcBorders>
              <w:top w:val="nil"/>
              <w:bottom w:val="nil"/>
              <w:right w:val="nil"/>
            </w:tcBorders>
          </w:tcPr>
          <w:p w14:paraId="53475FC3">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5FC5">
            <w:pPr>
              <w:keepNext w:val="0"/>
              <w:keepLines w:val="0"/>
              <w:pageBreakBefore w:val="0"/>
              <w:widowControl w:val="0"/>
              <w:kinsoku w:val="0"/>
              <w:wordWrap/>
              <w:overflowPunct/>
              <w:topLinePunct w:val="0"/>
              <w:autoSpaceDE w:val="0"/>
              <w:autoSpaceDN w:val="0"/>
              <w:bidi w:val="0"/>
              <w:adjustRightInd w:val="0"/>
              <w:snapToGrid w:val="0"/>
              <w:spacing w:line="24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8" w:type="dxa"/>
            <w:gridSpan w:val="2"/>
          </w:tcPr>
          <w:p w14:paraId="53475FC6">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974" w:type="dxa"/>
            <w:gridSpan w:val="3"/>
          </w:tcPr>
          <w:p w14:paraId="53475FC7">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329" w:type="dxa"/>
            <w:gridSpan w:val="2"/>
          </w:tcPr>
          <w:p w14:paraId="53475FC8">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34" w:type="dxa"/>
            <w:gridSpan w:val="3"/>
          </w:tcPr>
          <w:p w14:paraId="53475FC9">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83" w:type="dxa"/>
            <w:gridSpan w:val="2"/>
          </w:tcPr>
          <w:p w14:paraId="53475FCA">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25" w:type="dxa"/>
            <w:tcBorders>
              <w:top w:val="nil"/>
              <w:bottom w:val="nil"/>
              <w:right w:val="nil"/>
            </w:tcBorders>
          </w:tcPr>
          <w:p w14:paraId="53475FCB">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tcPr>
          <w:p w14:paraId="53475FCD">
            <w:pPr>
              <w:keepNext w:val="0"/>
              <w:keepLines w:val="0"/>
              <w:pageBreakBefore w:val="0"/>
              <w:widowControl w:val="0"/>
              <w:kinsoku w:val="0"/>
              <w:wordWrap/>
              <w:overflowPunct/>
              <w:topLinePunct w:val="0"/>
              <w:autoSpaceDE w:val="0"/>
              <w:autoSpaceDN w:val="0"/>
              <w:bidi w:val="0"/>
              <w:adjustRightInd w:val="0"/>
              <w:snapToGrid w:val="0"/>
              <w:spacing w:line="24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8" w:type="dxa"/>
            <w:gridSpan w:val="2"/>
          </w:tcPr>
          <w:p w14:paraId="53475FCE">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974" w:type="dxa"/>
            <w:gridSpan w:val="3"/>
          </w:tcPr>
          <w:p w14:paraId="53475FCF">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329" w:type="dxa"/>
            <w:gridSpan w:val="2"/>
          </w:tcPr>
          <w:p w14:paraId="53475FD0">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34" w:type="dxa"/>
            <w:gridSpan w:val="3"/>
          </w:tcPr>
          <w:p w14:paraId="53475FD1">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83" w:type="dxa"/>
            <w:gridSpan w:val="2"/>
          </w:tcPr>
          <w:p w14:paraId="53475FD2">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25" w:type="dxa"/>
            <w:tcBorders>
              <w:top w:val="nil"/>
              <w:bottom w:val="nil"/>
              <w:right w:val="nil"/>
            </w:tcBorders>
          </w:tcPr>
          <w:p w14:paraId="53475FD3">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bl>
    <w:p w14:paraId="53475FD5">
      <w:pPr>
        <w:widowControl/>
        <w:kinsoku w:val="0"/>
        <w:autoSpaceDE w:val="0"/>
        <w:autoSpaceDN w:val="0"/>
        <w:adjustRightInd w:val="0"/>
        <w:snapToGrid w:val="0"/>
        <w:spacing w:line="24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备注：</w:t>
      </w:r>
    </w:p>
    <w:p w14:paraId="53475FD6">
      <w:pPr>
        <w:widowControl/>
        <w:kinsoku w:val="0"/>
        <w:autoSpaceDE w:val="0"/>
        <w:autoSpaceDN w:val="0"/>
        <w:adjustRightInd w:val="0"/>
        <w:snapToGrid w:val="0"/>
        <w:spacing w:line="24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1.项目数可以根据需要增加。</w:t>
      </w:r>
    </w:p>
    <w:p w14:paraId="53475FD7">
      <w:pPr>
        <w:widowControl/>
        <w:kinsoku w:val="0"/>
        <w:autoSpaceDE w:val="0"/>
        <w:autoSpaceDN w:val="0"/>
        <w:adjustRightInd w:val="0"/>
        <w:snapToGrid w:val="0"/>
        <w:spacing w:line="24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2.本表后附项目经理的学历证、安全生产考核合格证（B 类）、本表所列证书复印件并加盖供应商公章。</w:t>
      </w:r>
    </w:p>
    <w:p w14:paraId="53475FD8">
      <w:pPr>
        <w:spacing w:line="360" w:lineRule="auto"/>
        <w:rPr>
          <w:rFonts w:ascii="宋体" w:hAnsi="宋体"/>
          <w:color w:val="auto"/>
          <w:sz w:val="24"/>
          <w:highlight w:val="none"/>
        </w:rPr>
      </w:pPr>
      <w:r>
        <w:rPr>
          <w:rFonts w:hint="eastAsia" w:ascii="宋体" w:hAnsi="宋体"/>
          <w:color w:val="auto"/>
          <w:sz w:val="24"/>
          <w:highlight w:val="none"/>
        </w:rPr>
        <w:br w:type="page"/>
      </w:r>
    </w:p>
    <w:p w14:paraId="53475FD9">
      <w:pPr>
        <w:spacing w:line="360" w:lineRule="auto"/>
        <w:ind w:left="1939"/>
        <w:rPr>
          <w:rFonts w:ascii="宋体" w:hAnsi="宋体" w:cs="宋体"/>
          <w:color w:val="auto"/>
          <w:sz w:val="31"/>
          <w:szCs w:val="31"/>
          <w:highlight w:val="none"/>
        </w:rPr>
      </w:pPr>
      <w:r>
        <w:rPr>
          <w:rFonts w:hint="eastAsia" w:ascii="宋体" w:hAnsi="宋体" w:cs="宋体"/>
          <w:color w:val="auto"/>
          <w:spacing w:val="3"/>
          <w:sz w:val="31"/>
          <w:szCs w:val="31"/>
          <w:highlight w:val="none"/>
        </w:rPr>
        <w:t>项目技术负责人（项目总工）</w:t>
      </w:r>
      <w:r>
        <w:rPr>
          <w:rFonts w:hint="eastAsia" w:ascii="宋体" w:hAnsi="宋体" w:cs="宋体"/>
          <w:color w:val="auto"/>
          <w:spacing w:val="-20"/>
          <w:sz w:val="31"/>
          <w:szCs w:val="31"/>
          <w:highlight w:val="none"/>
        </w:rPr>
        <w:t xml:space="preserve"> </w:t>
      </w:r>
      <w:r>
        <w:rPr>
          <w:rFonts w:hint="eastAsia" w:ascii="宋体" w:hAnsi="宋体" w:cs="宋体"/>
          <w:color w:val="auto"/>
          <w:spacing w:val="3"/>
          <w:sz w:val="31"/>
          <w:szCs w:val="31"/>
          <w:highlight w:val="none"/>
        </w:rPr>
        <w:t>简历表（如有）</w:t>
      </w: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7"/>
        <w:gridCol w:w="192"/>
        <w:gridCol w:w="887"/>
        <w:gridCol w:w="660"/>
        <w:gridCol w:w="328"/>
        <w:gridCol w:w="235"/>
        <w:gridCol w:w="1415"/>
        <w:gridCol w:w="242"/>
        <w:gridCol w:w="1087"/>
        <w:gridCol w:w="89"/>
        <w:gridCol w:w="408"/>
        <w:gridCol w:w="1136"/>
        <w:gridCol w:w="87"/>
        <w:gridCol w:w="1395"/>
        <w:gridCol w:w="25"/>
      </w:tblGrid>
      <w:tr w14:paraId="53475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37" w:type="dxa"/>
          </w:tcPr>
          <w:p w14:paraId="53475FDA">
            <w:pPr>
              <w:kinsoku w:val="0"/>
              <w:autoSpaceDE w:val="0"/>
              <w:autoSpaceDN w:val="0"/>
              <w:adjustRightInd w:val="0"/>
              <w:snapToGrid w:val="0"/>
              <w:spacing w:line="360" w:lineRule="auto"/>
              <w:ind w:left="38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067" w:type="dxa"/>
            <w:gridSpan w:val="4"/>
          </w:tcPr>
          <w:p w14:paraId="53475FDB">
            <w:pPr>
              <w:spacing w:line="360" w:lineRule="auto"/>
              <w:rPr>
                <w:rFonts w:ascii="宋体" w:hAnsi="宋体" w:cs="宋体"/>
                <w:color w:val="auto"/>
                <w:sz w:val="24"/>
                <w:highlight w:val="none"/>
              </w:rPr>
            </w:pPr>
          </w:p>
        </w:tc>
        <w:tc>
          <w:tcPr>
            <w:tcW w:w="1892" w:type="dxa"/>
            <w:gridSpan w:val="3"/>
          </w:tcPr>
          <w:p w14:paraId="53475FDC">
            <w:pPr>
              <w:kinsoku w:val="0"/>
              <w:autoSpaceDE w:val="0"/>
              <w:autoSpaceDN w:val="0"/>
              <w:adjustRightInd w:val="0"/>
              <w:snapToGrid w:val="0"/>
              <w:spacing w:line="360" w:lineRule="auto"/>
              <w:ind w:left="74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584" w:type="dxa"/>
            <w:gridSpan w:val="3"/>
          </w:tcPr>
          <w:p w14:paraId="53475FDD">
            <w:pPr>
              <w:spacing w:line="360" w:lineRule="auto"/>
              <w:rPr>
                <w:rFonts w:ascii="宋体" w:hAnsi="宋体" w:cs="宋体"/>
                <w:color w:val="auto"/>
                <w:sz w:val="24"/>
                <w:highlight w:val="none"/>
              </w:rPr>
            </w:pPr>
          </w:p>
        </w:tc>
        <w:tc>
          <w:tcPr>
            <w:tcW w:w="1136" w:type="dxa"/>
          </w:tcPr>
          <w:p w14:paraId="53475FDE">
            <w:pPr>
              <w:kinsoku w:val="0"/>
              <w:autoSpaceDE w:val="0"/>
              <w:autoSpaceDN w:val="0"/>
              <w:adjustRightInd w:val="0"/>
              <w:snapToGrid w:val="0"/>
              <w:spacing w:line="360" w:lineRule="auto"/>
              <w:ind w:left="35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7" w:type="dxa"/>
            <w:gridSpan w:val="3"/>
          </w:tcPr>
          <w:p w14:paraId="53475FDF">
            <w:pPr>
              <w:spacing w:line="360" w:lineRule="auto"/>
              <w:rPr>
                <w:rFonts w:ascii="宋体" w:hAnsi="宋体" w:cs="宋体"/>
                <w:color w:val="auto"/>
                <w:sz w:val="24"/>
                <w:highlight w:val="none"/>
              </w:rPr>
            </w:pPr>
          </w:p>
        </w:tc>
      </w:tr>
      <w:tr w14:paraId="53475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tcPr>
          <w:p w14:paraId="53475FE1">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067" w:type="dxa"/>
            <w:gridSpan w:val="4"/>
          </w:tcPr>
          <w:p w14:paraId="53475FE2">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lang w:eastAsia="en-US"/>
              </w:rPr>
              <w:t>项目技术负责人（项目 总工）</w:t>
            </w:r>
          </w:p>
        </w:tc>
        <w:tc>
          <w:tcPr>
            <w:tcW w:w="1892" w:type="dxa"/>
            <w:gridSpan w:val="3"/>
          </w:tcPr>
          <w:p w14:paraId="53475FE3">
            <w:pPr>
              <w:kinsoku w:val="0"/>
              <w:autoSpaceDE w:val="0"/>
              <w:autoSpaceDN w:val="0"/>
              <w:adjustRightInd w:val="0"/>
              <w:snapToGrid w:val="0"/>
              <w:spacing w:line="360" w:lineRule="auto"/>
              <w:ind w:left="7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584" w:type="dxa"/>
            <w:gridSpan w:val="3"/>
          </w:tcPr>
          <w:p w14:paraId="53475FE4">
            <w:pPr>
              <w:spacing w:line="360" w:lineRule="auto"/>
              <w:rPr>
                <w:rFonts w:ascii="宋体" w:hAnsi="宋体" w:cs="宋体"/>
                <w:color w:val="auto"/>
                <w:sz w:val="24"/>
                <w:highlight w:val="none"/>
              </w:rPr>
            </w:pPr>
          </w:p>
        </w:tc>
        <w:tc>
          <w:tcPr>
            <w:tcW w:w="1136" w:type="dxa"/>
          </w:tcPr>
          <w:p w14:paraId="53475FE5">
            <w:pPr>
              <w:kinsoku w:val="0"/>
              <w:autoSpaceDE w:val="0"/>
              <w:autoSpaceDN w:val="0"/>
              <w:adjustRightInd w:val="0"/>
              <w:snapToGrid w:val="0"/>
              <w:spacing w:line="360" w:lineRule="auto"/>
              <w:ind w:left="35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7" w:type="dxa"/>
            <w:gridSpan w:val="3"/>
          </w:tcPr>
          <w:p w14:paraId="53475FE6">
            <w:pPr>
              <w:spacing w:line="360" w:lineRule="auto"/>
              <w:rPr>
                <w:rFonts w:ascii="宋体" w:hAnsi="宋体" w:cs="宋体"/>
                <w:color w:val="auto"/>
                <w:sz w:val="24"/>
                <w:highlight w:val="none"/>
              </w:rPr>
            </w:pPr>
          </w:p>
        </w:tc>
      </w:tr>
      <w:tr w14:paraId="53475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tcPr>
          <w:p w14:paraId="53475FE8">
            <w:pPr>
              <w:kinsoku w:val="0"/>
              <w:autoSpaceDE w:val="0"/>
              <w:autoSpaceDN w:val="0"/>
              <w:adjustRightInd w:val="0"/>
              <w:snapToGrid w:val="0"/>
              <w:spacing w:line="360" w:lineRule="auto"/>
              <w:ind w:right="15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从业始</w:t>
            </w:r>
            <w:r>
              <w:rPr>
                <w:rFonts w:hint="eastAsia" w:ascii="宋体" w:hAnsi="宋体" w:cs="宋体"/>
                <w:snapToGrid w:val="0"/>
                <w:color w:val="auto"/>
                <w:spacing w:val="-4"/>
                <w:kern w:val="0"/>
                <w:sz w:val="24"/>
                <w:highlight w:val="none"/>
                <w:lang w:eastAsia="en-US"/>
              </w:rPr>
              <w:t>时间</w:t>
            </w:r>
          </w:p>
        </w:tc>
        <w:tc>
          <w:tcPr>
            <w:tcW w:w="2067" w:type="dxa"/>
            <w:gridSpan w:val="4"/>
          </w:tcPr>
          <w:p w14:paraId="53475FE9">
            <w:pPr>
              <w:spacing w:line="360" w:lineRule="auto"/>
              <w:rPr>
                <w:rFonts w:ascii="宋体" w:hAnsi="宋体" w:cs="宋体"/>
                <w:color w:val="auto"/>
                <w:sz w:val="24"/>
                <w:highlight w:val="none"/>
              </w:rPr>
            </w:pPr>
          </w:p>
        </w:tc>
        <w:tc>
          <w:tcPr>
            <w:tcW w:w="1892" w:type="dxa"/>
            <w:gridSpan w:val="3"/>
          </w:tcPr>
          <w:p w14:paraId="53475FEA">
            <w:pPr>
              <w:kinsoku w:val="0"/>
              <w:autoSpaceDE w:val="0"/>
              <w:autoSpaceDN w:val="0"/>
              <w:adjustRightInd w:val="0"/>
              <w:snapToGrid w:val="0"/>
              <w:spacing w:line="360" w:lineRule="auto"/>
              <w:ind w:left="32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584" w:type="dxa"/>
            <w:gridSpan w:val="3"/>
          </w:tcPr>
          <w:p w14:paraId="53475FEB">
            <w:pPr>
              <w:spacing w:line="360" w:lineRule="auto"/>
              <w:rPr>
                <w:rFonts w:ascii="宋体" w:hAnsi="宋体" w:cs="宋体"/>
                <w:color w:val="auto"/>
                <w:sz w:val="24"/>
                <w:highlight w:val="none"/>
              </w:rPr>
            </w:pPr>
          </w:p>
        </w:tc>
        <w:tc>
          <w:tcPr>
            <w:tcW w:w="1136" w:type="dxa"/>
          </w:tcPr>
          <w:p w14:paraId="53475FEC">
            <w:pPr>
              <w:kinsoku w:val="0"/>
              <w:autoSpaceDE w:val="0"/>
              <w:autoSpaceDN w:val="0"/>
              <w:adjustRightInd w:val="0"/>
              <w:snapToGrid w:val="0"/>
              <w:spacing w:line="360" w:lineRule="auto"/>
              <w:ind w:left="14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7" w:type="dxa"/>
            <w:gridSpan w:val="3"/>
          </w:tcPr>
          <w:p w14:paraId="53475FED">
            <w:pPr>
              <w:spacing w:line="360" w:lineRule="auto"/>
              <w:rPr>
                <w:rFonts w:ascii="宋体" w:hAnsi="宋体" w:cs="宋体"/>
                <w:color w:val="auto"/>
                <w:sz w:val="24"/>
                <w:highlight w:val="none"/>
              </w:rPr>
            </w:pPr>
          </w:p>
        </w:tc>
      </w:tr>
      <w:tr w14:paraId="53475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437" w:type="dxa"/>
          </w:tcPr>
          <w:p w14:paraId="53475FEF">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w:t>
            </w:r>
            <w:r>
              <w:rPr>
                <w:rFonts w:hint="eastAsia" w:ascii="宋体" w:hAnsi="宋体" w:cs="宋体"/>
                <w:snapToGrid w:val="0"/>
                <w:color w:val="auto"/>
                <w:spacing w:val="-2"/>
                <w:kern w:val="0"/>
                <w:sz w:val="24"/>
                <w:highlight w:val="none"/>
              </w:rPr>
              <w:t>技术负责人</w:t>
            </w:r>
            <w:r>
              <w:rPr>
                <w:rFonts w:hint="eastAsia" w:ascii="宋体" w:hAnsi="宋体" w:cs="宋体"/>
                <w:snapToGrid w:val="0"/>
                <w:color w:val="auto"/>
                <w:spacing w:val="-2"/>
                <w:kern w:val="0"/>
                <w:sz w:val="24"/>
                <w:highlight w:val="none"/>
                <w:lang w:eastAsia="en-US"/>
              </w:rPr>
              <w:t>年限</w:t>
            </w:r>
          </w:p>
        </w:tc>
        <w:tc>
          <w:tcPr>
            <w:tcW w:w="2067" w:type="dxa"/>
            <w:gridSpan w:val="4"/>
          </w:tcPr>
          <w:p w14:paraId="53475FF0">
            <w:pPr>
              <w:spacing w:line="360" w:lineRule="auto"/>
              <w:rPr>
                <w:rFonts w:ascii="宋体" w:hAnsi="宋体" w:cs="宋体"/>
                <w:color w:val="auto"/>
                <w:sz w:val="24"/>
                <w:highlight w:val="none"/>
              </w:rPr>
            </w:pPr>
          </w:p>
        </w:tc>
        <w:tc>
          <w:tcPr>
            <w:tcW w:w="1650" w:type="dxa"/>
            <w:gridSpan w:val="2"/>
          </w:tcPr>
          <w:p w14:paraId="53475FF1">
            <w:pPr>
              <w:kinsoku w:val="0"/>
              <w:autoSpaceDE w:val="0"/>
              <w:autoSpaceDN w:val="0"/>
              <w:adjustRightInd w:val="0"/>
              <w:snapToGrid w:val="0"/>
              <w:spacing w:line="360" w:lineRule="auto"/>
              <w:ind w:left="3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身份证号码</w:t>
            </w:r>
          </w:p>
        </w:tc>
        <w:tc>
          <w:tcPr>
            <w:tcW w:w="4469" w:type="dxa"/>
            <w:gridSpan w:val="8"/>
          </w:tcPr>
          <w:p w14:paraId="53475FF2">
            <w:pPr>
              <w:spacing w:line="360" w:lineRule="auto"/>
              <w:rPr>
                <w:rFonts w:ascii="宋体" w:hAnsi="宋体" w:cs="宋体"/>
                <w:color w:val="auto"/>
                <w:sz w:val="24"/>
                <w:highlight w:val="none"/>
              </w:rPr>
            </w:pPr>
          </w:p>
        </w:tc>
      </w:tr>
      <w:tr w14:paraId="53475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37" w:type="dxa"/>
          </w:tcPr>
          <w:p w14:paraId="53475FF4">
            <w:pPr>
              <w:kinsoku w:val="0"/>
              <w:autoSpaceDE w:val="0"/>
              <w:autoSpaceDN w:val="0"/>
              <w:adjustRightInd w:val="0"/>
              <w:snapToGrid w:val="0"/>
              <w:spacing w:line="360" w:lineRule="auto"/>
              <w:ind w:left="25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079" w:type="dxa"/>
            <w:gridSpan w:val="2"/>
          </w:tcPr>
          <w:p w14:paraId="53475FF5">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3" w:type="dxa"/>
            <w:gridSpan w:val="3"/>
          </w:tcPr>
          <w:p w14:paraId="53475FF6">
            <w:pPr>
              <w:kinsoku w:val="0"/>
              <w:autoSpaceDE w:val="0"/>
              <w:autoSpaceDN w:val="0"/>
              <w:adjustRightInd w:val="0"/>
              <w:snapToGrid w:val="0"/>
              <w:spacing w:line="360" w:lineRule="auto"/>
              <w:ind w:left="4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15" w:type="dxa"/>
          </w:tcPr>
          <w:p w14:paraId="53475FF7">
            <w:pPr>
              <w:kinsoku w:val="0"/>
              <w:autoSpaceDE w:val="0"/>
              <w:autoSpaceDN w:val="0"/>
              <w:adjustRightInd w:val="0"/>
              <w:snapToGrid w:val="0"/>
              <w:spacing w:line="360" w:lineRule="auto"/>
              <w:ind w:left="2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8" w:type="dxa"/>
            <w:gridSpan w:val="3"/>
          </w:tcPr>
          <w:p w14:paraId="53475FF8">
            <w:pPr>
              <w:kinsoku w:val="0"/>
              <w:autoSpaceDE w:val="0"/>
              <w:autoSpaceDN w:val="0"/>
              <w:adjustRightInd w:val="0"/>
              <w:snapToGrid w:val="0"/>
              <w:spacing w:line="360" w:lineRule="auto"/>
              <w:ind w:left="29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1" w:type="dxa"/>
            <w:gridSpan w:val="3"/>
          </w:tcPr>
          <w:p w14:paraId="53475FF9">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20" w:type="dxa"/>
            <w:gridSpan w:val="2"/>
          </w:tcPr>
          <w:p w14:paraId="53475FFA">
            <w:pPr>
              <w:kinsoku w:val="0"/>
              <w:autoSpaceDE w:val="0"/>
              <w:autoSpaceDN w:val="0"/>
              <w:adjustRightInd w:val="0"/>
              <w:snapToGrid w:val="0"/>
              <w:spacing w:line="360" w:lineRule="auto"/>
              <w:ind w:left="19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53476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37" w:type="dxa"/>
          </w:tcPr>
          <w:p w14:paraId="53475FFC">
            <w:pPr>
              <w:spacing w:line="360" w:lineRule="auto"/>
              <w:rPr>
                <w:rFonts w:ascii="宋体" w:hAnsi="宋体" w:cs="宋体"/>
                <w:color w:val="auto"/>
                <w:sz w:val="24"/>
                <w:highlight w:val="none"/>
              </w:rPr>
            </w:pPr>
          </w:p>
        </w:tc>
        <w:tc>
          <w:tcPr>
            <w:tcW w:w="1079" w:type="dxa"/>
            <w:gridSpan w:val="2"/>
          </w:tcPr>
          <w:p w14:paraId="53475FFD">
            <w:pPr>
              <w:spacing w:line="360" w:lineRule="auto"/>
              <w:rPr>
                <w:rFonts w:ascii="宋体" w:hAnsi="宋体" w:cs="宋体"/>
                <w:color w:val="auto"/>
                <w:sz w:val="24"/>
                <w:highlight w:val="none"/>
              </w:rPr>
            </w:pPr>
          </w:p>
        </w:tc>
        <w:tc>
          <w:tcPr>
            <w:tcW w:w="1223" w:type="dxa"/>
            <w:gridSpan w:val="3"/>
          </w:tcPr>
          <w:p w14:paraId="53475FFE">
            <w:pPr>
              <w:spacing w:line="360" w:lineRule="auto"/>
              <w:rPr>
                <w:rFonts w:ascii="宋体" w:hAnsi="宋体" w:cs="宋体"/>
                <w:color w:val="auto"/>
                <w:sz w:val="24"/>
                <w:highlight w:val="none"/>
              </w:rPr>
            </w:pPr>
          </w:p>
        </w:tc>
        <w:tc>
          <w:tcPr>
            <w:tcW w:w="1415" w:type="dxa"/>
          </w:tcPr>
          <w:p w14:paraId="53475FFF">
            <w:pPr>
              <w:spacing w:line="360" w:lineRule="auto"/>
              <w:rPr>
                <w:rFonts w:ascii="宋体" w:hAnsi="宋体" w:cs="宋体"/>
                <w:color w:val="auto"/>
                <w:sz w:val="24"/>
                <w:highlight w:val="none"/>
              </w:rPr>
            </w:pPr>
          </w:p>
        </w:tc>
        <w:tc>
          <w:tcPr>
            <w:tcW w:w="1418" w:type="dxa"/>
            <w:gridSpan w:val="3"/>
          </w:tcPr>
          <w:p w14:paraId="53476000">
            <w:pPr>
              <w:spacing w:line="360" w:lineRule="auto"/>
              <w:rPr>
                <w:rFonts w:ascii="宋体" w:hAnsi="宋体" w:cs="宋体"/>
                <w:color w:val="auto"/>
                <w:sz w:val="24"/>
                <w:highlight w:val="none"/>
              </w:rPr>
            </w:pPr>
          </w:p>
        </w:tc>
        <w:tc>
          <w:tcPr>
            <w:tcW w:w="1631" w:type="dxa"/>
            <w:gridSpan w:val="3"/>
          </w:tcPr>
          <w:p w14:paraId="53476001">
            <w:pPr>
              <w:spacing w:line="360" w:lineRule="auto"/>
              <w:rPr>
                <w:rFonts w:ascii="宋体" w:hAnsi="宋体" w:cs="宋体"/>
                <w:color w:val="auto"/>
                <w:sz w:val="24"/>
                <w:highlight w:val="none"/>
              </w:rPr>
            </w:pPr>
          </w:p>
        </w:tc>
        <w:tc>
          <w:tcPr>
            <w:tcW w:w="1420" w:type="dxa"/>
            <w:gridSpan w:val="2"/>
          </w:tcPr>
          <w:p w14:paraId="53476002">
            <w:pPr>
              <w:spacing w:line="360" w:lineRule="auto"/>
              <w:rPr>
                <w:rFonts w:ascii="宋体" w:hAnsi="宋体" w:cs="宋体"/>
                <w:color w:val="auto"/>
                <w:sz w:val="24"/>
                <w:highlight w:val="none"/>
              </w:rPr>
            </w:pPr>
          </w:p>
        </w:tc>
      </w:tr>
      <w:tr w14:paraId="53476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37" w:type="dxa"/>
          </w:tcPr>
          <w:p w14:paraId="53476004">
            <w:pPr>
              <w:spacing w:line="360" w:lineRule="auto"/>
              <w:rPr>
                <w:rFonts w:ascii="宋体" w:hAnsi="宋体" w:cs="宋体"/>
                <w:color w:val="auto"/>
                <w:sz w:val="24"/>
                <w:highlight w:val="none"/>
              </w:rPr>
            </w:pPr>
          </w:p>
        </w:tc>
        <w:tc>
          <w:tcPr>
            <w:tcW w:w="1079" w:type="dxa"/>
            <w:gridSpan w:val="2"/>
          </w:tcPr>
          <w:p w14:paraId="53476005">
            <w:pPr>
              <w:spacing w:line="360" w:lineRule="auto"/>
              <w:rPr>
                <w:rFonts w:ascii="宋体" w:hAnsi="宋体" w:cs="宋体"/>
                <w:color w:val="auto"/>
                <w:sz w:val="24"/>
                <w:highlight w:val="none"/>
              </w:rPr>
            </w:pPr>
          </w:p>
        </w:tc>
        <w:tc>
          <w:tcPr>
            <w:tcW w:w="1223" w:type="dxa"/>
            <w:gridSpan w:val="3"/>
          </w:tcPr>
          <w:p w14:paraId="53476006">
            <w:pPr>
              <w:spacing w:line="360" w:lineRule="auto"/>
              <w:rPr>
                <w:rFonts w:ascii="宋体" w:hAnsi="宋体" w:cs="宋体"/>
                <w:color w:val="auto"/>
                <w:sz w:val="24"/>
                <w:highlight w:val="none"/>
              </w:rPr>
            </w:pPr>
          </w:p>
        </w:tc>
        <w:tc>
          <w:tcPr>
            <w:tcW w:w="1415" w:type="dxa"/>
          </w:tcPr>
          <w:p w14:paraId="53476007">
            <w:pPr>
              <w:spacing w:line="360" w:lineRule="auto"/>
              <w:rPr>
                <w:rFonts w:ascii="宋体" w:hAnsi="宋体" w:cs="宋体"/>
                <w:color w:val="auto"/>
                <w:sz w:val="24"/>
                <w:highlight w:val="none"/>
              </w:rPr>
            </w:pPr>
          </w:p>
        </w:tc>
        <w:tc>
          <w:tcPr>
            <w:tcW w:w="1418" w:type="dxa"/>
            <w:gridSpan w:val="3"/>
          </w:tcPr>
          <w:p w14:paraId="53476008">
            <w:pPr>
              <w:spacing w:line="360" w:lineRule="auto"/>
              <w:rPr>
                <w:rFonts w:ascii="宋体" w:hAnsi="宋体" w:cs="宋体"/>
                <w:color w:val="auto"/>
                <w:sz w:val="24"/>
                <w:highlight w:val="none"/>
              </w:rPr>
            </w:pPr>
          </w:p>
        </w:tc>
        <w:tc>
          <w:tcPr>
            <w:tcW w:w="1631" w:type="dxa"/>
            <w:gridSpan w:val="3"/>
          </w:tcPr>
          <w:p w14:paraId="53476009">
            <w:pPr>
              <w:spacing w:line="360" w:lineRule="auto"/>
              <w:rPr>
                <w:rFonts w:ascii="宋体" w:hAnsi="宋体" w:cs="宋体"/>
                <w:color w:val="auto"/>
                <w:sz w:val="24"/>
                <w:highlight w:val="none"/>
              </w:rPr>
            </w:pPr>
          </w:p>
        </w:tc>
        <w:tc>
          <w:tcPr>
            <w:tcW w:w="1420" w:type="dxa"/>
            <w:gridSpan w:val="2"/>
          </w:tcPr>
          <w:p w14:paraId="5347600A">
            <w:pPr>
              <w:spacing w:line="360" w:lineRule="auto"/>
              <w:rPr>
                <w:rFonts w:ascii="宋体" w:hAnsi="宋体" w:cs="宋体"/>
                <w:color w:val="auto"/>
                <w:sz w:val="24"/>
                <w:highlight w:val="none"/>
              </w:rPr>
            </w:pPr>
          </w:p>
        </w:tc>
      </w:tr>
      <w:tr w14:paraId="53476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623" w:type="dxa"/>
            <w:gridSpan w:val="15"/>
          </w:tcPr>
          <w:p w14:paraId="5347600C">
            <w:pPr>
              <w:kinsoku w:val="0"/>
              <w:autoSpaceDE w:val="0"/>
              <w:autoSpaceDN w:val="0"/>
              <w:adjustRightInd w:val="0"/>
              <w:snapToGrid w:val="0"/>
              <w:spacing w:line="360" w:lineRule="auto"/>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53476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2"/>
          </w:tcPr>
          <w:p w14:paraId="5347600E">
            <w:pPr>
              <w:spacing w:line="360" w:lineRule="auto"/>
              <w:rPr>
                <w:rFonts w:ascii="宋体" w:hAnsi="宋体" w:cs="宋体"/>
                <w:color w:val="auto"/>
                <w:sz w:val="24"/>
                <w:highlight w:val="none"/>
              </w:rPr>
            </w:pPr>
          </w:p>
        </w:tc>
        <w:tc>
          <w:tcPr>
            <w:tcW w:w="1547" w:type="dxa"/>
            <w:gridSpan w:val="2"/>
          </w:tcPr>
          <w:p w14:paraId="5347600F">
            <w:pPr>
              <w:kinsoku w:val="0"/>
              <w:autoSpaceDE w:val="0"/>
              <w:autoSpaceDN w:val="0"/>
              <w:adjustRightInd w:val="0"/>
              <w:snapToGrid w:val="0"/>
              <w:spacing w:line="360" w:lineRule="auto"/>
              <w:ind w:left="49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78" w:type="dxa"/>
            <w:gridSpan w:val="3"/>
          </w:tcPr>
          <w:p w14:paraId="53476010">
            <w:pPr>
              <w:kinsoku w:val="0"/>
              <w:autoSpaceDE w:val="0"/>
              <w:autoSpaceDN w:val="0"/>
              <w:adjustRightInd w:val="0"/>
              <w:snapToGrid w:val="0"/>
              <w:spacing w:line="360" w:lineRule="auto"/>
              <w:ind w:left="7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29" w:type="dxa"/>
            <w:gridSpan w:val="2"/>
          </w:tcPr>
          <w:p w14:paraId="53476011">
            <w:pPr>
              <w:kinsoku w:val="0"/>
              <w:autoSpaceDE w:val="0"/>
              <w:autoSpaceDN w:val="0"/>
              <w:adjustRightInd w:val="0"/>
              <w:snapToGrid w:val="0"/>
              <w:spacing w:line="360" w:lineRule="auto"/>
              <w:ind w:left="38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3" w:type="dxa"/>
            <w:gridSpan w:val="3"/>
          </w:tcPr>
          <w:p w14:paraId="53476012">
            <w:pPr>
              <w:kinsoku w:val="0"/>
              <w:autoSpaceDE w:val="0"/>
              <w:autoSpaceDN w:val="0"/>
              <w:adjustRightInd w:val="0"/>
              <w:snapToGrid w:val="0"/>
              <w:spacing w:line="360" w:lineRule="auto"/>
              <w:ind w:left="5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2" w:type="dxa"/>
            <w:gridSpan w:val="2"/>
          </w:tcPr>
          <w:p w14:paraId="53476013">
            <w:pPr>
              <w:kinsoku w:val="0"/>
              <w:autoSpaceDE w:val="0"/>
              <w:autoSpaceDN w:val="0"/>
              <w:adjustRightInd w:val="0"/>
              <w:snapToGrid w:val="0"/>
              <w:spacing w:line="360" w:lineRule="auto"/>
              <w:ind w:left="56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5" w:type="dxa"/>
            <w:tcBorders>
              <w:top w:val="single" w:color="FFFFFF" w:sz="2" w:space="0"/>
              <w:bottom w:val="nil"/>
              <w:right w:val="nil"/>
            </w:tcBorders>
          </w:tcPr>
          <w:p w14:paraId="53476014">
            <w:pPr>
              <w:spacing w:line="360" w:lineRule="auto"/>
              <w:rPr>
                <w:rFonts w:ascii="宋体" w:hAnsi="宋体" w:cs="宋体"/>
                <w:color w:val="auto"/>
                <w:sz w:val="24"/>
                <w:highlight w:val="none"/>
              </w:rPr>
            </w:pPr>
          </w:p>
        </w:tc>
      </w:tr>
      <w:tr w14:paraId="53476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2"/>
          </w:tcPr>
          <w:p w14:paraId="53476016">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7" w:type="dxa"/>
            <w:gridSpan w:val="2"/>
          </w:tcPr>
          <w:p w14:paraId="53476017">
            <w:pPr>
              <w:spacing w:line="360" w:lineRule="auto"/>
              <w:rPr>
                <w:rFonts w:ascii="宋体" w:hAnsi="宋体" w:cs="宋体"/>
                <w:color w:val="auto"/>
                <w:sz w:val="24"/>
                <w:highlight w:val="none"/>
              </w:rPr>
            </w:pPr>
          </w:p>
        </w:tc>
        <w:tc>
          <w:tcPr>
            <w:tcW w:w="1978" w:type="dxa"/>
            <w:gridSpan w:val="3"/>
          </w:tcPr>
          <w:p w14:paraId="53476018">
            <w:pPr>
              <w:spacing w:line="360" w:lineRule="auto"/>
              <w:rPr>
                <w:rFonts w:ascii="宋体" w:hAnsi="宋体" w:cs="宋体"/>
                <w:color w:val="auto"/>
                <w:sz w:val="24"/>
                <w:highlight w:val="none"/>
              </w:rPr>
            </w:pPr>
          </w:p>
        </w:tc>
        <w:tc>
          <w:tcPr>
            <w:tcW w:w="1329" w:type="dxa"/>
            <w:gridSpan w:val="2"/>
          </w:tcPr>
          <w:p w14:paraId="53476019">
            <w:pPr>
              <w:spacing w:line="360" w:lineRule="auto"/>
              <w:rPr>
                <w:rFonts w:ascii="宋体" w:hAnsi="宋体" w:cs="宋体"/>
                <w:color w:val="auto"/>
                <w:sz w:val="24"/>
                <w:highlight w:val="none"/>
              </w:rPr>
            </w:pPr>
          </w:p>
        </w:tc>
        <w:tc>
          <w:tcPr>
            <w:tcW w:w="1633" w:type="dxa"/>
            <w:gridSpan w:val="3"/>
          </w:tcPr>
          <w:p w14:paraId="5347601A">
            <w:pPr>
              <w:spacing w:line="360" w:lineRule="auto"/>
              <w:rPr>
                <w:rFonts w:ascii="宋体" w:hAnsi="宋体" w:cs="宋体"/>
                <w:color w:val="auto"/>
                <w:sz w:val="24"/>
                <w:highlight w:val="none"/>
              </w:rPr>
            </w:pPr>
          </w:p>
        </w:tc>
        <w:tc>
          <w:tcPr>
            <w:tcW w:w="1482" w:type="dxa"/>
            <w:gridSpan w:val="2"/>
          </w:tcPr>
          <w:p w14:paraId="5347601B">
            <w:pPr>
              <w:spacing w:line="360" w:lineRule="auto"/>
              <w:rPr>
                <w:rFonts w:ascii="宋体" w:hAnsi="宋体" w:cs="宋体"/>
                <w:color w:val="auto"/>
                <w:sz w:val="24"/>
                <w:highlight w:val="none"/>
              </w:rPr>
            </w:pPr>
          </w:p>
        </w:tc>
        <w:tc>
          <w:tcPr>
            <w:tcW w:w="25" w:type="dxa"/>
            <w:tcBorders>
              <w:top w:val="nil"/>
              <w:bottom w:val="nil"/>
              <w:right w:val="nil"/>
            </w:tcBorders>
          </w:tcPr>
          <w:p w14:paraId="5347601C">
            <w:pPr>
              <w:spacing w:line="360" w:lineRule="auto"/>
              <w:rPr>
                <w:rFonts w:ascii="宋体" w:hAnsi="宋体" w:cs="宋体"/>
                <w:color w:val="auto"/>
                <w:sz w:val="24"/>
                <w:highlight w:val="none"/>
              </w:rPr>
            </w:pPr>
          </w:p>
        </w:tc>
      </w:tr>
      <w:tr w14:paraId="53476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2"/>
          </w:tcPr>
          <w:p w14:paraId="5347601E">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7" w:type="dxa"/>
            <w:gridSpan w:val="2"/>
          </w:tcPr>
          <w:p w14:paraId="5347601F">
            <w:pPr>
              <w:spacing w:line="360" w:lineRule="auto"/>
              <w:rPr>
                <w:rFonts w:ascii="宋体" w:hAnsi="宋体" w:cs="宋体"/>
                <w:color w:val="auto"/>
                <w:sz w:val="24"/>
                <w:highlight w:val="none"/>
              </w:rPr>
            </w:pPr>
          </w:p>
        </w:tc>
        <w:tc>
          <w:tcPr>
            <w:tcW w:w="1978" w:type="dxa"/>
            <w:gridSpan w:val="3"/>
          </w:tcPr>
          <w:p w14:paraId="53476020">
            <w:pPr>
              <w:spacing w:line="360" w:lineRule="auto"/>
              <w:rPr>
                <w:rFonts w:ascii="宋体" w:hAnsi="宋体" w:cs="宋体"/>
                <w:color w:val="auto"/>
                <w:sz w:val="24"/>
                <w:highlight w:val="none"/>
              </w:rPr>
            </w:pPr>
          </w:p>
        </w:tc>
        <w:tc>
          <w:tcPr>
            <w:tcW w:w="1329" w:type="dxa"/>
            <w:gridSpan w:val="2"/>
          </w:tcPr>
          <w:p w14:paraId="53476021">
            <w:pPr>
              <w:spacing w:line="360" w:lineRule="auto"/>
              <w:rPr>
                <w:rFonts w:ascii="宋体" w:hAnsi="宋体" w:cs="宋体"/>
                <w:color w:val="auto"/>
                <w:sz w:val="24"/>
                <w:highlight w:val="none"/>
              </w:rPr>
            </w:pPr>
          </w:p>
        </w:tc>
        <w:tc>
          <w:tcPr>
            <w:tcW w:w="1633" w:type="dxa"/>
            <w:gridSpan w:val="3"/>
          </w:tcPr>
          <w:p w14:paraId="53476022">
            <w:pPr>
              <w:spacing w:line="360" w:lineRule="auto"/>
              <w:rPr>
                <w:rFonts w:ascii="宋体" w:hAnsi="宋体" w:cs="宋体"/>
                <w:color w:val="auto"/>
                <w:sz w:val="24"/>
                <w:highlight w:val="none"/>
              </w:rPr>
            </w:pPr>
          </w:p>
        </w:tc>
        <w:tc>
          <w:tcPr>
            <w:tcW w:w="1482" w:type="dxa"/>
            <w:gridSpan w:val="2"/>
          </w:tcPr>
          <w:p w14:paraId="53476023">
            <w:pPr>
              <w:spacing w:line="360" w:lineRule="auto"/>
              <w:rPr>
                <w:rFonts w:ascii="宋体" w:hAnsi="宋体" w:cs="宋体"/>
                <w:color w:val="auto"/>
                <w:sz w:val="24"/>
                <w:highlight w:val="none"/>
              </w:rPr>
            </w:pPr>
          </w:p>
        </w:tc>
        <w:tc>
          <w:tcPr>
            <w:tcW w:w="25" w:type="dxa"/>
            <w:tcBorders>
              <w:top w:val="nil"/>
              <w:bottom w:val="nil"/>
              <w:right w:val="nil"/>
            </w:tcBorders>
          </w:tcPr>
          <w:p w14:paraId="53476024">
            <w:pPr>
              <w:spacing w:line="360" w:lineRule="auto"/>
              <w:rPr>
                <w:rFonts w:ascii="宋体" w:hAnsi="宋体" w:cs="宋体"/>
                <w:color w:val="auto"/>
                <w:sz w:val="24"/>
                <w:highlight w:val="none"/>
              </w:rPr>
            </w:pPr>
          </w:p>
        </w:tc>
      </w:tr>
      <w:tr w14:paraId="53476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29" w:type="dxa"/>
            <w:gridSpan w:val="2"/>
          </w:tcPr>
          <w:p w14:paraId="53476026">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7" w:type="dxa"/>
            <w:gridSpan w:val="2"/>
          </w:tcPr>
          <w:p w14:paraId="53476027">
            <w:pPr>
              <w:spacing w:line="360" w:lineRule="auto"/>
              <w:rPr>
                <w:rFonts w:ascii="宋体" w:hAnsi="宋体" w:cs="宋体"/>
                <w:color w:val="auto"/>
                <w:sz w:val="24"/>
                <w:highlight w:val="none"/>
              </w:rPr>
            </w:pPr>
          </w:p>
        </w:tc>
        <w:tc>
          <w:tcPr>
            <w:tcW w:w="1978" w:type="dxa"/>
            <w:gridSpan w:val="3"/>
          </w:tcPr>
          <w:p w14:paraId="53476028">
            <w:pPr>
              <w:spacing w:line="360" w:lineRule="auto"/>
              <w:rPr>
                <w:rFonts w:ascii="宋体" w:hAnsi="宋体" w:cs="宋体"/>
                <w:color w:val="auto"/>
                <w:sz w:val="24"/>
                <w:highlight w:val="none"/>
              </w:rPr>
            </w:pPr>
          </w:p>
        </w:tc>
        <w:tc>
          <w:tcPr>
            <w:tcW w:w="1329" w:type="dxa"/>
            <w:gridSpan w:val="2"/>
          </w:tcPr>
          <w:p w14:paraId="53476029">
            <w:pPr>
              <w:spacing w:line="360" w:lineRule="auto"/>
              <w:rPr>
                <w:rFonts w:ascii="宋体" w:hAnsi="宋体" w:cs="宋体"/>
                <w:color w:val="auto"/>
                <w:sz w:val="24"/>
                <w:highlight w:val="none"/>
              </w:rPr>
            </w:pPr>
          </w:p>
        </w:tc>
        <w:tc>
          <w:tcPr>
            <w:tcW w:w="1633" w:type="dxa"/>
            <w:gridSpan w:val="3"/>
          </w:tcPr>
          <w:p w14:paraId="5347602A">
            <w:pPr>
              <w:spacing w:line="360" w:lineRule="auto"/>
              <w:rPr>
                <w:rFonts w:ascii="宋体" w:hAnsi="宋体" w:cs="宋体"/>
                <w:color w:val="auto"/>
                <w:sz w:val="24"/>
                <w:highlight w:val="none"/>
              </w:rPr>
            </w:pPr>
          </w:p>
        </w:tc>
        <w:tc>
          <w:tcPr>
            <w:tcW w:w="1482" w:type="dxa"/>
            <w:gridSpan w:val="2"/>
          </w:tcPr>
          <w:p w14:paraId="5347602B">
            <w:pPr>
              <w:spacing w:line="360" w:lineRule="auto"/>
              <w:rPr>
                <w:rFonts w:ascii="宋体" w:hAnsi="宋体" w:cs="宋体"/>
                <w:color w:val="auto"/>
                <w:sz w:val="24"/>
                <w:highlight w:val="none"/>
              </w:rPr>
            </w:pPr>
          </w:p>
        </w:tc>
        <w:tc>
          <w:tcPr>
            <w:tcW w:w="25" w:type="dxa"/>
            <w:tcBorders>
              <w:top w:val="nil"/>
              <w:bottom w:val="nil"/>
              <w:right w:val="nil"/>
            </w:tcBorders>
          </w:tcPr>
          <w:p w14:paraId="5347602C">
            <w:pPr>
              <w:spacing w:line="360" w:lineRule="auto"/>
              <w:rPr>
                <w:rFonts w:ascii="宋体" w:hAnsi="宋体" w:cs="宋体"/>
                <w:color w:val="auto"/>
                <w:sz w:val="24"/>
                <w:highlight w:val="none"/>
              </w:rPr>
            </w:pPr>
          </w:p>
        </w:tc>
      </w:tr>
      <w:tr w14:paraId="53476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2"/>
          </w:tcPr>
          <w:p w14:paraId="5347602E">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7" w:type="dxa"/>
            <w:gridSpan w:val="2"/>
          </w:tcPr>
          <w:p w14:paraId="5347602F">
            <w:pPr>
              <w:spacing w:line="360" w:lineRule="auto"/>
              <w:rPr>
                <w:rFonts w:ascii="宋体" w:hAnsi="宋体" w:cs="宋体"/>
                <w:color w:val="auto"/>
                <w:sz w:val="24"/>
                <w:highlight w:val="none"/>
              </w:rPr>
            </w:pPr>
          </w:p>
        </w:tc>
        <w:tc>
          <w:tcPr>
            <w:tcW w:w="1978" w:type="dxa"/>
            <w:gridSpan w:val="3"/>
          </w:tcPr>
          <w:p w14:paraId="53476030">
            <w:pPr>
              <w:spacing w:line="360" w:lineRule="auto"/>
              <w:rPr>
                <w:rFonts w:ascii="宋体" w:hAnsi="宋体" w:cs="宋体"/>
                <w:color w:val="auto"/>
                <w:sz w:val="24"/>
                <w:highlight w:val="none"/>
              </w:rPr>
            </w:pPr>
          </w:p>
        </w:tc>
        <w:tc>
          <w:tcPr>
            <w:tcW w:w="1329" w:type="dxa"/>
            <w:gridSpan w:val="2"/>
          </w:tcPr>
          <w:p w14:paraId="53476031">
            <w:pPr>
              <w:spacing w:line="360" w:lineRule="auto"/>
              <w:rPr>
                <w:rFonts w:ascii="宋体" w:hAnsi="宋体" w:cs="宋体"/>
                <w:color w:val="auto"/>
                <w:sz w:val="24"/>
                <w:highlight w:val="none"/>
              </w:rPr>
            </w:pPr>
          </w:p>
        </w:tc>
        <w:tc>
          <w:tcPr>
            <w:tcW w:w="1633" w:type="dxa"/>
            <w:gridSpan w:val="3"/>
          </w:tcPr>
          <w:p w14:paraId="53476032">
            <w:pPr>
              <w:spacing w:line="360" w:lineRule="auto"/>
              <w:rPr>
                <w:rFonts w:ascii="宋体" w:hAnsi="宋体" w:cs="宋体"/>
                <w:color w:val="auto"/>
                <w:sz w:val="24"/>
                <w:highlight w:val="none"/>
              </w:rPr>
            </w:pPr>
          </w:p>
        </w:tc>
        <w:tc>
          <w:tcPr>
            <w:tcW w:w="1482" w:type="dxa"/>
            <w:gridSpan w:val="2"/>
          </w:tcPr>
          <w:p w14:paraId="53476033">
            <w:pPr>
              <w:spacing w:line="360" w:lineRule="auto"/>
              <w:rPr>
                <w:rFonts w:ascii="宋体" w:hAnsi="宋体" w:cs="宋体"/>
                <w:color w:val="auto"/>
                <w:sz w:val="24"/>
                <w:highlight w:val="none"/>
              </w:rPr>
            </w:pPr>
          </w:p>
        </w:tc>
        <w:tc>
          <w:tcPr>
            <w:tcW w:w="25" w:type="dxa"/>
            <w:tcBorders>
              <w:top w:val="nil"/>
              <w:bottom w:val="nil"/>
              <w:right w:val="nil"/>
            </w:tcBorders>
          </w:tcPr>
          <w:p w14:paraId="53476034">
            <w:pPr>
              <w:spacing w:line="360" w:lineRule="auto"/>
              <w:rPr>
                <w:rFonts w:ascii="宋体" w:hAnsi="宋体" w:cs="宋体"/>
                <w:color w:val="auto"/>
                <w:sz w:val="24"/>
                <w:highlight w:val="none"/>
              </w:rPr>
            </w:pPr>
          </w:p>
        </w:tc>
      </w:tr>
      <w:tr w14:paraId="53476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629" w:type="dxa"/>
            <w:gridSpan w:val="2"/>
          </w:tcPr>
          <w:p w14:paraId="53476036">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7" w:type="dxa"/>
            <w:gridSpan w:val="2"/>
          </w:tcPr>
          <w:p w14:paraId="53476037">
            <w:pPr>
              <w:spacing w:line="360" w:lineRule="auto"/>
              <w:rPr>
                <w:rFonts w:ascii="宋体" w:hAnsi="宋体" w:cs="宋体"/>
                <w:color w:val="auto"/>
                <w:sz w:val="24"/>
                <w:highlight w:val="none"/>
              </w:rPr>
            </w:pPr>
          </w:p>
        </w:tc>
        <w:tc>
          <w:tcPr>
            <w:tcW w:w="1978" w:type="dxa"/>
            <w:gridSpan w:val="3"/>
          </w:tcPr>
          <w:p w14:paraId="53476038">
            <w:pPr>
              <w:spacing w:line="360" w:lineRule="auto"/>
              <w:rPr>
                <w:rFonts w:ascii="宋体" w:hAnsi="宋体" w:cs="宋体"/>
                <w:color w:val="auto"/>
                <w:sz w:val="24"/>
                <w:highlight w:val="none"/>
              </w:rPr>
            </w:pPr>
          </w:p>
        </w:tc>
        <w:tc>
          <w:tcPr>
            <w:tcW w:w="1329" w:type="dxa"/>
            <w:gridSpan w:val="2"/>
          </w:tcPr>
          <w:p w14:paraId="53476039">
            <w:pPr>
              <w:spacing w:line="360" w:lineRule="auto"/>
              <w:rPr>
                <w:rFonts w:ascii="宋体" w:hAnsi="宋体" w:cs="宋体"/>
                <w:color w:val="auto"/>
                <w:sz w:val="24"/>
                <w:highlight w:val="none"/>
              </w:rPr>
            </w:pPr>
          </w:p>
        </w:tc>
        <w:tc>
          <w:tcPr>
            <w:tcW w:w="1633" w:type="dxa"/>
            <w:gridSpan w:val="3"/>
          </w:tcPr>
          <w:p w14:paraId="5347603A">
            <w:pPr>
              <w:spacing w:line="360" w:lineRule="auto"/>
              <w:rPr>
                <w:rFonts w:ascii="宋体" w:hAnsi="宋体" w:cs="宋体"/>
                <w:color w:val="auto"/>
                <w:sz w:val="24"/>
                <w:highlight w:val="none"/>
              </w:rPr>
            </w:pPr>
          </w:p>
        </w:tc>
        <w:tc>
          <w:tcPr>
            <w:tcW w:w="1482" w:type="dxa"/>
            <w:gridSpan w:val="2"/>
          </w:tcPr>
          <w:p w14:paraId="5347603B">
            <w:pPr>
              <w:spacing w:line="360" w:lineRule="auto"/>
              <w:rPr>
                <w:rFonts w:ascii="宋体" w:hAnsi="宋体" w:cs="宋体"/>
                <w:color w:val="auto"/>
                <w:sz w:val="24"/>
                <w:highlight w:val="none"/>
              </w:rPr>
            </w:pPr>
          </w:p>
        </w:tc>
        <w:tc>
          <w:tcPr>
            <w:tcW w:w="25" w:type="dxa"/>
            <w:tcBorders>
              <w:top w:val="nil"/>
              <w:bottom w:val="nil"/>
              <w:right w:val="nil"/>
            </w:tcBorders>
          </w:tcPr>
          <w:p w14:paraId="5347603C">
            <w:pPr>
              <w:spacing w:line="360" w:lineRule="auto"/>
              <w:rPr>
                <w:rFonts w:ascii="宋体" w:hAnsi="宋体" w:cs="宋体"/>
                <w:color w:val="auto"/>
                <w:sz w:val="24"/>
                <w:highlight w:val="none"/>
              </w:rPr>
            </w:pPr>
          </w:p>
        </w:tc>
      </w:tr>
      <w:tr w14:paraId="53476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tcPr>
          <w:p w14:paraId="5347603E">
            <w:pPr>
              <w:kinsoku w:val="0"/>
              <w:autoSpaceDE w:val="0"/>
              <w:autoSpaceDN w:val="0"/>
              <w:adjustRightInd w:val="0"/>
              <w:snapToGrid w:val="0"/>
              <w:spacing w:line="360" w:lineRule="auto"/>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7" w:type="dxa"/>
            <w:gridSpan w:val="2"/>
          </w:tcPr>
          <w:p w14:paraId="5347603F">
            <w:pPr>
              <w:spacing w:line="360" w:lineRule="auto"/>
              <w:rPr>
                <w:rFonts w:ascii="宋体" w:hAnsi="宋体" w:cs="宋体"/>
                <w:color w:val="auto"/>
                <w:sz w:val="24"/>
                <w:highlight w:val="none"/>
              </w:rPr>
            </w:pPr>
          </w:p>
        </w:tc>
        <w:tc>
          <w:tcPr>
            <w:tcW w:w="1978" w:type="dxa"/>
            <w:gridSpan w:val="3"/>
          </w:tcPr>
          <w:p w14:paraId="53476040">
            <w:pPr>
              <w:spacing w:line="360" w:lineRule="auto"/>
              <w:rPr>
                <w:rFonts w:ascii="宋体" w:hAnsi="宋体" w:cs="宋体"/>
                <w:color w:val="auto"/>
                <w:sz w:val="24"/>
                <w:highlight w:val="none"/>
              </w:rPr>
            </w:pPr>
          </w:p>
        </w:tc>
        <w:tc>
          <w:tcPr>
            <w:tcW w:w="1329" w:type="dxa"/>
            <w:gridSpan w:val="2"/>
          </w:tcPr>
          <w:p w14:paraId="53476041">
            <w:pPr>
              <w:spacing w:line="360" w:lineRule="auto"/>
              <w:rPr>
                <w:rFonts w:ascii="宋体" w:hAnsi="宋体" w:cs="宋体"/>
                <w:color w:val="auto"/>
                <w:sz w:val="24"/>
                <w:highlight w:val="none"/>
              </w:rPr>
            </w:pPr>
          </w:p>
        </w:tc>
        <w:tc>
          <w:tcPr>
            <w:tcW w:w="1633" w:type="dxa"/>
            <w:gridSpan w:val="3"/>
          </w:tcPr>
          <w:p w14:paraId="53476042">
            <w:pPr>
              <w:spacing w:line="360" w:lineRule="auto"/>
              <w:rPr>
                <w:rFonts w:ascii="宋体" w:hAnsi="宋体" w:cs="宋体"/>
                <w:color w:val="auto"/>
                <w:sz w:val="24"/>
                <w:highlight w:val="none"/>
              </w:rPr>
            </w:pPr>
          </w:p>
        </w:tc>
        <w:tc>
          <w:tcPr>
            <w:tcW w:w="1482" w:type="dxa"/>
            <w:gridSpan w:val="2"/>
          </w:tcPr>
          <w:p w14:paraId="53476043">
            <w:pPr>
              <w:spacing w:line="360" w:lineRule="auto"/>
              <w:rPr>
                <w:rFonts w:ascii="宋体" w:hAnsi="宋体" w:cs="宋体"/>
                <w:color w:val="auto"/>
                <w:sz w:val="24"/>
                <w:highlight w:val="none"/>
              </w:rPr>
            </w:pPr>
          </w:p>
        </w:tc>
        <w:tc>
          <w:tcPr>
            <w:tcW w:w="25" w:type="dxa"/>
            <w:tcBorders>
              <w:top w:val="nil"/>
              <w:bottom w:val="nil"/>
              <w:right w:val="nil"/>
            </w:tcBorders>
          </w:tcPr>
          <w:p w14:paraId="53476044">
            <w:pPr>
              <w:spacing w:line="360" w:lineRule="auto"/>
              <w:rPr>
                <w:rFonts w:ascii="宋体" w:hAnsi="宋体" w:cs="宋体"/>
                <w:color w:val="auto"/>
                <w:sz w:val="24"/>
                <w:highlight w:val="none"/>
              </w:rPr>
            </w:pPr>
          </w:p>
        </w:tc>
      </w:tr>
      <w:tr w14:paraId="53476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tcPr>
          <w:p w14:paraId="53476046">
            <w:pPr>
              <w:kinsoku w:val="0"/>
              <w:autoSpaceDE w:val="0"/>
              <w:autoSpaceDN w:val="0"/>
              <w:adjustRightInd w:val="0"/>
              <w:snapToGrid w:val="0"/>
              <w:spacing w:line="360" w:lineRule="auto"/>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7" w:type="dxa"/>
            <w:gridSpan w:val="2"/>
          </w:tcPr>
          <w:p w14:paraId="53476047">
            <w:pPr>
              <w:spacing w:line="360" w:lineRule="auto"/>
              <w:rPr>
                <w:rFonts w:ascii="宋体" w:hAnsi="宋体" w:cs="宋体"/>
                <w:color w:val="auto"/>
                <w:sz w:val="24"/>
                <w:highlight w:val="none"/>
              </w:rPr>
            </w:pPr>
          </w:p>
        </w:tc>
        <w:tc>
          <w:tcPr>
            <w:tcW w:w="1978" w:type="dxa"/>
            <w:gridSpan w:val="3"/>
          </w:tcPr>
          <w:p w14:paraId="53476048">
            <w:pPr>
              <w:spacing w:line="360" w:lineRule="auto"/>
              <w:rPr>
                <w:rFonts w:ascii="宋体" w:hAnsi="宋体" w:cs="宋体"/>
                <w:color w:val="auto"/>
                <w:sz w:val="24"/>
                <w:highlight w:val="none"/>
              </w:rPr>
            </w:pPr>
          </w:p>
        </w:tc>
        <w:tc>
          <w:tcPr>
            <w:tcW w:w="1329" w:type="dxa"/>
            <w:gridSpan w:val="2"/>
          </w:tcPr>
          <w:p w14:paraId="53476049">
            <w:pPr>
              <w:spacing w:line="360" w:lineRule="auto"/>
              <w:rPr>
                <w:rFonts w:ascii="宋体" w:hAnsi="宋体" w:cs="宋体"/>
                <w:color w:val="auto"/>
                <w:sz w:val="24"/>
                <w:highlight w:val="none"/>
              </w:rPr>
            </w:pPr>
          </w:p>
        </w:tc>
        <w:tc>
          <w:tcPr>
            <w:tcW w:w="1633" w:type="dxa"/>
            <w:gridSpan w:val="3"/>
          </w:tcPr>
          <w:p w14:paraId="5347604A">
            <w:pPr>
              <w:spacing w:line="360" w:lineRule="auto"/>
              <w:rPr>
                <w:rFonts w:ascii="宋体" w:hAnsi="宋体" w:cs="宋体"/>
                <w:color w:val="auto"/>
                <w:sz w:val="24"/>
                <w:highlight w:val="none"/>
              </w:rPr>
            </w:pPr>
          </w:p>
        </w:tc>
        <w:tc>
          <w:tcPr>
            <w:tcW w:w="1482" w:type="dxa"/>
            <w:gridSpan w:val="2"/>
          </w:tcPr>
          <w:p w14:paraId="5347604B">
            <w:pPr>
              <w:spacing w:line="360" w:lineRule="auto"/>
              <w:rPr>
                <w:rFonts w:ascii="宋体" w:hAnsi="宋体" w:cs="宋体"/>
                <w:color w:val="auto"/>
                <w:sz w:val="24"/>
                <w:highlight w:val="none"/>
              </w:rPr>
            </w:pPr>
          </w:p>
        </w:tc>
        <w:tc>
          <w:tcPr>
            <w:tcW w:w="25" w:type="dxa"/>
            <w:tcBorders>
              <w:top w:val="nil"/>
              <w:bottom w:val="nil"/>
              <w:right w:val="nil"/>
            </w:tcBorders>
          </w:tcPr>
          <w:p w14:paraId="5347604C">
            <w:pPr>
              <w:spacing w:line="360" w:lineRule="auto"/>
              <w:rPr>
                <w:rFonts w:ascii="宋体" w:hAnsi="宋体" w:cs="宋体"/>
                <w:color w:val="auto"/>
                <w:sz w:val="24"/>
                <w:highlight w:val="none"/>
              </w:rPr>
            </w:pPr>
          </w:p>
        </w:tc>
      </w:tr>
      <w:tr w14:paraId="53476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tcPr>
          <w:p w14:paraId="5347604E">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7" w:type="dxa"/>
            <w:gridSpan w:val="2"/>
          </w:tcPr>
          <w:p w14:paraId="5347604F">
            <w:pPr>
              <w:spacing w:line="360" w:lineRule="auto"/>
              <w:rPr>
                <w:rFonts w:ascii="宋体" w:hAnsi="宋体" w:cs="宋体"/>
                <w:color w:val="auto"/>
                <w:sz w:val="24"/>
                <w:highlight w:val="none"/>
              </w:rPr>
            </w:pPr>
          </w:p>
        </w:tc>
        <w:tc>
          <w:tcPr>
            <w:tcW w:w="1978" w:type="dxa"/>
            <w:gridSpan w:val="3"/>
          </w:tcPr>
          <w:p w14:paraId="53476050">
            <w:pPr>
              <w:spacing w:line="360" w:lineRule="auto"/>
              <w:rPr>
                <w:rFonts w:ascii="宋体" w:hAnsi="宋体" w:cs="宋体"/>
                <w:color w:val="auto"/>
                <w:sz w:val="24"/>
                <w:highlight w:val="none"/>
              </w:rPr>
            </w:pPr>
          </w:p>
        </w:tc>
        <w:tc>
          <w:tcPr>
            <w:tcW w:w="1329" w:type="dxa"/>
            <w:gridSpan w:val="2"/>
          </w:tcPr>
          <w:p w14:paraId="53476051">
            <w:pPr>
              <w:spacing w:line="360" w:lineRule="auto"/>
              <w:rPr>
                <w:rFonts w:ascii="宋体" w:hAnsi="宋体" w:cs="宋体"/>
                <w:color w:val="auto"/>
                <w:sz w:val="24"/>
                <w:highlight w:val="none"/>
              </w:rPr>
            </w:pPr>
          </w:p>
        </w:tc>
        <w:tc>
          <w:tcPr>
            <w:tcW w:w="1633" w:type="dxa"/>
            <w:gridSpan w:val="3"/>
          </w:tcPr>
          <w:p w14:paraId="53476052">
            <w:pPr>
              <w:spacing w:line="360" w:lineRule="auto"/>
              <w:rPr>
                <w:rFonts w:ascii="宋体" w:hAnsi="宋体" w:cs="宋体"/>
                <w:color w:val="auto"/>
                <w:sz w:val="24"/>
                <w:highlight w:val="none"/>
              </w:rPr>
            </w:pPr>
          </w:p>
        </w:tc>
        <w:tc>
          <w:tcPr>
            <w:tcW w:w="1482" w:type="dxa"/>
            <w:gridSpan w:val="2"/>
          </w:tcPr>
          <w:p w14:paraId="53476053">
            <w:pPr>
              <w:spacing w:line="360" w:lineRule="auto"/>
              <w:rPr>
                <w:rFonts w:ascii="宋体" w:hAnsi="宋体" w:cs="宋体"/>
                <w:color w:val="auto"/>
                <w:sz w:val="24"/>
                <w:highlight w:val="none"/>
              </w:rPr>
            </w:pPr>
          </w:p>
        </w:tc>
        <w:tc>
          <w:tcPr>
            <w:tcW w:w="25" w:type="dxa"/>
            <w:tcBorders>
              <w:top w:val="nil"/>
              <w:bottom w:val="nil"/>
              <w:right w:val="nil"/>
            </w:tcBorders>
          </w:tcPr>
          <w:p w14:paraId="53476054">
            <w:pPr>
              <w:spacing w:line="360" w:lineRule="auto"/>
              <w:rPr>
                <w:rFonts w:ascii="宋体" w:hAnsi="宋体" w:cs="宋体"/>
                <w:color w:val="auto"/>
                <w:sz w:val="24"/>
                <w:highlight w:val="none"/>
              </w:rPr>
            </w:pPr>
          </w:p>
        </w:tc>
      </w:tr>
      <w:tr w14:paraId="53476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29" w:type="dxa"/>
            <w:gridSpan w:val="2"/>
          </w:tcPr>
          <w:p w14:paraId="53476056">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7" w:type="dxa"/>
            <w:gridSpan w:val="2"/>
          </w:tcPr>
          <w:p w14:paraId="53476057">
            <w:pPr>
              <w:spacing w:line="360" w:lineRule="auto"/>
              <w:rPr>
                <w:rFonts w:ascii="宋体" w:hAnsi="宋体" w:cs="宋体"/>
                <w:color w:val="auto"/>
                <w:sz w:val="24"/>
                <w:highlight w:val="none"/>
              </w:rPr>
            </w:pPr>
          </w:p>
        </w:tc>
        <w:tc>
          <w:tcPr>
            <w:tcW w:w="1978" w:type="dxa"/>
            <w:gridSpan w:val="3"/>
          </w:tcPr>
          <w:p w14:paraId="53476058">
            <w:pPr>
              <w:spacing w:line="360" w:lineRule="auto"/>
              <w:rPr>
                <w:rFonts w:ascii="宋体" w:hAnsi="宋体" w:cs="宋体"/>
                <w:color w:val="auto"/>
                <w:sz w:val="24"/>
                <w:highlight w:val="none"/>
              </w:rPr>
            </w:pPr>
          </w:p>
        </w:tc>
        <w:tc>
          <w:tcPr>
            <w:tcW w:w="1329" w:type="dxa"/>
            <w:gridSpan w:val="2"/>
          </w:tcPr>
          <w:p w14:paraId="53476059">
            <w:pPr>
              <w:spacing w:line="360" w:lineRule="auto"/>
              <w:rPr>
                <w:rFonts w:ascii="宋体" w:hAnsi="宋体" w:cs="宋体"/>
                <w:color w:val="auto"/>
                <w:sz w:val="24"/>
                <w:highlight w:val="none"/>
              </w:rPr>
            </w:pPr>
          </w:p>
        </w:tc>
        <w:tc>
          <w:tcPr>
            <w:tcW w:w="1633" w:type="dxa"/>
            <w:gridSpan w:val="3"/>
          </w:tcPr>
          <w:p w14:paraId="5347605A">
            <w:pPr>
              <w:spacing w:line="360" w:lineRule="auto"/>
              <w:rPr>
                <w:rFonts w:ascii="宋体" w:hAnsi="宋体" w:cs="宋体"/>
                <w:color w:val="auto"/>
                <w:sz w:val="24"/>
                <w:highlight w:val="none"/>
              </w:rPr>
            </w:pPr>
          </w:p>
        </w:tc>
        <w:tc>
          <w:tcPr>
            <w:tcW w:w="1482" w:type="dxa"/>
            <w:gridSpan w:val="2"/>
          </w:tcPr>
          <w:p w14:paraId="5347605B">
            <w:pPr>
              <w:spacing w:line="360" w:lineRule="auto"/>
              <w:rPr>
                <w:rFonts w:ascii="宋体" w:hAnsi="宋体" w:cs="宋体"/>
                <w:color w:val="auto"/>
                <w:sz w:val="24"/>
                <w:highlight w:val="none"/>
              </w:rPr>
            </w:pPr>
          </w:p>
        </w:tc>
        <w:tc>
          <w:tcPr>
            <w:tcW w:w="25" w:type="dxa"/>
            <w:tcBorders>
              <w:top w:val="nil"/>
              <w:bottom w:val="nil"/>
              <w:right w:val="nil"/>
            </w:tcBorders>
          </w:tcPr>
          <w:p w14:paraId="5347605C">
            <w:pPr>
              <w:spacing w:line="360" w:lineRule="auto"/>
              <w:rPr>
                <w:rFonts w:ascii="宋体" w:hAnsi="宋体" w:cs="宋体"/>
                <w:color w:val="auto"/>
                <w:sz w:val="24"/>
                <w:highlight w:val="none"/>
              </w:rPr>
            </w:pPr>
          </w:p>
        </w:tc>
      </w:tr>
    </w:tbl>
    <w:p w14:paraId="5347605E">
      <w:pPr>
        <w:spacing w:line="360" w:lineRule="auto"/>
        <w:ind w:left="385"/>
        <w:rPr>
          <w:rFonts w:ascii="宋体" w:hAnsi="宋体" w:cs="宋体"/>
          <w:color w:val="auto"/>
          <w:sz w:val="24"/>
          <w:highlight w:val="none"/>
        </w:rPr>
      </w:pPr>
      <w:r>
        <w:rPr>
          <w:rFonts w:hint="eastAsia" w:ascii="宋体" w:hAnsi="宋体" w:cs="宋体"/>
          <w:color w:val="auto"/>
          <w:spacing w:val="-13"/>
          <w:sz w:val="24"/>
          <w:highlight w:val="none"/>
        </w:rPr>
        <w:t>备注：</w:t>
      </w:r>
    </w:p>
    <w:p w14:paraId="5347605F">
      <w:pPr>
        <w:spacing w:line="360" w:lineRule="auto"/>
        <w:ind w:left="818"/>
        <w:rPr>
          <w:rFonts w:ascii="宋体" w:hAnsi="宋体" w:cs="宋体"/>
          <w:color w:val="auto"/>
          <w:sz w:val="24"/>
          <w:highlight w:val="none"/>
        </w:rPr>
      </w:pPr>
      <w:r>
        <w:rPr>
          <w:rFonts w:hint="eastAsia" w:ascii="宋体" w:hAnsi="宋体" w:cs="宋体"/>
          <w:color w:val="auto"/>
          <w:spacing w:val="-3"/>
          <w:sz w:val="24"/>
          <w:highlight w:val="none"/>
        </w:rPr>
        <w:t>1.项目数可以根据需要增加。</w:t>
      </w:r>
    </w:p>
    <w:p w14:paraId="53476060">
      <w:pPr>
        <w:spacing w:line="360" w:lineRule="auto"/>
        <w:ind w:left="805"/>
        <w:rPr>
          <w:rFonts w:ascii="宋体" w:hAnsi="宋体" w:cs="宋体"/>
          <w:color w:val="auto"/>
          <w:sz w:val="24"/>
          <w:highlight w:val="none"/>
        </w:rPr>
      </w:pPr>
      <w:r>
        <w:rPr>
          <w:rFonts w:hint="eastAsia" w:ascii="宋体" w:hAnsi="宋体" w:cs="宋体"/>
          <w:color w:val="auto"/>
          <w:spacing w:val="-3"/>
          <w:sz w:val="24"/>
          <w:highlight w:val="none"/>
        </w:rPr>
        <w:t>2.本表后附项目技术负责人（项目总工）</w:t>
      </w:r>
      <w:r>
        <w:rPr>
          <w:rFonts w:hint="eastAsia" w:ascii="宋体" w:hAnsi="宋体" w:cs="宋体"/>
          <w:color w:val="auto"/>
          <w:spacing w:val="-36"/>
          <w:sz w:val="24"/>
          <w:highlight w:val="none"/>
        </w:rPr>
        <w:t xml:space="preserve"> </w:t>
      </w:r>
      <w:r>
        <w:rPr>
          <w:rFonts w:hint="eastAsia" w:ascii="宋体" w:hAnsi="宋体" w:cs="宋体"/>
          <w:color w:val="auto"/>
          <w:spacing w:val="-3"/>
          <w:sz w:val="24"/>
          <w:highlight w:val="none"/>
        </w:rPr>
        <w:t>的学历证、本表所列证书复</w:t>
      </w:r>
      <w:r>
        <w:rPr>
          <w:rFonts w:hint="eastAsia" w:ascii="宋体" w:hAnsi="宋体" w:cs="宋体"/>
          <w:color w:val="auto"/>
          <w:spacing w:val="-4"/>
          <w:sz w:val="24"/>
          <w:highlight w:val="none"/>
        </w:rPr>
        <w:t>印件并加盖供应商公章。</w:t>
      </w:r>
    </w:p>
    <w:p w14:paraId="53476061">
      <w:pPr>
        <w:spacing w:line="360" w:lineRule="auto"/>
        <w:rPr>
          <w:rFonts w:ascii="宋体" w:hAnsi="宋体"/>
          <w:color w:val="auto"/>
          <w:highlight w:val="none"/>
        </w:rPr>
      </w:pPr>
      <w:r>
        <w:rPr>
          <w:rFonts w:hint="eastAsia" w:ascii="宋体" w:hAnsi="宋体"/>
          <w:color w:val="auto"/>
          <w:sz w:val="24"/>
          <w:highlight w:val="none"/>
        </w:rPr>
        <w:br w:type="page"/>
      </w:r>
    </w:p>
    <w:p w14:paraId="53476062">
      <w:pPr>
        <w:spacing w:line="360" w:lineRule="auto"/>
        <w:ind w:left="2739"/>
        <w:rPr>
          <w:rFonts w:ascii="宋体" w:hAnsi="宋体" w:cs="宋体"/>
          <w:color w:val="auto"/>
          <w:sz w:val="31"/>
          <w:szCs w:val="31"/>
          <w:highlight w:val="none"/>
        </w:rPr>
      </w:pPr>
      <w:bookmarkStart w:id="32" w:name="_Toc28941"/>
      <w:bookmarkStart w:id="33" w:name="_Toc4741"/>
      <w:r>
        <w:rPr>
          <w:rFonts w:hint="eastAsia" w:ascii="宋体" w:hAnsi="宋体" w:cs="宋体"/>
          <w:color w:val="auto"/>
          <w:spacing w:val="10"/>
          <w:sz w:val="31"/>
          <w:szCs w:val="31"/>
          <w:highlight w:val="none"/>
        </w:rPr>
        <w:t>专职安全生产管理人员简历表</w:t>
      </w:r>
      <w:bookmarkEnd w:id="32"/>
      <w:bookmarkEnd w:id="33"/>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429"/>
        <w:gridCol w:w="843"/>
        <w:gridCol w:w="704"/>
        <w:gridCol w:w="520"/>
        <w:gridCol w:w="1417"/>
        <w:gridCol w:w="1370"/>
        <w:gridCol w:w="49"/>
        <w:gridCol w:w="459"/>
        <w:gridCol w:w="1128"/>
        <w:gridCol w:w="45"/>
        <w:gridCol w:w="1437"/>
        <w:gridCol w:w="23"/>
      </w:tblGrid>
      <w:tr w14:paraId="53476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00" w:type="dxa"/>
          </w:tcPr>
          <w:p w14:paraId="53476063">
            <w:pPr>
              <w:kinsoku w:val="0"/>
              <w:autoSpaceDE w:val="0"/>
              <w:autoSpaceDN w:val="0"/>
              <w:adjustRightInd w:val="0"/>
              <w:snapToGrid w:val="0"/>
              <w:spacing w:line="360" w:lineRule="auto"/>
              <w:ind w:left="38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498" w:type="dxa"/>
            <w:gridSpan w:val="4"/>
          </w:tcPr>
          <w:p w14:paraId="53476064">
            <w:pPr>
              <w:spacing w:line="360" w:lineRule="auto"/>
              <w:rPr>
                <w:rFonts w:ascii="宋体" w:hAnsi="宋体" w:cs="宋体"/>
                <w:color w:val="auto"/>
                <w:sz w:val="24"/>
                <w:highlight w:val="none"/>
              </w:rPr>
            </w:pPr>
          </w:p>
        </w:tc>
        <w:tc>
          <w:tcPr>
            <w:tcW w:w="1417" w:type="dxa"/>
          </w:tcPr>
          <w:p w14:paraId="53476065">
            <w:pPr>
              <w:kinsoku w:val="0"/>
              <w:autoSpaceDE w:val="0"/>
              <w:autoSpaceDN w:val="0"/>
              <w:adjustRightInd w:val="0"/>
              <w:snapToGrid w:val="0"/>
              <w:spacing w:line="360" w:lineRule="auto"/>
              <w:ind w:left="7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878" w:type="dxa"/>
            <w:gridSpan w:val="3"/>
          </w:tcPr>
          <w:p w14:paraId="53476066">
            <w:pPr>
              <w:spacing w:line="360" w:lineRule="auto"/>
              <w:rPr>
                <w:rFonts w:ascii="宋体" w:hAnsi="宋体" w:cs="宋体"/>
                <w:color w:val="auto"/>
                <w:sz w:val="24"/>
                <w:highlight w:val="none"/>
              </w:rPr>
            </w:pPr>
          </w:p>
        </w:tc>
        <w:tc>
          <w:tcPr>
            <w:tcW w:w="1128" w:type="dxa"/>
          </w:tcPr>
          <w:p w14:paraId="53476067">
            <w:pPr>
              <w:kinsoku w:val="0"/>
              <w:autoSpaceDE w:val="0"/>
              <w:autoSpaceDN w:val="0"/>
              <w:adjustRightInd w:val="0"/>
              <w:snapToGrid w:val="0"/>
              <w:spacing w:line="360" w:lineRule="auto"/>
              <w:ind w:left="33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2" w:type="dxa"/>
            <w:gridSpan w:val="3"/>
          </w:tcPr>
          <w:p w14:paraId="53476068">
            <w:pPr>
              <w:spacing w:line="360" w:lineRule="auto"/>
              <w:rPr>
                <w:rFonts w:ascii="宋体" w:hAnsi="宋体" w:cs="宋体"/>
                <w:color w:val="auto"/>
                <w:sz w:val="24"/>
                <w:highlight w:val="none"/>
              </w:rPr>
            </w:pPr>
          </w:p>
        </w:tc>
      </w:tr>
      <w:tr w14:paraId="53476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tcPr>
          <w:p w14:paraId="5347606A">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498" w:type="dxa"/>
            <w:gridSpan w:val="4"/>
          </w:tcPr>
          <w:p w14:paraId="5347606B">
            <w:pPr>
              <w:kinsoku w:val="0"/>
              <w:autoSpaceDE w:val="0"/>
              <w:autoSpaceDN w:val="0"/>
              <w:adjustRightInd w:val="0"/>
              <w:snapToGrid w:val="0"/>
              <w:spacing w:line="360" w:lineRule="auto"/>
              <w:ind w:left="90"/>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专职安全生产管理人员</w:t>
            </w:r>
          </w:p>
        </w:tc>
        <w:tc>
          <w:tcPr>
            <w:tcW w:w="1417" w:type="dxa"/>
          </w:tcPr>
          <w:p w14:paraId="5347606C">
            <w:pPr>
              <w:kinsoku w:val="0"/>
              <w:autoSpaceDE w:val="0"/>
              <w:autoSpaceDN w:val="0"/>
              <w:adjustRightInd w:val="0"/>
              <w:snapToGrid w:val="0"/>
              <w:spacing w:line="360" w:lineRule="auto"/>
              <w:ind w:left="73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878" w:type="dxa"/>
            <w:gridSpan w:val="3"/>
          </w:tcPr>
          <w:p w14:paraId="5347606D">
            <w:pPr>
              <w:spacing w:line="360" w:lineRule="auto"/>
              <w:rPr>
                <w:rFonts w:ascii="宋体" w:hAnsi="宋体" w:cs="宋体"/>
                <w:color w:val="auto"/>
                <w:sz w:val="24"/>
                <w:highlight w:val="none"/>
              </w:rPr>
            </w:pPr>
          </w:p>
        </w:tc>
        <w:tc>
          <w:tcPr>
            <w:tcW w:w="1128" w:type="dxa"/>
          </w:tcPr>
          <w:p w14:paraId="5347606E">
            <w:pPr>
              <w:kinsoku w:val="0"/>
              <w:autoSpaceDE w:val="0"/>
              <w:autoSpaceDN w:val="0"/>
              <w:adjustRightInd w:val="0"/>
              <w:snapToGrid w:val="0"/>
              <w:spacing w:line="360" w:lineRule="auto"/>
              <w:ind w:left="3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2" w:type="dxa"/>
            <w:gridSpan w:val="3"/>
          </w:tcPr>
          <w:p w14:paraId="5347606F">
            <w:pPr>
              <w:spacing w:line="360" w:lineRule="auto"/>
              <w:rPr>
                <w:rFonts w:ascii="宋体" w:hAnsi="宋体" w:cs="宋体"/>
                <w:color w:val="auto"/>
                <w:sz w:val="24"/>
                <w:highlight w:val="none"/>
              </w:rPr>
            </w:pPr>
          </w:p>
        </w:tc>
      </w:tr>
      <w:tr w14:paraId="53476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tcPr>
          <w:p w14:paraId="53476071">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从业开始 时间</w:t>
            </w:r>
          </w:p>
        </w:tc>
        <w:tc>
          <w:tcPr>
            <w:tcW w:w="2498" w:type="dxa"/>
            <w:gridSpan w:val="4"/>
          </w:tcPr>
          <w:p w14:paraId="53476072">
            <w:pPr>
              <w:spacing w:line="360" w:lineRule="auto"/>
              <w:rPr>
                <w:rFonts w:ascii="宋体" w:hAnsi="宋体" w:cs="宋体"/>
                <w:color w:val="auto"/>
                <w:sz w:val="24"/>
                <w:highlight w:val="none"/>
              </w:rPr>
            </w:pPr>
          </w:p>
        </w:tc>
        <w:tc>
          <w:tcPr>
            <w:tcW w:w="1417" w:type="dxa"/>
          </w:tcPr>
          <w:p w14:paraId="53476073">
            <w:pPr>
              <w:kinsoku w:val="0"/>
              <w:autoSpaceDE w:val="0"/>
              <w:autoSpaceDN w:val="0"/>
              <w:adjustRightInd w:val="0"/>
              <w:snapToGrid w:val="0"/>
              <w:spacing w:line="360" w:lineRule="auto"/>
              <w:ind w:left="31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878" w:type="dxa"/>
            <w:gridSpan w:val="3"/>
          </w:tcPr>
          <w:p w14:paraId="53476074">
            <w:pPr>
              <w:spacing w:line="360" w:lineRule="auto"/>
              <w:rPr>
                <w:rFonts w:ascii="宋体" w:hAnsi="宋体" w:cs="宋体"/>
                <w:color w:val="auto"/>
                <w:sz w:val="24"/>
                <w:highlight w:val="none"/>
              </w:rPr>
            </w:pPr>
          </w:p>
        </w:tc>
        <w:tc>
          <w:tcPr>
            <w:tcW w:w="1128" w:type="dxa"/>
          </w:tcPr>
          <w:p w14:paraId="53476075">
            <w:pPr>
              <w:kinsoku w:val="0"/>
              <w:autoSpaceDE w:val="0"/>
              <w:autoSpaceDN w:val="0"/>
              <w:adjustRightInd w:val="0"/>
              <w:snapToGrid w:val="0"/>
              <w:spacing w:line="360" w:lineRule="auto"/>
              <w:ind w:left="1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2" w:type="dxa"/>
            <w:gridSpan w:val="3"/>
          </w:tcPr>
          <w:p w14:paraId="53476076">
            <w:pPr>
              <w:spacing w:line="360" w:lineRule="auto"/>
              <w:rPr>
                <w:rFonts w:ascii="宋体" w:hAnsi="宋体" w:cs="宋体"/>
                <w:color w:val="auto"/>
                <w:sz w:val="24"/>
                <w:highlight w:val="none"/>
              </w:rPr>
            </w:pPr>
          </w:p>
        </w:tc>
      </w:tr>
      <w:tr w14:paraId="53476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tcPr>
          <w:p w14:paraId="53476078">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w:t>
            </w:r>
            <w:r>
              <w:rPr>
                <w:rFonts w:hint="eastAsia" w:ascii="宋体" w:hAnsi="宋体" w:cs="宋体"/>
                <w:snapToGrid w:val="0"/>
                <w:color w:val="auto"/>
                <w:spacing w:val="-2"/>
                <w:kern w:val="0"/>
                <w:sz w:val="24"/>
                <w:highlight w:val="none"/>
              </w:rPr>
              <w:t>专职安全员</w:t>
            </w:r>
            <w:r>
              <w:rPr>
                <w:rFonts w:hint="eastAsia" w:ascii="宋体" w:hAnsi="宋体" w:cs="宋体"/>
                <w:snapToGrid w:val="0"/>
                <w:color w:val="auto"/>
                <w:spacing w:val="-2"/>
                <w:kern w:val="0"/>
                <w:sz w:val="24"/>
                <w:highlight w:val="none"/>
                <w:lang w:eastAsia="en-US"/>
              </w:rPr>
              <w:t>年限</w:t>
            </w:r>
          </w:p>
        </w:tc>
        <w:tc>
          <w:tcPr>
            <w:tcW w:w="2498" w:type="dxa"/>
            <w:gridSpan w:val="4"/>
          </w:tcPr>
          <w:p w14:paraId="53476079">
            <w:pPr>
              <w:spacing w:line="360" w:lineRule="auto"/>
              <w:rPr>
                <w:rFonts w:ascii="宋体" w:hAnsi="宋体" w:cs="宋体"/>
                <w:color w:val="auto"/>
                <w:sz w:val="24"/>
                <w:highlight w:val="none"/>
              </w:rPr>
            </w:pPr>
          </w:p>
        </w:tc>
        <w:tc>
          <w:tcPr>
            <w:tcW w:w="1417" w:type="dxa"/>
          </w:tcPr>
          <w:p w14:paraId="5347607A">
            <w:pPr>
              <w:kinsoku w:val="0"/>
              <w:autoSpaceDE w:val="0"/>
              <w:autoSpaceDN w:val="0"/>
              <w:adjustRightInd w:val="0"/>
              <w:snapToGrid w:val="0"/>
              <w:spacing w:line="360" w:lineRule="auto"/>
              <w:ind w:left="544" w:right="179" w:hanging="30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w:t>
            </w:r>
            <w:r>
              <w:rPr>
                <w:rFonts w:hint="eastAsia" w:ascii="宋体" w:hAnsi="宋体" w:cs="宋体"/>
                <w:snapToGrid w:val="0"/>
                <w:color w:val="auto"/>
                <w:kern w:val="0"/>
                <w:sz w:val="24"/>
                <w:highlight w:val="none"/>
                <w:lang w:eastAsia="en-US"/>
              </w:rPr>
              <w:t xml:space="preserve"> 码</w:t>
            </w:r>
          </w:p>
        </w:tc>
        <w:tc>
          <w:tcPr>
            <w:tcW w:w="4508" w:type="dxa"/>
            <w:gridSpan w:val="7"/>
          </w:tcPr>
          <w:p w14:paraId="5347607B">
            <w:pPr>
              <w:spacing w:line="360" w:lineRule="auto"/>
              <w:rPr>
                <w:rFonts w:ascii="宋体" w:hAnsi="宋体" w:cs="宋体"/>
                <w:color w:val="auto"/>
                <w:sz w:val="24"/>
                <w:highlight w:val="none"/>
              </w:rPr>
            </w:pPr>
          </w:p>
        </w:tc>
      </w:tr>
      <w:tr w14:paraId="53476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tcPr>
          <w:p w14:paraId="5347607D">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274" w:type="dxa"/>
            <w:gridSpan w:val="2"/>
          </w:tcPr>
          <w:p w14:paraId="5347607E">
            <w:pPr>
              <w:kinsoku w:val="0"/>
              <w:autoSpaceDE w:val="0"/>
              <w:autoSpaceDN w:val="0"/>
              <w:adjustRightInd w:val="0"/>
              <w:snapToGrid w:val="0"/>
              <w:spacing w:line="360" w:lineRule="auto"/>
              <w:ind w:left="26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4" w:type="dxa"/>
            <w:gridSpan w:val="2"/>
          </w:tcPr>
          <w:p w14:paraId="5347607F">
            <w:pPr>
              <w:kinsoku w:val="0"/>
              <w:autoSpaceDE w:val="0"/>
              <w:autoSpaceDN w:val="0"/>
              <w:adjustRightInd w:val="0"/>
              <w:snapToGrid w:val="0"/>
              <w:spacing w:line="360" w:lineRule="auto"/>
              <w:ind w:left="45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17" w:type="dxa"/>
          </w:tcPr>
          <w:p w14:paraId="53476080">
            <w:pPr>
              <w:kinsoku w:val="0"/>
              <w:autoSpaceDE w:val="0"/>
              <w:autoSpaceDN w:val="0"/>
              <w:adjustRightInd w:val="0"/>
              <w:snapToGrid w:val="0"/>
              <w:spacing w:line="360" w:lineRule="auto"/>
              <w:ind w:left="33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9" w:type="dxa"/>
            <w:gridSpan w:val="2"/>
          </w:tcPr>
          <w:p w14:paraId="53476081">
            <w:pPr>
              <w:kinsoku w:val="0"/>
              <w:autoSpaceDE w:val="0"/>
              <w:autoSpaceDN w:val="0"/>
              <w:adjustRightInd w:val="0"/>
              <w:snapToGrid w:val="0"/>
              <w:spacing w:line="360" w:lineRule="auto"/>
              <w:ind w:left="33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2" w:type="dxa"/>
            <w:gridSpan w:val="3"/>
          </w:tcPr>
          <w:p w14:paraId="53476082">
            <w:pPr>
              <w:kinsoku w:val="0"/>
              <w:autoSpaceDE w:val="0"/>
              <w:autoSpaceDN w:val="0"/>
              <w:adjustRightInd w:val="0"/>
              <w:snapToGrid w:val="0"/>
              <w:spacing w:line="360" w:lineRule="auto"/>
              <w:ind w:left="4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57" w:type="dxa"/>
            <w:gridSpan w:val="2"/>
          </w:tcPr>
          <w:p w14:paraId="53476083">
            <w:pPr>
              <w:kinsoku w:val="0"/>
              <w:autoSpaceDE w:val="0"/>
              <w:autoSpaceDN w:val="0"/>
              <w:adjustRightInd w:val="0"/>
              <w:snapToGrid w:val="0"/>
              <w:spacing w:line="360" w:lineRule="auto"/>
              <w:ind w:left="22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53476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1200" w:type="dxa"/>
          </w:tcPr>
          <w:p w14:paraId="53476085">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3"/>
                <w:kern w:val="0"/>
                <w:sz w:val="24"/>
                <w:highlight w:val="none"/>
              </w:rPr>
              <w:t>安全生产</w:t>
            </w:r>
            <w:r>
              <w:rPr>
                <w:rFonts w:hint="eastAsia" w:ascii="宋体" w:hAnsi="宋体" w:cs="宋体"/>
                <w:snapToGrid w:val="0"/>
                <w:color w:val="auto"/>
                <w:spacing w:val="-2"/>
                <w:kern w:val="0"/>
                <w:sz w:val="24"/>
                <w:highlight w:val="none"/>
              </w:rPr>
              <w:t>考核合格证书</w:t>
            </w:r>
          </w:p>
        </w:tc>
        <w:tc>
          <w:tcPr>
            <w:tcW w:w="1274" w:type="dxa"/>
            <w:gridSpan w:val="2"/>
          </w:tcPr>
          <w:p w14:paraId="53476086">
            <w:pPr>
              <w:spacing w:line="360" w:lineRule="auto"/>
              <w:rPr>
                <w:rFonts w:ascii="宋体" w:hAnsi="宋体" w:cs="宋体"/>
                <w:color w:val="auto"/>
                <w:sz w:val="24"/>
                <w:highlight w:val="none"/>
              </w:rPr>
            </w:pPr>
          </w:p>
        </w:tc>
        <w:tc>
          <w:tcPr>
            <w:tcW w:w="1224" w:type="dxa"/>
            <w:gridSpan w:val="2"/>
          </w:tcPr>
          <w:p w14:paraId="53476087">
            <w:pPr>
              <w:spacing w:line="360" w:lineRule="auto"/>
              <w:rPr>
                <w:rFonts w:ascii="宋体" w:hAnsi="宋体" w:cs="宋体"/>
                <w:color w:val="auto"/>
                <w:sz w:val="24"/>
                <w:highlight w:val="none"/>
              </w:rPr>
            </w:pPr>
          </w:p>
          <w:p w14:paraId="53476088">
            <w:pPr>
              <w:kinsoku w:val="0"/>
              <w:autoSpaceDE w:val="0"/>
              <w:autoSpaceDN w:val="0"/>
              <w:adjustRightInd w:val="0"/>
              <w:snapToGrid w:val="0"/>
              <w:spacing w:line="360" w:lineRule="auto"/>
              <w:ind w:left="45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C</w:t>
            </w:r>
            <w:r>
              <w:rPr>
                <w:rFonts w:hint="eastAsia" w:ascii="宋体" w:hAnsi="宋体" w:cs="宋体"/>
                <w:snapToGrid w:val="0"/>
                <w:color w:val="auto"/>
                <w:spacing w:val="9"/>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类</w:t>
            </w:r>
          </w:p>
        </w:tc>
        <w:tc>
          <w:tcPr>
            <w:tcW w:w="1417" w:type="dxa"/>
          </w:tcPr>
          <w:p w14:paraId="53476089">
            <w:pPr>
              <w:spacing w:line="360" w:lineRule="auto"/>
              <w:rPr>
                <w:rFonts w:ascii="宋体" w:hAnsi="宋体" w:cs="宋体"/>
                <w:color w:val="auto"/>
                <w:sz w:val="24"/>
                <w:highlight w:val="none"/>
              </w:rPr>
            </w:pPr>
          </w:p>
        </w:tc>
        <w:tc>
          <w:tcPr>
            <w:tcW w:w="1419" w:type="dxa"/>
            <w:gridSpan w:val="2"/>
          </w:tcPr>
          <w:p w14:paraId="5347608A">
            <w:pPr>
              <w:spacing w:line="360" w:lineRule="auto"/>
              <w:rPr>
                <w:rFonts w:ascii="宋体" w:hAnsi="宋体" w:cs="宋体"/>
                <w:color w:val="auto"/>
                <w:sz w:val="24"/>
                <w:highlight w:val="none"/>
              </w:rPr>
            </w:pPr>
          </w:p>
        </w:tc>
        <w:tc>
          <w:tcPr>
            <w:tcW w:w="1632" w:type="dxa"/>
            <w:gridSpan w:val="3"/>
          </w:tcPr>
          <w:p w14:paraId="5347608B">
            <w:pPr>
              <w:spacing w:line="360" w:lineRule="auto"/>
              <w:rPr>
                <w:rFonts w:ascii="宋体" w:hAnsi="宋体" w:cs="宋体"/>
                <w:color w:val="auto"/>
                <w:sz w:val="24"/>
                <w:highlight w:val="none"/>
              </w:rPr>
            </w:pPr>
          </w:p>
        </w:tc>
        <w:tc>
          <w:tcPr>
            <w:tcW w:w="1457" w:type="dxa"/>
            <w:gridSpan w:val="2"/>
          </w:tcPr>
          <w:p w14:paraId="5347608C">
            <w:pPr>
              <w:spacing w:line="360" w:lineRule="auto"/>
              <w:rPr>
                <w:rFonts w:ascii="宋体" w:hAnsi="宋体" w:cs="宋体"/>
                <w:color w:val="auto"/>
                <w:sz w:val="24"/>
                <w:highlight w:val="none"/>
              </w:rPr>
            </w:pPr>
          </w:p>
        </w:tc>
      </w:tr>
      <w:tr w14:paraId="53476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tcPr>
          <w:p w14:paraId="5347608E">
            <w:pPr>
              <w:spacing w:line="360" w:lineRule="auto"/>
              <w:rPr>
                <w:rFonts w:ascii="宋体" w:hAnsi="宋体" w:cs="宋体"/>
                <w:color w:val="auto"/>
                <w:sz w:val="24"/>
                <w:highlight w:val="none"/>
              </w:rPr>
            </w:pPr>
          </w:p>
        </w:tc>
        <w:tc>
          <w:tcPr>
            <w:tcW w:w="1274" w:type="dxa"/>
            <w:gridSpan w:val="2"/>
          </w:tcPr>
          <w:p w14:paraId="5347608F">
            <w:pPr>
              <w:spacing w:line="360" w:lineRule="auto"/>
              <w:rPr>
                <w:rFonts w:ascii="宋体" w:hAnsi="宋体" w:cs="宋体"/>
                <w:color w:val="auto"/>
                <w:sz w:val="24"/>
                <w:highlight w:val="none"/>
              </w:rPr>
            </w:pPr>
          </w:p>
        </w:tc>
        <w:tc>
          <w:tcPr>
            <w:tcW w:w="1224" w:type="dxa"/>
            <w:gridSpan w:val="2"/>
          </w:tcPr>
          <w:p w14:paraId="53476090">
            <w:pPr>
              <w:spacing w:line="360" w:lineRule="auto"/>
              <w:rPr>
                <w:rFonts w:ascii="宋体" w:hAnsi="宋体" w:cs="宋体"/>
                <w:color w:val="auto"/>
                <w:sz w:val="24"/>
                <w:highlight w:val="none"/>
              </w:rPr>
            </w:pPr>
          </w:p>
        </w:tc>
        <w:tc>
          <w:tcPr>
            <w:tcW w:w="1417" w:type="dxa"/>
          </w:tcPr>
          <w:p w14:paraId="53476091">
            <w:pPr>
              <w:spacing w:line="360" w:lineRule="auto"/>
              <w:rPr>
                <w:rFonts w:ascii="宋体" w:hAnsi="宋体" w:cs="宋体"/>
                <w:color w:val="auto"/>
                <w:sz w:val="24"/>
                <w:highlight w:val="none"/>
              </w:rPr>
            </w:pPr>
          </w:p>
        </w:tc>
        <w:tc>
          <w:tcPr>
            <w:tcW w:w="1419" w:type="dxa"/>
            <w:gridSpan w:val="2"/>
          </w:tcPr>
          <w:p w14:paraId="53476092">
            <w:pPr>
              <w:spacing w:line="360" w:lineRule="auto"/>
              <w:rPr>
                <w:rFonts w:ascii="宋体" w:hAnsi="宋体" w:cs="宋体"/>
                <w:color w:val="auto"/>
                <w:sz w:val="24"/>
                <w:highlight w:val="none"/>
              </w:rPr>
            </w:pPr>
          </w:p>
        </w:tc>
        <w:tc>
          <w:tcPr>
            <w:tcW w:w="1632" w:type="dxa"/>
            <w:gridSpan w:val="3"/>
          </w:tcPr>
          <w:p w14:paraId="53476093">
            <w:pPr>
              <w:spacing w:line="360" w:lineRule="auto"/>
              <w:rPr>
                <w:rFonts w:ascii="宋体" w:hAnsi="宋体" w:cs="宋体"/>
                <w:color w:val="auto"/>
                <w:sz w:val="24"/>
                <w:highlight w:val="none"/>
              </w:rPr>
            </w:pPr>
          </w:p>
        </w:tc>
        <w:tc>
          <w:tcPr>
            <w:tcW w:w="1457" w:type="dxa"/>
            <w:gridSpan w:val="2"/>
          </w:tcPr>
          <w:p w14:paraId="53476094">
            <w:pPr>
              <w:spacing w:line="360" w:lineRule="auto"/>
              <w:rPr>
                <w:rFonts w:ascii="宋体" w:hAnsi="宋体" w:cs="宋体"/>
                <w:color w:val="auto"/>
                <w:sz w:val="24"/>
                <w:highlight w:val="none"/>
              </w:rPr>
            </w:pPr>
          </w:p>
        </w:tc>
      </w:tr>
      <w:tr w14:paraId="53476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3"/>
          </w:tcPr>
          <w:p w14:paraId="53476096">
            <w:pPr>
              <w:kinsoku w:val="0"/>
              <w:autoSpaceDE w:val="0"/>
              <w:autoSpaceDN w:val="0"/>
              <w:adjustRightInd w:val="0"/>
              <w:snapToGrid w:val="0"/>
              <w:spacing w:line="360" w:lineRule="auto"/>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53476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tcPr>
          <w:p w14:paraId="53476098">
            <w:pPr>
              <w:spacing w:line="360" w:lineRule="auto"/>
              <w:rPr>
                <w:rFonts w:ascii="宋体" w:hAnsi="宋体" w:cs="宋体"/>
                <w:color w:val="auto"/>
                <w:sz w:val="24"/>
                <w:highlight w:val="none"/>
              </w:rPr>
            </w:pPr>
          </w:p>
        </w:tc>
        <w:tc>
          <w:tcPr>
            <w:tcW w:w="1548" w:type="dxa"/>
            <w:gridSpan w:val="2"/>
          </w:tcPr>
          <w:p w14:paraId="53476099">
            <w:pPr>
              <w:kinsoku w:val="0"/>
              <w:autoSpaceDE w:val="0"/>
              <w:autoSpaceDN w:val="0"/>
              <w:adjustRightInd w:val="0"/>
              <w:snapToGrid w:val="0"/>
              <w:spacing w:line="360" w:lineRule="auto"/>
              <w:ind w:left="4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37" w:type="dxa"/>
            <w:gridSpan w:val="2"/>
          </w:tcPr>
          <w:p w14:paraId="5347609A">
            <w:pPr>
              <w:kinsoku w:val="0"/>
              <w:autoSpaceDE w:val="0"/>
              <w:autoSpaceDN w:val="0"/>
              <w:adjustRightInd w:val="0"/>
              <w:snapToGrid w:val="0"/>
              <w:spacing w:line="360" w:lineRule="auto"/>
              <w:ind w:left="63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70" w:type="dxa"/>
          </w:tcPr>
          <w:p w14:paraId="5347609B">
            <w:pPr>
              <w:kinsoku w:val="0"/>
              <w:autoSpaceDE w:val="0"/>
              <w:autoSpaceDN w:val="0"/>
              <w:adjustRightInd w:val="0"/>
              <w:snapToGrid w:val="0"/>
              <w:spacing w:line="360" w:lineRule="auto"/>
              <w:ind w:left="45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6" w:type="dxa"/>
            <w:gridSpan w:val="3"/>
          </w:tcPr>
          <w:p w14:paraId="5347609C">
            <w:pPr>
              <w:kinsoku w:val="0"/>
              <w:autoSpaceDE w:val="0"/>
              <w:autoSpaceDN w:val="0"/>
              <w:adjustRightInd w:val="0"/>
              <w:snapToGrid w:val="0"/>
              <w:spacing w:line="360" w:lineRule="auto"/>
              <w:ind w:left="53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2" w:type="dxa"/>
            <w:gridSpan w:val="2"/>
          </w:tcPr>
          <w:p w14:paraId="5347609D">
            <w:pPr>
              <w:kinsoku w:val="0"/>
              <w:autoSpaceDE w:val="0"/>
              <w:autoSpaceDN w:val="0"/>
              <w:adjustRightInd w:val="0"/>
              <w:snapToGrid w:val="0"/>
              <w:spacing w:line="360" w:lineRule="auto"/>
              <w:ind w:left="55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0" w:type="dxa"/>
            <w:tcBorders>
              <w:top w:val="single" w:color="FFFFFF" w:sz="2" w:space="0"/>
              <w:bottom w:val="nil"/>
              <w:right w:val="nil"/>
            </w:tcBorders>
          </w:tcPr>
          <w:p w14:paraId="5347609E">
            <w:pPr>
              <w:spacing w:line="360" w:lineRule="auto"/>
              <w:rPr>
                <w:rFonts w:ascii="宋体" w:hAnsi="宋体" w:cs="宋体"/>
                <w:color w:val="auto"/>
                <w:sz w:val="24"/>
                <w:highlight w:val="none"/>
              </w:rPr>
            </w:pPr>
          </w:p>
        </w:tc>
      </w:tr>
      <w:tr w14:paraId="53476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tcPr>
          <w:p w14:paraId="534760A0">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8" w:type="dxa"/>
            <w:gridSpan w:val="2"/>
          </w:tcPr>
          <w:p w14:paraId="534760A1">
            <w:pPr>
              <w:spacing w:line="360" w:lineRule="auto"/>
              <w:rPr>
                <w:rFonts w:ascii="宋体" w:hAnsi="宋体" w:cs="宋体"/>
                <w:color w:val="auto"/>
                <w:sz w:val="24"/>
                <w:highlight w:val="none"/>
              </w:rPr>
            </w:pPr>
          </w:p>
        </w:tc>
        <w:tc>
          <w:tcPr>
            <w:tcW w:w="1937" w:type="dxa"/>
            <w:gridSpan w:val="2"/>
          </w:tcPr>
          <w:p w14:paraId="534760A2">
            <w:pPr>
              <w:spacing w:line="360" w:lineRule="auto"/>
              <w:rPr>
                <w:rFonts w:ascii="宋体" w:hAnsi="宋体" w:cs="宋体"/>
                <w:color w:val="auto"/>
                <w:sz w:val="24"/>
                <w:highlight w:val="none"/>
              </w:rPr>
            </w:pPr>
          </w:p>
        </w:tc>
        <w:tc>
          <w:tcPr>
            <w:tcW w:w="1370" w:type="dxa"/>
          </w:tcPr>
          <w:p w14:paraId="534760A3">
            <w:pPr>
              <w:spacing w:line="360" w:lineRule="auto"/>
              <w:rPr>
                <w:rFonts w:ascii="宋体" w:hAnsi="宋体" w:cs="宋体"/>
                <w:color w:val="auto"/>
                <w:sz w:val="24"/>
                <w:highlight w:val="none"/>
              </w:rPr>
            </w:pPr>
          </w:p>
        </w:tc>
        <w:tc>
          <w:tcPr>
            <w:tcW w:w="1636" w:type="dxa"/>
            <w:gridSpan w:val="3"/>
          </w:tcPr>
          <w:p w14:paraId="534760A4">
            <w:pPr>
              <w:spacing w:line="360" w:lineRule="auto"/>
              <w:rPr>
                <w:rFonts w:ascii="宋体" w:hAnsi="宋体" w:cs="宋体"/>
                <w:color w:val="auto"/>
                <w:sz w:val="24"/>
                <w:highlight w:val="none"/>
              </w:rPr>
            </w:pPr>
          </w:p>
        </w:tc>
        <w:tc>
          <w:tcPr>
            <w:tcW w:w="1482" w:type="dxa"/>
            <w:gridSpan w:val="2"/>
          </w:tcPr>
          <w:p w14:paraId="534760A5">
            <w:pPr>
              <w:spacing w:line="360" w:lineRule="auto"/>
              <w:rPr>
                <w:rFonts w:ascii="宋体" w:hAnsi="宋体" w:cs="宋体"/>
                <w:color w:val="auto"/>
                <w:sz w:val="24"/>
                <w:highlight w:val="none"/>
              </w:rPr>
            </w:pPr>
          </w:p>
        </w:tc>
        <w:tc>
          <w:tcPr>
            <w:tcW w:w="20" w:type="dxa"/>
            <w:tcBorders>
              <w:top w:val="nil"/>
              <w:bottom w:val="nil"/>
              <w:right w:val="nil"/>
            </w:tcBorders>
          </w:tcPr>
          <w:p w14:paraId="534760A6">
            <w:pPr>
              <w:spacing w:line="360" w:lineRule="auto"/>
              <w:rPr>
                <w:rFonts w:ascii="宋体" w:hAnsi="宋体" w:cs="宋体"/>
                <w:color w:val="auto"/>
                <w:sz w:val="24"/>
                <w:highlight w:val="none"/>
              </w:rPr>
            </w:pPr>
          </w:p>
        </w:tc>
      </w:tr>
      <w:tr w14:paraId="53476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tcPr>
          <w:p w14:paraId="534760A8">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8" w:type="dxa"/>
            <w:gridSpan w:val="2"/>
          </w:tcPr>
          <w:p w14:paraId="534760A9">
            <w:pPr>
              <w:spacing w:line="360" w:lineRule="auto"/>
              <w:rPr>
                <w:rFonts w:ascii="宋体" w:hAnsi="宋体" w:cs="宋体"/>
                <w:color w:val="auto"/>
                <w:sz w:val="24"/>
                <w:highlight w:val="none"/>
              </w:rPr>
            </w:pPr>
          </w:p>
        </w:tc>
        <w:tc>
          <w:tcPr>
            <w:tcW w:w="1937" w:type="dxa"/>
            <w:gridSpan w:val="2"/>
          </w:tcPr>
          <w:p w14:paraId="534760AA">
            <w:pPr>
              <w:spacing w:line="360" w:lineRule="auto"/>
              <w:rPr>
                <w:rFonts w:ascii="宋体" w:hAnsi="宋体" w:cs="宋体"/>
                <w:color w:val="auto"/>
                <w:sz w:val="24"/>
                <w:highlight w:val="none"/>
              </w:rPr>
            </w:pPr>
          </w:p>
        </w:tc>
        <w:tc>
          <w:tcPr>
            <w:tcW w:w="1370" w:type="dxa"/>
          </w:tcPr>
          <w:p w14:paraId="534760AB">
            <w:pPr>
              <w:spacing w:line="360" w:lineRule="auto"/>
              <w:rPr>
                <w:rFonts w:ascii="宋体" w:hAnsi="宋体" w:cs="宋体"/>
                <w:color w:val="auto"/>
                <w:sz w:val="24"/>
                <w:highlight w:val="none"/>
              </w:rPr>
            </w:pPr>
          </w:p>
        </w:tc>
        <w:tc>
          <w:tcPr>
            <w:tcW w:w="1636" w:type="dxa"/>
            <w:gridSpan w:val="3"/>
          </w:tcPr>
          <w:p w14:paraId="534760AC">
            <w:pPr>
              <w:spacing w:line="360" w:lineRule="auto"/>
              <w:rPr>
                <w:rFonts w:ascii="宋体" w:hAnsi="宋体" w:cs="宋体"/>
                <w:color w:val="auto"/>
                <w:sz w:val="24"/>
                <w:highlight w:val="none"/>
              </w:rPr>
            </w:pPr>
          </w:p>
        </w:tc>
        <w:tc>
          <w:tcPr>
            <w:tcW w:w="1482" w:type="dxa"/>
            <w:gridSpan w:val="2"/>
          </w:tcPr>
          <w:p w14:paraId="534760AD">
            <w:pPr>
              <w:spacing w:line="360" w:lineRule="auto"/>
              <w:rPr>
                <w:rFonts w:ascii="宋体" w:hAnsi="宋体" w:cs="宋体"/>
                <w:color w:val="auto"/>
                <w:sz w:val="24"/>
                <w:highlight w:val="none"/>
              </w:rPr>
            </w:pPr>
          </w:p>
        </w:tc>
        <w:tc>
          <w:tcPr>
            <w:tcW w:w="20" w:type="dxa"/>
            <w:tcBorders>
              <w:top w:val="nil"/>
              <w:bottom w:val="nil"/>
              <w:right w:val="nil"/>
            </w:tcBorders>
          </w:tcPr>
          <w:p w14:paraId="534760AE">
            <w:pPr>
              <w:spacing w:line="360" w:lineRule="auto"/>
              <w:rPr>
                <w:rFonts w:ascii="宋体" w:hAnsi="宋体" w:cs="宋体"/>
                <w:color w:val="auto"/>
                <w:sz w:val="24"/>
                <w:highlight w:val="none"/>
              </w:rPr>
            </w:pPr>
          </w:p>
        </w:tc>
      </w:tr>
      <w:tr w14:paraId="53476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tcPr>
          <w:p w14:paraId="534760B0">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8" w:type="dxa"/>
            <w:gridSpan w:val="2"/>
          </w:tcPr>
          <w:p w14:paraId="534760B1">
            <w:pPr>
              <w:spacing w:line="360" w:lineRule="auto"/>
              <w:rPr>
                <w:rFonts w:ascii="宋体" w:hAnsi="宋体" w:cs="宋体"/>
                <w:color w:val="auto"/>
                <w:sz w:val="24"/>
                <w:highlight w:val="none"/>
              </w:rPr>
            </w:pPr>
          </w:p>
        </w:tc>
        <w:tc>
          <w:tcPr>
            <w:tcW w:w="1937" w:type="dxa"/>
            <w:gridSpan w:val="2"/>
          </w:tcPr>
          <w:p w14:paraId="534760B2">
            <w:pPr>
              <w:spacing w:line="360" w:lineRule="auto"/>
              <w:rPr>
                <w:rFonts w:ascii="宋体" w:hAnsi="宋体" w:cs="宋体"/>
                <w:color w:val="auto"/>
                <w:sz w:val="24"/>
                <w:highlight w:val="none"/>
              </w:rPr>
            </w:pPr>
          </w:p>
        </w:tc>
        <w:tc>
          <w:tcPr>
            <w:tcW w:w="1370" w:type="dxa"/>
          </w:tcPr>
          <w:p w14:paraId="534760B3">
            <w:pPr>
              <w:spacing w:line="360" w:lineRule="auto"/>
              <w:rPr>
                <w:rFonts w:ascii="宋体" w:hAnsi="宋体" w:cs="宋体"/>
                <w:color w:val="auto"/>
                <w:sz w:val="24"/>
                <w:highlight w:val="none"/>
              </w:rPr>
            </w:pPr>
          </w:p>
        </w:tc>
        <w:tc>
          <w:tcPr>
            <w:tcW w:w="1636" w:type="dxa"/>
            <w:gridSpan w:val="3"/>
          </w:tcPr>
          <w:p w14:paraId="534760B4">
            <w:pPr>
              <w:spacing w:line="360" w:lineRule="auto"/>
              <w:rPr>
                <w:rFonts w:ascii="宋体" w:hAnsi="宋体" w:cs="宋体"/>
                <w:color w:val="auto"/>
                <w:sz w:val="24"/>
                <w:highlight w:val="none"/>
              </w:rPr>
            </w:pPr>
          </w:p>
        </w:tc>
        <w:tc>
          <w:tcPr>
            <w:tcW w:w="1482" w:type="dxa"/>
            <w:gridSpan w:val="2"/>
          </w:tcPr>
          <w:p w14:paraId="534760B5">
            <w:pPr>
              <w:spacing w:line="360" w:lineRule="auto"/>
              <w:rPr>
                <w:rFonts w:ascii="宋体" w:hAnsi="宋体" w:cs="宋体"/>
                <w:color w:val="auto"/>
                <w:sz w:val="24"/>
                <w:highlight w:val="none"/>
              </w:rPr>
            </w:pPr>
          </w:p>
        </w:tc>
        <w:tc>
          <w:tcPr>
            <w:tcW w:w="20" w:type="dxa"/>
            <w:tcBorders>
              <w:top w:val="nil"/>
              <w:bottom w:val="nil"/>
              <w:right w:val="nil"/>
            </w:tcBorders>
          </w:tcPr>
          <w:p w14:paraId="534760B6">
            <w:pPr>
              <w:spacing w:line="360" w:lineRule="auto"/>
              <w:rPr>
                <w:rFonts w:ascii="宋体" w:hAnsi="宋体" w:cs="宋体"/>
                <w:color w:val="auto"/>
                <w:sz w:val="24"/>
                <w:highlight w:val="none"/>
              </w:rPr>
            </w:pPr>
          </w:p>
        </w:tc>
      </w:tr>
      <w:tr w14:paraId="53476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tcPr>
          <w:p w14:paraId="534760B8">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8" w:type="dxa"/>
            <w:gridSpan w:val="2"/>
          </w:tcPr>
          <w:p w14:paraId="534760B9">
            <w:pPr>
              <w:spacing w:line="360" w:lineRule="auto"/>
              <w:rPr>
                <w:rFonts w:ascii="宋体" w:hAnsi="宋体" w:cs="宋体"/>
                <w:color w:val="auto"/>
                <w:sz w:val="24"/>
                <w:highlight w:val="none"/>
              </w:rPr>
            </w:pPr>
          </w:p>
        </w:tc>
        <w:tc>
          <w:tcPr>
            <w:tcW w:w="1937" w:type="dxa"/>
            <w:gridSpan w:val="2"/>
          </w:tcPr>
          <w:p w14:paraId="534760BA">
            <w:pPr>
              <w:spacing w:line="360" w:lineRule="auto"/>
              <w:rPr>
                <w:rFonts w:ascii="宋体" w:hAnsi="宋体" w:cs="宋体"/>
                <w:color w:val="auto"/>
                <w:sz w:val="24"/>
                <w:highlight w:val="none"/>
              </w:rPr>
            </w:pPr>
          </w:p>
        </w:tc>
        <w:tc>
          <w:tcPr>
            <w:tcW w:w="1370" w:type="dxa"/>
          </w:tcPr>
          <w:p w14:paraId="534760BB">
            <w:pPr>
              <w:spacing w:line="360" w:lineRule="auto"/>
              <w:rPr>
                <w:rFonts w:ascii="宋体" w:hAnsi="宋体" w:cs="宋体"/>
                <w:color w:val="auto"/>
                <w:sz w:val="24"/>
                <w:highlight w:val="none"/>
              </w:rPr>
            </w:pPr>
          </w:p>
        </w:tc>
        <w:tc>
          <w:tcPr>
            <w:tcW w:w="1636" w:type="dxa"/>
            <w:gridSpan w:val="3"/>
          </w:tcPr>
          <w:p w14:paraId="534760BC">
            <w:pPr>
              <w:spacing w:line="360" w:lineRule="auto"/>
              <w:rPr>
                <w:rFonts w:ascii="宋体" w:hAnsi="宋体" w:cs="宋体"/>
                <w:color w:val="auto"/>
                <w:sz w:val="24"/>
                <w:highlight w:val="none"/>
              </w:rPr>
            </w:pPr>
          </w:p>
        </w:tc>
        <w:tc>
          <w:tcPr>
            <w:tcW w:w="1482" w:type="dxa"/>
            <w:gridSpan w:val="2"/>
          </w:tcPr>
          <w:p w14:paraId="534760BD">
            <w:pPr>
              <w:spacing w:line="360" w:lineRule="auto"/>
              <w:rPr>
                <w:rFonts w:ascii="宋体" w:hAnsi="宋体" w:cs="宋体"/>
                <w:color w:val="auto"/>
                <w:sz w:val="24"/>
                <w:highlight w:val="none"/>
              </w:rPr>
            </w:pPr>
          </w:p>
        </w:tc>
        <w:tc>
          <w:tcPr>
            <w:tcW w:w="20" w:type="dxa"/>
            <w:tcBorders>
              <w:top w:val="nil"/>
              <w:bottom w:val="nil"/>
              <w:right w:val="nil"/>
            </w:tcBorders>
          </w:tcPr>
          <w:p w14:paraId="534760BE">
            <w:pPr>
              <w:spacing w:line="360" w:lineRule="auto"/>
              <w:rPr>
                <w:rFonts w:ascii="宋体" w:hAnsi="宋体" w:cs="宋体"/>
                <w:color w:val="auto"/>
                <w:sz w:val="24"/>
                <w:highlight w:val="none"/>
              </w:rPr>
            </w:pPr>
          </w:p>
        </w:tc>
      </w:tr>
      <w:tr w14:paraId="53476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60C0">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8" w:type="dxa"/>
            <w:gridSpan w:val="2"/>
          </w:tcPr>
          <w:p w14:paraId="534760C1">
            <w:pPr>
              <w:spacing w:line="360" w:lineRule="auto"/>
              <w:rPr>
                <w:rFonts w:ascii="宋体" w:hAnsi="宋体" w:cs="宋体"/>
                <w:color w:val="auto"/>
                <w:sz w:val="24"/>
                <w:highlight w:val="none"/>
              </w:rPr>
            </w:pPr>
          </w:p>
        </w:tc>
        <w:tc>
          <w:tcPr>
            <w:tcW w:w="1937" w:type="dxa"/>
            <w:gridSpan w:val="2"/>
          </w:tcPr>
          <w:p w14:paraId="534760C2">
            <w:pPr>
              <w:spacing w:line="360" w:lineRule="auto"/>
              <w:rPr>
                <w:rFonts w:ascii="宋体" w:hAnsi="宋体" w:cs="宋体"/>
                <w:color w:val="auto"/>
                <w:sz w:val="24"/>
                <w:highlight w:val="none"/>
              </w:rPr>
            </w:pPr>
          </w:p>
        </w:tc>
        <w:tc>
          <w:tcPr>
            <w:tcW w:w="1370" w:type="dxa"/>
          </w:tcPr>
          <w:p w14:paraId="534760C3">
            <w:pPr>
              <w:spacing w:line="360" w:lineRule="auto"/>
              <w:rPr>
                <w:rFonts w:ascii="宋体" w:hAnsi="宋体" w:cs="宋体"/>
                <w:color w:val="auto"/>
                <w:sz w:val="24"/>
                <w:highlight w:val="none"/>
              </w:rPr>
            </w:pPr>
          </w:p>
        </w:tc>
        <w:tc>
          <w:tcPr>
            <w:tcW w:w="1636" w:type="dxa"/>
            <w:gridSpan w:val="3"/>
          </w:tcPr>
          <w:p w14:paraId="534760C4">
            <w:pPr>
              <w:spacing w:line="360" w:lineRule="auto"/>
              <w:rPr>
                <w:rFonts w:ascii="宋体" w:hAnsi="宋体" w:cs="宋体"/>
                <w:color w:val="auto"/>
                <w:sz w:val="24"/>
                <w:highlight w:val="none"/>
              </w:rPr>
            </w:pPr>
          </w:p>
        </w:tc>
        <w:tc>
          <w:tcPr>
            <w:tcW w:w="1482" w:type="dxa"/>
            <w:gridSpan w:val="2"/>
          </w:tcPr>
          <w:p w14:paraId="534760C5">
            <w:pPr>
              <w:spacing w:line="360" w:lineRule="auto"/>
              <w:rPr>
                <w:rFonts w:ascii="宋体" w:hAnsi="宋体" w:cs="宋体"/>
                <w:color w:val="auto"/>
                <w:sz w:val="24"/>
                <w:highlight w:val="none"/>
              </w:rPr>
            </w:pPr>
          </w:p>
        </w:tc>
        <w:tc>
          <w:tcPr>
            <w:tcW w:w="20" w:type="dxa"/>
            <w:tcBorders>
              <w:top w:val="nil"/>
              <w:bottom w:val="nil"/>
              <w:right w:val="nil"/>
            </w:tcBorders>
          </w:tcPr>
          <w:p w14:paraId="534760C6">
            <w:pPr>
              <w:spacing w:line="360" w:lineRule="auto"/>
              <w:rPr>
                <w:rFonts w:ascii="宋体" w:hAnsi="宋体" w:cs="宋体"/>
                <w:color w:val="auto"/>
                <w:sz w:val="24"/>
                <w:highlight w:val="none"/>
              </w:rPr>
            </w:pPr>
          </w:p>
        </w:tc>
      </w:tr>
      <w:tr w14:paraId="53476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60C8">
            <w:pPr>
              <w:kinsoku w:val="0"/>
              <w:autoSpaceDE w:val="0"/>
              <w:autoSpaceDN w:val="0"/>
              <w:adjustRightInd w:val="0"/>
              <w:snapToGrid w:val="0"/>
              <w:spacing w:line="360" w:lineRule="auto"/>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8" w:type="dxa"/>
            <w:gridSpan w:val="2"/>
          </w:tcPr>
          <w:p w14:paraId="534760C9">
            <w:pPr>
              <w:spacing w:line="360" w:lineRule="auto"/>
              <w:rPr>
                <w:rFonts w:ascii="宋体" w:hAnsi="宋体" w:cs="宋体"/>
                <w:color w:val="auto"/>
                <w:sz w:val="24"/>
                <w:highlight w:val="none"/>
              </w:rPr>
            </w:pPr>
          </w:p>
        </w:tc>
        <w:tc>
          <w:tcPr>
            <w:tcW w:w="1937" w:type="dxa"/>
            <w:gridSpan w:val="2"/>
          </w:tcPr>
          <w:p w14:paraId="534760CA">
            <w:pPr>
              <w:spacing w:line="360" w:lineRule="auto"/>
              <w:rPr>
                <w:rFonts w:ascii="宋体" w:hAnsi="宋体" w:cs="宋体"/>
                <w:color w:val="auto"/>
                <w:sz w:val="24"/>
                <w:highlight w:val="none"/>
              </w:rPr>
            </w:pPr>
          </w:p>
        </w:tc>
        <w:tc>
          <w:tcPr>
            <w:tcW w:w="1370" w:type="dxa"/>
          </w:tcPr>
          <w:p w14:paraId="534760CB">
            <w:pPr>
              <w:spacing w:line="360" w:lineRule="auto"/>
              <w:rPr>
                <w:rFonts w:ascii="宋体" w:hAnsi="宋体" w:cs="宋体"/>
                <w:color w:val="auto"/>
                <w:sz w:val="24"/>
                <w:highlight w:val="none"/>
              </w:rPr>
            </w:pPr>
          </w:p>
        </w:tc>
        <w:tc>
          <w:tcPr>
            <w:tcW w:w="1636" w:type="dxa"/>
            <w:gridSpan w:val="3"/>
          </w:tcPr>
          <w:p w14:paraId="534760CC">
            <w:pPr>
              <w:spacing w:line="360" w:lineRule="auto"/>
              <w:rPr>
                <w:rFonts w:ascii="宋体" w:hAnsi="宋体" w:cs="宋体"/>
                <w:color w:val="auto"/>
                <w:sz w:val="24"/>
                <w:highlight w:val="none"/>
              </w:rPr>
            </w:pPr>
          </w:p>
        </w:tc>
        <w:tc>
          <w:tcPr>
            <w:tcW w:w="1482" w:type="dxa"/>
            <w:gridSpan w:val="2"/>
          </w:tcPr>
          <w:p w14:paraId="534760CD">
            <w:pPr>
              <w:spacing w:line="360" w:lineRule="auto"/>
              <w:rPr>
                <w:rFonts w:ascii="宋体" w:hAnsi="宋体" w:cs="宋体"/>
                <w:color w:val="auto"/>
                <w:sz w:val="24"/>
                <w:highlight w:val="none"/>
              </w:rPr>
            </w:pPr>
          </w:p>
        </w:tc>
        <w:tc>
          <w:tcPr>
            <w:tcW w:w="20" w:type="dxa"/>
            <w:tcBorders>
              <w:top w:val="nil"/>
              <w:bottom w:val="nil"/>
              <w:right w:val="nil"/>
            </w:tcBorders>
          </w:tcPr>
          <w:p w14:paraId="534760CE">
            <w:pPr>
              <w:spacing w:line="360" w:lineRule="auto"/>
              <w:rPr>
                <w:rFonts w:ascii="宋体" w:hAnsi="宋体" w:cs="宋体"/>
                <w:color w:val="auto"/>
                <w:sz w:val="24"/>
                <w:highlight w:val="none"/>
              </w:rPr>
            </w:pPr>
          </w:p>
        </w:tc>
      </w:tr>
      <w:tr w14:paraId="53476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60D0">
            <w:pPr>
              <w:kinsoku w:val="0"/>
              <w:autoSpaceDE w:val="0"/>
              <w:autoSpaceDN w:val="0"/>
              <w:adjustRightInd w:val="0"/>
              <w:snapToGrid w:val="0"/>
              <w:spacing w:line="360" w:lineRule="auto"/>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8" w:type="dxa"/>
            <w:gridSpan w:val="2"/>
          </w:tcPr>
          <w:p w14:paraId="534760D1">
            <w:pPr>
              <w:spacing w:line="360" w:lineRule="auto"/>
              <w:rPr>
                <w:rFonts w:ascii="宋体" w:hAnsi="宋体" w:cs="宋体"/>
                <w:color w:val="auto"/>
                <w:sz w:val="24"/>
                <w:highlight w:val="none"/>
              </w:rPr>
            </w:pPr>
          </w:p>
        </w:tc>
        <w:tc>
          <w:tcPr>
            <w:tcW w:w="1937" w:type="dxa"/>
            <w:gridSpan w:val="2"/>
          </w:tcPr>
          <w:p w14:paraId="534760D2">
            <w:pPr>
              <w:spacing w:line="360" w:lineRule="auto"/>
              <w:rPr>
                <w:rFonts w:ascii="宋体" w:hAnsi="宋体" w:cs="宋体"/>
                <w:color w:val="auto"/>
                <w:sz w:val="24"/>
                <w:highlight w:val="none"/>
              </w:rPr>
            </w:pPr>
          </w:p>
        </w:tc>
        <w:tc>
          <w:tcPr>
            <w:tcW w:w="1370" w:type="dxa"/>
          </w:tcPr>
          <w:p w14:paraId="534760D3">
            <w:pPr>
              <w:spacing w:line="360" w:lineRule="auto"/>
              <w:rPr>
                <w:rFonts w:ascii="宋体" w:hAnsi="宋体" w:cs="宋体"/>
                <w:color w:val="auto"/>
                <w:sz w:val="24"/>
                <w:highlight w:val="none"/>
              </w:rPr>
            </w:pPr>
          </w:p>
        </w:tc>
        <w:tc>
          <w:tcPr>
            <w:tcW w:w="1636" w:type="dxa"/>
            <w:gridSpan w:val="3"/>
          </w:tcPr>
          <w:p w14:paraId="534760D4">
            <w:pPr>
              <w:spacing w:line="360" w:lineRule="auto"/>
              <w:rPr>
                <w:rFonts w:ascii="宋体" w:hAnsi="宋体" w:cs="宋体"/>
                <w:color w:val="auto"/>
                <w:sz w:val="24"/>
                <w:highlight w:val="none"/>
              </w:rPr>
            </w:pPr>
          </w:p>
        </w:tc>
        <w:tc>
          <w:tcPr>
            <w:tcW w:w="1482" w:type="dxa"/>
            <w:gridSpan w:val="2"/>
          </w:tcPr>
          <w:p w14:paraId="534760D5">
            <w:pPr>
              <w:spacing w:line="360" w:lineRule="auto"/>
              <w:rPr>
                <w:rFonts w:ascii="宋体" w:hAnsi="宋体" w:cs="宋体"/>
                <w:color w:val="auto"/>
                <w:sz w:val="24"/>
                <w:highlight w:val="none"/>
              </w:rPr>
            </w:pPr>
          </w:p>
        </w:tc>
        <w:tc>
          <w:tcPr>
            <w:tcW w:w="20" w:type="dxa"/>
            <w:tcBorders>
              <w:top w:val="nil"/>
              <w:bottom w:val="nil"/>
              <w:right w:val="nil"/>
            </w:tcBorders>
          </w:tcPr>
          <w:p w14:paraId="534760D6">
            <w:pPr>
              <w:spacing w:line="360" w:lineRule="auto"/>
              <w:rPr>
                <w:rFonts w:ascii="宋体" w:hAnsi="宋体" w:cs="宋体"/>
                <w:color w:val="auto"/>
                <w:sz w:val="24"/>
                <w:highlight w:val="none"/>
              </w:rPr>
            </w:pPr>
          </w:p>
        </w:tc>
      </w:tr>
      <w:tr w14:paraId="53476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60D8">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8" w:type="dxa"/>
            <w:gridSpan w:val="2"/>
          </w:tcPr>
          <w:p w14:paraId="534760D9">
            <w:pPr>
              <w:spacing w:line="360" w:lineRule="auto"/>
              <w:rPr>
                <w:rFonts w:ascii="宋体" w:hAnsi="宋体" w:cs="宋体"/>
                <w:color w:val="auto"/>
                <w:sz w:val="24"/>
                <w:highlight w:val="none"/>
              </w:rPr>
            </w:pPr>
          </w:p>
        </w:tc>
        <w:tc>
          <w:tcPr>
            <w:tcW w:w="1937" w:type="dxa"/>
            <w:gridSpan w:val="2"/>
          </w:tcPr>
          <w:p w14:paraId="534760DA">
            <w:pPr>
              <w:spacing w:line="360" w:lineRule="auto"/>
              <w:rPr>
                <w:rFonts w:ascii="宋体" w:hAnsi="宋体" w:cs="宋体"/>
                <w:color w:val="auto"/>
                <w:sz w:val="24"/>
                <w:highlight w:val="none"/>
              </w:rPr>
            </w:pPr>
          </w:p>
        </w:tc>
        <w:tc>
          <w:tcPr>
            <w:tcW w:w="1370" w:type="dxa"/>
          </w:tcPr>
          <w:p w14:paraId="534760DB">
            <w:pPr>
              <w:spacing w:line="360" w:lineRule="auto"/>
              <w:rPr>
                <w:rFonts w:ascii="宋体" w:hAnsi="宋体" w:cs="宋体"/>
                <w:color w:val="auto"/>
                <w:sz w:val="24"/>
                <w:highlight w:val="none"/>
              </w:rPr>
            </w:pPr>
          </w:p>
        </w:tc>
        <w:tc>
          <w:tcPr>
            <w:tcW w:w="1636" w:type="dxa"/>
            <w:gridSpan w:val="3"/>
          </w:tcPr>
          <w:p w14:paraId="534760DC">
            <w:pPr>
              <w:spacing w:line="360" w:lineRule="auto"/>
              <w:rPr>
                <w:rFonts w:ascii="宋体" w:hAnsi="宋体" w:cs="宋体"/>
                <w:color w:val="auto"/>
                <w:sz w:val="24"/>
                <w:highlight w:val="none"/>
              </w:rPr>
            </w:pPr>
          </w:p>
        </w:tc>
        <w:tc>
          <w:tcPr>
            <w:tcW w:w="1482" w:type="dxa"/>
            <w:gridSpan w:val="2"/>
          </w:tcPr>
          <w:p w14:paraId="534760DD">
            <w:pPr>
              <w:spacing w:line="360" w:lineRule="auto"/>
              <w:rPr>
                <w:rFonts w:ascii="宋体" w:hAnsi="宋体" w:cs="宋体"/>
                <w:color w:val="auto"/>
                <w:sz w:val="24"/>
                <w:highlight w:val="none"/>
              </w:rPr>
            </w:pPr>
          </w:p>
        </w:tc>
        <w:tc>
          <w:tcPr>
            <w:tcW w:w="20" w:type="dxa"/>
            <w:tcBorders>
              <w:top w:val="nil"/>
              <w:bottom w:val="nil"/>
              <w:right w:val="nil"/>
            </w:tcBorders>
          </w:tcPr>
          <w:p w14:paraId="534760DE">
            <w:pPr>
              <w:spacing w:line="360" w:lineRule="auto"/>
              <w:rPr>
                <w:rFonts w:ascii="宋体" w:hAnsi="宋体" w:cs="宋体"/>
                <w:color w:val="auto"/>
                <w:sz w:val="24"/>
                <w:highlight w:val="none"/>
              </w:rPr>
            </w:pPr>
          </w:p>
        </w:tc>
      </w:tr>
      <w:tr w14:paraId="53476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tcPr>
          <w:p w14:paraId="534760E0">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8" w:type="dxa"/>
            <w:gridSpan w:val="2"/>
          </w:tcPr>
          <w:p w14:paraId="534760E1">
            <w:pPr>
              <w:spacing w:line="360" w:lineRule="auto"/>
              <w:rPr>
                <w:rFonts w:ascii="宋体" w:hAnsi="宋体" w:cs="宋体"/>
                <w:color w:val="auto"/>
                <w:sz w:val="24"/>
                <w:highlight w:val="none"/>
              </w:rPr>
            </w:pPr>
          </w:p>
        </w:tc>
        <w:tc>
          <w:tcPr>
            <w:tcW w:w="1937" w:type="dxa"/>
            <w:gridSpan w:val="2"/>
          </w:tcPr>
          <w:p w14:paraId="534760E2">
            <w:pPr>
              <w:spacing w:line="360" w:lineRule="auto"/>
              <w:rPr>
                <w:rFonts w:ascii="宋体" w:hAnsi="宋体" w:cs="宋体"/>
                <w:color w:val="auto"/>
                <w:sz w:val="24"/>
                <w:highlight w:val="none"/>
              </w:rPr>
            </w:pPr>
          </w:p>
        </w:tc>
        <w:tc>
          <w:tcPr>
            <w:tcW w:w="1370" w:type="dxa"/>
          </w:tcPr>
          <w:p w14:paraId="534760E3">
            <w:pPr>
              <w:spacing w:line="360" w:lineRule="auto"/>
              <w:rPr>
                <w:rFonts w:ascii="宋体" w:hAnsi="宋体" w:cs="宋体"/>
                <w:color w:val="auto"/>
                <w:sz w:val="24"/>
                <w:highlight w:val="none"/>
              </w:rPr>
            </w:pPr>
          </w:p>
        </w:tc>
        <w:tc>
          <w:tcPr>
            <w:tcW w:w="1636" w:type="dxa"/>
            <w:gridSpan w:val="3"/>
          </w:tcPr>
          <w:p w14:paraId="534760E4">
            <w:pPr>
              <w:spacing w:line="360" w:lineRule="auto"/>
              <w:rPr>
                <w:rFonts w:ascii="宋体" w:hAnsi="宋体" w:cs="宋体"/>
                <w:color w:val="auto"/>
                <w:sz w:val="24"/>
                <w:highlight w:val="none"/>
              </w:rPr>
            </w:pPr>
          </w:p>
        </w:tc>
        <w:tc>
          <w:tcPr>
            <w:tcW w:w="1482" w:type="dxa"/>
            <w:gridSpan w:val="2"/>
          </w:tcPr>
          <w:p w14:paraId="534760E5">
            <w:pPr>
              <w:spacing w:line="360" w:lineRule="auto"/>
              <w:rPr>
                <w:rFonts w:ascii="宋体" w:hAnsi="宋体" w:cs="宋体"/>
                <w:color w:val="auto"/>
                <w:sz w:val="24"/>
                <w:highlight w:val="none"/>
              </w:rPr>
            </w:pPr>
          </w:p>
        </w:tc>
        <w:tc>
          <w:tcPr>
            <w:tcW w:w="20" w:type="dxa"/>
            <w:tcBorders>
              <w:top w:val="nil"/>
              <w:bottom w:val="nil"/>
              <w:right w:val="nil"/>
            </w:tcBorders>
          </w:tcPr>
          <w:p w14:paraId="534760E6">
            <w:pPr>
              <w:spacing w:line="360" w:lineRule="auto"/>
              <w:rPr>
                <w:rFonts w:ascii="宋体" w:hAnsi="宋体" w:cs="宋体"/>
                <w:color w:val="auto"/>
                <w:sz w:val="24"/>
                <w:highlight w:val="none"/>
              </w:rPr>
            </w:pPr>
          </w:p>
        </w:tc>
      </w:tr>
    </w:tbl>
    <w:p w14:paraId="534760E8">
      <w:pPr>
        <w:spacing w:line="240" w:lineRule="auto"/>
        <w:ind w:left="385"/>
        <w:rPr>
          <w:rFonts w:ascii="宋体" w:hAnsi="宋体" w:cs="宋体"/>
          <w:color w:val="auto"/>
          <w:sz w:val="24"/>
          <w:highlight w:val="none"/>
        </w:rPr>
      </w:pPr>
      <w:r>
        <w:rPr>
          <w:rFonts w:hint="eastAsia" w:ascii="宋体" w:hAnsi="宋体" w:cs="宋体"/>
          <w:color w:val="auto"/>
          <w:spacing w:val="-13"/>
          <w:sz w:val="24"/>
          <w:highlight w:val="none"/>
        </w:rPr>
        <w:t>备注：</w:t>
      </w:r>
    </w:p>
    <w:p w14:paraId="534760E9">
      <w:pPr>
        <w:adjustRightInd w:val="0"/>
        <w:snapToGrid w:val="0"/>
        <w:spacing w:line="240" w:lineRule="auto"/>
        <w:rPr>
          <w:rFonts w:ascii="宋体" w:hAnsi="宋体" w:cs="宋体"/>
          <w:color w:val="auto"/>
          <w:sz w:val="24"/>
          <w:highlight w:val="none"/>
        </w:rPr>
      </w:pPr>
      <w:r>
        <w:rPr>
          <w:rFonts w:hint="eastAsia" w:ascii="宋体" w:hAnsi="宋体" w:cs="宋体"/>
          <w:color w:val="auto"/>
          <w:spacing w:val="-1"/>
          <w:sz w:val="24"/>
          <w:highlight w:val="none"/>
        </w:rPr>
        <w:t>1.供应商可以根据项目情况增减表格内容，项目数可以根据需要</w:t>
      </w:r>
      <w:r>
        <w:rPr>
          <w:rFonts w:hint="eastAsia" w:ascii="宋体" w:hAnsi="宋体" w:cs="宋体"/>
          <w:color w:val="auto"/>
          <w:spacing w:val="-2"/>
          <w:sz w:val="24"/>
          <w:highlight w:val="none"/>
        </w:rPr>
        <w:t>增加。</w:t>
      </w:r>
    </w:p>
    <w:p w14:paraId="534760EA">
      <w:pPr>
        <w:adjustRightInd w:val="0"/>
        <w:snapToGrid w:val="0"/>
        <w:spacing w:line="240" w:lineRule="auto"/>
        <w:rPr>
          <w:rFonts w:ascii="宋体" w:hAnsi="宋体" w:cs="宋体"/>
          <w:color w:val="auto"/>
          <w:spacing w:val="-4"/>
          <w:sz w:val="24"/>
          <w:highlight w:val="none"/>
        </w:rPr>
      </w:pPr>
      <w:r>
        <w:rPr>
          <w:rFonts w:hint="eastAsia" w:ascii="宋体" w:hAnsi="宋体" w:cs="宋体"/>
          <w:color w:val="auto"/>
          <w:spacing w:val="-3"/>
          <w:position w:val="19"/>
          <w:sz w:val="24"/>
          <w:highlight w:val="none"/>
        </w:rPr>
        <w:t>2.本表后附专职安全生产管理人员的学历证、安全生产考核合格证（C</w:t>
      </w:r>
      <w:r>
        <w:rPr>
          <w:rFonts w:hint="eastAsia" w:ascii="宋体" w:hAnsi="宋体" w:cs="宋体"/>
          <w:color w:val="auto"/>
          <w:spacing w:val="-34"/>
          <w:position w:val="19"/>
          <w:sz w:val="24"/>
          <w:highlight w:val="none"/>
        </w:rPr>
        <w:t xml:space="preserve"> </w:t>
      </w:r>
      <w:r>
        <w:rPr>
          <w:rFonts w:hint="eastAsia" w:ascii="宋体" w:hAnsi="宋体" w:cs="宋体"/>
          <w:color w:val="auto"/>
          <w:spacing w:val="-3"/>
          <w:position w:val="19"/>
          <w:sz w:val="24"/>
          <w:highlight w:val="none"/>
        </w:rPr>
        <w:t>类）、本表所列证书复印件</w:t>
      </w:r>
    </w:p>
    <w:p w14:paraId="457F7902">
      <w:pPr>
        <w:rPr>
          <w:rFonts w:hint="eastAsia" w:ascii="宋体" w:hAnsi="宋体" w:cs="宋体"/>
          <w:b/>
          <w:bCs/>
          <w:color w:val="auto"/>
          <w:spacing w:val="9"/>
          <w:sz w:val="24"/>
          <w:highlight w:val="none"/>
        </w:rPr>
      </w:pPr>
      <w:r>
        <w:rPr>
          <w:rFonts w:hint="eastAsia" w:ascii="宋体" w:hAnsi="宋体" w:cs="宋体"/>
          <w:b/>
          <w:bCs/>
          <w:color w:val="auto"/>
          <w:spacing w:val="9"/>
          <w:sz w:val="24"/>
          <w:highlight w:val="none"/>
        </w:rPr>
        <w:br w:type="page"/>
      </w:r>
    </w:p>
    <w:p w14:paraId="534760EB">
      <w:pPr>
        <w:adjustRightInd w:val="0"/>
        <w:snapToGrid w:val="0"/>
        <w:spacing w:line="360" w:lineRule="auto"/>
        <w:ind w:right="1470" w:rightChars="700"/>
        <w:rPr>
          <w:rFonts w:ascii="宋体" w:hAnsi="宋体" w:cs="宋体"/>
          <w:b/>
          <w:bCs/>
          <w:color w:val="auto"/>
          <w:spacing w:val="9"/>
          <w:sz w:val="24"/>
          <w:highlight w:val="none"/>
        </w:rPr>
      </w:pPr>
      <w:r>
        <w:rPr>
          <w:rFonts w:hint="eastAsia" w:ascii="宋体" w:hAnsi="宋体" w:cs="宋体"/>
          <w:b/>
          <w:bCs/>
          <w:color w:val="auto"/>
          <w:spacing w:val="9"/>
          <w:sz w:val="24"/>
          <w:highlight w:val="none"/>
        </w:rPr>
        <w:t>附件11</w:t>
      </w:r>
    </w:p>
    <w:p w14:paraId="534760EC">
      <w:pPr>
        <w:spacing w:line="360" w:lineRule="auto"/>
        <w:ind w:left="2904"/>
        <w:rPr>
          <w:rFonts w:ascii="宋体" w:hAnsi="宋体" w:cs="宋体"/>
          <w:b/>
          <w:bCs/>
          <w:color w:val="auto"/>
          <w:sz w:val="43"/>
          <w:szCs w:val="43"/>
          <w:highlight w:val="none"/>
        </w:rPr>
      </w:pPr>
      <w:r>
        <w:rPr>
          <w:rFonts w:hint="eastAsia" w:ascii="宋体" w:hAnsi="宋体" w:cs="宋体"/>
          <w:b/>
          <w:bCs/>
          <w:color w:val="auto"/>
          <w:spacing w:val="9"/>
          <w:sz w:val="43"/>
          <w:szCs w:val="43"/>
          <w:highlight w:val="none"/>
        </w:rPr>
        <w:t>拟分包项目情况表</w:t>
      </w:r>
    </w:p>
    <w:p w14:paraId="534760ED">
      <w:pPr>
        <w:kinsoku w:val="0"/>
        <w:autoSpaceDE w:val="0"/>
        <w:autoSpaceDN w:val="0"/>
        <w:adjustRightInd w:val="0"/>
        <w:snapToGrid w:val="0"/>
        <w:spacing w:line="360" w:lineRule="auto"/>
        <w:jc w:val="left"/>
        <w:textAlignment w:val="baseline"/>
        <w:rPr>
          <w:rFonts w:ascii="宋体" w:hAnsi="宋体" w:cs="宋体"/>
          <w:snapToGrid w:val="0"/>
          <w:color w:val="auto"/>
          <w:kern w:val="0"/>
          <w:szCs w:val="21"/>
          <w:highlight w:val="none"/>
        </w:rPr>
      </w:pPr>
    </w:p>
    <w:p w14:paraId="534760EF">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p>
    <w:p w14:paraId="534760F0">
      <w:pPr>
        <w:spacing w:line="360" w:lineRule="auto"/>
        <w:ind w:left="233"/>
        <w:rPr>
          <w:rFonts w:ascii="宋体" w:hAnsi="宋体" w:cs="宋体"/>
          <w:color w:val="auto"/>
          <w:sz w:val="24"/>
          <w:highlight w:val="none"/>
        </w:rPr>
      </w:pPr>
      <w:r>
        <w:rPr>
          <w:rFonts w:hint="eastAsia" w:ascii="宋体" w:hAnsi="宋体" w:cs="宋体"/>
          <w:color w:val="auto"/>
          <w:spacing w:val="-27"/>
          <w:sz w:val="24"/>
          <w:highlight w:val="none"/>
        </w:rPr>
        <w:t>分标（如有）：</w:t>
      </w:r>
      <w:r>
        <w:rPr>
          <w:rFonts w:hint="eastAsia" w:ascii="宋体" w:hAnsi="宋体" w:cs="宋体"/>
          <w:color w:val="auto"/>
          <w:spacing w:val="55"/>
          <w:sz w:val="24"/>
          <w:highlight w:val="none"/>
        </w:rPr>
        <w:t xml:space="preserve"> </w:t>
      </w:r>
      <w:r>
        <w:rPr>
          <w:rFonts w:hint="eastAsia" w:ascii="宋体" w:hAnsi="宋体" w:cs="宋体"/>
          <w:color w:val="auto"/>
          <w:sz w:val="24"/>
          <w:highlight w:val="none"/>
          <w:u w:val="single"/>
        </w:rPr>
        <w:t xml:space="preserve">                 </w:t>
      </w:r>
    </w:p>
    <w:p w14:paraId="534760F1">
      <w:pPr>
        <w:spacing w:line="360" w:lineRule="auto"/>
        <w:rPr>
          <w:rFonts w:ascii="宋体" w:hAnsi="宋体" w:cs="宋体"/>
          <w:color w:val="auto"/>
          <w:sz w:val="24"/>
          <w:highlight w:val="none"/>
        </w:rPr>
      </w:pPr>
    </w:p>
    <w:tbl>
      <w:tblPr>
        <w:tblStyle w:val="37"/>
        <w:tblW w:w="931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693"/>
        <w:gridCol w:w="751"/>
        <w:gridCol w:w="947"/>
        <w:gridCol w:w="1123"/>
        <w:gridCol w:w="1091"/>
        <w:gridCol w:w="1195"/>
        <w:gridCol w:w="1269"/>
        <w:gridCol w:w="676"/>
      </w:tblGrid>
      <w:tr w14:paraId="53476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restart"/>
            <w:tcBorders>
              <w:bottom w:val="nil"/>
            </w:tcBorders>
            <w:textDirection w:val="tbRlV"/>
          </w:tcPr>
          <w:p w14:paraId="534760F2">
            <w:pPr>
              <w:kinsoku w:val="0"/>
              <w:autoSpaceDE w:val="0"/>
              <w:autoSpaceDN w:val="0"/>
              <w:adjustRightInd w:val="0"/>
              <w:snapToGrid w:val="0"/>
              <w:spacing w:line="360" w:lineRule="auto"/>
              <w:ind w:left="2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序</w:t>
            </w:r>
            <w:r>
              <w:rPr>
                <w:rFonts w:hint="eastAsia" w:ascii="宋体" w:hAnsi="宋体" w:cs="宋体"/>
                <w:snapToGrid w:val="0"/>
                <w:color w:val="auto"/>
                <w:spacing w:val="-6"/>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号</w:t>
            </w:r>
          </w:p>
        </w:tc>
        <w:tc>
          <w:tcPr>
            <w:tcW w:w="1693" w:type="dxa"/>
            <w:vMerge w:val="restart"/>
            <w:tcBorders>
              <w:bottom w:val="nil"/>
            </w:tcBorders>
          </w:tcPr>
          <w:p w14:paraId="534760F3">
            <w:pPr>
              <w:kinsoku w:val="0"/>
              <w:autoSpaceDE w:val="0"/>
              <w:autoSpaceDN w:val="0"/>
              <w:adjustRightInd w:val="0"/>
              <w:snapToGrid w:val="0"/>
              <w:spacing w:line="360" w:lineRule="auto"/>
              <w:ind w:left="115" w:right="106" w:firstLine="106"/>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拟分包项目名</w:t>
            </w:r>
            <w:r>
              <w:rPr>
                <w:rFonts w:hint="eastAsia" w:ascii="宋体" w:hAnsi="宋体" w:cs="宋体"/>
                <w:snapToGrid w:val="0"/>
                <w:color w:val="auto"/>
                <w:kern w:val="0"/>
                <w:sz w:val="24"/>
                <w:highlight w:val="none"/>
              </w:rPr>
              <w:t xml:space="preserve">  </w:t>
            </w:r>
            <w:r>
              <w:rPr>
                <w:rFonts w:hint="eastAsia" w:ascii="宋体" w:hAnsi="宋体" w:cs="宋体"/>
                <w:snapToGrid w:val="0"/>
                <w:color w:val="auto"/>
                <w:spacing w:val="-1"/>
                <w:kern w:val="0"/>
                <w:sz w:val="24"/>
                <w:highlight w:val="none"/>
              </w:rPr>
              <w:t>称、范围及理由</w:t>
            </w:r>
          </w:p>
        </w:tc>
        <w:tc>
          <w:tcPr>
            <w:tcW w:w="6376" w:type="dxa"/>
            <w:gridSpan w:val="6"/>
          </w:tcPr>
          <w:p w14:paraId="534760F4">
            <w:pPr>
              <w:kinsoku w:val="0"/>
              <w:autoSpaceDE w:val="0"/>
              <w:autoSpaceDN w:val="0"/>
              <w:adjustRightInd w:val="0"/>
              <w:snapToGrid w:val="0"/>
              <w:spacing w:line="360" w:lineRule="auto"/>
              <w:ind w:left="266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拟选分包人</w:t>
            </w:r>
          </w:p>
        </w:tc>
        <w:tc>
          <w:tcPr>
            <w:tcW w:w="676" w:type="dxa"/>
            <w:vMerge w:val="restart"/>
            <w:tcBorders>
              <w:bottom w:val="nil"/>
            </w:tcBorders>
          </w:tcPr>
          <w:p w14:paraId="534760F5">
            <w:pPr>
              <w:spacing w:line="360" w:lineRule="auto"/>
              <w:rPr>
                <w:rFonts w:ascii="宋体" w:hAnsi="宋体" w:cs="宋体"/>
                <w:color w:val="auto"/>
                <w:sz w:val="24"/>
                <w:highlight w:val="none"/>
              </w:rPr>
            </w:pPr>
          </w:p>
          <w:p w14:paraId="534760F6">
            <w:pPr>
              <w:kinsoku w:val="0"/>
              <w:autoSpaceDE w:val="0"/>
              <w:autoSpaceDN w:val="0"/>
              <w:adjustRightInd w:val="0"/>
              <w:snapToGrid w:val="0"/>
              <w:spacing w:line="360" w:lineRule="auto"/>
              <w:ind w:left="13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备注</w:t>
            </w:r>
          </w:p>
        </w:tc>
      </w:tr>
      <w:tr w14:paraId="53476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1" w:type="dxa"/>
            <w:vMerge w:val="continue"/>
            <w:tcBorders>
              <w:top w:val="nil"/>
            </w:tcBorders>
            <w:textDirection w:val="tbRlV"/>
          </w:tcPr>
          <w:p w14:paraId="534760F8">
            <w:pPr>
              <w:spacing w:line="360" w:lineRule="auto"/>
              <w:rPr>
                <w:rFonts w:ascii="宋体" w:hAnsi="宋体" w:cs="宋体"/>
                <w:color w:val="auto"/>
                <w:sz w:val="24"/>
                <w:highlight w:val="none"/>
              </w:rPr>
            </w:pPr>
          </w:p>
        </w:tc>
        <w:tc>
          <w:tcPr>
            <w:tcW w:w="1693" w:type="dxa"/>
            <w:vMerge w:val="continue"/>
            <w:tcBorders>
              <w:top w:val="nil"/>
            </w:tcBorders>
          </w:tcPr>
          <w:p w14:paraId="534760F9">
            <w:pPr>
              <w:spacing w:line="360" w:lineRule="auto"/>
              <w:rPr>
                <w:rFonts w:ascii="宋体" w:hAnsi="宋体" w:cs="宋体"/>
                <w:color w:val="auto"/>
                <w:sz w:val="24"/>
                <w:highlight w:val="none"/>
              </w:rPr>
            </w:pPr>
          </w:p>
        </w:tc>
        <w:tc>
          <w:tcPr>
            <w:tcW w:w="1698" w:type="dxa"/>
            <w:gridSpan w:val="2"/>
          </w:tcPr>
          <w:p w14:paraId="534760FA">
            <w:pPr>
              <w:kinsoku w:val="0"/>
              <w:autoSpaceDE w:val="0"/>
              <w:autoSpaceDN w:val="0"/>
              <w:adjustRightInd w:val="0"/>
              <w:snapToGrid w:val="0"/>
              <w:spacing w:line="360" w:lineRule="auto"/>
              <w:ind w:left="12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拟选分包人名称</w:t>
            </w:r>
          </w:p>
        </w:tc>
        <w:tc>
          <w:tcPr>
            <w:tcW w:w="1123" w:type="dxa"/>
          </w:tcPr>
          <w:p w14:paraId="534760FB">
            <w:pPr>
              <w:kinsoku w:val="0"/>
              <w:autoSpaceDE w:val="0"/>
              <w:autoSpaceDN w:val="0"/>
              <w:adjustRightInd w:val="0"/>
              <w:snapToGrid w:val="0"/>
              <w:spacing w:line="360" w:lineRule="auto"/>
              <w:ind w:left="1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注册地点</w:t>
            </w:r>
          </w:p>
        </w:tc>
        <w:tc>
          <w:tcPr>
            <w:tcW w:w="1091" w:type="dxa"/>
          </w:tcPr>
          <w:p w14:paraId="534760FC">
            <w:pPr>
              <w:kinsoku w:val="0"/>
              <w:autoSpaceDE w:val="0"/>
              <w:autoSpaceDN w:val="0"/>
              <w:adjustRightInd w:val="0"/>
              <w:snapToGrid w:val="0"/>
              <w:spacing w:line="360" w:lineRule="auto"/>
              <w:ind w:left="13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企业资质</w:t>
            </w:r>
          </w:p>
        </w:tc>
        <w:tc>
          <w:tcPr>
            <w:tcW w:w="1195" w:type="dxa"/>
          </w:tcPr>
          <w:p w14:paraId="534760FD">
            <w:pPr>
              <w:kinsoku w:val="0"/>
              <w:autoSpaceDE w:val="0"/>
              <w:autoSpaceDN w:val="0"/>
              <w:adjustRightInd w:val="0"/>
              <w:snapToGrid w:val="0"/>
              <w:spacing w:line="360" w:lineRule="auto"/>
              <w:ind w:left="18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有关业绩</w:t>
            </w:r>
          </w:p>
        </w:tc>
        <w:tc>
          <w:tcPr>
            <w:tcW w:w="1269" w:type="dxa"/>
          </w:tcPr>
          <w:p w14:paraId="534760FE">
            <w:pPr>
              <w:kinsoku w:val="0"/>
              <w:autoSpaceDE w:val="0"/>
              <w:autoSpaceDN w:val="0"/>
              <w:adjustRightInd w:val="0"/>
              <w:snapToGrid w:val="0"/>
              <w:spacing w:line="360" w:lineRule="auto"/>
              <w:ind w:left="11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拟分包金额</w:t>
            </w:r>
          </w:p>
        </w:tc>
        <w:tc>
          <w:tcPr>
            <w:tcW w:w="676" w:type="dxa"/>
            <w:vMerge w:val="continue"/>
            <w:tcBorders>
              <w:top w:val="nil"/>
            </w:tcBorders>
          </w:tcPr>
          <w:p w14:paraId="534760FF">
            <w:pPr>
              <w:spacing w:line="360" w:lineRule="auto"/>
              <w:rPr>
                <w:rFonts w:ascii="宋体" w:hAnsi="宋体" w:cs="宋体"/>
                <w:color w:val="auto"/>
                <w:sz w:val="24"/>
                <w:highlight w:val="none"/>
              </w:rPr>
            </w:pPr>
          </w:p>
        </w:tc>
      </w:tr>
      <w:tr w14:paraId="53476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tcPr>
          <w:p w14:paraId="53476101">
            <w:pPr>
              <w:spacing w:line="360" w:lineRule="auto"/>
              <w:rPr>
                <w:rFonts w:ascii="宋体" w:hAnsi="宋体" w:cs="宋体"/>
                <w:color w:val="auto"/>
                <w:sz w:val="24"/>
                <w:highlight w:val="none"/>
              </w:rPr>
            </w:pPr>
          </w:p>
        </w:tc>
        <w:tc>
          <w:tcPr>
            <w:tcW w:w="1693" w:type="dxa"/>
            <w:vMerge w:val="restart"/>
            <w:tcBorders>
              <w:bottom w:val="nil"/>
            </w:tcBorders>
          </w:tcPr>
          <w:p w14:paraId="53476102">
            <w:pPr>
              <w:spacing w:line="360" w:lineRule="auto"/>
              <w:rPr>
                <w:rFonts w:ascii="宋体" w:hAnsi="宋体" w:cs="宋体"/>
                <w:color w:val="auto"/>
                <w:sz w:val="24"/>
                <w:highlight w:val="none"/>
              </w:rPr>
            </w:pPr>
          </w:p>
        </w:tc>
        <w:tc>
          <w:tcPr>
            <w:tcW w:w="751" w:type="dxa"/>
          </w:tcPr>
          <w:p w14:paraId="53476103">
            <w:pPr>
              <w:spacing w:line="360" w:lineRule="auto"/>
              <w:ind w:left="342"/>
              <w:rPr>
                <w:rFonts w:ascii="宋体" w:hAnsi="宋体" w:cs="宋体"/>
                <w:color w:val="auto"/>
                <w:sz w:val="24"/>
                <w:highlight w:val="none"/>
              </w:rPr>
            </w:pPr>
            <w:r>
              <w:rPr>
                <w:rFonts w:hint="eastAsia" w:ascii="宋体" w:hAnsi="宋体" w:cs="宋体"/>
                <w:color w:val="auto"/>
                <w:sz w:val="24"/>
                <w:highlight w:val="none"/>
              </w:rPr>
              <w:t>1</w:t>
            </w:r>
          </w:p>
        </w:tc>
        <w:tc>
          <w:tcPr>
            <w:tcW w:w="947" w:type="dxa"/>
          </w:tcPr>
          <w:p w14:paraId="53476104">
            <w:pPr>
              <w:spacing w:line="360" w:lineRule="auto"/>
              <w:rPr>
                <w:rFonts w:ascii="宋体" w:hAnsi="宋体" w:cs="宋体"/>
                <w:color w:val="auto"/>
                <w:sz w:val="24"/>
                <w:highlight w:val="none"/>
              </w:rPr>
            </w:pPr>
          </w:p>
        </w:tc>
        <w:tc>
          <w:tcPr>
            <w:tcW w:w="1123" w:type="dxa"/>
          </w:tcPr>
          <w:p w14:paraId="53476105">
            <w:pPr>
              <w:spacing w:line="360" w:lineRule="auto"/>
              <w:rPr>
                <w:rFonts w:ascii="宋体" w:hAnsi="宋体" w:cs="宋体"/>
                <w:color w:val="auto"/>
                <w:sz w:val="24"/>
                <w:highlight w:val="none"/>
              </w:rPr>
            </w:pPr>
          </w:p>
        </w:tc>
        <w:tc>
          <w:tcPr>
            <w:tcW w:w="1091" w:type="dxa"/>
          </w:tcPr>
          <w:p w14:paraId="53476106">
            <w:pPr>
              <w:spacing w:line="360" w:lineRule="auto"/>
              <w:rPr>
                <w:rFonts w:ascii="宋体" w:hAnsi="宋体" w:cs="宋体"/>
                <w:color w:val="auto"/>
                <w:sz w:val="24"/>
                <w:highlight w:val="none"/>
              </w:rPr>
            </w:pPr>
          </w:p>
        </w:tc>
        <w:tc>
          <w:tcPr>
            <w:tcW w:w="1195" w:type="dxa"/>
          </w:tcPr>
          <w:p w14:paraId="53476107">
            <w:pPr>
              <w:spacing w:line="360" w:lineRule="auto"/>
              <w:rPr>
                <w:rFonts w:ascii="宋体" w:hAnsi="宋体" w:cs="宋体"/>
                <w:color w:val="auto"/>
                <w:sz w:val="24"/>
                <w:highlight w:val="none"/>
              </w:rPr>
            </w:pPr>
          </w:p>
        </w:tc>
        <w:tc>
          <w:tcPr>
            <w:tcW w:w="1269" w:type="dxa"/>
          </w:tcPr>
          <w:p w14:paraId="53476108">
            <w:pPr>
              <w:spacing w:line="360" w:lineRule="auto"/>
              <w:rPr>
                <w:rFonts w:ascii="宋体" w:hAnsi="宋体" w:cs="宋体"/>
                <w:color w:val="auto"/>
                <w:sz w:val="24"/>
                <w:highlight w:val="none"/>
              </w:rPr>
            </w:pPr>
          </w:p>
        </w:tc>
        <w:tc>
          <w:tcPr>
            <w:tcW w:w="676" w:type="dxa"/>
          </w:tcPr>
          <w:p w14:paraId="53476109">
            <w:pPr>
              <w:spacing w:line="360" w:lineRule="auto"/>
              <w:rPr>
                <w:rFonts w:ascii="宋体" w:hAnsi="宋体" w:cs="宋体"/>
                <w:color w:val="auto"/>
                <w:sz w:val="24"/>
                <w:highlight w:val="none"/>
              </w:rPr>
            </w:pPr>
          </w:p>
        </w:tc>
      </w:tr>
      <w:tr w14:paraId="53476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tcPr>
          <w:p w14:paraId="5347610B">
            <w:pPr>
              <w:spacing w:line="360" w:lineRule="auto"/>
              <w:rPr>
                <w:rFonts w:ascii="宋体" w:hAnsi="宋体" w:cs="宋体"/>
                <w:color w:val="auto"/>
                <w:sz w:val="24"/>
                <w:highlight w:val="none"/>
              </w:rPr>
            </w:pPr>
          </w:p>
        </w:tc>
        <w:tc>
          <w:tcPr>
            <w:tcW w:w="1693" w:type="dxa"/>
            <w:vMerge w:val="continue"/>
            <w:tcBorders>
              <w:top w:val="nil"/>
              <w:bottom w:val="nil"/>
            </w:tcBorders>
          </w:tcPr>
          <w:p w14:paraId="5347610C">
            <w:pPr>
              <w:spacing w:line="360" w:lineRule="auto"/>
              <w:rPr>
                <w:rFonts w:ascii="宋体" w:hAnsi="宋体" w:cs="宋体"/>
                <w:color w:val="auto"/>
                <w:sz w:val="24"/>
                <w:highlight w:val="none"/>
              </w:rPr>
            </w:pPr>
          </w:p>
        </w:tc>
        <w:tc>
          <w:tcPr>
            <w:tcW w:w="751" w:type="dxa"/>
          </w:tcPr>
          <w:p w14:paraId="5347610D">
            <w:pPr>
              <w:spacing w:line="360" w:lineRule="auto"/>
              <w:ind w:left="322"/>
              <w:rPr>
                <w:rFonts w:ascii="宋体" w:hAnsi="宋体" w:cs="宋体"/>
                <w:color w:val="auto"/>
                <w:sz w:val="24"/>
                <w:highlight w:val="none"/>
              </w:rPr>
            </w:pPr>
            <w:r>
              <w:rPr>
                <w:rFonts w:hint="eastAsia" w:ascii="宋体" w:hAnsi="宋体" w:cs="宋体"/>
                <w:color w:val="auto"/>
                <w:sz w:val="24"/>
                <w:highlight w:val="none"/>
              </w:rPr>
              <w:t>2</w:t>
            </w:r>
          </w:p>
        </w:tc>
        <w:tc>
          <w:tcPr>
            <w:tcW w:w="947" w:type="dxa"/>
          </w:tcPr>
          <w:p w14:paraId="5347610E">
            <w:pPr>
              <w:spacing w:line="360" w:lineRule="auto"/>
              <w:rPr>
                <w:rFonts w:ascii="宋体" w:hAnsi="宋体" w:cs="宋体"/>
                <w:color w:val="auto"/>
                <w:sz w:val="24"/>
                <w:highlight w:val="none"/>
              </w:rPr>
            </w:pPr>
          </w:p>
        </w:tc>
        <w:tc>
          <w:tcPr>
            <w:tcW w:w="1123" w:type="dxa"/>
          </w:tcPr>
          <w:p w14:paraId="5347610F">
            <w:pPr>
              <w:spacing w:line="360" w:lineRule="auto"/>
              <w:rPr>
                <w:rFonts w:ascii="宋体" w:hAnsi="宋体" w:cs="宋体"/>
                <w:color w:val="auto"/>
                <w:sz w:val="24"/>
                <w:highlight w:val="none"/>
              </w:rPr>
            </w:pPr>
          </w:p>
        </w:tc>
        <w:tc>
          <w:tcPr>
            <w:tcW w:w="1091" w:type="dxa"/>
          </w:tcPr>
          <w:p w14:paraId="53476110">
            <w:pPr>
              <w:spacing w:line="360" w:lineRule="auto"/>
              <w:rPr>
                <w:rFonts w:ascii="宋体" w:hAnsi="宋体" w:cs="宋体"/>
                <w:color w:val="auto"/>
                <w:sz w:val="24"/>
                <w:highlight w:val="none"/>
              </w:rPr>
            </w:pPr>
          </w:p>
        </w:tc>
        <w:tc>
          <w:tcPr>
            <w:tcW w:w="1195" w:type="dxa"/>
          </w:tcPr>
          <w:p w14:paraId="53476111">
            <w:pPr>
              <w:spacing w:line="360" w:lineRule="auto"/>
              <w:rPr>
                <w:rFonts w:ascii="宋体" w:hAnsi="宋体" w:cs="宋体"/>
                <w:color w:val="auto"/>
                <w:sz w:val="24"/>
                <w:highlight w:val="none"/>
              </w:rPr>
            </w:pPr>
          </w:p>
        </w:tc>
        <w:tc>
          <w:tcPr>
            <w:tcW w:w="1269" w:type="dxa"/>
          </w:tcPr>
          <w:p w14:paraId="53476112">
            <w:pPr>
              <w:spacing w:line="360" w:lineRule="auto"/>
              <w:rPr>
                <w:rFonts w:ascii="宋体" w:hAnsi="宋体" w:cs="宋体"/>
                <w:color w:val="auto"/>
                <w:sz w:val="24"/>
                <w:highlight w:val="none"/>
              </w:rPr>
            </w:pPr>
          </w:p>
        </w:tc>
        <w:tc>
          <w:tcPr>
            <w:tcW w:w="676" w:type="dxa"/>
          </w:tcPr>
          <w:p w14:paraId="53476113">
            <w:pPr>
              <w:spacing w:line="360" w:lineRule="auto"/>
              <w:rPr>
                <w:rFonts w:ascii="宋体" w:hAnsi="宋体" w:cs="宋体"/>
                <w:color w:val="auto"/>
                <w:sz w:val="24"/>
                <w:highlight w:val="none"/>
              </w:rPr>
            </w:pPr>
          </w:p>
        </w:tc>
      </w:tr>
      <w:tr w14:paraId="53476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tcBorders>
          </w:tcPr>
          <w:p w14:paraId="53476115">
            <w:pPr>
              <w:spacing w:line="360" w:lineRule="auto"/>
              <w:rPr>
                <w:rFonts w:ascii="宋体" w:hAnsi="宋体" w:cs="宋体"/>
                <w:color w:val="auto"/>
                <w:sz w:val="24"/>
                <w:highlight w:val="none"/>
              </w:rPr>
            </w:pPr>
          </w:p>
        </w:tc>
        <w:tc>
          <w:tcPr>
            <w:tcW w:w="1693" w:type="dxa"/>
            <w:vMerge w:val="continue"/>
            <w:tcBorders>
              <w:top w:val="nil"/>
            </w:tcBorders>
          </w:tcPr>
          <w:p w14:paraId="53476116">
            <w:pPr>
              <w:spacing w:line="360" w:lineRule="auto"/>
              <w:rPr>
                <w:rFonts w:ascii="宋体" w:hAnsi="宋体" w:cs="宋体"/>
                <w:color w:val="auto"/>
                <w:sz w:val="24"/>
                <w:highlight w:val="none"/>
              </w:rPr>
            </w:pPr>
          </w:p>
        </w:tc>
        <w:tc>
          <w:tcPr>
            <w:tcW w:w="751" w:type="dxa"/>
          </w:tcPr>
          <w:p w14:paraId="53476117">
            <w:pPr>
              <w:spacing w:line="360" w:lineRule="auto"/>
              <w:ind w:left="326"/>
              <w:rPr>
                <w:rFonts w:ascii="宋体" w:hAnsi="宋体" w:cs="宋体"/>
                <w:color w:val="auto"/>
                <w:sz w:val="24"/>
                <w:highlight w:val="none"/>
              </w:rPr>
            </w:pPr>
            <w:r>
              <w:rPr>
                <w:rFonts w:hint="eastAsia" w:ascii="宋体" w:hAnsi="宋体" w:cs="宋体"/>
                <w:color w:val="auto"/>
                <w:sz w:val="24"/>
                <w:highlight w:val="none"/>
              </w:rPr>
              <w:t>3</w:t>
            </w:r>
          </w:p>
        </w:tc>
        <w:tc>
          <w:tcPr>
            <w:tcW w:w="947" w:type="dxa"/>
          </w:tcPr>
          <w:p w14:paraId="53476118">
            <w:pPr>
              <w:spacing w:line="360" w:lineRule="auto"/>
              <w:rPr>
                <w:rFonts w:ascii="宋体" w:hAnsi="宋体" w:cs="宋体"/>
                <w:color w:val="auto"/>
                <w:sz w:val="24"/>
                <w:highlight w:val="none"/>
              </w:rPr>
            </w:pPr>
          </w:p>
        </w:tc>
        <w:tc>
          <w:tcPr>
            <w:tcW w:w="1123" w:type="dxa"/>
          </w:tcPr>
          <w:p w14:paraId="53476119">
            <w:pPr>
              <w:spacing w:line="360" w:lineRule="auto"/>
              <w:rPr>
                <w:rFonts w:ascii="宋体" w:hAnsi="宋体" w:cs="宋体"/>
                <w:color w:val="auto"/>
                <w:sz w:val="24"/>
                <w:highlight w:val="none"/>
              </w:rPr>
            </w:pPr>
          </w:p>
        </w:tc>
        <w:tc>
          <w:tcPr>
            <w:tcW w:w="1091" w:type="dxa"/>
          </w:tcPr>
          <w:p w14:paraId="5347611A">
            <w:pPr>
              <w:spacing w:line="360" w:lineRule="auto"/>
              <w:rPr>
                <w:rFonts w:ascii="宋体" w:hAnsi="宋体" w:cs="宋体"/>
                <w:color w:val="auto"/>
                <w:sz w:val="24"/>
                <w:highlight w:val="none"/>
              </w:rPr>
            </w:pPr>
          </w:p>
        </w:tc>
        <w:tc>
          <w:tcPr>
            <w:tcW w:w="1195" w:type="dxa"/>
          </w:tcPr>
          <w:p w14:paraId="5347611B">
            <w:pPr>
              <w:spacing w:line="360" w:lineRule="auto"/>
              <w:rPr>
                <w:rFonts w:ascii="宋体" w:hAnsi="宋体" w:cs="宋体"/>
                <w:color w:val="auto"/>
                <w:sz w:val="24"/>
                <w:highlight w:val="none"/>
              </w:rPr>
            </w:pPr>
          </w:p>
        </w:tc>
        <w:tc>
          <w:tcPr>
            <w:tcW w:w="1269" w:type="dxa"/>
          </w:tcPr>
          <w:p w14:paraId="5347611C">
            <w:pPr>
              <w:spacing w:line="360" w:lineRule="auto"/>
              <w:rPr>
                <w:rFonts w:ascii="宋体" w:hAnsi="宋体" w:cs="宋体"/>
                <w:color w:val="auto"/>
                <w:sz w:val="24"/>
                <w:highlight w:val="none"/>
              </w:rPr>
            </w:pPr>
          </w:p>
        </w:tc>
        <w:tc>
          <w:tcPr>
            <w:tcW w:w="676" w:type="dxa"/>
          </w:tcPr>
          <w:p w14:paraId="5347611D">
            <w:pPr>
              <w:spacing w:line="360" w:lineRule="auto"/>
              <w:rPr>
                <w:rFonts w:ascii="宋体" w:hAnsi="宋体" w:cs="宋体"/>
                <w:color w:val="auto"/>
                <w:sz w:val="24"/>
                <w:highlight w:val="none"/>
              </w:rPr>
            </w:pPr>
          </w:p>
        </w:tc>
      </w:tr>
      <w:tr w14:paraId="53476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tcPr>
          <w:p w14:paraId="5347611F">
            <w:pPr>
              <w:spacing w:line="360" w:lineRule="auto"/>
              <w:rPr>
                <w:rFonts w:ascii="宋体" w:hAnsi="宋体" w:cs="宋体"/>
                <w:color w:val="auto"/>
                <w:sz w:val="24"/>
                <w:highlight w:val="none"/>
              </w:rPr>
            </w:pPr>
          </w:p>
        </w:tc>
        <w:tc>
          <w:tcPr>
            <w:tcW w:w="1693" w:type="dxa"/>
            <w:vMerge w:val="restart"/>
            <w:tcBorders>
              <w:bottom w:val="nil"/>
            </w:tcBorders>
          </w:tcPr>
          <w:p w14:paraId="53476120">
            <w:pPr>
              <w:spacing w:line="360" w:lineRule="auto"/>
              <w:rPr>
                <w:rFonts w:ascii="宋体" w:hAnsi="宋体" w:cs="宋体"/>
                <w:color w:val="auto"/>
                <w:sz w:val="24"/>
                <w:highlight w:val="none"/>
              </w:rPr>
            </w:pPr>
          </w:p>
        </w:tc>
        <w:tc>
          <w:tcPr>
            <w:tcW w:w="751" w:type="dxa"/>
          </w:tcPr>
          <w:p w14:paraId="53476121">
            <w:pPr>
              <w:spacing w:line="360" w:lineRule="auto"/>
              <w:ind w:left="342"/>
              <w:rPr>
                <w:rFonts w:ascii="宋体" w:hAnsi="宋体" w:cs="宋体"/>
                <w:color w:val="auto"/>
                <w:sz w:val="24"/>
                <w:highlight w:val="none"/>
              </w:rPr>
            </w:pPr>
            <w:r>
              <w:rPr>
                <w:rFonts w:hint="eastAsia" w:ascii="宋体" w:hAnsi="宋体" w:cs="宋体"/>
                <w:color w:val="auto"/>
                <w:sz w:val="24"/>
                <w:highlight w:val="none"/>
              </w:rPr>
              <w:t>1</w:t>
            </w:r>
          </w:p>
        </w:tc>
        <w:tc>
          <w:tcPr>
            <w:tcW w:w="947" w:type="dxa"/>
          </w:tcPr>
          <w:p w14:paraId="53476122">
            <w:pPr>
              <w:spacing w:line="360" w:lineRule="auto"/>
              <w:rPr>
                <w:rFonts w:ascii="宋体" w:hAnsi="宋体" w:cs="宋体"/>
                <w:color w:val="auto"/>
                <w:sz w:val="24"/>
                <w:highlight w:val="none"/>
              </w:rPr>
            </w:pPr>
          </w:p>
        </w:tc>
        <w:tc>
          <w:tcPr>
            <w:tcW w:w="1123" w:type="dxa"/>
          </w:tcPr>
          <w:p w14:paraId="53476123">
            <w:pPr>
              <w:spacing w:line="360" w:lineRule="auto"/>
              <w:rPr>
                <w:rFonts w:ascii="宋体" w:hAnsi="宋体" w:cs="宋体"/>
                <w:color w:val="auto"/>
                <w:sz w:val="24"/>
                <w:highlight w:val="none"/>
              </w:rPr>
            </w:pPr>
          </w:p>
        </w:tc>
        <w:tc>
          <w:tcPr>
            <w:tcW w:w="1091" w:type="dxa"/>
          </w:tcPr>
          <w:p w14:paraId="53476124">
            <w:pPr>
              <w:spacing w:line="360" w:lineRule="auto"/>
              <w:rPr>
                <w:rFonts w:ascii="宋体" w:hAnsi="宋体" w:cs="宋体"/>
                <w:color w:val="auto"/>
                <w:sz w:val="24"/>
                <w:highlight w:val="none"/>
              </w:rPr>
            </w:pPr>
          </w:p>
        </w:tc>
        <w:tc>
          <w:tcPr>
            <w:tcW w:w="1195" w:type="dxa"/>
          </w:tcPr>
          <w:p w14:paraId="53476125">
            <w:pPr>
              <w:spacing w:line="360" w:lineRule="auto"/>
              <w:rPr>
                <w:rFonts w:ascii="宋体" w:hAnsi="宋体" w:cs="宋体"/>
                <w:color w:val="auto"/>
                <w:sz w:val="24"/>
                <w:highlight w:val="none"/>
              </w:rPr>
            </w:pPr>
          </w:p>
        </w:tc>
        <w:tc>
          <w:tcPr>
            <w:tcW w:w="1269" w:type="dxa"/>
          </w:tcPr>
          <w:p w14:paraId="53476126">
            <w:pPr>
              <w:spacing w:line="360" w:lineRule="auto"/>
              <w:rPr>
                <w:rFonts w:ascii="宋体" w:hAnsi="宋体" w:cs="宋体"/>
                <w:color w:val="auto"/>
                <w:sz w:val="24"/>
                <w:highlight w:val="none"/>
              </w:rPr>
            </w:pPr>
          </w:p>
        </w:tc>
        <w:tc>
          <w:tcPr>
            <w:tcW w:w="676" w:type="dxa"/>
          </w:tcPr>
          <w:p w14:paraId="53476127">
            <w:pPr>
              <w:spacing w:line="360" w:lineRule="auto"/>
              <w:rPr>
                <w:rFonts w:ascii="宋体" w:hAnsi="宋体" w:cs="宋体"/>
                <w:color w:val="auto"/>
                <w:sz w:val="24"/>
                <w:highlight w:val="none"/>
              </w:rPr>
            </w:pPr>
          </w:p>
        </w:tc>
      </w:tr>
      <w:tr w14:paraId="53476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tcPr>
          <w:p w14:paraId="53476129">
            <w:pPr>
              <w:spacing w:line="360" w:lineRule="auto"/>
              <w:rPr>
                <w:rFonts w:ascii="宋体" w:hAnsi="宋体" w:cs="宋体"/>
                <w:color w:val="auto"/>
                <w:sz w:val="24"/>
                <w:highlight w:val="none"/>
              </w:rPr>
            </w:pPr>
          </w:p>
        </w:tc>
        <w:tc>
          <w:tcPr>
            <w:tcW w:w="1693" w:type="dxa"/>
            <w:vMerge w:val="continue"/>
            <w:tcBorders>
              <w:top w:val="nil"/>
              <w:bottom w:val="nil"/>
            </w:tcBorders>
          </w:tcPr>
          <w:p w14:paraId="5347612A">
            <w:pPr>
              <w:spacing w:line="360" w:lineRule="auto"/>
              <w:rPr>
                <w:rFonts w:ascii="宋体" w:hAnsi="宋体" w:cs="宋体"/>
                <w:color w:val="auto"/>
                <w:sz w:val="24"/>
                <w:highlight w:val="none"/>
              </w:rPr>
            </w:pPr>
          </w:p>
        </w:tc>
        <w:tc>
          <w:tcPr>
            <w:tcW w:w="751" w:type="dxa"/>
          </w:tcPr>
          <w:p w14:paraId="5347612B">
            <w:pPr>
              <w:spacing w:line="360" w:lineRule="auto"/>
              <w:ind w:left="322"/>
              <w:rPr>
                <w:rFonts w:ascii="宋体" w:hAnsi="宋体" w:cs="宋体"/>
                <w:color w:val="auto"/>
                <w:sz w:val="24"/>
                <w:highlight w:val="none"/>
              </w:rPr>
            </w:pPr>
            <w:r>
              <w:rPr>
                <w:rFonts w:hint="eastAsia" w:ascii="宋体" w:hAnsi="宋体" w:cs="宋体"/>
                <w:color w:val="auto"/>
                <w:sz w:val="24"/>
                <w:highlight w:val="none"/>
              </w:rPr>
              <w:t>2</w:t>
            </w:r>
          </w:p>
        </w:tc>
        <w:tc>
          <w:tcPr>
            <w:tcW w:w="947" w:type="dxa"/>
          </w:tcPr>
          <w:p w14:paraId="5347612C">
            <w:pPr>
              <w:spacing w:line="360" w:lineRule="auto"/>
              <w:rPr>
                <w:rFonts w:ascii="宋体" w:hAnsi="宋体" w:cs="宋体"/>
                <w:color w:val="auto"/>
                <w:sz w:val="24"/>
                <w:highlight w:val="none"/>
              </w:rPr>
            </w:pPr>
          </w:p>
        </w:tc>
        <w:tc>
          <w:tcPr>
            <w:tcW w:w="1123" w:type="dxa"/>
          </w:tcPr>
          <w:p w14:paraId="5347612D">
            <w:pPr>
              <w:spacing w:line="360" w:lineRule="auto"/>
              <w:rPr>
                <w:rFonts w:ascii="宋体" w:hAnsi="宋体" w:cs="宋体"/>
                <w:color w:val="auto"/>
                <w:sz w:val="24"/>
                <w:highlight w:val="none"/>
              </w:rPr>
            </w:pPr>
          </w:p>
        </w:tc>
        <w:tc>
          <w:tcPr>
            <w:tcW w:w="1091" w:type="dxa"/>
          </w:tcPr>
          <w:p w14:paraId="5347612E">
            <w:pPr>
              <w:spacing w:line="360" w:lineRule="auto"/>
              <w:rPr>
                <w:rFonts w:ascii="宋体" w:hAnsi="宋体" w:cs="宋体"/>
                <w:color w:val="auto"/>
                <w:sz w:val="24"/>
                <w:highlight w:val="none"/>
              </w:rPr>
            </w:pPr>
          </w:p>
        </w:tc>
        <w:tc>
          <w:tcPr>
            <w:tcW w:w="1195" w:type="dxa"/>
          </w:tcPr>
          <w:p w14:paraId="5347612F">
            <w:pPr>
              <w:spacing w:line="360" w:lineRule="auto"/>
              <w:rPr>
                <w:rFonts w:ascii="宋体" w:hAnsi="宋体" w:cs="宋体"/>
                <w:color w:val="auto"/>
                <w:sz w:val="24"/>
                <w:highlight w:val="none"/>
              </w:rPr>
            </w:pPr>
          </w:p>
        </w:tc>
        <w:tc>
          <w:tcPr>
            <w:tcW w:w="1269" w:type="dxa"/>
          </w:tcPr>
          <w:p w14:paraId="53476130">
            <w:pPr>
              <w:spacing w:line="360" w:lineRule="auto"/>
              <w:rPr>
                <w:rFonts w:ascii="宋体" w:hAnsi="宋体" w:cs="宋体"/>
                <w:color w:val="auto"/>
                <w:sz w:val="24"/>
                <w:highlight w:val="none"/>
              </w:rPr>
            </w:pPr>
          </w:p>
        </w:tc>
        <w:tc>
          <w:tcPr>
            <w:tcW w:w="676" w:type="dxa"/>
          </w:tcPr>
          <w:p w14:paraId="53476131">
            <w:pPr>
              <w:spacing w:line="360" w:lineRule="auto"/>
              <w:rPr>
                <w:rFonts w:ascii="宋体" w:hAnsi="宋体" w:cs="宋体"/>
                <w:color w:val="auto"/>
                <w:sz w:val="24"/>
                <w:highlight w:val="none"/>
              </w:rPr>
            </w:pPr>
          </w:p>
        </w:tc>
      </w:tr>
      <w:tr w14:paraId="5347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continue"/>
            <w:tcBorders>
              <w:top w:val="nil"/>
            </w:tcBorders>
          </w:tcPr>
          <w:p w14:paraId="53476133">
            <w:pPr>
              <w:spacing w:line="360" w:lineRule="auto"/>
              <w:rPr>
                <w:rFonts w:ascii="宋体" w:hAnsi="宋体" w:cs="宋体"/>
                <w:color w:val="auto"/>
                <w:sz w:val="24"/>
                <w:highlight w:val="none"/>
              </w:rPr>
            </w:pPr>
          </w:p>
        </w:tc>
        <w:tc>
          <w:tcPr>
            <w:tcW w:w="1693" w:type="dxa"/>
            <w:vMerge w:val="continue"/>
            <w:tcBorders>
              <w:top w:val="nil"/>
            </w:tcBorders>
          </w:tcPr>
          <w:p w14:paraId="53476134">
            <w:pPr>
              <w:spacing w:line="360" w:lineRule="auto"/>
              <w:rPr>
                <w:rFonts w:ascii="宋体" w:hAnsi="宋体" w:cs="宋体"/>
                <w:color w:val="auto"/>
                <w:sz w:val="24"/>
                <w:highlight w:val="none"/>
              </w:rPr>
            </w:pPr>
          </w:p>
        </w:tc>
        <w:tc>
          <w:tcPr>
            <w:tcW w:w="751" w:type="dxa"/>
          </w:tcPr>
          <w:p w14:paraId="53476135">
            <w:pPr>
              <w:spacing w:line="360" w:lineRule="auto"/>
              <w:ind w:left="326"/>
              <w:rPr>
                <w:rFonts w:ascii="宋体" w:hAnsi="宋体" w:cs="宋体"/>
                <w:color w:val="auto"/>
                <w:sz w:val="24"/>
                <w:highlight w:val="none"/>
              </w:rPr>
            </w:pPr>
            <w:r>
              <w:rPr>
                <w:rFonts w:hint="eastAsia" w:ascii="宋体" w:hAnsi="宋体" w:cs="宋体"/>
                <w:color w:val="auto"/>
                <w:sz w:val="24"/>
                <w:highlight w:val="none"/>
              </w:rPr>
              <w:t>3</w:t>
            </w:r>
          </w:p>
        </w:tc>
        <w:tc>
          <w:tcPr>
            <w:tcW w:w="947" w:type="dxa"/>
          </w:tcPr>
          <w:p w14:paraId="53476136">
            <w:pPr>
              <w:spacing w:line="360" w:lineRule="auto"/>
              <w:rPr>
                <w:rFonts w:ascii="宋体" w:hAnsi="宋体" w:cs="宋体"/>
                <w:color w:val="auto"/>
                <w:sz w:val="24"/>
                <w:highlight w:val="none"/>
              </w:rPr>
            </w:pPr>
          </w:p>
        </w:tc>
        <w:tc>
          <w:tcPr>
            <w:tcW w:w="1123" w:type="dxa"/>
          </w:tcPr>
          <w:p w14:paraId="53476137">
            <w:pPr>
              <w:spacing w:line="360" w:lineRule="auto"/>
              <w:rPr>
                <w:rFonts w:ascii="宋体" w:hAnsi="宋体" w:cs="宋体"/>
                <w:color w:val="auto"/>
                <w:sz w:val="24"/>
                <w:highlight w:val="none"/>
              </w:rPr>
            </w:pPr>
          </w:p>
        </w:tc>
        <w:tc>
          <w:tcPr>
            <w:tcW w:w="1091" w:type="dxa"/>
          </w:tcPr>
          <w:p w14:paraId="53476138">
            <w:pPr>
              <w:spacing w:line="360" w:lineRule="auto"/>
              <w:rPr>
                <w:rFonts w:ascii="宋体" w:hAnsi="宋体" w:cs="宋体"/>
                <w:color w:val="auto"/>
                <w:sz w:val="24"/>
                <w:highlight w:val="none"/>
              </w:rPr>
            </w:pPr>
          </w:p>
        </w:tc>
        <w:tc>
          <w:tcPr>
            <w:tcW w:w="1195" w:type="dxa"/>
          </w:tcPr>
          <w:p w14:paraId="53476139">
            <w:pPr>
              <w:spacing w:line="360" w:lineRule="auto"/>
              <w:rPr>
                <w:rFonts w:ascii="宋体" w:hAnsi="宋体" w:cs="宋体"/>
                <w:color w:val="auto"/>
                <w:sz w:val="24"/>
                <w:highlight w:val="none"/>
              </w:rPr>
            </w:pPr>
          </w:p>
        </w:tc>
        <w:tc>
          <w:tcPr>
            <w:tcW w:w="1269" w:type="dxa"/>
          </w:tcPr>
          <w:p w14:paraId="5347613A">
            <w:pPr>
              <w:spacing w:line="360" w:lineRule="auto"/>
              <w:rPr>
                <w:rFonts w:ascii="宋体" w:hAnsi="宋体" w:cs="宋体"/>
                <w:color w:val="auto"/>
                <w:sz w:val="24"/>
                <w:highlight w:val="none"/>
              </w:rPr>
            </w:pPr>
          </w:p>
        </w:tc>
        <w:tc>
          <w:tcPr>
            <w:tcW w:w="676" w:type="dxa"/>
          </w:tcPr>
          <w:p w14:paraId="5347613B">
            <w:pPr>
              <w:spacing w:line="360" w:lineRule="auto"/>
              <w:rPr>
                <w:rFonts w:ascii="宋体" w:hAnsi="宋体" w:cs="宋体"/>
                <w:color w:val="auto"/>
                <w:sz w:val="24"/>
                <w:highlight w:val="none"/>
              </w:rPr>
            </w:pPr>
          </w:p>
        </w:tc>
      </w:tr>
    </w:tbl>
    <w:p w14:paraId="5347613D">
      <w:pPr>
        <w:spacing w:line="360" w:lineRule="auto"/>
        <w:ind w:left="713"/>
        <w:rPr>
          <w:rFonts w:ascii="宋体" w:hAnsi="宋体" w:cs="宋体"/>
          <w:color w:val="auto"/>
          <w:sz w:val="24"/>
          <w:highlight w:val="none"/>
        </w:rPr>
      </w:pPr>
      <w:r>
        <w:rPr>
          <w:rFonts w:hint="eastAsia" w:ascii="宋体" w:hAnsi="宋体" w:cs="宋体"/>
          <w:color w:val="auto"/>
          <w:spacing w:val="-6"/>
          <w:sz w:val="24"/>
          <w:highlight w:val="none"/>
        </w:rPr>
        <w:t>备注： 1.若无分包计划，则供应商应在本表填写</w:t>
      </w:r>
      <w:r>
        <w:rPr>
          <w:rFonts w:hint="eastAsia" w:ascii="宋体" w:hAnsi="宋体" w:cs="宋体"/>
          <w:color w:val="auto"/>
          <w:spacing w:val="-7"/>
          <w:sz w:val="24"/>
          <w:highlight w:val="none"/>
        </w:rPr>
        <w:t>“无”。</w:t>
      </w:r>
    </w:p>
    <w:p w14:paraId="5347613E">
      <w:pPr>
        <w:spacing w:line="360" w:lineRule="auto"/>
        <w:ind w:firstLine="1428" w:firstLineChars="600"/>
        <w:rPr>
          <w:rFonts w:ascii="宋体" w:hAnsi="宋体" w:cs="宋体"/>
          <w:color w:val="auto"/>
          <w:spacing w:val="-2"/>
          <w:sz w:val="24"/>
          <w:highlight w:val="none"/>
        </w:rPr>
        <w:sectPr>
          <w:pgSz w:w="11906" w:h="16838"/>
          <w:pgMar w:top="1247" w:right="1247" w:bottom="1247" w:left="1247" w:header="851" w:footer="992" w:gutter="0"/>
          <w:cols w:space="720" w:num="1"/>
          <w:titlePg/>
          <w:docGrid w:linePitch="312" w:charSpace="0"/>
        </w:sectPr>
      </w:pPr>
      <w:r>
        <w:rPr>
          <w:rFonts w:hint="eastAsia" w:ascii="宋体" w:hAnsi="宋体" w:cs="宋体"/>
          <w:color w:val="auto"/>
          <w:spacing w:val="-1"/>
          <w:sz w:val="24"/>
          <w:highlight w:val="none"/>
        </w:rPr>
        <w:t>2.本表所列分包仅限于承包人自行施工范围内的非主体</w:t>
      </w:r>
      <w:r>
        <w:rPr>
          <w:rFonts w:hint="eastAsia" w:ascii="宋体" w:hAnsi="宋体" w:cs="宋体"/>
          <w:color w:val="auto"/>
          <w:spacing w:val="-2"/>
          <w:sz w:val="24"/>
          <w:highlight w:val="none"/>
        </w:rPr>
        <w:t>、非关键工程。</w:t>
      </w:r>
    </w:p>
    <w:p w14:paraId="5347613F">
      <w:pPr>
        <w:tabs>
          <w:tab w:val="left" w:pos="5387"/>
        </w:tabs>
        <w:spacing w:line="360" w:lineRule="auto"/>
        <w:jc w:val="left"/>
        <w:rPr>
          <w:rFonts w:ascii="宋体" w:hAnsi="宋体"/>
          <w:b/>
          <w:color w:val="auto"/>
          <w:sz w:val="24"/>
          <w:highlight w:val="none"/>
        </w:rPr>
      </w:pPr>
      <w:r>
        <w:rPr>
          <w:rFonts w:hint="eastAsia" w:ascii="宋体" w:hAnsi="宋体"/>
          <w:b/>
          <w:color w:val="auto"/>
          <w:sz w:val="24"/>
          <w:highlight w:val="none"/>
        </w:rPr>
        <w:t>附件12</w:t>
      </w:r>
    </w:p>
    <w:p w14:paraId="53476140">
      <w:pPr>
        <w:tabs>
          <w:tab w:val="left" w:pos="5387"/>
        </w:tabs>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建设工程项目管理承诺书</w:t>
      </w:r>
    </w:p>
    <w:p w14:paraId="53476141">
      <w:pPr>
        <w:spacing w:line="360" w:lineRule="auto"/>
        <w:jc w:val="lef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（采购人名称）：</w:t>
      </w:r>
    </w:p>
    <w:p w14:paraId="53476142">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作为参与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（工程名称）项目的磋商供应商，根据国家、自治区相关文件规定，我方在此向采购人承诺：</w:t>
      </w:r>
    </w:p>
    <w:p w14:paraId="53476143">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1、一旦成交，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14:paraId="53476144">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53476145">
      <w:pPr>
        <w:spacing w:line="360" w:lineRule="auto"/>
        <w:ind w:left="-2" w:leftChars="-1" w:firstLine="513" w:firstLineChars="214"/>
        <w:jc w:val="left"/>
        <w:rPr>
          <w:rFonts w:ascii="宋体" w:hAnsi="宋体" w:cs="宋体"/>
          <w:color w:val="auto"/>
          <w:sz w:val="24"/>
          <w:highlight w:val="none"/>
        </w:rPr>
      </w:pPr>
      <w:r>
        <w:rPr>
          <w:rFonts w:hint="eastAsia" w:ascii="宋体" w:hAnsi="宋体" w:cs="宋体"/>
          <w:color w:val="auto"/>
          <w:sz w:val="24"/>
          <w:highlight w:val="none"/>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53476146">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53476147">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53476148">
      <w:pPr>
        <w:pStyle w:val="7"/>
        <w:overflowPunct w:val="0"/>
        <w:spacing w:line="360" w:lineRule="auto"/>
        <w:ind w:firstLine="0"/>
        <w:contextualSpacing/>
        <w:jc w:val="left"/>
        <w:rPr>
          <w:rFonts w:ascii="宋体" w:hAnsi="宋体" w:cs="方正小标宋简体"/>
          <w:color w:val="auto"/>
          <w:sz w:val="24"/>
          <w:szCs w:val="24"/>
          <w:highlight w:val="none"/>
        </w:rPr>
      </w:pPr>
    </w:p>
    <w:p w14:paraId="53476149">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5347614A">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5347614B">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5347614C">
      <w:pPr>
        <w:spacing w:line="360" w:lineRule="auto"/>
        <w:jc w:val="center"/>
        <w:rPr>
          <w:rFonts w:ascii="宋体" w:hAnsi="宋体"/>
          <w:b/>
          <w:color w:val="auto"/>
          <w:sz w:val="28"/>
          <w:szCs w:val="28"/>
          <w:highlight w:val="none"/>
        </w:rPr>
      </w:pPr>
    </w:p>
    <w:p w14:paraId="5347614D">
      <w:pPr>
        <w:spacing w:line="360" w:lineRule="auto"/>
        <w:jc w:val="center"/>
        <w:rPr>
          <w:rFonts w:ascii="宋体" w:hAnsi="宋体"/>
          <w:b/>
          <w:color w:val="auto"/>
          <w:sz w:val="28"/>
          <w:szCs w:val="28"/>
          <w:highlight w:val="none"/>
        </w:rPr>
      </w:pPr>
    </w:p>
    <w:p w14:paraId="5347614E">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广西壮族自治区建筑工程安全文明施工措施项目清单内容</w:t>
      </w:r>
    </w:p>
    <w:p w14:paraId="5347614F">
      <w:pPr>
        <w:spacing w:line="360" w:lineRule="auto"/>
        <w:jc w:val="center"/>
        <w:rPr>
          <w:rFonts w:ascii="宋体" w:hAnsi="宋体"/>
          <w:bCs/>
          <w:color w:val="auto"/>
          <w:sz w:val="24"/>
          <w:highlight w:val="none"/>
        </w:rPr>
      </w:pPr>
      <w:r>
        <w:rPr>
          <w:rFonts w:hint="eastAsia" w:ascii="宋体" w:hAnsi="宋体"/>
          <w:bCs/>
          <w:color w:val="auto"/>
          <w:sz w:val="24"/>
          <w:highlight w:val="none"/>
        </w:rPr>
        <w:t>（桂建质〔2015〕16号文附件一）</w:t>
      </w:r>
    </w:p>
    <w:p w14:paraId="53476150">
      <w:pPr>
        <w:spacing w:line="360" w:lineRule="auto"/>
        <w:jc w:val="center"/>
        <w:rPr>
          <w:rFonts w:ascii="宋体" w:hAnsi="宋体"/>
          <w:b/>
          <w:color w:val="auto"/>
          <w:sz w:val="24"/>
          <w:highlight w:val="none"/>
        </w:rPr>
      </w:pPr>
      <w:r>
        <w:rPr>
          <w:rFonts w:hint="eastAsia" w:ascii="宋体" w:hAnsi="宋体"/>
          <w:b/>
          <w:color w:val="auto"/>
          <w:sz w:val="24"/>
          <w:highlight w:val="none"/>
        </w:rPr>
        <w:t>广西壮族自治区</w:t>
      </w:r>
    </w:p>
    <w:p w14:paraId="53476151">
      <w:pPr>
        <w:spacing w:line="360" w:lineRule="auto"/>
        <w:jc w:val="center"/>
        <w:rPr>
          <w:rFonts w:ascii="宋体" w:hAnsi="宋体"/>
          <w:b/>
          <w:color w:val="auto"/>
          <w:sz w:val="24"/>
          <w:highlight w:val="none"/>
        </w:rPr>
      </w:pPr>
      <w:r>
        <w:rPr>
          <w:rFonts w:hint="eastAsia" w:ascii="宋体" w:hAnsi="宋体"/>
          <w:b/>
          <w:color w:val="auto"/>
          <w:sz w:val="24"/>
          <w:highlight w:val="none"/>
        </w:rPr>
        <w:t>建设工程安全文明施工措施项目清单内容</w:t>
      </w:r>
    </w:p>
    <w:tbl>
      <w:tblPr>
        <w:tblStyle w:val="37"/>
        <w:tblpPr w:leftFromText="180" w:rightFromText="180" w:vertAnchor="text" w:horzAnchor="page" w:tblpX="1320"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260"/>
        <w:gridCol w:w="6930"/>
      </w:tblGrid>
      <w:tr w14:paraId="5347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trPr>
        <w:tc>
          <w:tcPr>
            <w:tcW w:w="738" w:type="dxa"/>
            <w:tcBorders>
              <w:top w:val="single" w:color="auto" w:sz="4" w:space="0"/>
              <w:left w:val="single" w:color="auto" w:sz="4" w:space="0"/>
              <w:bottom w:val="single" w:color="auto" w:sz="4" w:space="0"/>
              <w:right w:val="single" w:color="auto" w:sz="4" w:space="0"/>
            </w:tcBorders>
            <w:vAlign w:val="center"/>
          </w:tcPr>
          <w:p w14:paraId="5347615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类别</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5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项目名称</w:t>
            </w:r>
          </w:p>
        </w:tc>
        <w:tc>
          <w:tcPr>
            <w:tcW w:w="6930" w:type="dxa"/>
            <w:tcBorders>
              <w:top w:val="single" w:color="auto" w:sz="4" w:space="0"/>
              <w:left w:val="single" w:color="auto" w:sz="4" w:space="0"/>
              <w:bottom w:val="single" w:color="auto" w:sz="4" w:space="0"/>
              <w:right w:val="single" w:color="auto" w:sz="4" w:space="0"/>
            </w:tcBorders>
            <w:vAlign w:val="center"/>
          </w:tcPr>
          <w:p w14:paraId="5347615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主要内容和要求</w:t>
            </w:r>
          </w:p>
        </w:tc>
      </w:tr>
      <w:tr w14:paraId="5347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3476156">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文明</w:t>
            </w:r>
          </w:p>
          <w:p w14:paraId="5347615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施工</w:t>
            </w:r>
          </w:p>
          <w:p w14:paraId="53476158">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与</w:t>
            </w:r>
          </w:p>
          <w:p w14:paraId="5347615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环境</w:t>
            </w:r>
          </w:p>
          <w:p w14:paraId="5347615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保护</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5B">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安全警示</w:t>
            </w:r>
          </w:p>
          <w:p w14:paraId="5347615C">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标志牌</w:t>
            </w:r>
          </w:p>
        </w:tc>
        <w:tc>
          <w:tcPr>
            <w:tcW w:w="6930" w:type="dxa"/>
            <w:tcBorders>
              <w:top w:val="single" w:color="auto" w:sz="4" w:space="0"/>
              <w:left w:val="single" w:color="auto" w:sz="4" w:space="0"/>
              <w:bottom w:val="single" w:color="auto" w:sz="4" w:space="0"/>
              <w:right w:val="single" w:color="auto" w:sz="4" w:space="0"/>
            </w:tcBorders>
            <w:vAlign w:val="center"/>
          </w:tcPr>
          <w:p w14:paraId="5347615D">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在易发伤亡事故（或危险）处设置明显的、符合国家标准要求的安全警示标志牌。</w:t>
            </w:r>
          </w:p>
        </w:tc>
      </w:tr>
      <w:tr w14:paraId="5347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5F">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60">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现场围挡</w:t>
            </w:r>
          </w:p>
        </w:tc>
        <w:tc>
          <w:tcPr>
            <w:tcW w:w="6930" w:type="dxa"/>
            <w:tcBorders>
              <w:top w:val="single" w:color="auto" w:sz="4" w:space="0"/>
              <w:left w:val="single" w:color="auto" w:sz="4" w:space="0"/>
              <w:bottom w:val="single" w:color="auto" w:sz="4" w:space="0"/>
              <w:right w:val="single" w:color="auto" w:sz="4" w:space="0"/>
            </w:tcBorders>
            <w:vAlign w:val="center"/>
          </w:tcPr>
          <w:p w14:paraId="53476161">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1.现场采用封闭围挡，高度不小于1.8m。</w:t>
            </w:r>
          </w:p>
          <w:p w14:paraId="53476162">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2.围挡材料可用彩色、定型钢板，砖、砼砌块等墙体。</w:t>
            </w:r>
          </w:p>
        </w:tc>
      </w:tr>
      <w:tr w14:paraId="5347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64">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6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七牌二图</w:t>
            </w:r>
          </w:p>
        </w:tc>
        <w:tc>
          <w:tcPr>
            <w:tcW w:w="6930" w:type="dxa"/>
            <w:tcBorders>
              <w:top w:val="single" w:color="auto" w:sz="4" w:space="0"/>
              <w:left w:val="single" w:color="auto" w:sz="4" w:space="0"/>
              <w:bottom w:val="single" w:color="auto" w:sz="4" w:space="0"/>
              <w:right w:val="single" w:color="auto" w:sz="4" w:space="0"/>
            </w:tcBorders>
            <w:vAlign w:val="center"/>
          </w:tcPr>
          <w:p w14:paraId="53476166">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在进门处悬挂工程概况、现场出入制度、管理人员名单及监督电话、安全生产规定、文明施工、消防保卫、节能公示等七牌以及；施工现场总平面图、工程效果图。</w:t>
            </w:r>
          </w:p>
        </w:tc>
      </w:tr>
      <w:tr w14:paraId="5347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68">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6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企业标志</w:t>
            </w:r>
          </w:p>
        </w:tc>
        <w:tc>
          <w:tcPr>
            <w:tcW w:w="6930" w:type="dxa"/>
            <w:tcBorders>
              <w:top w:val="single" w:color="auto" w:sz="4" w:space="0"/>
              <w:left w:val="single" w:color="auto" w:sz="4" w:space="0"/>
              <w:bottom w:val="single" w:color="auto" w:sz="4" w:space="0"/>
              <w:right w:val="single" w:color="auto" w:sz="4" w:space="0"/>
            </w:tcBorders>
            <w:vAlign w:val="center"/>
          </w:tcPr>
          <w:p w14:paraId="5347616A">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现场出入的大门应设有本企业标志或企业标识。</w:t>
            </w:r>
          </w:p>
        </w:tc>
      </w:tr>
      <w:tr w14:paraId="5347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6C">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6D">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场容场貌</w:t>
            </w:r>
          </w:p>
        </w:tc>
        <w:tc>
          <w:tcPr>
            <w:tcW w:w="6930" w:type="dxa"/>
            <w:tcBorders>
              <w:top w:val="single" w:color="auto" w:sz="4" w:space="0"/>
              <w:left w:val="single" w:color="auto" w:sz="4" w:space="0"/>
              <w:bottom w:val="single" w:color="auto" w:sz="4" w:space="0"/>
              <w:right w:val="single" w:color="auto" w:sz="4" w:space="0"/>
            </w:tcBorders>
            <w:vAlign w:val="center"/>
          </w:tcPr>
          <w:p w14:paraId="5347616E">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1.道路畅通；</w:t>
            </w:r>
          </w:p>
          <w:p w14:paraId="5347616F">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2.排水沟、排水设施畅通；</w:t>
            </w:r>
          </w:p>
          <w:p w14:paraId="53476170">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3.工地地面硬化处理（办公区，生活区，现场道路，材料堆放、混凝土搅拌、砂浆搅拌、钢筋加工等场地，外脚手架基础等）。</w:t>
            </w:r>
          </w:p>
        </w:tc>
      </w:tr>
      <w:tr w14:paraId="5347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72">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73">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材料堆放</w:t>
            </w:r>
          </w:p>
        </w:tc>
        <w:tc>
          <w:tcPr>
            <w:tcW w:w="6930" w:type="dxa"/>
            <w:tcBorders>
              <w:top w:val="single" w:color="auto" w:sz="4" w:space="0"/>
              <w:left w:val="single" w:color="auto" w:sz="4" w:space="0"/>
              <w:bottom w:val="single" w:color="auto" w:sz="4" w:space="0"/>
              <w:right w:val="single" w:color="auto" w:sz="4" w:space="0"/>
            </w:tcBorders>
            <w:vAlign w:val="center"/>
          </w:tcPr>
          <w:p w14:paraId="53476174">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（1）材料、构件、料具等堆放时，悬挂有名称、品种、规格等标牌；</w:t>
            </w:r>
          </w:p>
          <w:p w14:paraId="53476175">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（2）水泥和其他易飞扬细颗粒建筑材料应封闭存放或采取覆盖等措施；</w:t>
            </w:r>
          </w:p>
          <w:p w14:paraId="53476176">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（3）易燃、易爆和有毒有害物品分类存放。</w:t>
            </w:r>
          </w:p>
        </w:tc>
      </w:tr>
      <w:tr w14:paraId="5347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78">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7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现场防火</w:t>
            </w:r>
          </w:p>
        </w:tc>
        <w:tc>
          <w:tcPr>
            <w:tcW w:w="6930" w:type="dxa"/>
            <w:tcBorders>
              <w:top w:val="single" w:color="auto" w:sz="4" w:space="0"/>
              <w:left w:val="single" w:color="auto" w:sz="4" w:space="0"/>
              <w:bottom w:val="single" w:color="auto" w:sz="4" w:space="0"/>
              <w:right w:val="single" w:color="auto" w:sz="4" w:space="0"/>
            </w:tcBorders>
            <w:vAlign w:val="center"/>
          </w:tcPr>
          <w:p w14:paraId="5347617A">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消防器材配置合理，符合消防要求。</w:t>
            </w:r>
          </w:p>
        </w:tc>
      </w:tr>
      <w:tr w14:paraId="5347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7C">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7D">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垃圾清运</w:t>
            </w:r>
          </w:p>
        </w:tc>
        <w:tc>
          <w:tcPr>
            <w:tcW w:w="6930" w:type="dxa"/>
            <w:tcBorders>
              <w:top w:val="single" w:color="auto" w:sz="4" w:space="0"/>
              <w:left w:val="single" w:color="auto" w:sz="4" w:space="0"/>
              <w:bottom w:val="single" w:color="auto" w:sz="4" w:space="0"/>
              <w:right w:val="single" w:color="auto" w:sz="4" w:space="0"/>
            </w:tcBorders>
            <w:vAlign w:val="center"/>
          </w:tcPr>
          <w:p w14:paraId="5347617E">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1.施工现场应设置密闭式垃圾站，施工垃圾、生活垃圾应分类存放。</w:t>
            </w:r>
          </w:p>
          <w:p w14:paraId="5347617F">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2.施工垃圾必须采用相应容器或管道运输。</w:t>
            </w:r>
          </w:p>
        </w:tc>
      </w:tr>
      <w:tr w14:paraId="5347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81">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8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宣传栏、环保及不扰民措施</w:t>
            </w:r>
          </w:p>
        </w:tc>
        <w:tc>
          <w:tcPr>
            <w:tcW w:w="6930" w:type="dxa"/>
            <w:tcBorders>
              <w:top w:val="single" w:color="auto" w:sz="4" w:space="0"/>
              <w:left w:val="single" w:color="auto" w:sz="4" w:space="0"/>
              <w:bottom w:val="single" w:color="auto" w:sz="4" w:space="0"/>
              <w:right w:val="single" w:color="auto" w:sz="4" w:space="0"/>
            </w:tcBorders>
            <w:vAlign w:val="center"/>
          </w:tcPr>
          <w:p w14:paraId="53476183">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宣传栏、安全宣传标语等，洗车（防止污染市区道路）、粉尘、噪声控制，排污（污水、废气）措施等。</w:t>
            </w:r>
          </w:p>
        </w:tc>
      </w:tr>
      <w:tr w14:paraId="5347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347618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临时设施</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86">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现场办公</w:t>
            </w:r>
          </w:p>
          <w:p w14:paraId="5347618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生活设施</w:t>
            </w:r>
          </w:p>
        </w:tc>
        <w:tc>
          <w:tcPr>
            <w:tcW w:w="6930" w:type="dxa"/>
            <w:tcBorders>
              <w:top w:val="single" w:color="auto" w:sz="4" w:space="0"/>
              <w:left w:val="single" w:color="auto" w:sz="4" w:space="0"/>
              <w:bottom w:val="single" w:color="auto" w:sz="4" w:space="0"/>
              <w:right w:val="single" w:color="auto" w:sz="4" w:space="0"/>
            </w:tcBorders>
            <w:vAlign w:val="center"/>
          </w:tcPr>
          <w:p w14:paraId="53476188">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1.施工现场办公、生活区与作业区分开设置，保持安全距离。</w:t>
            </w:r>
          </w:p>
          <w:p w14:paraId="53476189">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2.工地办公室、现场宿舍、食堂、厕所、饮水、沐浴、休息场所等符合卫生、消防安全要求；</w:t>
            </w:r>
          </w:p>
        </w:tc>
      </w:tr>
      <w:tr w14:paraId="5347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8B">
            <w:pPr>
              <w:spacing w:line="360" w:lineRule="auto"/>
              <w:jc w:val="center"/>
              <w:rPr>
                <w:rFonts w:ascii="宋体" w:hAnsi="宋体" w:cs="宋体"/>
                <w:bCs/>
                <w:color w:val="auto"/>
                <w:sz w:val="24"/>
                <w:highlight w:val="none"/>
              </w:rPr>
            </w:pP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5347618C">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施工现场</w:t>
            </w:r>
          </w:p>
          <w:p w14:paraId="5347618D">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临时用电</w:t>
            </w:r>
          </w:p>
        </w:tc>
        <w:tc>
          <w:tcPr>
            <w:tcW w:w="1260" w:type="dxa"/>
            <w:tcBorders>
              <w:top w:val="single" w:color="auto" w:sz="4" w:space="0"/>
              <w:left w:val="single" w:color="auto" w:sz="4" w:space="0"/>
              <w:bottom w:val="single" w:color="auto" w:sz="4" w:space="0"/>
              <w:right w:val="single" w:color="auto" w:sz="4" w:space="0"/>
            </w:tcBorders>
            <w:vAlign w:val="center"/>
          </w:tcPr>
          <w:p w14:paraId="5347618E">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配电线路</w:t>
            </w:r>
          </w:p>
        </w:tc>
        <w:tc>
          <w:tcPr>
            <w:tcW w:w="6930" w:type="dxa"/>
            <w:tcBorders>
              <w:top w:val="single" w:color="auto" w:sz="4" w:space="0"/>
              <w:left w:val="single" w:color="auto" w:sz="4" w:space="0"/>
              <w:bottom w:val="single" w:color="auto" w:sz="4" w:space="0"/>
              <w:right w:val="single" w:color="auto" w:sz="4" w:space="0"/>
            </w:tcBorders>
            <w:vAlign w:val="center"/>
          </w:tcPr>
          <w:p w14:paraId="5347618F">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1.按照TN-S系统要求配备五芯电缆、四芯电缆和三芯电缆。</w:t>
            </w:r>
          </w:p>
          <w:p w14:paraId="53476190">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2.按要求架设临时用电线路的电杆、横担、瓷夹、瓷瓶等，或电缆埋地的地沟。</w:t>
            </w:r>
          </w:p>
          <w:p w14:paraId="53476191">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3.对靠近施工现场的外电线路，设置木质、塑料等绝缘体的防护设施。</w:t>
            </w:r>
          </w:p>
        </w:tc>
      </w:tr>
      <w:tr w14:paraId="5347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93">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94">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9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配电箱</w:t>
            </w:r>
          </w:p>
          <w:p w14:paraId="53476196">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开关箱</w:t>
            </w:r>
          </w:p>
        </w:tc>
        <w:tc>
          <w:tcPr>
            <w:tcW w:w="6930" w:type="dxa"/>
            <w:tcBorders>
              <w:top w:val="single" w:color="auto" w:sz="4" w:space="0"/>
              <w:left w:val="single" w:color="auto" w:sz="4" w:space="0"/>
              <w:bottom w:val="single" w:color="auto" w:sz="4" w:space="0"/>
              <w:right w:val="single" w:color="auto" w:sz="4" w:space="0"/>
            </w:tcBorders>
            <w:vAlign w:val="center"/>
          </w:tcPr>
          <w:p w14:paraId="53476197">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1.按三级配电要求，配备总配电箱、分配电箱、开关箱三类（铁质）标准电箱。开关箱应符合一机、一箱、一闸、一漏。三类电箱中的各类电器应是合格品。</w:t>
            </w:r>
          </w:p>
          <w:p w14:paraId="53476198">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2.按两级保护的要求，选取符合容量要求和质量合格的总配电箱和开关箱中的漏电保护器。</w:t>
            </w:r>
          </w:p>
          <w:p w14:paraId="53476199">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3.对大型、落地式分配电箱、开关箱设置防护棚和通透式围挡。</w:t>
            </w:r>
          </w:p>
        </w:tc>
      </w:tr>
      <w:tr w14:paraId="5347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9B">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9C">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9D">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接地装置</w:t>
            </w:r>
          </w:p>
        </w:tc>
        <w:tc>
          <w:tcPr>
            <w:tcW w:w="6930" w:type="dxa"/>
            <w:tcBorders>
              <w:top w:val="single" w:color="auto" w:sz="4" w:space="0"/>
              <w:left w:val="single" w:color="auto" w:sz="4" w:space="0"/>
              <w:bottom w:val="single" w:color="auto" w:sz="4" w:space="0"/>
              <w:right w:val="single" w:color="auto" w:sz="4" w:space="0"/>
            </w:tcBorders>
            <w:vAlign w:val="center"/>
          </w:tcPr>
          <w:p w14:paraId="5347619E">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施工现场应设置不少于三处的接地保护装置。</w:t>
            </w:r>
          </w:p>
        </w:tc>
      </w:tr>
      <w:tr w14:paraId="5347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A0">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A1">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A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现场变配电装置</w:t>
            </w:r>
          </w:p>
        </w:tc>
        <w:tc>
          <w:tcPr>
            <w:tcW w:w="6930" w:type="dxa"/>
            <w:tcBorders>
              <w:top w:val="single" w:color="auto" w:sz="4" w:space="0"/>
              <w:left w:val="single" w:color="auto" w:sz="4" w:space="0"/>
              <w:bottom w:val="single" w:color="auto" w:sz="4" w:space="0"/>
              <w:right w:val="single" w:color="auto" w:sz="4" w:space="0"/>
            </w:tcBorders>
            <w:vAlign w:val="center"/>
          </w:tcPr>
          <w:p w14:paraId="534761A3">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总配电室建筑材料必须达到三级防火要求，室内做硬地坪、电缆沟、吊顶。</w:t>
            </w:r>
          </w:p>
        </w:tc>
      </w:tr>
      <w:tr w14:paraId="5347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34761A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安全施工</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534761A6">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临边洞口交叉高处作业防护</w:t>
            </w:r>
          </w:p>
        </w:tc>
        <w:tc>
          <w:tcPr>
            <w:tcW w:w="1260" w:type="dxa"/>
            <w:tcBorders>
              <w:top w:val="single" w:color="auto" w:sz="4" w:space="0"/>
              <w:left w:val="single" w:color="auto" w:sz="4" w:space="0"/>
              <w:bottom w:val="single" w:color="auto" w:sz="4" w:space="0"/>
              <w:right w:val="single" w:color="auto" w:sz="4" w:space="0"/>
            </w:tcBorders>
            <w:vAlign w:val="center"/>
          </w:tcPr>
          <w:p w14:paraId="534761A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楼层、屋面、阳台等临边</w:t>
            </w:r>
          </w:p>
        </w:tc>
        <w:tc>
          <w:tcPr>
            <w:tcW w:w="6930" w:type="dxa"/>
            <w:tcBorders>
              <w:top w:val="single" w:color="auto" w:sz="4" w:space="0"/>
              <w:left w:val="single" w:color="auto" w:sz="4" w:space="0"/>
              <w:bottom w:val="single" w:color="auto" w:sz="4" w:space="0"/>
              <w:right w:val="single" w:color="auto" w:sz="4" w:space="0"/>
            </w:tcBorders>
            <w:vAlign w:val="center"/>
          </w:tcPr>
          <w:p w14:paraId="534761A8">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 xml:space="preserve">设两道防护栏杆和18cm高的踢脚板，用密目式安全立网全封闭。 </w:t>
            </w:r>
          </w:p>
        </w:tc>
      </w:tr>
      <w:tr w14:paraId="5347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AA">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AB">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AC">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通道口</w:t>
            </w:r>
          </w:p>
        </w:tc>
        <w:tc>
          <w:tcPr>
            <w:tcW w:w="6930" w:type="dxa"/>
            <w:tcBorders>
              <w:top w:val="single" w:color="auto" w:sz="4" w:space="0"/>
              <w:left w:val="single" w:color="auto" w:sz="4" w:space="0"/>
              <w:bottom w:val="single" w:color="auto" w:sz="4" w:space="0"/>
              <w:right w:val="single" w:color="auto" w:sz="4" w:space="0"/>
            </w:tcBorders>
            <w:vAlign w:val="center"/>
          </w:tcPr>
          <w:p w14:paraId="534761AD">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设防护棚，防护棚应为不小于5cm厚的木板或两道相距50cm的竹笆。两侧应沿栏杆架用密目式安全网封闭。</w:t>
            </w:r>
          </w:p>
        </w:tc>
      </w:tr>
      <w:tr w14:paraId="5347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AF">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B0">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B1">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预留洞口</w:t>
            </w:r>
          </w:p>
        </w:tc>
        <w:tc>
          <w:tcPr>
            <w:tcW w:w="6930" w:type="dxa"/>
            <w:tcBorders>
              <w:top w:val="single" w:color="auto" w:sz="4" w:space="0"/>
              <w:left w:val="single" w:color="auto" w:sz="4" w:space="0"/>
              <w:bottom w:val="single" w:color="auto" w:sz="4" w:space="0"/>
              <w:right w:val="single" w:color="auto" w:sz="4" w:space="0"/>
            </w:tcBorders>
            <w:vAlign w:val="center"/>
          </w:tcPr>
          <w:p w14:paraId="534761B2">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用硬质材料全封闭；短边超过1.5m长的洞口，除封闭外四周还应设有防护栏杆。</w:t>
            </w:r>
          </w:p>
        </w:tc>
      </w:tr>
      <w:tr w14:paraId="5347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B4">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B5">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B6">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电梯井口</w:t>
            </w:r>
          </w:p>
        </w:tc>
        <w:tc>
          <w:tcPr>
            <w:tcW w:w="6930" w:type="dxa"/>
            <w:tcBorders>
              <w:top w:val="single" w:color="auto" w:sz="4" w:space="0"/>
              <w:left w:val="single" w:color="auto" w:sz="4" w:space="0"/>
              <w:bottom w:val="single" w:color="auto" w:sz="4" w:space="0"/>
              <w:right w:val="single" w:color="auto" w:sz="4" w:space="0"/>
            </w:tcBorders>
            <w:vAlign w:val="center"/>
          </w:tcPr>
          <w:p w14:paraId="534761B7">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设置定型化、工具化的防护门。在电梯井内每隔2层（不大于10m）设置一道水平防护。</w:t>
            </w:r>
          </w:p>
        </w:tc>
      </w:tr>
      <w:tr w14:paraId="5347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B9">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BA">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BB">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楼梯边</w:t>
            </w:r>
          </w:p>
        </w:tc>
        <w:tc>
          <w:tcPr>
            <w:tcW w:w="6930" w:type="dxa"/>
            <w:tcBorders>
              <w:top w:val="single" w:color="auto" w:sz="4" w:space="0"/>
              <w:left w:val="single" w:color="auto" w:sz="4" w:space="0"/>
              <w:bottom w:val="single" w:color="auto" w:sz="4" w:space="0"/>
              <w:right w:val="single" w:color="auto" w:sz="4" w:space="0"/>
            </w:tcBorders>
            <w:vAlign w:val="center"/>
          </w:tcPr>
          <w:p w14:paraId="534761BC">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设1.2m高的定型化、工具化、标准化的防护栏，18cm高的踢脚板。</w:t>
            </w:r>
          </w:p>
        </w:tc>
      </w:tr>
      <w:tr w14:paraId="5347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BE">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BF">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C0">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垂直方向交叉作业</w:t>
            </w:r>
          </w:p>
        </w:tc>
        <w:tc>
          <w:tcPr>
            <w:tcW w:w="6930" w:type="dxa"/>
            <w:tcBorders>
              <w:top w:val="single" w:color="auto" w:sz="4" w:space="0"/>
              <w:left w:val="single" w:color="auto" w:sz="4" w:space="0"/>
              <w:bottom w:val="single" w:color="auto" w:sz="4" w:space="0"/>
              <w:right w:val="single" w:color="auto" w:sz="4" w:space="0"/>
            </w:tcBorders>
            <w:vAlign w:val="center"/>
          </w:tcPr>
          <w:p w14:paraId="534761C1">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设置防护隔离棚或其他设施。</w:t>
            </w:r>
          </w:p>
        </w:tc>
      </w:tr>
      <w:tr w14:paraId="5347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C3">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C4">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C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高空作业</w:t>
            </w:r>
          </w:p>
        </w:tc>
        <w:tc>
          <w:tcPr>
            <w:tcW w:w="6930" w:type="dxa"/>
            <w:tcBorders>
              <w:top w:val="single" w:color="auto" w:sz="4" w:space="0"/>
              <w:left w:val="single" w:color="auto" w:sz="4" w:space="0"/>
              <w:bottom w:val="single" w:color="auto" w:sz="4" w:space="0"/>
              <w:right w:val="single" w:color="auto" w:sz="4" w:space="0"/>
            </w:tcBorders>
            <w:vAlign w:val="center"/>
          </w:tcPr>
          <w:p w14:paraId="534761C6">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有悬挂安全带的悬索或其他设施；有操作平台；有上下的梯子或其他形式的通道。</w:t>
            </w:r>
          </w:p>
        </w:tc>
      </w:tr>
      <w:tr w14:paraId="5347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C8">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C9">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C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基坑、物料平台</w:t>
            </w:r>
          </w:p>
        </w:tc>
        <w:tc>
          <w:tcPr>
            <w:tcW w:w="6930" w:type="dxa"/>
            <w:tcBorders>
              <w:top w:val="single" w:color="auto" w:sz="4" w:space="0"/>
              <w:left w:val="single" w:color="auto" w:sz="4" w:space="0"/>
              <w:bottom w:val="single" w:color="auto" w:sz="4" w:space="0"/>
              <w:right w:val="single" w:color="auto" w:sz="4" w:space="0"/>
            </w:tcBorders>
            <w:vAlign w:val="center"/>
          </w:tcPr>
          <w:p w14:paraId="534761CB">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设1.2m高标准化的防护栏，用密目式安全立网封闭，悬挂标识。</w:t>
            </w:r>
          </w:p>
        </w:tc>
      </w:tr>
      <w:tr w14:paraId="5347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CD">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CE">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安全防护用品</w:t>
            </w:r>
          </w:p>
        </w:tc>
        <w:tc>
          <w:tcPr>
            <w:tcW w:w="6930" w:type="dxa"/>
            <w:tcBorders>
              <w:top w:val="single" w:color="auto" w:sz="4" w:space="0"/>
              <w:left w:val="single" w:color="auto" w:sz="4" w:space="0"/>
              <w:bottom w:val="single" w:color="auto" w:sz="4" w:space="0"/>
              <w:right w:val="single" w:color="auto" w:sz="4" w:space="0"/>
            </w:tcBorders>
            <w:vAlign w:val="center"/>
          </w:tcPr>
          <w:p w14:paraId="534761CF">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安全帽、安全带、特种作业人员（电工、焊工、架子工等）防护服装、用品等。</w:t>
            </w:r>
          </w:p>
        </w:tc>
      </w:tr>
      <w:tr w14:paraId="5347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34761D1">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其他</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534761D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机械设备防护</w:t>
            </w:r>
          </w:p>
        </w:tc>
        <w:tc>
          <w:tcPr>
            <w:tcW w:w="1260" w:type="dxa"/>
            <w:tcBorders>
              <w:top w:val="single" w:color="auto" w:sz="4" w:space="0"/>
              <w:left w:val="single" w:color="auto" w:sz="4" w:space="0"/>
              <w:bottom w:val="single" w:color="auto" w:sz="4" w:space="0"/>
              <w:right w:val="single" w:color="auto" w:sz="4" w:space="0"/>
            </w:tcBorders>
            <w:vAlign w:val="center"/>
          </w:tcPr>
          <w:p w14:paraId="534761D3">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中小型机械</w:t>
            </w:r>
          </w:p>
        </w:tc>
        <w:tc>
          <w:tcPr>
            <w:tcW w:w="6930" w:type="dxa"/>
            <w:tcBorders>
              <w:top w:val="single" w:color="auto" w:sz="4" w:space="0"/>
              <w:left w:val="single" w:color="auto" w:sz="4" w:space="0"/>
              <w:bottom w:val="single" w:color="auto" w:sz="4" w:space="0"/>
              <w:right w:val="single" w:color="auto" w:sz="4" w:space="0"/>
            </w:tcBorders>
            <w:vAlign w:val="center"/>
          </w:tcPr>
          <w:p w14:paraId="534761D4">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设防护棚（同通道口防护并有防雨措施）。</w:t>
            </w:r>
          </w:p>
        </w:tc>
      </w:tr>
      <w:tr w14:paraId="534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D6">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D7">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D8">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垂直运输设备防护</w:t>
            </w:r>
          </w:p>
        </w:tc>
        <w:tc>
          <w:tcPr>
            <w:tcW w:w="6930" w:type="dxa"/>
            <w:tcBorders>
              <w:top w:val="single" w:color="auto" w:sz="4" w:space="0"/>
              <w:left w:val="single" w:color="auto" w:sz="4" w:space="0"/>
              <w:bottom w:val="single" w:color="auto" w:sz="4" w:space="0"/>
              <w:right w:val="single" w:color="auto" w:sz="4" w:space="0"/>
            </w:tcBorders>
            <w:vAlign w:val="center"/>
          </w:tcPr>
          <w:p w14:paraId="534761D9">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（1）垂直运输设备检测、检验。</w:t>
            </w:r>
          </w:p>
          <w:p w14:paraId="534761DA">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（2）物料提升机、施工电梯等物料平台搭设、外侧用密目式安全立网全封闭，安全防护门、防护棚等。</w:t>
            </w:r>
          </w:p>
        </w:tc>
      </w:tr>
      <w:tr w14:paraId="5347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DC">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DD">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专家论证审查</w:t>
            </w:r>
          </w:p>
        </w:tc>
        <w:tc>
          <w:tcPr>
            <w:tcW w:w="6930" w:type="dxa"/>
            <w:tcBorders>
              <w:top w:val="single" w:color="auto" w:sz="4" w:space="0"/>
              <w:left w:val="single" w:color="auto" w:sz="4" w:space="0"/>
              <w:bottom w:val="single" w:color="auto" w:sz="4" w:space="0"/>
              <w:right w:val="single" w:color="auto" w:sz="4" w:space="0"/>
            </w:tcBorders>
            <w:vAlign w:val="center"/>
          </w:tcPr>
          <w:p w14:paraId="534761DE">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超过一定规模的危险性较大分部分项工程专家论证审查。</w:t>
            </w:r>
          </w:p>
        </w:tc>
      </w:tr>
      <w:tr w14:paraId="5347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E0">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E1">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应急救援预案</w:t>
            </w:r>
          </w:p>
        </w:tc>
        <w:tc>
          <w:tcPr>
            <w:tcW w:w="6930" w:type="dxa"/>
            <w:tcBorders>
              <w:top w:val="single" w:color="auto" w:sz="4" w:space="0"/>
              <w:left w:val="single" w:color="auto" w:sz="4" w:space="0"/>
              <w:bottom w:val="single" w:color="auto" w:sz="4" w:space="0"/>
              <w:right w:val="single" w:color="auto" w:sz="4" w:space="0"/>
            </w:tcBorders>
            <w:vAlign w:val="center"/>
          </w:tcPr>
          <w:p w14:paraId="534761E2">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救援器材准备及演练等。</w:t>
            </w:r>
          </w:p>
        </w:tc>
      </w:tr>
      <w:tr w14:paraId="53476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E4">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E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非正常情况施工</w:t>
            </w:r>
          </w:p>
        </w:tc>
        <w:tc>
          <w:tcPr>
            <w:tcW w:w="6930" w:type="dxa"/>
            <w:tcBorders>
              <w:top w:val="single" w:color="auto" w:sz="4" w:space="0"/>
              <w:left w:val="single" w:color="auto" w:sz="4" w:space="0"/>
              <w:bottom w:val="single" w:color="auto" w:sz="4" w:space="0"/>
              <w:right w:val="single" w:color="auto" w:sz="4" w:space="0"/>
            </w:tcBorders>
            <w:vAlign w:val="center"/>
          </w:tcPr>
          <w:p w14:paraId="534761E6">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其它特殊情况下的防护费用，如：城市主干道、人流密集、河边等处施工及文物、古建筑、古树保护等。</w:t>
            </w:r>
          </w:p>
        </w:tc>
      </w:tr>
    </w:tbl>
    <w:p w14:paraId="534761E8">
      <w:pPr>
        <w:spacing w:line="360" w:lineRule="auto"/>
        <w:ind w:firstLine="480" w:firstLineChars="200"/>
        <w:rPr>
          <w:rFonts w:ascii="宋体" w:hAnsi="宋体" w:cs="宋体"/>
          <w:color w:val="auto"/>
          <w:sz w:val="24"/>
          <w:highlight w:val="none"/>
        </w:rPr>
      </w:pPr>
    </w:p>
    <w:p w14:paraId="534761E9">
      <w:pPr>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注：本表所列建筑工程安全、文明施工，是依据现行法律法规及标准规范确定的。如法律法规和标准规范修订，本表所列项目应按照修订后的法律法规和标准规范进行调整。</w:t>
      </w:r>
    </w:p>
    <w:p w14:paraId="534761EA">
      <w:pPr>
        <w:pStyle w:val="18"/>
        <w:spacing w:line="360" w:lineRule="auto"/>
        <w:rPr>
          <w:rFonts w:ascii="宋体" w:hAnsi="宋体"/>
          <w:color w:val="auto"/>
          <w:highlight w:val="none"/>
        </w:rPr>
      </w:pPr>
    </w:p>
    <w:p w14:paraId="534761EB">
      <w:pPr>
        <w:pStyle w:val="26"/>
        <w:spacing w:line="360" w:lineRule="auto"/>
        <w:rPr>
          <w:rFonts w:ascii="宋体" w:hAnsi="宋体"/>
          <w:color w:val="auto"/>
          <w:highlight w:val="none"/>
        </w:rPr>
      </w:pPr>
    </w:p>
    <w:p w14:paraId="534761EC">
      <w:pPr>
        <w:pStyle w:val="22"/>
        <w:spacing w:line="360" w:lineRule="auto"/>
        <w:rPr>
          <w:rFonts w:hAnsi="宋体"/>
          <w:color w:val="auto"/>
          <w:highlight w:val="none"/>
        </w:rPr>
        <w:sectPr>
          <w:pgSz w:w="11906" w:h="16838"/>
          <w:pgMar w:top="1247" w:right="1247" w:bottom="1247" w:left="1247" w:header="851" w:footer="992" w:gutter="0"/>
          <w:cols w:space="720" w:num="1"/>
          <w:titlePg/>
          <w:docGrid w:linePitch="312" w:charSpace="0"/>
        </w:sectPr>
      </w:pPr>
    </w:p>
    <w:p w14:paraId="534761ED">
      <w:p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附件13</w:t>
      </w:r>
    </w:p>
    <w:p w14:paraId="534761EE">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中小企业声明函（工程）</w:t>
      </w:r>
    </w:p>
    <w:p w14:paraId="534761EF">
      <w:pPr>
        <w:spacing w:line="360" w:lineRule="auto"/>
        <w:ind w:firstLine="708" w:firstLineChars="294"/>
        <w:rPr>
          <w:rFonts w:ascii="宋体" w:hAnsi="宋体" w:cs="宋体"/>
          <w:b/>
          <w:bCs/>
          <w:color w:val="auto"/>
          <w:sz w:val="24"/>
          <w:highlight w:val="none"/>
        </w:rPr>
      </w:pPr>
    </w:p>
    <w:p w14:paraId="534761F0">
      <w:pPr>
        <w:spacing w:line="360" w:lineRule="auto"/>
        <w:ind w:firstLine="420"/>
        <w:rPr>
          <w:rFonts w:ascii="宋体" w:hAnsi="宋体"/>
          <w:bCs/>
          <w:color w:val="auto"/>
          <w:sz w:val="24"/>
          <w:highlight w:val="none"/>
        </w:rPr>
      </w:pPr>
      <w:r>
        <w:rPr>
          <w:rFonts w:ascii="宋体" w:hAnsi="宋体"/>
          <w:bCs/>
          <w:color w:val="auto"/>
          <w:sz w:val="24"/>
          <w:highlight w:val="none"/>
        </w:rPr>
        <w:t>本公司（联合体）郑重声明，根据《政府采购促进中小企业发展管理办法》（财库﹝2020﹞46 号）的规定，本公司（联合体）参加</w:t>
      </w:r>
      <w:r>
        <w:rPr>
          <w:rFonts w:ascii="宋体" w:hAnsi="宋体"/>
          <w:bCs/>
          <w:color w:val="auto"/>
          <w:sz w:val="24"/>
          <w:highlight w:val="none"/>
          <w:u w:val="single"/>
        </w:rPr>
        <w:t>（单位名称）</w:t>
      </w:r>
      <w:r>
        <w:rPr>
          <w:rFonts w:ascii="宋体" w:hAnsi="宋体"/>
          <w:bCs/>
          <w:color w:val="auto"/>
          <w:sz w:val="24"/>
          <w:highlight w:val="none"/>
        </w:rPr>
        <w:t>的</w:t>
      </w:r>
      <w:r>
        <w:rPr>
          <w:rFonts w:ascii="宋体" w:hAnsi="宋体"/>
          <w:bCs/>
          <w:color w:val="auto"/>
          <w:sz w:val="24"/>
          <w:highlight w:val="none"/>
          <w:u w:val="single"/>
        </w:rPr>
        <w:t>（项目名称）</w:t>
      </w:r>
      <w:r>
        <w:rPr>
          <w:rFonts w:ascii="宋体" w:hAnsi="宋体"/>
          <w:bCs/>
          <w:color w:val="auto"/>
          <w:sz w:val="24"/>
          <w:highlight w:val="none"/>
        </w:rPr>
        <w:t>采购活动，工程的施工单位全部为符合政策要求的中小企业。相关企业（含联合体中的中小企业、签订分包意向协议的中小企业）的具体情况如下：</w:t>
      </w:r>
    </w:p>
    <w:p w14:paraId="534761F1">
      <w:pPr>
        <w:spacing w:line="360" w:lineRule="auto"/>
        <w:ind w:firstLine="420"/>
        <w:rPr>
          <w:rFonts w:ascii="宋体" w:hAns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u w:val="single"/>
        </w:rPr>
        <w:t>（标的名称）</w:t>
      </w:r>
      <w:r>
        <w:rPr>
          <w:rFonts w:hint="eastAsia" w:ascii="宋体" w:hAnsi="宋体"/>
          <w:bCs/>
          <w:color w:val="auto"/>
          <w:sz w:val="24"/>
          <w:highlight w:val="none"/>
        </w:rPr>
        <w:t>，属于</w:t>
      </w:r>
      <w:r>
        <w:rPr>
          <w:rFonts w:hint="eastAsia" w:ascii="宋体" w:hAnsi="宋体"/>
          <w:bCs/>
          <w:color w:val="auto"/>
          <w:sz w:val="24"/>
          <w:highlight w:val="none"/>
          <w:u w:val="single"/>
        </w:rPr>
        <w:t>（采购文件中明确的所属行业）</w:t>
      </w:r>
      <w:r>
        <w:rPr>
          <w:rFonts w:hint="eastAsia" w:ascii="宋体" w:hAnsi="宋体"/>
          <w:bCs/>
          <w:color w:val="auto"/>
          <w:sz w:val="24"/>
          <w:highlight w:val="none"/>
        </w:rPr>
        <w:t>行业；承建企业为</w:t>
      </w:r>
      <w:r>
        <w:rPr>
          <w:rFonts w:hint="eastAsia" w:ascii="宋体" w:hAnsi="宋体"/>
          <w:bCs/>
          <w:color w:val="auto"/>
          <w:sz w:val="24"/>
          <w:highlight w:val="none"/>
          <w:u w:val="single"/>
        </w:rPr>
        <w:t>（企业名称）</w:t>
      </w:r>
      <w:r>
        <w:rPr>
          <w:rFonts w:hint="eastAsia" w:ascii="宋体" w:hAnsi="宋体"/>
          <w:bCs/>
          <w:color w:val="auto"/>
          <w:sz w:val="24"/>
          <w:highlight w:val="none"/>
        </w:rPr>
        <w:t>，从业人员</w:t>
      </w:r>
      <w:r>
        <w:rPr>
          <w:rFonts w:ascii="宋体" w:hAnsi="宋体"/>
          <w:bCs/>
          <w:color w:val="auto"/>
          <w:sz w:val="24"/>
          <w:highlight w:val="none"/>
          <w:u w:val="single"/>
        </w:rPr>
        <w:t xml:space="preserve">    </w:t>
      </w:r>
      <w:r>
        <w:rPr>
          <w:rFonts w:hint="eastAsia" w:ascii="宋体" w:hAnsi="宋体"/>
          <w:bCs/>
          <w:color w:val="auto"/>
          <w:sz w:val="24"/>
          <w:highlight w:val="none"/>
        </w:rPr>
        <w:t>人，营业收入为</w:t>
      </w:r>
      <w:r>
        <w:rPr>
          <w:rFonts w:ascii="宋体" w:hAnsi="宋体"/>
          <w:bCs/>
          <w:color w:val="auto"/>
          <w:sz w:val="24"/>
          <w:highlight w:val="none"/>
          <w:u w:val="single"/>
        </w:rPr>
        <w:t xml:space="preserve">    </w:t>
      </w:r>
      <w:r>
        <w:rPr>
          <w:rFonts w:hint="eastAsia" w:ascii="宋体" w:hAnsi="宋体"/>
          <w:bCs/>
          <w:color w:val="auto"/>
          <w:sz w:val="24"/>
          <w:highlight w:val="none"/>
        </w:rPr>
        <w:t>万元，资产总额为</w:t>
      </w:r>
      <w:r>
        <w:rPr>
          <w:rFonts w:ascii="宋体" w:hAnsi="宋体"/>
          <w:bCs/>
          <w:color w:val="auto"/>
          <w:sz w:val="24"/>
          <w:highlight w:val="none"/>
          <w:u w:val="single"/>
        </w:rPr>
        <w:t xml:space="preserve">    </w:t>
      </w:r>
      <w:r>
        <w:rPr>
          <w:rFonts w:hint="eastAsia" w:ascii="宋体" w:hAnsi="宋体"/>
          <w:bCs/>
          <w:color w:val="auto"/>
          <w:sz w:val="24"/>
          <w:highlight w:val="none"/>
        </w:rPr>
        <w:t>万元，属于</w:t>
      </w:r>
      <w:r>
        <w:rPr>
          <w:rFonts w:hint="eastAsia" w:ascii="宋体" w:hAnsi="宋体"/>
          <w:bCs/>
          <w:color w:val="auto"/>
          <w:sz w:val="24"/>
          <w:highlight w:val="none"/>
          <w:u w:val="single"/>
        </w:rPr>
        <w:t>（中型企业、小型企业、微型企业）</w:t>
      </w:r>
      <w:r>
        <w:rPr>
          <w:rFonts w:hint="eastAsia" w:ascii="宋体" w:hAnsi="宋体"/>
          <w:bCs/>
          <w:color w:val="auto"/>
          <w:sz w:val="24"/>
          <w:highlight w:val="none"/>
        </w:rPr>
        <w:t>；</w:t>
      </w:r>
    </w:p>
    <w:p w14:paraId="534761F2">
      <w:pPr>
        <w:spacing w:line="360" w:lineRule="auto"/>
        <w:ind w:firstLine="420"/>
        <w:rPr>
          <w:rFonts w:ascii="宋体" w:hAnsi="宋体"/>
          <w:bCs/>
          <w:color w:val="auto"/>
          <w:sz w:val="24"/>
          <w:highlight w:val="none"/>
        </w:rPr>
      </w:pPr>
      <w:r>
        <w:rPr>
          <w:rFonts w:ascii="宋体" w:hAnsi="宋体"/>
          <w:bCs/>
          <w:color w:val="auto"/>
          <w:sz w:val="24"/>
          <w:highlight w:val="none"/>
        </w:rPr>
        <w:t>2.</w:t>
      </w:r>
      <w:r>
        <w:rPr>
          <w:rFonts w:hint="eastAsia" w:ascii="宋体" w:hAnsi="宋体"/>
          <w:bCs/>
          <w:color w:val="auto"/>
          <w:sz w:val="24"/>
          <w:highlight w:val="none"/>
          <w:u w:val="single"/>
        </w:rPr>
        <w:t>（标的名称）</w:t>
      </w:r>
      <w:r>
        <w:rPr>
          <w:rFonts w:hint="eastAsia" w:ascii="宋体" w:hAnsi="宋体"/>
          <w:bCs/>
          <w:color w:val="auto"/>
          <w:sz w:val="24"/>
          <w:highlight w:val="none"/>
        </w:rPr>
        <w:t>，属于</w:t>
      </w:r>
      <w:r>
        <w:rPr>
          <w:rFonts w:hint="eastAsia" w:ascii="宋体" w:hAnsi="宋体"/>
          <w:bCs/>
          <w:color w:val="auto"/>
          <w:sz w:val="24"/>
          <w:highlight w:val="none"/>
          <w:u w:val="single"/>
        </w:rPr>
        <w:t>（采购文件中明确的所属行业）</w:t>
      </w:r>
      <w:r>
        <w:rPr>
          <w:rFonts w:hint="eastAsia" w:ascii="宋体" w:hAnsi="宋体"/>
          <w:bCs/>
          <w:color w:val="auto"/>
          <w:sz w:val="24"/>
          <w:highlight w:val="none"/>
        </w:rPr>
        <w:t>行业；承建企业为</w:t>
      </w:r>
      <w:r>
        <w:rPr>
          <w:rFonts w:hint="eastAsia" w:ascii="宋体" w:hAnsi="宋体"/>
          <w:bCs/>
          <w:color w:val="auto"/>
          <w:sz w:val="24"/>
          <w:highlight w:val="none"/>
          <w:u w:val="single"/>
        </w:rPr>
        <w:t>（企业名称）</w:t>
      </w:r>
      <w:r>
        <w:rPr>
          <w:rFonts w:hint="eastAsia" w:ascii="宋体" w:hAnsi="宋体"/>
          <w:bCs/>
          <w:color w:val="auto"/>
          <w:sz w:val="24"/>
          <w:highlight w:val="none"/>
        </w:rPr>
        <w:t>，从业人员</w:t>
      </w:r>
      <w:r>
        <w:rPr>
          <w:rFonts w:ascii="宋体" w:hAnsi="宋体"/>
          <w:bCs/>
          <w:color w:val="auto"/>
          <w:sz w:val="24"/>
          <w:highlight w:val="none"/>
          <w:u w:val="single"/>
        </w:rPr>
        <w:t xml:space="preserve">    </w:t>
      </w:r>
      <w:r>
        <w:rPr>
          <w:rFonts w:hint="eastAsia" w:ascii="宋体" w:hAnsi="宋体"/>
          <w:bCs/>
          <w:color w:val="auto"/>
          <w:sz w:val="24"/>
          <w:highlight w:val="none"/>
        </w:rPr>
        <w:t>人，营业收入为</w:t>
      </w:r>
      <w:r>
        <w:rPr>
          <w:rFonts w:ascii="宋体" w:hAnsi="宋体"/>
          <w:bCs/>
          <w:color w:val="auto"/>
          <w:sz w:val="24"/>
          <w:highlight w:val="none"/>
          <w:u w:val="single"/>
        </w:rPr>
        <w:t xml:space="preserve">    </w:t>
      </w:r>
      <w:r>
        <w:rPr>
          <w:rFonts w:hint="eastAsia" w:ascii="宋体" w:hAnsi="宋体"/>
          <w:bCs/>
          <w:color w:val="auto"/>
          <w:sz w:val="24"/>
          <w:highlight w:val="none"/>
        </w:rPr>
        <w:t>万元，资产总额为</w:t>
      </w:r>
      <w:r>
        <w:rPr>
          <w:rFonts w:ascii="宋体" w:hAnsi="宋体"/>
          <w:bCs/>
          <w:color w:val="auto"/>
          <w:sz w:val="24"/>
          <w:highlight w:val="none"/>
          <w:u w:val="single"/>
        </w:rPr>
        <w:t xml:space="preserve">    </w:t>
      </w:r>
      <w:r>
        <w:rPr>
          <w:rFonts w:hint="eastAsia" w:ascii="宋体" w:hAnsi="宋体"/>
          <w:bCs/>
          <w:color w:val="auto"/>
          <w:sz w:val="24"/>
          <w:highlight w:val="none"/>
        </w:rPr>
        <w:t>万元，属于</w:t>
      </w:r>
      <w:r>
        <w:rPr>
          <w:rFonts w:hint="eastAsia" w:ascii="宋体" w:hAnsi="宋体"/>
          <w:bCs/>
          <w:color w:val="auto"/>
          <w:sz w:val="24"/>
          <w:highlight w:val="none"/>
          <w:u w:val="single"/>
        </w:rPr>
        <w:t>（中型企业、小型企业、微型企业）</w:t>
      </w:r>
      <w:r>
        <w:rPr>
          <w:rFonts w:hint="eastAsia" w:ascii="宋体" w:hAnsi="宋体"/>
          <w:bCs/>
          <w:color w:val="auto"/>
          <w:sz w:val="24"/>
          <w:highlight w:val="none"/>
        </w:rPr>
        <w:t>；</w:t>
      </w:r>
    </w:p>
    <w:p w14:paraId="534761F3">
      <w:pPr>
        <w:spacing w:line="360" w:lineRule="auto"/>
        <w:ind w:firstLine="420"/>
        <w:rPr>
          <w:rFonts w:ascii="宋体" w:hAnsi="宋体"/>
          <w:bCs/>
          <w:color w:val="auto"/>
          <w:sz w:val="24"/>
          <w:highlight w:val="none"/>
        </w:rPr>
      </w:pPr>
      <w:r>
        <w:rPr>
          <w:rFonts w:hint="eastAsia" w:ascii="宋体" w:hAnsi="宋体"/>
          <w:bCs/>
          <w:color w:val="auto"/>
          <w:sz w:val="24"/>
          <w:highlight w:val="none"/>
        </w:rPr>
        <w:t>……</w:t>
      </w:r>
    </w:p>
    <w:p w14:paraId="534761F4">
      <w:pPr>
        <w:spacing w:line="360" w:lineRule="auto"/>
        <w:ind w:firstLine="420"/>
        <w:rPr>
          <w:rFonts w:ascii="宋体" w:hAnsi="宋体"/>
          <w:bCs/>
          <w:color w:val="auto"/>
          <w:sz w:val="24"/>
          <w:highlight w:val="none"/>
        </w:rPr>
      </w:pPr>
      <w:r>
        <w:rPr>
          <w:rFonts w:hint="eastAsia" w:ascii="宋体" w:hAnsi="宋体"/>
          <w:bCs/>
          <w:color w:val="auto"/>
          <w:sz w:val="24"/>
          <w:highlight w:val="none"/>
        </w:rPr>
        <w:t>以上企业，不属于大企业的分支机构，不存在控股股东为大企业的情形，也不存在与大企业的负责人为同一人的情形。</w:t>
      </w:r>
    </w:p>
    <w:p w14:paraId="534761F5">
      <w:pPr>
        <w:spacing w:line="360" w:lineRule="auto"/>
        <w:ind w:firstLine="420"/>
        <w:rPr>
          <w:rFonts w:ascii="宋体" w:hAnsi="宋体"/>
          <w:bCs/>
          <w:color w:val="auto"/>
          <w:sz w:val="24"/>
          <w:highlight w:val="none"/>
        </w:rPr>
      </w:pPr>
      <w:r>
        <w:rPr>
          <w:rFonts w:hint="eastAsia" w:ascii="宋体" w:hAnsi="宋体"/>
          <w:bCs/>
          <w:color w:val="auto"/>
          <w:sz w:val="24"/>
          <w:highlight w:val="none"/>
        </w:rPr>
        <w:t>本企业对上述声明内容的真实性负责。如有虚假，将依法承担相应责任。</w:t>
      </w:r>
    </w:p>
    <w:p w14:paraId="534761F6">
      <w:pPr>
        <w:adjustRightInd w:val="0"/>
        <w:snapToGrid w:val="0"/>
        <w:spacing w:line="360" w:lineRule="auto"/>
        <w:ind w:firstLine="4200" w:firstLineChars="1750"/>
        <w:jc w:val="left"/>
        <w:rPr>
          <w:rFonts w:ascii="宋体" w:hAnsi="宋体"/>
          <w:color w:val="auto"/>
          <w:sz w:val="24"/>
          <w:highlight w:val="none"/>
        </w:rPr>
      </w:pPr>
    </w:p>
    <w:p w14:paraId="534761F7">
      <w:pPr>
        <w:adjustRightInd w:val="0"/>
        <w:snapToGrid w:val="0"/>
        <w:spacing w:line="360" w:lineRule="auto"/>
        <w:ind w:firstLine="4200" w:firstLineChars="1750"/>
        <w:jc w:val="left"/>
        <w:rPr>
          <w:rFonts w:ascii="宋体" w:hAnsi="宋体"/>
          <w:color w:val="auto"/>
          <w:sz w:val="24"/>
          <w:highlight w:val="none"/>
        </w:rPr>
      </w:pPr>
      <w:r>
        <w:rPr>
          <w:rFonts w:hint="eastAsia" w:ascii="宋体" w:hAnsi="宋体"/>
          <w:color w:val="auto"/>
          <w:sz w:val="24"/>
          <w:highlight w:val="none"/>
        </w:rPr>
        <w:t xml:space="preserve">供应商名称（公章）：                          </w:t>
      </w:r>
    </w:p>
    <w:p w14:paraId="534761F8">
      <w:pPr>
        <w:spacing w:line="360" w:lineRule="auto"/>
        <w:ind w:firstLine="3600" w:firstLineChars="1500"/>
        <w:rPr>
          <w:rFonts w:ascii="宋体" w:hAnsi="宋体"/>
          <w:bCs/>
          <w:color w:val="auto"/>
          <w:sz w:val="24"/>
          <w:highlight w:val="none"/>
        </w:rPr>
      </w:pPr>
      <w:r>
        <w:rPr>
          <w:rFonts w:hint="eastAsia" w:ascii="宋体" w:hAnsi="宋体"/>
          <w:color w:val="auto"/>
          <w:sz w:val="24"/>
          <w:highlight w:val="none"/>
        </w:rPr>
        <w:t xml:space="preserve">     日期：  年   月   日</w:t>
      </w:r>
    </w:p>
    <w:p w14:paraId="534761F9">
      <w:pPr>
        <w:spacing w:line="360" w:lineRule="auto"/>
        <w:jc w:val="left"/>
        <w:rPr>
          <w:rFonts w:ascii="宋体" w:hAnsi="宋体"/>
          <w:bCs/>
          <w:color w:val="auto"/>
          <w:sz w:val="24"/>
          <w:highlight w:val="none"/>
        </w:rPr>
      </w:pPr>
      <w:r>
        <w:rPr>
          <w:rFonts w:hint="eastAsia" w:ascii="宋体" w:hAnsi="宋体"/>
          <w:bCs/>
          <w:color w:val="auto"/>
          <w:sz w:val="24"/>
          <w:highlight w:val="none"/>
        </w:rPr>
        <w:t>注：（</w:t>
      </w:r>
      <w:r>
        <w:rPr>
          <w:rFonts w:ascii="宋体" w:hAnsi="宋体"/>
          <w:bCs/>
          <w:color w:val="auto"/>
          <w:sz w:val="24"/>
          <w:highlight w:val="none"/>
        </w:rPr>
        <w:t>1</w:t>
      </w:r>
      <w:r>
        <w:rPr>
          <w:rFonts w:hint="eastAsia" w:ascii="宋体" w:hAnsi="宋体"/>
          <w:bCs/>
          <w:color w:val="auto"/>
          <w:sz w:val="24"/>
          <w:highlight w:val="none"/>
        </w:rPr>
        <w:t>）如磋商供应商为联合体或分包的，声明函中“项目名称”应填写联合体中中小企业承担的具体内容或者中小企业具体分包内容。</w:t>
      </w:r>
    </w:p>
    <w:p w14:paraId="534761FA">
      <w:pPr>
        <w:spacing w:line="360" w:lineRule="auto"/>
        <w:jc w:val="left"/>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2</w:t>
      </w:r>
      <w:r>
        <w:rPr>
          <w:rFonts w:hint="eastAsia" w:ascii="宋体" w:hAnsi="宋体"/>
          <w:bCs/>
          <w:color w:val="auto"/>
          <w:sz w:val="24"/>
          <w:highlight w:val="none"/>
        </w:rPr>
        <w:t>）请根据真实情况出具《中小企业声明函》。</w:t>
      </w:r>
      <w:r>
        <w:rPr>
          <w:rFonts w:hint="eastAsia" w:ascii="宋体" w:hAnsi="宋体"/>
          <w:color w:val="auto"/>
          <w:sz w:val="24"/>
          <w:highlight w:val="none"/>
        </w:rPr>
        <w:t>成交候选人享受《政府采购促进中小企业发展管理办法》（财库〔2020〕46号）</w:t>
      </w:r>
      <w:r>
        <w:rPr>
          <w:rFonts w:hint="eastAsia" w:ascii="宋体" w:hAnsi="宋体" w:cs="宋体"/>
          <w:color w:val="auto"/>
          <w:sz w:val="24"/>
          <w:highlight w:val="none"/>
        </w:rPr>
        <w:t>、</w:t>
      </w:r>
      <w:r>
        <w:rPr>
          <w:rFonts w:hint="eastAsia" w:ascii="宋体" w:hAnsi="宋体" w:cs="宋体"/>
          <w:color w:val="auto"/>
          <w:sz w:val="24"/>
          <w:highlight w:val="none"/>
          <w:lang w:bidi="ar"/>
        </w:rPr>
        <w:t>财政部《关于进一步加大政府采购支持中小企业力度的通知》（财库〔2022〕19号）</w:t>
      </w:r>
      <w:r>
        <w:rPr>
          <w:rFonts w:hint="eastAsia" w:ascii="宋体" w:hAnsi="宋体"/>
          <w:color w:val="auto"/>
          <w:sz w:val="24"/>
          <w:highlight w:val="none"/>
        </w:rPr>
        <w:t>规定的中小企业扶持政策的，采购人、采购代理机构应当随成交结果公开成交供应商的《中小企业声明函》</w:t>
      </w:r>
      <w:r>
        <w:rPr>
          <w:rFonts w:hint="eastAsia" w:ascii="宋体" w:hAnsi="宋体"/>
          <w:bCs/>
          <w:color w:val="auto"/>
          <w:sz w:val="24"/>
          <w:highlight w:val="none"/>
        </w:rPr>
        <w:t>，接受社会监督。</w:t>
      </w:r>
    </w:p>
    <w:p w14:paraId="534761FB">
      <w:pPr>
        <w:spacing w:line="360" w:lineRule="auto"/>
        <w:jc w:val="left"/>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3</w:t>
      </w:r>
      <w:r>
        <w:rPr>
          <w:rFonts w:hint="eastAsia" w:ascii="宋体" w:hAnsi="宋体"/>
          <w:bCs/>
          <w:color w:val="auto"/>
          <w:sz w:val="24"/>
          <w:highlight w:val="none"/>
        </w:rPr>
        <w:t>）从业人员、营业收入、资产总额填报上一年度数据，无上一年度数据的新成立企业可不填报。</w:t>
      </w:r>
    </w:p>
    <w:p w14:paraId="534761FC">
      <w:pPr>
        <w:rPr>
          <w:rFonts w:ascii="宋体" w:hAnsi="宋体"/>
          <w:bCs/>
          <w:color w:val="auto"/>
          <w:sz w:val="24"/>
          <w:highlight w:val="none"/>
        </w:rPr>
      </w:pPr>
      <w:r>
        <w:rPr>
          <w:rFonts w:hint="eastAsia" w:ascii="宋体" w:hAnsi="宋体"/>
          <w:bCs/>
          <w:color w:val="auto"/>
          <w:sz w:val="24"/>
          <w:highlight w:val="none"/>
        </w:rPr>
        <w:br w:type="page"/>
      </w:r>
    </w:p>
    <w:p w14:paraId="534761FD">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附件14</w:t>
      </w:r>
    </w:p>
    <w:p w14:paraId="534761FE">
      <w:pPr>
        <w:widowControl/>
        <w:shd w:val="clear" w:color="auto" w:fill="FFFFFF"/>
        <w:spacing w:before="100" w:after="100" w:line="480" w:lineRule="atLeast"/>
        <w:jc w:val="center"/>
        <w:outlineLvl w:val="0"/>
        <w:rPr>
          <w:rFonts w:ascii="宋体" w:hAnsi="宋体" w:cs="宋体"/>
          <w:b/>
          <w:bCs/>
          <w:color w:val="auto"/>
          <w:kern w:val="0"/>
          <w:sz w:val="28"/>
          <w:szCs w:val="28"/>
          <w:highlight w:val="none"/>
        </w:rPr>
      </w:pPr>
      <w:bookmarkStart w:id="34" w:name="_Toc24358"/>
      <w:r>
        <w:rPr>
          <w:rFonts w:hint="eastAsia" w:ascii="宋体" w:hAnsi="宋体" w:cs="宋体"/>
          <w:b/>
          <w:bCs/>
          <w:color w:val="auto"/>
          <w:kern w:val="0"/>
          <w:sz w:val="28"/>
          <w:szCs w:val="28"/>
          <w:highlight w:val="none"/>
          <w:shd w:val="clear" w:color="auto" w:fill="FFFFFF"/>
        </w:rPr>
        <w:t>统计上大中小微型企业划分标准</w:t>
      </w:r>
      <w:bookmarkEnd w:id="34"/>
    </w:p>
    <w:tbl>
      <w:tblPr>
        <w:tblStyle w:val="37"/>
        <w:tblW w:w="9000" w:type="dxa"/>
        <w:jc w:val="center"/>
        <w:tblLayout w:type="fixed"/>
        <w:tblCellMar>
          <w:top w:w="0" w:type="dxa"/>
          <w:left w:w="0" w:type="dxa"/>
          <w:bottom w:w="0" w:type="dxa"/>
          <w:right w:w="0" w:type="dxa"/>
        </w:tblCellMar>
      </w:tblPr>
      <w:tblGrid>
        <w:gridCol w:w="1755"/>
        <w:gridCol w:w="1361"/>
        <w:gridCol w:w="1123"/>
        <w:gridCol w:w="891"/>
        <w:gridCol w:w="1500"/>
        <w:gridCol w:w="1470"/>
        <w:gridCol w:w="900"/>
      </w:tblGrid>
      <w:tr w14:paraId="53476206">
        <w:tblPrEx>
          <w:tblCellMar>
            <w:top w:w="0" w:type="dxa"/>
            <w:left w:w="0" w:type="dxa"/>
            <w:bottom w:w="0" w:type="dxa"/>
            <w:right w:w="0" w:type="dxa"/>
          </w:tblCellMar>
        </w:tblPrEx>
        <w:trPr>
          <w:trHeight w:val="497" w:hRule="atLeast"/>
          <w:jc w:val="center"/>
        </w:trPr>
        <w:tc>
          <w:tcPr>
            <w:tcW w:w="1755"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1FF">
            <w:pPr>
              <w:widowControl/>
              <w:jc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行业名称</w:t>
            </w:r>
          </w:p>
        </w:tc>
        <w:tc>
          <w:tcPr>
            <w:tcW w:w="1361"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200">
            <w:pPr>
              <w:widowControl/>
              <w:jc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指标名称</w:t>
            </w:r>
          </w:p>
        </w:tc>
        <w:tc>
          <w:tcPr>
            <w:tcW w:w="1123"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201">
            <w:pPr>
              <w:widowControl/>
              <w:jc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计量单位</w:t>
            </w:r>
          </w:p>
        </w:tc>
        <w:tc>
          <w:tcPr>
            <w:tcW w:w="891"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202">
            <w:pPr>
              <w:widowControl/>
              <w:jc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大型</w:t>
            </w:r>
          </w:p>
        </w:tc>
        <w:tc>
          <w:tcPr>
            <w:tcW w:w="1500"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203">
            <w:pPr>
              <w:widowControl/>
              <w:jc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中型</w:t>
            </w:r>
          </w:p>
        </w:tc>
        <w:tc>
          <w:tcPr>
            <w:tcW w:w="1470"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204">
            <w:pPr>
              <w:widowControl/>
              <w:jc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小型</w:t>
            </w:r>
          </w:p>
        </w:tc>
        <w:tc>
          <w:tcPr>
            <w:tcW w:w="900"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205">
            <w:pPr>
              <w:widowControl/>
              <w:jc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微型</w:t>
            </w:r>
          </w:p>
        </w:tc>
      </w:tr>
      <w:tr w14:paraId="5347620E">
        <w:tblPrEx>
          <w:tblCellMar>
            <w:top w:w="0" w:type="dxa"/>
            <w:left w:w="0" w:type="dxa"/>
            <w:bottom w:w="0" w:type="dxa"/>
            <w:right w:w="0" w:type="dxa"/>
          </w:tblCellMar>
        </w:tblPrEx>
        <w:trPr>
          <w:jc w:val="center"/>
        </w:trPr>
        <w:tc>
          <w:tcPr>
            <w:tcW w:w="1755" w:type="dxa"/>
            <w:tcBorders>
              <w:top w:val="single" w:color="B7B7B7" w:sz="4" w:space="0"/>
              <w:left w:val="single" w:color="B7B7B7" w:sz="4" w:space="0"/>
              <w:bottom w:val="single" w:color="B7B7B7" w:sz="4" w:space="0"/>
              <w:right w:val="single" w:color="B7B7B7" w:sz="4" w:space="0"/>
            </w:tcBorders>
            <w:vAlign w:val="center"/>
          </w:tcPr>
          <w:p w14:paraId="53476207">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农、林、牧、渔业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0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0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0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Y≥20000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0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500≤Y＜20000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0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50≤Y＜500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0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Y＜50</w:t>
            </w:r>
          </w:p>
        </w:tc>
      </w:tr>
      <w:tr w14:paraId="5347621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0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工业 *</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1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1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1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1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300≤X＜1000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1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20≤X＜300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1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w:t>
            </w:r>
          </w:p>
        </w:tc>
      </w:tr>
      <w:tr w14:paraId="5347621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1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1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1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1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Y≥40000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1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2000≤Y＜40000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1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300≤Y＜2000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1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Y＜300</w:t>
            </w:r>
          </w:p>
        </w:tc>
      </w:tr>
      <w:tr w14:paraId="5347622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1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建筑业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2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2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2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Y≥80000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2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6000≤Y＜80000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2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300≤Y＜6000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2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Y＜300</w:t>
            </w:r>
          </w:p>
        </w:tc>
      </w:tr>
      <w:tr w14:paraId="5347622E">
        <w:tblPrEx>
          <w:tblCellMar>
            <w:top w:w="0" w:type="dxa"/>
            <w:left w:w="0" w:type="dxa"/>
            <w:bottom w:w="0" w:type="dxa"/>
            <w:right w:w="0" w:type="dxa"/>
          </w:tblCellMar>
        </w:tblPrEx>
        <w:trPr>
          <w:trHeight w:val="451" w:hRule="atLeast"/>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2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2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资产总额(Z)</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2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2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Z≥80000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2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5000≤Z＜80000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2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300≤Z＜5000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2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Z＜300</w:t>
            </w:r>
          </w:p>
        </w:tc>
      </w:tr>
      <w:tr w14:paraId="5347623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2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批发业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3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3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3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3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20≤X＜200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3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5≤X＜20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3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X＜5</w:t>
            </w:r>
          </w:p>
        </w:tc>
      </w:tr>
      <w:tr w14:paraId="5347623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3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3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3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3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Y≥40000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3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5000≤Y＜40000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3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1000≤Y＜5000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3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Y＜1000</w:t>
            </w:r>
          </w:p>
        </w:tc>
      </w:tr>
      <w:tr w14:paraId="5347624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3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零售业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4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4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4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X≥300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4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50≤X＜300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4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10≤X＜50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4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5347624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4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4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4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4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Y≥20000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4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500≤Y＜20000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4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100≤Y＜500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4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5347625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4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交通运输业 *</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5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5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5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5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300≤X＜1000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5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20≤X＜300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5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w:t>
            </w:r>
          </w:p>
        </w:tc>
      </w:tr>
      <w:tr w14:paraId="5347625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5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5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5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5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Y≥30000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5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3000≤Y＜30000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5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200≤Y＜3000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5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Y＜200</w:t>
            </w:r>
          </w:p>
        </w:tc>
      </w:tr>
      <w:tr w14:paraId="5347626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5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仓储业*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6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6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6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6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100≤X＜200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6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6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w:t>
            </w:r>
          </w:p>
        </w:tc>
      </w:tr>
      <w:tr w14:paraId="5347626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6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6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6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6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Y≥30000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6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1000≤Y＜30000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6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100≤Y＜1000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6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5347627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6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邮政业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7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7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7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7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300≤X＜1000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7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20≤X＜300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7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w:t>
            </w:r>
          </w:p>
        </w:tc>
      </w:tr>
      <w:tr w14:paraId="5347627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7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7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7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7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Y≥30000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7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2000≤Y＜30000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7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100≤Y＜2000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7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5347628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7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住宿业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8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8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8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X≥300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8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8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8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5347628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8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8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8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8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8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2000≤Y＜10000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8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100≤Y＜2000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8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5347629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8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餐饮业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9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9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9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X≥300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9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9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9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5347629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9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9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9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9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9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2000≤Y＜10000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9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100≤Y＜2000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9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534762A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9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信息传输业 *</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A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A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A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A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100≤X＜2000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A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A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534762A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A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A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A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A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A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1000≤Y＜100000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A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100≤Y＜1000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A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534762B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A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软件和信息技术服务业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B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B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B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X≥300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B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B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B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534762B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B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B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B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B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B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1000≤Y＜10000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B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50≤Y＜1000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B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Y＜50</w:t>
            </w:r>
          </w:p>
        </w:tc>
      </w:tr>
      <w:tr w14:paraId="534762C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B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房地产开发经营</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C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C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C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Y≥200000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C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1000≤Y＜200000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C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100≤Y＜1000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C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534762C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C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C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资产总额(Z)</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C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C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Z≥10000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C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5000≤Z＜10000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C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2000≤Z＜5000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C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Z＜2000</w:t>
            </w:r>
          </w:p>
        </w:tc>
      </w:tr>
      <w:tr w14:paraId="534762D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C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物业管理</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D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D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D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D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300≤X＜1000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D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D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X＜100</w:t>
            </w:r>
          </w:p>
        </w:tc>
      </w:tr>
      <w:tr w14:paraId="534762D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D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D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D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D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Y≥5000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D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1000≤Y＜5000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D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500≤Y＜1000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D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Y＜500</w:t>
            </w:r>
          </w:p>
        </w:tc>
      </w:tr>
      <w:tr w14:paraId="534762E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D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租赁和商务服务业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E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E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E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X≥300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E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E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E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534762E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E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E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资产总额(Z)</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E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E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Z≥120000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E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8000≤Z＜120000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E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100≤Z＜8000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E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Z＜100</w:t>
            </w:r>
          </w:p>
        </w:tc>
      </w:tr>
      <w:tr w14:paraId="534762F6">
        <w:tblPrEx>
          <w:tblCellMar>
            <w:top w:w="0" w:type="dxa"/>
            <w:left w:w="0" w:type="dxa"/>
            <w:bottom w:w="0" w:type="dxa"/>
            <w:right w:w="0" w:type="dxa"/>
          </w:tblCellMar>
        </w:tblPrEx>
        <w:trPr>
          <w:jc w:val="center"/>
        </w:trPr>
        <w:tc>
          <w:tcPr>
            <w:tcW w:w="1755" w:type="dxa"/>
            <w:tcBorders>
              <w:top w:val="single" w:color="B7B7B7" w:sz="4" w:space="0"/>
              <w:left w:val="single" w:color="B7B7B7" w:sz="4" w:space="0"/>
              <w:bottom w:val="single" w:color="B7B7B7" w:sz="4" w:space="0"/>
              <w:right w:val="single" w:color="B7B7B7" w:sz="4" w:space="0"/>
            </w:tcBorders>
            <w:vAlign w:val="center"/>
          </w:tcPr>
          <w:p w14:paraId="534762E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其他未列明行业 *</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F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F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F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X≥300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F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F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F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bl>
    <w:p w14:paraId="725FD83B">
      <w:pPr>
        <w:widowControl/>
        <w:spacing w:line="240" w:lineRule="auto"/>
        <w:rPr>
          <w:rFonts w:hint="eastAsia" w:cs="宋体" w:asciiTheme="minorEastAsia" w:hAnsiTheme="minorEastAsia" w:eastAsiaTheme="minorEastAsia"/>
          <w:color w:val="auto"/>
          <w:spacing w:val="8"/>
          <w:kern w:val="0"/>
          <w:sz w:val="22"/>
          <w:szCs w:val="22"/>
          <w:highlight w:val="none"/>
        </w:rPr>
      </w:pPr>
    </w:p>
    <w:p w14:paraId="38293A80">
      <w:pPr>
        <w:widowControl/>
        <w:spacing w:line="240" w:lineRule="auto"/>
        <w:rPr>
          <w:rFonts w:cs="宋体" w:asciiTheme="minorEastAsia" w:hAnsiTheme="minorEastAsia" w:eastAsiaTheme="minorEastAsia"/>
          <w:color w:val="auto"/>
          <w:spacing w:val="8"/>
          <w:kern w:val="0"/>
          <w:sz w:val="22"/>
          <w:szCs w:val="22"/>
          <w:highlight w:val="none"/>
        </w:rPr>
      </w:pPr>
      <w:r>
        <w:rPr>
          <w:rFonts w:hint="eastAsia" w:cs="宋体" w:asciiTheme="minorEastAsia" w:hAnsiTheme="minorEastAsia" w:eastAsiaTheme="minorEastAsia"/>
          <w:color w:val="auto"/>
          <w:spacing w:val="8"/>
          <w:kern w:val="0"/>
          <w:sz w:val="22"/>
          <w:szCs w:val="22"/>
          <w:highlight w:val="none"/>
        </w:rPr>
        <w:t>说明：</w:t>
      </w:r>
    </w:p>
    <w:p w14:paraId="38293A81">
      <w:pPr>
        <w:spacing w:line="240" w:lineRule="auto"/>
        <w:rPr>
          <w:rFonts w:cs="宋体" w:asciiTheme="minorEastAsia" w:hAnsiTheme="minorEastAsia" w:eastAsiaTheme="minorEastAsia"/>
          <w:color w:val="auto"/>
          <w:spacing w:val="8"/>
          <w:kern w:val="0"/>
          <w:sz w:val="22"/>
          <w:szCs w:val="22"/>
          <w:highlight w:val="none"/>
        </w:rPr>
      </w:pPr>
      <w:r>
        <w:rPr>
          <w:rFonts w:hint="eastAsia" w:cs="宋体" w:asciiTheme="minorEastAsia" w:hAnsiTheme="minorEastAsia" w:eastAsiaTheme="minorEastAsia"/>
          <w:color w:val="auto"/>
          <w:spacing w:val="8"/>
          <w:kern w:val="0"/>
          <w:sz w:val="22"/>
          <w:szCs w:val="22"/>
          <w:highlight w:val="none"/>
        </w:rPr>
        <w:t>　　</w:t>
      </w:r>
      <w:r>
        <w:rPr>
          <w:rFonts w:hint="eastAsia" w:asciiTheme="minorEastAsia" w:hAnsiTheme="minorEastAsia" w:eastAsiaTheme="minorEastAsia"/>
          <w:color w:val="auto"/>
          <w:spacing w:val="8"/>
          <w:kern w:val="0"/>
          <w:sz w:val="22"/>
          <w:szCs w:val="22"/>
          <w:highlight w:val="none"/>
        </w:rPr>
        <w:t>1.</w:t>
      </w:r>
      <w:r>
        <w:rPr>
          <w:rFonts w:hint="eastAsia" w:cs="宋体" w:asciiTheme="minorEastAsia" w:hAnsiTheme="minorEastAsia" w:eastAsiaTheme="minorEastAsia"/>
          <w:color w:val="auto"/>
          <w:spacing w:val="8"/>
          <w:kern w:val="0"/>
          <w:sz w:val="22"/>
          <w:szCs w:val="22"/>
          <w:highlight w:val="none"/>
        </w:rPr>
        <w:t>大型、中型和小型企业须同时满足所列指标的下限，否则下划一档；微型企业只须满足所列指标中的一项即可。</w:t>
      </w:r>
    </w:p>
    <w:p w14:paraId="38293A82">
      <w:pPr>
        <w:spacing w:line="240" w:lineRule="auto"/>
        <w:rPr>
          <w:rFonts w:cs="宋体" w:asciiTheme="minorEastAsia" w:hAnsiTheme="minorEastAsia" w:eastAsiaTheme="minorEastAsia"/>
          <w:color w:val="auto"/>
          <w:spacing w:val="8"/>
          <w:kern w:val="0"/>
          <w:sz w:val="22"/>
          <w:szCs w:val="22"/>
          <w:highlight w:val="none"/>
        </w:rPr>
      </w:pPr>
      <w:r>
        <w:rPr>
          <w:rFonts w:hint="eastAsia" w:cs="宋体" w:asciiTheme="minorEastAsia" w:hAnsiTheme="minorEastAsia" w:eastAsiaTheme="minorEastAsia"/>
          <w:color w:val="auto"/>
          <w:spacing w:val="8"/>
          <w:kern w:val="0"/>
          <w:sz w:val="22"/>
          <w:szCs w:val="22"/>
          <w:highlight w:val="none"/>
        </w:rPr>
        <w:t>　　</w:t>
      </w:r>
      <w:r>
        <w:rPr>
          <w:rFonts w:hint="eastAsia" w:asciiTheme="minorEastAsia" w:hAnsiTheme="minorEastAsia" w:eastAsiaTheme="minorEastAsia"/>
          <w:color w:val="auto"/>
          <w:spacing w:val="8"/>
          <w:kern w:val="0"/>
          <w:sz w:val="22"/>
          <w:szCs w:val="22"/>
          <w:highlight w:val="none"/>
        </w:rPr>
        <w:t>2.</w:t>
      </w:r>
      <w:r>
        <w:rPr>
          <w:rFonts w:hint="eastAsia" w:cs="宋体" w:asciiTheme="minorEastAsia" w:hAnsiTheme="minorEastAsia" w:eastAsiaTheme="minorEastAsia"/>
          <w:color w:val="auto"/>
          <w:spacing w:val="8"/>
          <w:kern w:val="0"/>
          <w:sz w:val="22"/>
          <w:szCs w:val="22"/>
          <w:highlight w:val="none"/>
        </w:rPr>
        <w:t>附表中各行业的范围以《国民经济行业分类》（</w:t>
      </w:r>
      <w:r>
        <w:rPr>
          <w:rFonts w:hint="eastAsia" w:asciiTheme="minorEastAsia" w:hAnsiTheme="minorEastAsia" w:eastAsiaTheme="minorEastAsia"/>
          <w:color w:val="auto"/>
          <w:spacing w:val="8"/>
          <w:kern w:val="0"/>
          <w:sz w:val="22"/>
          <w:szCs w:val="22"/>
          <w:highlight w:val="none"/>
        </w:rPr>
        <w:t>GB/T4754-2017</w:t>
      </w:r>
      <w:r>
        <w:rPr>
          <w:rFonts w:hint="eastAsia" w:cs="宋体" w:asciiTheme="minorEastAsia" w:hAnsiTheme="minorEastAsia" w:eastAsiaTheme="minorEastAsia"/>
          <w:color w:val="auto"/>
          <w:spacing w:val="8"/>
          <w:kern w:val="0"/>
          <w:sz w:val="22"/>
          <w:szCs w:val="22"/>
          <w:highlight w:val="none"/>
        </w:rPr>
        <w:t>）为准。带</w:t>
      </w:r>
      <w:r>
        <w:rPr>
          <w:rFonts w:hint="eastAsia" w:asciiTheme="minorEastAsia" w:hAnsiTheme="minorEastAsia" w:eastAsiaTheme="minorEastAsia"/>
          <w:color w:val="auto"/>
          <w:spacing w:val="8"/>
          <w:kern w:val="0"/>
          <w:sz w:val="22"/>
          <w:szCs w:val="22"/>
          <w:highlight w:val="none"/>
        </w:rPr>
        <w:t>*</w:t>
      </w:r>
      <w:r>
        <w:rPr>
          <w:rFonts w:hint="eastAsia" w:cs="宋体" w:asciiTheme="minorEastAsia" w:hAnsiTheme="minorEastAsia" w:eastAsiaTheme="minorEastAsia"/>
          <w:color w:val="auto"/>
          <w:spacing w:val="8"/>
          <w:kern w:val="0"/>
          <w:sz w:val="22"/>
          <w:szCs w:val="22"/>
          <w:highlight w:val="none"/>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8293A84">
      <w:pPr>
        <w:spacing w:line="240" w:lineRule="auto"/>
        <w:ind w:firstLine="452"/>
        <w:rPr>
          <w:rFonts w:hint="eastAsia" w:cs="宋体" w:asciiTheme="minorEastAsia" w:hAnsiTheme="minorEastAsia" w:eastAsiaTheme="minorEastAsia"/>
          <w:color w:val="auto"/>
          <w:spacing w:val="8"/>
          <w:kern w:val="0"/>
          <w:sz w:val="28"/>
          <w:szCs w:val="28"/>
          <w:highlight w:val="none"/>
        </w:rPr>
      </w:pPr>
      <w:r>
        <w:rPr>
          <w:rFonts w:hint="eastAsia" w:asciiTheme="minorEastAsia" w:hAnsiTheme="minorEastAsia" w:eastAsiaTheme="minorEastAsia"/>
          <w:color w:val="auto"/>
          <w:spacing w:val="8"/>
          <w:kern w:val="0"/>
          <w:sz w:val="22"/>
          <w:szCs w:val="22"/>
          <w:highlight w:val="none"/>
        </w:rPr>
        <w:t>3.</w:t>
      </w:r>
      <w:r>
        <w:rPr>
          <w:rFonts w:hint="eastAsia" w:cs="宋体" w:asciiTheme="minorEastAsia" w:hAnsiTheme="minorEastAsia" w:eastAsiaTheme="minorEastAsia"/>
          <w:color w:val="auto"/>
          <w:spacing w:val="8"/>
          <w:kern w:val="0"/>
          <w:sz w:val="22"/>
          <w:szCs w:val="22"/>
          <w:highlight w:val="none"/>
        </w:rPr>
        <w:t>企业划分指标以现行统计制度为准。（</w:t>
      </w:r>
      <w:r>
        <w:rPr>
          <w:rFonts w:hint="eastAsia" w:asciiTheme="minorEastAsia" w:hAnsiTheme="minorEastAsia" w:eastAsiaTheme="minorEastAsia"/>
          <w:color w:val="auto"/>
          <w:spacing w:val="8"/>
          <w:kern w:val="0"/>
          <w:sz w:val="22"/>
          <w:szCs w:val="22"/>
          <w:highlight w:val="none"/>
        </w:rPr>
        <w:t>1</w:t>
      </w:r>
      <w:r>
        <w:rPr>
          <w:rFonts w:hint="eastAsia" w:cs="宋体" w:asciiTheme="minorEastAsia" w:hAnsiTheme="minorEastAsia" w:eastAsiaTheme="minorEastAsia"/>
          <w:color w:val="auto"/>
          <w:spacing w:val="8"/>
          <w:kern w:val="0"/>
          <w:sz w:val="22"/>
          <w:szCs w:val="22"/>
          <w:highlight w:val="none"/>
        </w:rPr>
        <w:t>）从业人员，是指期末从业人员数，没有期末从业人员数的，采用全年平均人员数代替。（</w:t>
      </w:r>
      <w:r>
        <w:rPr>
          <w:rFonts w:hint="eastAsia" w:asciiTheme="minorEastAsia" w:hAnsiTheme="minorEastAsia" w:eastAsiaTheme="minorEastAsia"/>
          <w:color w:val="auto"/>
          <w:spacing w:val="8"/>
          <w:kern w:val="0"/>
          <w:sz w:val="22"/>
          <w:szCs w:val="22"/>
          <w:highlight w:val="none"/>
        </w:rPr>
        <w:t>2</w:t>
      </w:r>
      <w:r>
        <w:rPr>
          <w:rFonts w:hint="eastAsia" w:cs="宋体" w:asciiTheme="minorEastAsia" w:hAnsiTheme="minorEastAsia" w:eastAsiaTheme="minorEastAsia"/>
          <w:color w:val="auto"/>
          <w:spacing w:val="8"/>
          <w:kern w:val="0"/>
          <w:sz w:val="22"/>
          <w:szCs w:val="22"/>
          <w:highlight w:val="none"/>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asciiTheme="minorEastAsia" w:hAnsiTheme="minorEastAsia" w:eastAsiaTheme="minorEastAsia"/>
          <w:color w:val="auto"/>
          <w:spacing w:val="8"/>
          <w:kern w:val="0"/>
          <w:sz w:val="22"/>
          <w:szCs w:val="22"/>
          <w:highlight w:val="none"/>
        </w:rPr>
        <w:t>3</w:t>
      </w:r>
      <w:r>
        <w:rPr>
          <w:rFonts w:hint="eastAsia" w:cs="宋体" w:asciiTheme="minorEastAsia" w:hAnsiTheme="minorEastAsia" w:eastAsiaTheme="minorEastAsia"/>
          <w:color w:val="auto"/>
          <w:spacing w:val="8"/>
          <w:kern w:val="0"/>
          <w:sz w:val="22"/>
          <w:szCs w:val="22"/>
          <w:highlight w:val="none"/>
        </w:rPr>
        <w:t>）资产总额，采用资产总计代替</w:t>
      </w:r>
      <w:r>
        <w:rPr>
          <w:rFonts w:hint="eastAsia" w:cs="宋体" w:asciiTheme="minorEastAsia" w:hAnsiTheme="minorEastAsia" w:eastAsiaTheme="minorEastAsia"/>
          <w:color w:val="auto"/>
          <w:spacing w:val="8"/>
          <w:kern w:val="0"/>
          <w:sz w:val="28"/>
          <w:szCs w:val="28"/>
          <w:highlight w:val="none"/>
        </w:rPr>
        <w:t>。</w:t>
      </w:r>
    </w:p>
    <w:p w14:paraId="534762F8">
      <w:pPr>
        <w:widowControl/>
        <w:jc w:val="left"/>
        <w:rPr>
          <w:rFonts w:ascii="宋体" w:hAnsi="宋体" w:cs="宋体"/>
          <w:color w:val="auto"/>
          <w:sz w:val="20"/>
          <w:szCs w:val="20"/>
          <w:highlight w:val="none"/>
        </w:rPr>
      </w:pPr>
    </w:p>
    <w:p w14:paraId="4B3AF21B">
      <w:pPr>
        <w:widowControl/>
        <w:jc w:val="left"/>
        <w:rPr>
          <w:rFonts w:ascii="宋体" w:hAnsi="宋体" w:cs="宋体"/>
          <w:color w:val="auto"/>
          <w:sz w:val="20"/>
          <w:szCs w:val="20"/>
          <w:highlight w:val="none"/>
        </w:rPr>
      </w:pPr>
    </w:p>
    <w:p w14:paraId="7D1B5F8A">
      <w:pPr>
        <w:widowControl/>
        <w:jc w:val="left"/>
        <w:rPr>
          <w:rFonts w:ascii="宋体" w:hAnsi="宋体" w:cs="宋体"/>
          <w:color w:val="auto"/>
          <w:sz w:val="20"/>
          <w:szCs w:val="20"/>
          <w:highlight w:val="none"/>
        </w:rPr>
      </w:pPr>
    </w:p>
    <w:p w14:paraId="2933CDBB">
      <w:pPr>
        <w:widowControl/>
        <w:jc w:val="left"/>
        <w:rPr>
          <w:rFonts w:ascii="宋体" w:hAnsi="宋体" w:cs="宋体"/>
          <w:color w:val="auto"/>
          <w:sz w:val="20"/>
          <w:szCs w:val="20"/>
          <w:highlight w:val="none"/>
        </w:rPr>
      </w:pPr>
    </w:p>
    <w:p w14:paraId="534762F9">
      <w:pPr>
        <w:snapToGrid w:val="0"/>
        <w:spacing w:before="50" w:after="120" w:afterLines="50"/>
        <w:jc w:val="left"/>
        <w:rPr>
          <w:rFonts w:ascii="宋体" w:hAnsi="宋体" w:cs="宋体"/>
          <w:b/>
          <w:bCs/>
          <w:color w:val="auto"/>
          <w:sz w:val="28"/>
          <w:szCs w:val="28"/>
          <w:highlight w:val="none"/>
        </w:rPr>
      </w:pPr>
      <w:r>
        <w:rPr>
          <w:rFonts w:hint="eastAsia" w:ascii="宋体" w:hAnsi="宋体" w:cs="宋体"/>
          <w:b/>
          <w:bCs/>
          <w:color w:val="auto"/>
          <w:szCs w:val="21"/>
          <w:highlight w:val="none"/>
          <w:lang w:val="en-US" w:eastAsia="zh-CN" w:bidi="ar"/>
        </w:rPr>
        <w:t>注</w:t>
      </w:r>
      <w:r>
        <w:rPr>
          <w:rFonts w:hint="eastAsia" w:ascii="宋体" w:hAnsi="宋体" w:cs="宋体"/>
          <w:b/>
          <w:bCs/>
          <w:color w:val="auto"/>
          <w:szCs w:val="21"/>
          <w:highlight w:val="none"/>
          <w:lang w:bidi="ar"/>
        </w:rPr>
        <w:t>：上述标准参照</w:t>
      </w:r>
      <w:r>
        <w:rPr>
          <w:rFonts w:hint="eastAsia" w:ascii="宋体" w:hAnsi="宋体" w:cs="宋体"/>
          <w:b/>
          <w:bCs/>
          <w:color w:val="auto"/>
          <w:szCs w:val="21"/>
          <w:highlight w:val="none"/>
        </w:rPr>
        <w:t>《关于印发中小企业划型标准规定的通知》（工信部联企业〔2011〕300号），大型、中型和小型企业须同时满足所列指标的下限，否则下划一档；微型企业只须满足所列指标中的一项即可。</w:t>
      </w:r>
    </w:p>
    <w:p w14:paraId="534762FA">
      <w:pPr>
        <w:rPr>
          <w:rFonts w:ascii="宋体" w:hAnsi="宋体"/>
          <w:bCs/>
          <w:color w:val="auto"/>
          <w:sz w:val="24"/>
          <w:highlight w:val="none"/>
        </w:rPr>
      </w:pPr>
      <w:r>
        <w:rPr>
          <w:rFonts w:hint="eastAsia" w:ascii="宋体" w:hAnsi="宋体"/>
          <w:bCs/>
          <w:color w:val="auto"/>
          <w:sz w:val="24"/>
          <w:highlight w:val="none"/>
        </w:rPr>
        <w:br w:type="page"/>
      </w:r>
    </w:p>
    <w:p w14:paraId="534762FB">
      <w:pPr>
        <w:spacing w:line="360" w:lineRule="auto"/>
        <w:ind w:left="420" w:hanging="420"/>
        <w:rPr>
          <w:rFonts w:ascii="宋体" w:hAnsi="宋体"/>
          <w:color w:val="auto"/>
          <w:sz w:val="24"/>
          <w:highlight w:val="none"/>
        </w:rPr>
      </w:pPr>
      <w:r>
        <w:rPr>
          <w:rFonts w:hint="eastAsia" w:ascii="宋体" w:hAnsi="宋体"/>
          <w:b/>
          <w:color w:val="auto"/>
          <w:sz w:val="24"/>
          <w:highlight w:val="none"/>
        </w:rPr>
        <w:t>附件15</w:t>
      </w:r>
    </w:p>
    <w:p w14:paraId="534762FC">
      <w:pPr>
        <w:pStyle w:val="33"/>
        <w:widowControl w:val="0"/>
        <w:adjustRightInd w:val="0"/>
        <w:snapToGrid w:val="0"/>
        <w:spacing w:before="0" w:beforeAutospacing="0" w:after="0" w:afterAutospacing="0" w:line="360" w:lineRule="auto"/>
        <w:jc w:val="center"/>
        <w:rPr>
          <w:b/>
          <w:color w:val="auto"/>
          <w:kern w:val="2"/>
          <w:sz w:val="36"/>
          <w:szCs w:val="36"/>
          <w:highlight w:val="none"/>
        </w:rPr>
      </w:pPr>
    </w:p>
    <w:p w14:paraId="534762FD">
      <w:pPr>
        <w:pStyle w:val="33"/>
        <w:widowControl w:val="0"/>
        <w:adjustRightInd w:val="0"/>
        <w:snapToGrid w:val="0"/>
        <w:spacing w:before="0" w:beforeAutospacing="0" w:after="0" w:afterAutospacing="0" w:line="360" w:lineRule="auto"/>
        <w:jc w:val="center"/>
        <w:rPr>
          <w:b/>
          <w:color w:val="auto"/>
          <w:kern w:val="2"/>
          <w:sz w:val="36"/>
          <w:szCs w:val="36"/>
          <w:highlight w:val="none"/>
        </w:rPr>
      </w:pPr>
    </w:p>
    <w:p w14:paraId="534762FE">
      <w:pPr>
        <w:pStyle w:val="33"/>
        <w:widowControl w:val="0"/>
        <w:adjustRightInd w:val="0"/>
        <w:snapToGrid w:val="0"/>
        <w:spacing w:before="0" w:beforeAutospacing="0" w:after="0" w:afterAutospacing="0" w:line="360" w:lineRule="auto"/>
        <w:jc w:val="center"/>
        <w:rPr>
          <w:b/>
          <w:color w:val="auto"/>
          <w:kern w:val="2"/>
          <w:sz w:val="36"/>
          <w:szCs w:val="36"/>
          <w:highlight w:val="none"/>
        </w:rPr>
      </w:pPr>
      <w:r>
        <w:rPr>
          <w:rFonts w:hint="eastAsia"/>
          <w:b/>
          <w:color w:val="auto"/>
          <w:kern w:val="2"/>
          <w:sz w:val="36"/>
          <w:szCs w:val="36"/>
          <w:highlight w:val="none"/>
        </w:rPr>
        <w:t>残疾人福利性单位声明函</w:t>
      </w:r>
    </w:p>
    <w:p w14:paraId="534762FF">
      <w:pPr>
        <w:spacing w:line="360" w:lineRule="auto"/>
        <w:rPr>
          <w:rFonts w:ascii="宋体" w:hAnsi="宋体"/>
          <w:color w:val="auto"/>
          <w:szCs w:val="21"/>
          <w:highlight w:val="none"/>
        </w:rPr>
      </w:pPr>
    </w:p>
    <w:p w14:paraId="53476300">
      <w:pPr>
        <w:spacing w:line="360" w:lineRule="auto"/>
        <w:rPr>
          <w:rFonts w:ascii="宋体" w:hAnsi="宋体"/>
          <w:bCs/>
          <w:color w:val="auto"/>
          <w:spacing w:val="6"/>
          <w:sz w:val="24"/>
          <w:highlight w:val="none"/>
        </w:rPr>
      </w:pPr>
    </w:p>
    <w:p w14:paraId="53476301">
      <w:pPr>
        <w:spacing w:line="360" w:lineRule="auto"/>
        <w:ind w:firstLine="504" w:firstLineChars="200"/>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w:t>
      </w:r>
      <w:r>
        <w:rPr>
          <w:rFonts w:hint="eastAsia" w:ascii="宋体" w:hAnsi="宋体"/>
          <w:color w:val="auto"/>
          <w:spacing w:val="6"/>
          <w:sz w:val="24"/>
          <w:highlight w:val="none"/>
          <w:u w:val="single"/>
        </w:rPr>
        <w:t xml:space="preserve">    </w:t>
      </w:r>
      <w:r>
        <w:rPr>
          <w:rFonts w:hint="eastAsia" w:ascii="宋体" w:hAnsi="宋体"/>
          <w:color w:val="auto"/>
          <w:spacing w:val="6"/>
          <w:sz w:val="24"/>
          <w:highlight w:val="none"/>
        </w:rPr>
        <w:t xml:space="preserve"> 单位的</w:t>
      </w:r>
      <w:r>
        <w:rPr>
          <w:rFonts w:hint="eastAsia" w:ascii="宋体" w:hAnsi="宋体"/>
          <w:color w:val="auto"/>
          <w:spacing w:val="6"/>
          <w:sz w:val="24"/>
          <w:highlight w:val="none"/>
          <w:u w:val="single"/>
        </w:rPr>
        <w:t xml:space="preserve">      </w:t>
      </w:r>
      <w:r>
        <w:rPr>
          <w:rFonts w:hint="eastAsia" w:ascii="宋体" w:hAnsi="宋体"/>
          <w:color w:val="auto"/>
          <w:spacing w:val="6"/>
          <w:sz w:val="24"/>
          <w:highlight w:val="none"/>
        </w:rPr>
        <w:t>项目采购活动由本单位承担工程</w:t>
      </w:r>
      <w:r>
        <w:rPr>
          <w:rFonts w:hint="eastAsia" w:ascii="宋体" w:hAnsi="宋体"/>
          <w:color w:val="auto"/>
          <w:spacing w:val="-6"/>
          <w:sz w:val="24"/>
          <w:highlight w:val="none"/>
        </w:rPr>
        <w:t>。</w:t>
      </w:r>
    </w:p>
    <w:p w14:paraId="53476302">
      <w:pPr>
        <w:spacing w:line="360" w:lineRule="auto"/>
        <w:ind w:firstLine="504" w:firstLineChars="200"/>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53476303">
      <w:pPr>
        <w:spacing w:line="360" w:lineRule="auto"/>
        <w:ind w:firstLine="480" w:firstLineChars="200"/>
        <w:rPr>
          <w:rFonts w:ascii="宋体" w:hAnsi="宋体"/>
          <w:color w:val="auto"/>
          <w:sz w:val="24"/>
          <w:highlight w:val="none"/>
        </w:rPr>
      </w:pPr>
    </w:p>
    <w:p w14:paraId="53476304">
      <w:pPr>
        <w:spacing w:line="360" w:lineRule="auto"/>
        <w:ind w:firstLine="480" w:firstLineChars="200"/>
        <w:rPr>
          <w:rFonts w:ascii="宋体" w:hAnsi="宋体"/>
          <w:color w:val="auto"/>
          <w:sz w:val="24"/>
          <w:highlight w:val="none"/>
        </w:rPr>
      </w:pPr>
    </w:p>
    <w:p w14:paraId="53476305">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                   供应商名称（公章）：                          </w:t>
      </w:r>
    </w:p>
    <w:p w14:paraId="53476306">
      <w:pPr>
        <w:tabs>
          <w:tab w:val="left" w:pos="4860"/>
        </w:tabs>
        <w:spacing w:line="360" w:lineRule="auto"/>
        <w:ind w:right="1560" w:firstLine="480" w:firstLineChars="200"/>
        <w:jc w:val="center"/>
        <w:rPr>
          <w:rFonts w:ascii="宋体" w:hAnsi="宋体"/>
          <w:color w:val="auto"/>
          <w:sz w:val="24"/>
          <w:highlight w:val="none"/>
        </w:rPr>
      </w:pPr>
      <w:r>
        <w:rPr>
          <w:rFonts w:hint="eastAsia" w:ascii="宋体" w:hAnsi="宋体"/>
          <w:color w:val="auto"/>
          <w:sz w:val="24"/>
          <w:highlight w:val="none"/>
        </w:rPr>
        <w:t xml:space="preserve">     日期：  年   月   日</w:t>
      </w:r>
    </w:p>
    <w:p w14:paraId="53476307">
      <w:pPr>
        <w:tabs>
          <w:tab w:val="left" w:pos="4860"/>
        </w:tabs>
        <w:spacing w:line="36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说明：符合条件的残疾人福利性单位在参加政府采购活动时，应当提供本通知规定的《残疾人福利性单位声明函》，并对声明的真实性负责。</w:t>
      </w:r>
    </w:p>
    <w:p w14:paraId="53476308">
      <w:pPr>
        <w:snapToGrid w:val="0"/>
        <w:spacing w:line="360" w:lineRule="auto"/>
        <w:ind w:firstLine="361" w:firstLineChars="150"/>
        <w:jc w:val="left"/>
        <w:rPr>
          <w:rFonts w:ascii="宋体" w:hAnsi="宋体" w:cs="宋体"/>
          <w:b/>
          <w:color w:val="auto"/>
          <w:kern w:val="0"/>
          <w:sz w:val="24"/>
          <w:highlight w:val="none"/>
        </w:rPr>
      </w:pPr>
      <w:r>
        <w:rPr>
          <w:rFonts w:hint="eastAsia" w:ascii="宋体" w:hAnsi="宋体" w:cs="宋体"/>
          <w:b/>
          <w:color w:val="auto"/>
          <w:kern w:val="0"/>
          <w:sz w:val="24"/>
          <w:highlight w:val="none"/>
        </w:rPr>
        <w:t>成交供应商为残疾人福利性单位的，采购人或者其委托的采购代理机构应当随成交结果同时公告其《残疾人福利性单位声明函》，接受社会监督。</w:t>
      </w:r>
    </w:p>
    <w:p w14:paraId="53476309">
      <w:pPr>
        <w:snapToGrid w:val="0"/>
        <w:spacing w:line="360" w:lineRule="auto"/>
        <w:ind w:firstLine="361" w:firstLineChars="150"/>
        <w:jc w:val="left"/>
        <w:rPr>
          <w:rFonts w:ascii="宋体" w:hAnsi="宋体" w:cs="宋体"/>
          <w:b/>
          <w:color w:val="auto"/>
          <w:kern w:val="0"/>
          <w:sz w:val="24"/>
          <w:highlight w:val="none"/>
        </w:rPr>
      </w:pPr>
      <w:r>
        <w:rPr>
          <w:rFonts w:hint="eastAsia" w:ascii="宋体" w:hAnsi="宋体" w:cs="宋体"/>
          <w:b/>
          <w:color w:val="auto"/>
          <w:kern w:val="0"/>
          <w:sz w:val="24"/>
          <w:highlight w:val="none"/>
        </w:rPr>
        <w:t>供应商提供的《残疾人福利性单位声明函》与事实不符的，依照《政府采购法》第七十七条第一款的规定追究法律责任。</w:t>
      </w:r>
    </w:p>
    <w:p w14:paraId="5347630A">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5347630B">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附件16</w:t>
      </w:r>
    </w:p>
    <w:p w14:paraId="5347630C">
      <w:pPr>
        <w:spacing w:line="360" w:lineRule="auto"/>
        <w:jc w:val="center"/>
        <w:rPr>
          <w:rFonts w:ascii="宋体" w:hAnsi="宋体" w:cs="方正小标宋简体"/>
          <w:b/>
          <w:color w:val="auto"/>
          <w:sz w:val="32"/>
          <w:szCs w:val="32"/>
          <w:highlight w:val="none"/>
        </w:rPr>
      </w:pPr>
    </w:p>
    <w:p w14:paraId="5347630D">
      <w:pPr>
        <w:spacing w:line="360" w:lineRule="auto"/>
        <w:jc w:val="center"/>
        <w:rPr>
          <w:rFonts w:ascii="宋体" w:hAnsi="宋体" w:cs="方正小标宋简体"/>
          <w:b/>
          <w:color w:val="auto"/>
          <w:sz w:val="32"/>
          <w:szCs w:val="32"/>
          <w:highlight w:val="none"/>
        </w:rPr>
      </w:pPr>
      <w:r>
        <w:rPr>
          <w:rFonts w:hint="eastAsia" w:ascii="宋体" w:hAnsi="宋体" w:cs="方正小标宋简体"/>
          <w:b/>
          <w:color w:val="auto"/>
          <w:sz w:val="32"/>
          <w:szCs w:val="32"/>
          <w:highlight w:val="none"/>
        </w:rPr>
        <w:t>建筑材料和设备节能环保要求承诺书</w:t>
      </w:r>
    </w:p>
    <w:p w14:paraId="5347630E">
      <w:pPr>
        <w:spacing w:line="360" w:lineRule="auto"/>
        <w:jc w:val="center"/>
        <w:rPr>
          <w:rFonts w:ascii="宋体" w:hAnsi="宋体" w:cs="宋体"/>
          <w:color w:val="auto"/>
          <w:szCs w:val="21"/>
          <w:highlight w:val="none"/>
        </w:rPr>
      </w:pPr>
    </w:p>
    <w:p w14:paraId="5347630F">
      <w:pPr>
        <w:spacing w:line="360" w:lineRule="auto"/>
        <w:ind w:firstLine="480" w:firstLineChars="200"/>
        <w:jc w:val="left"/>
        <w:rPr>
          <w:color w:val="auto"/>
          <w:sz w:val="24"/>
          <w:highlight w:val="none"/>
        </w:rPr>
      </w:pPr>
      <w:r>
        <w:rPr>
          <w:rFonts w:hint="eastAsia"/>
          <w:color w:val="auto"/>
          <w:sz w:val="24"/>
          <w:highlight w:val="none"/>
        </w:rPr>
        <w:t>我方承诺，一旦成交，我方保证严格执行</w:t>
      </w:r>
      <w:r>
        <w:rPr>
          <w:rFonts w:hint="eastAsia" w:cs="宋体"/>
          <w:color w:val="auto"/>
          <w:sz w:val="24"/>
          <w:highlight w:val="none"/>
        </w:rPr>
        <w:t>《</w:t>
      </w:r>
      <w:r>
        <w:rPr>
          <w:rFonts w:hint="eastAsia" w:ascii="宋体" w:hAnsi="宋体"/>
          <w:color w:val="auto"/>
          <w:sz w:val="24"/>
          <w:highlight w:val="none"/>
        </w:rPr>
        <w:t>财政部 国家发展改革委关于印发《节能产品政府采购实施意见》的通知</w:t>
      </w:r>
      <w:r>
        <w:rPr>
          <w:rFonts w:hint="eastAsia" w:cs="宋体"/>
          <w:color w:val="auto"/>
          <w:sz w:val="24"/>
          <w:highlight w:val="none"/>
        </w:rPr>
        <w:t>》</w:t>
      </w:r>
      <w:r>
        <w:rPr>
          <w:rFonts w:hint="eastAsia" w:ascii="宋体" w:hAnsi="宋体"/>
          <w:color w:val="auto"/>
          <w:sz w:val="24"/>
          <w:highlight w:val="none"/>
        </w:rPr>
        <w:t>（财库〔2004〕185号）、</w:t>
      </w:r>
      <w:r>
        <w:rPr>
          <w:rFonts w:hint="eastAsia" w:cs="宋体"/>
          <w:color w:val="auto"/>
          <w:sz w:val="24"/>
          <w:highlight w:val="none"/>
        </w:rPr>
        <w:t>《财政部</w:t>
      </w:r>
      <w:r>
        <w:rPr>
          <w:rFonts w:cs="宋体"/>
          <w:color w:val="auto"/>
          <w:sz w:val="24"/>
          <w:highlight w:val="none"/>
        </w:rPr>
        <w:t xml:space="preserve"> </w:t>
      </w:r>
      <w:r>
        <w:rPr>
          <w:rFonts w:hint="eastAsia" w:cs="宋体"/>
          <w:color w:val="auto"/>
          <w:sz w:val="24"/>
          <w:highlight w:val="none"/>
        </w:rPr>
        <w:t>发展改革委</w:t>
      </w:r>
      <w:r>
        <w:rPr>
          <w:rFonts w:cs="宋体"/>
          <w:color w:val="auto"/>
          <w:sz w:val="24"/>
          <w:highlight w:val="none"/>
        </w:rPr>
        <w:t xml:space="preserve"> </w:t>
      </w:r>
      <w:r>
        <w:rPr>
          <w:rFonts w:hint="eastAsia" w:cs="宋体"/>
          <w:color w:val="auto"/>
          <w:sz w:val="24"/>
          <w:highlight w:val="none"/>
        </w:rPr>
        <w:t>生态环境部</w:t>
      </w:r>
      <w:r>
        <w:rPr>
          <w:rFonts w:cs="宋体"/>
          <w:color w:val="auto"/>
          <w:sz w:val="24"/>
          <w:highlight w:val="none"/>
        </w:rPr>
        <w:t xml:space="preserve"> </w:t>
      </w:r>
      <w:r>
        <w:rPr>
          <w:rFonts w:hint="eastAsia" w:cs="宋体"/>
          <w:color w:val="auto"/>
          <w:sz w:val="24"/>
          <w:highlight w:val="none"/>
        </w:rPr>
        <w:t>市场监管总局关于调整优化节能产品、环境标志产品政府采购执行机制的通知》（财库〔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9</w:t>
      </w:r>
      <w:r>
        <w:rPr>
          <w:rFonts w:hint="eastAsia" w:cs="宋体"/>
          <w:color w:val="auto"/>
          <w:sz w:val="24"/>
          <w:highlight w:val="none"/>
        </w:rPr>
        <w:t>号）和《关于印发节能产品政府采购品目清单的通知》（财库〔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19</w:t>
      </w:r>
      <w:r>
        <w:rPr>
          <w:rFonts w:hint="eastAsia" w:cs="宋体"/>
          <w:color w:val="auto"/>
          <w:sz w:val="24"/>
          <w:highlight w:val="none"/>
        </w:rPr>
        <w:t>号）的规定，所有工程中涉及的建筑材料和设备如属于财库〔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19</w:t>
      </w:r>
      <w:r>
        <w:rPr>
          <w:rFonts w:hint="eastAsia" w:cs="宋体"/>
          <w:color w:val="auto"/>
          <w:sz w:val="24"/>
          <w:highlight w:val="none"/>
        </w:rPr>
        <w:t>号文中《节能产品政府采购品目清单》内标注“★”的产品，都使用政府强制采购的节能产品。</w:t>
      </w:r>
      <w:r>
        <w:rPr>
          <w:rFonts w:hint="eastAsia"/>
          <w:color w:val="auto"/>
          <w:sz w:val="24"/>
          <w:highlight w:val="none"/>
        </w:rPr>
        <w:t>如我方在该项目的承包中出现未按规定执行的情形，我方愿意按照相关规定接受采购人及有关行政主管部门的处罚，愿意承担一切后果，并不再寻求任何旨在减轻或者免除法律责任的辩解。</w:t>
      </w:r>
    </w:p>
    <w:p w14:paraId="53476310">
      <w:pPr>
        <w:spacing w:line="360" w:lineRule="auto"/>
        <w:ind w:firstLine="480" w:firstLineChars="200"/>
        <w:jc w:val="center"/>
        <w:rPr>
          <w:color w:val="auto"/>
          <w:sz w:val="24"/>
          <w:highlight w:val="none"/>
        </w:rPr>
      </w:pPr>
    </w:p>
    <w:p w14:paraId="53476311">
      <w:pPr>
        <w:spacing w:line="360" w:lineRule="auto"/>
        <w:rPr>
          <w:rFonts w:ascii="宋体" w:hAnsi="宋体" w:cs="仿宋_GB2312"/>
          <w:color w:val="auto"/>
          <w:sz w:val="24"/>
          <w:highlight w:val="none"/>
        </w:rPr>
      </w:pPr>
    </w:p>
    <w:p w14:paraId="53476312">
      <w:pPr>
        <w:spacing w:line="360" w:lineRule="auto"/>
        <w:ind w:firstLine="3600" w:firstLineChars="1500"/>
        <w:rPr>
          <w:rFonts w:ascii="宋体" w:hAnsi="宋体" w:cs="仿宋_GB2312"/>
          <w:color w:val="auto"/>
          <w:sz w:val="24"/>
          <w:highlight w:val="none"/>
        </w:rPr>
      </w:pPr>
      <w:r>
        <w:rPr>
          <w:rFonts w:hint="eastAsia" w:ascii="宋体" w:hAnsi="宋体" w:cs="仿宋_GB2312"/>
          <w:color w:val="auto"/>
          <w:sz w:val="24"/>
          <w:highlight w:val="none"/>
        </w:rPr>
        <w:t>供应商（电子签章）：</w:t>
      </w:r>
    </w:p>
    <w:p w14:paraId="53476313">
      <w:pPr>
        <w:spacing w:line="360" w:lineRule="auto"/>
        <w:ind w:firstLine="480" w:firstLineChars="200"/>
        <w:jc w:val="center"/>
        <w:rPr>
          <w:rFonts w:ascii="宋体" w:hAnsi="宋体" w:cs="仿宋_GB2312"/>
          <w:color w:val="auto"/>
          <w:sz w:val="24"/>
          <w:highlight w:val="none"/>
        </w:rPr>
        <w:sectPr>
          <w:footerReference r:id="rId7" w:type="default"/>
          <w:pgSz w:w="11907" w:h="16840"/>
          <w:pgMar w:top="1440" w:right="1440" w:bottom="1440" w:left="1797" w:header="851" w:footer="851" w:gutter="0"/>
          <w:cols w:space="720" w:num="1"/>
          <w:docGrid w:linePitch="312" w:charSpace="0"/>
        </w:sectPr>
      </w:pPr>
      <w:r>
        <w:rPr>
          <w:rFonts w:hint="eastAsia" w:ascii="宋体" w:hAnsi="宋体" w:cs="仿宋_GB2312"/>
          <w:color w:val="auto"/>
          <w:sz w:val="24"/>
          <w:highlight w:val="none"/>
        </w:rPr>
        <w:t>年   月   日</w:t>
      </w:r>
    </w:p>
    <w:p w14:paraId="53476314">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附件17</w:t>
      </w:r>
    </w:p>
    <w:p w14:paraId="53476315">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质疑函范本格式：</w:t>
      </w:r>
    </w:p>
    <w:p w14:paraId="53476316">
      <w:pPr>
        <w:spacing w:line="360" w:lineRule="auto"/>
        <w:jc w:val="center"/>
        <w:rPr>
          <w:rFonts w:ascii="宋体" w:hAnsi="宋体" w:cs="宋体"/>
          <w:b/>
          <w:color w:val="auto"/>
          <w:spacing w:val="6"/>
          <w:sz w:val="24"/>
          <w:highlight w:val="none"/>
        </w:rPr>
      </w:pPr>
      <w:r>
        <w:rPr>
          <w:rFonts w:hint="eastAsia" w:ascii="宋体" w:hAnsi="宋体" w:cs="宋体"/>
          <w:b/>
          <w:color w:val="auto"/>
          <w:spacing w:val="6"/>
          <w:sz w:val="24"/>
          <w:highlight w:val="none"/>
        </w:rPr>
        <w:t>质疑函范本</w:t>
      </w:r>
    </w:p>
    <w:p w14:paraId="53476317">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5347631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5347631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347631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5347631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5347631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5347631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347631E">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5347631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5347632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5347632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5347632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53476323">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5347632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5347632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53476326">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5347632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347632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347632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5347632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5347632B">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5347632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5347632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5347632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5347632F">
      <w:pPr>
        <w:spacing w:line="360" w:lineRule="auto"/>
        <w:jc w:val="center"/>
        <w:rPr>
          <w:rFonts w:ascii="宋体" w:hAnsi="宋体" w:cs="宋体"/>
          <w:b/>
          <w:bCs/>
          <w:color w:val="auto"/>
          <w:sz w:val="24"/>
          <w:highlight w:val="none"/>
        </w:rPr>
      </w:pPr>
    </w:p>
    <w:p w14:paraId="53476330">
      <w:pPr>
        <w:spacing w:line="360" w:lineRule="auto"/>
        <w:rPr>
          <w:rFonts w:ascii="宋体" w:hAnsi="宋体" w:cs="宋体"/>
          <w:b/>
          <w:color w:val="auto"/>
          <w:sz w:val="24"/>
          <w:highlight w:val="none"/>
        </w:rPr>
      </w:pPr>
    </w:p>
    <w:p w14:paraId="53476331">
      <w:pPr>
        <w:spacing w:line="360" w:lineRule="auto"/>
        <w:rPr>
          <w:rFonts w:ascii="宋体" w:hAnsi="宋体" w:cs="宋体"/>
          <w:b/>
          <w:color w:val="auto"/>
          <w:sz w:val="24"/>
          <w:highlight w:val="none"/>
        </w:rPr>
      </w:pPr>
    </w:p>
    <w:p w14:paraId="53476332">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5347633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5347633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5347633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5347633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5347633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5347633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3476339">
      <w:pPr>
        <w:widowControl/>
        <w:spacing w:line="360" w:lineRule="auto"/>
        <w:ind w:firstLine="480" w:firstLineChars="200"/>
        <w:jc w:val="left"/>
        <w:rPr>
          <w:rFonts w:ascii="宋体" w:hAnsi="宋体" w:cs="宋体"/>
          <w:color w:val="auto"/>
          <w:sz w:val="24"/>
          <w:highlight w:val="none"/>
        </w:rPr>
      </w:pPr>
    </w:p>
    <w:p w14:paraId="5347633A">
      <w:pPr>
        <w:spacing w:line="360" w:lineRule="auto"/>
        <w:rPr>
          <w:rFonts w:ascii="宋体" w:hAnsi="宋体" w:cs="宋体"/>
          <w:b/>
          <w:color w:val="auto"/>
          <w:spacing w:val="6"/>
          <w:szCs w:val="21"/>
          <w:highlight w:val="none"/>
        </w:rPr>
        <w:sectPr>
          <w:pgSz w:w="11906" w:h="16838"/>
          <w:pgMar w:top="1247" w:right="1247" w:bottom="1247" w:left="1247" w:header="851" w:footer="992" w:gutter="0"/>
          <w:cols w:space="720" w:num="1"/>
          <w:titlePg/>
          <w:docGrid w:linePitch="312" w:charSpace="0"/>
        </w:sectPr>
      </w:pPr>
    </w:p>
    <w:p w14:paraId="5347633B">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附件18</w:t>
      </w:r>
    </w:p>
    <w:p w14:paraId="5347633C">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投诉书范本格式：</w:t>
      </w:r>
    </w:p>
    <w:p w14:paraId="5347633D">
      <w:pPr>
        <w:snapToGrid w:val="0"/>
        <w:spacing w:line="360" w:lineRule="auto"/>
        <w:jc w:val="center"/>
        <w:rPr>
          <w:rFonts w:ascii="宋体" w:hAnsi="宋体" w:cs="宋体"/>
          <w:b/>
          <w:bCs/>
          <w:color w:val="auto"/>
          <w:kern w:val="0"/>
          <w:sz w:val="24"/>
          <w:highlight w:val="none"/>
        </w:rPr>
      </w:pPr>
      <w:r>
        <w:rPr>
          <w:rFonts w:ascii="宋体" w:hAnsi="宋体" w:cs="宋体"/>
          <w:b/>
          <w:bCs/>
          <w:color w:val="auto"/>
          <w:kern w:val="0"/>
          <w:sz w:val="24"/>
          <w:highlight w:val="none"/>
        </w:rPr>
        <w:t>政府采购供应商投诉书范本</w:t>
      </w:r>
    </w:p>
    <w:p w14:paraId="5347633E">
      <w:pPr>
        <w:snapToGrid w:val="0"/>
        <w:spacing w:line="360" w:lineRule="auto"/>
        <w:jc w:val="center"/>
        <w:rPr>
          <w:rFonts w:ascii="宋体" w:hAnsi="宋体" w:cs="宋体"/>
          <w:b/>
          <w:bCs/>
          <w:color w:val="auto"/>
          <w:kern w:val="0"/>
          <w:sz w:val="24"/>
          <w:highlight w:val="none"/>
        </w:rPr>
      </w:pPr>
    </w:p>
    <w:p w14:paraId="5347633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一、投诉相关主体基本情况</w:t>
      </w:r>
    </w:p>
    <w:p w14:paraId="5347634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投诉人：</w:t>
      </w:r>
    </w:p>
    <w:p w14:paraId="5347634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5347634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法定代表人/主要负责人：</w:t>
      </w:r>
    </w:p>
    <w:p w14:paraId="5347634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联系电话：</w:t>
      </w:r>
    </w:p>
    <w:p w14:paraId="5347634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授权代表：联系电话：</w:t>
      </w:r>
    </w:p>
    <w:p w14:paraId="5347634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5347634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被投诉人1：</w:t>
      </w:r>
    </w:p>
    <w:p w14:paraId="5347634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5347634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联系人：    联系电话：</w:t>
      </w:r>
    </w:p>
    <w:p w14:paraId="5347634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被投诉人2</w:t>
      </w:r>
    </w:p>
    <w:p w14:paraId="5347634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w:t>
      </w:r>
    </w:p>
    <w:p w14:paraId="5347634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相关供应商：</w:t>
      </w:r>
    </w:p>
    <w:p w14:paraId="5347634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5347634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联系人：    联系电话：</w:t>
      </w:r>
    </w:p>
    <w:p w14:paraId="5347634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二、投诉项目基本情况</w:t>
      </w:r>
    </w:p>
    <w:p w14:paraId="5347634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采购项目名称：</w:t>
      </w:r>
    </w:p>
    <w:p w14:paraId="5347635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采购项目编号：包号：</w:t>
      </w:r>
    </w:p>
    <w:p w14:paraId="5347635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采购人名称：</w:t>
      </w:r>
    </w:p>
    <w:p w14:paraId="5347635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代理机构名称：</w:t>
      </w:r>
    </w:p>
    <w:p w14:paraId="5347635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采购文件公告</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是/否 公告期限：</w:t>
      </w:r>
    </w:p>
    <w:p w14:paraId="5347635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采购结果公告</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是/否 公告期限：</w:t>
      </w:r>
    </w:p>
    <w:p w14:paraId="5347635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三、质疑基本情况</w:t>
      </w:r>
    </w:p>
    <w:p w14:paraId="5347635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投诉人于年月 日,向提出质疑，质疑事项为：</w:t>
      </w:r>
    </w:p>
    <w:p w14:paraId="5347635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采购人/代理机构于年月日,就质疑事项作出了答复/没有在法定期限内作出答复。</w:t>
      </w:r>
    </w:p>
    <w:p w14:paraId="5347635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四、投诉事项具体内容</w:t>
      </w:r>
    </w:p>
    <w:p w14:paraId="5347635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投诉事项1：</w:t>
      </w:r>
    </w:p>
    <w:p w14:paraId="5347635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事实依据：</w:t>
      </w:r>
    </w:p>
    <w:p w14:paraId="5347635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法律依据：</w:t>
      </w:r>
    </w:p>
    <w:p w14:paraId="5347635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投诉事项2</w:t>
      </w:r>
    </w:p>
    <w:p w14:paraId="5347635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w:t>
      </w:r>
    </w:p>
    <w:p w14:paraId="5347635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五、与投诉事项相关的投诉请求</w:t>
      </w:r>
    </w:p>
    <w:p w14:paraId="5347635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请求：</w:t>
      </w:r>
    </w:p>
    <w:p w14:paraId="5347636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签字(签章)：公章：</w:t>
      </w:r>
    </w:p>
    <w:p w14:paraId="5347636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日期：</w:t>
      </w:r>
    </w:p>
    <w:p w14:paraId="53476362">
      <w:pPr>
        <w:snapToGrid w:val="0"/>
        <w:spacing w:line="360" w:lineRule="auto"/>
        <w:rPr>
          <w:rFonts w:ascii="宋体" w:hAnsi="宋体" w:cs="宋体"/>
          <w:color w:val="auto"/>
          <w:kern w:val="0"/>
          <w:sz w:val="24"/>
          <w:highlight w:val="none"/>
        </w:rPr>
      </w:pPr>
      <w:r>
        <w:rPr>
          <w:rFonts w:hint="eastAsia" w:ascii="宋体" w:hAnsi="宋体" w:cs="宋体"/>
          <w:b/>
          <w:bCs/>
          <w:color w:val="auto"/>
          <w:kern w:val="0"/>
          <w:sz w:val="24"/>
          <w:highlight w:val="none"/>
        </w:rPr>
        <w:t>投诉书制作说明：</w:t>
      </w:r>
    </w:p>
    <w:p w14:paraId="5347636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1.投诉人提起投诉时，应当提交投诉书和必要的证明材料，并按照被投诉人和与投诉事项有关的供应商数量提供投诉书副本。</w:t>
      </w:r>
    </w:p>
    <w:p w14:paraId="5347636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5347636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3.投诉人若对项目的某一分包进行投诉，投诉书应列明具体分包号。</w:t>
      </w:r>
    </w:p>
    <w:p w14:paraId="5347636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4.投诉书应简要列明质疑事项，质疑函、质疑答复等作为附件材料提供。</w:t>
      </w:r>
    </w:p>
    <w:p w14:paraId="5347636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5.投诉书的投诉事项应具体、明确，并有必要的事实依据和法律依据。</w:t>
      </w:r>
    </w:p>
    <w:p w14:paraId="5347636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6.投诉书的投诉请求应与投诉事项相关。</w:t>
      </w:r>
    </w:p>
    <w:p w14:paraId="53476369">
      <w:pPr>
        <w:snapToGrid w:val="0"/>
        <w:spacing w:line="360" w:lineRule="auto"/>
        <w:rPr>
          <w:rFonts w:ascii="宋体" w:hAnsi="宋体"/>
          <w:color w:val="auto"/>
          <w:sz w:val="24"/>
          <w:highlight w:val="none"/>
        </w:rPr>
      </w:pPr>
      <w:r>
        <w:rPr>
          <w:rFonts w:hint="eastAsia" w:ascii="宋体" w:hAnsi="宋体" w:cs="宋体"/>
          <w:color w:val="auto"/>
          <w:kern w:val="0"/>
          <w:sz w:val="24"/>
          <w:highlight w:val="none"/>
        </w:rPr>
        <w:t>7.投诉人为自然人的，投诉书应当由本人签字；投诉人为法人或者其他组织的，投诉书应当由法定代表人、主要负责人，或者其授权代表签字或者盖章，并加盖公章。</w:t>
      </w:r>
    </w:p>
    <w:p w14:paraId="5347636A">
      <w:pPr>
        <w:pStyle w:val="22"/>
        <w:rPr>
          <w:color w:val="auto"/>
          <w:sz w:val="24"/>
          <w:szCs w:val="24"/>
          <w:highlight w:val="none"/>
        </w:rPr>
      </w:pPr>
    </w:p>
    <w:p w14:paraId="5347636B">
      <w:pPr>
        <w:pStyle w:val="22"/>
        <w:rPr>
          <w:color w:val="auto"/>
          <w:highlight w:val="none"/>
        </w:rPr>
      </w:pPr>
    </w:p>
    <w:p w14:paraId="5347636C">
      <w:pPr>
        <w:pStyle w:val="22"/>
        <w:rPr>
          <w:color w:val="auto"/>
          <w:highlight w:val="none"/>
        </w:rPr>
      </w:pPr>
    </w:p>
    <w:p w14:paraId="5347636D">
      <w:pPr>
        <w:pStyle w:val="22"/>
        <w:rPr>
          <w:color w:val="auto"/>
          <w:highlight w:val="none"/>
        </w:rPr>
      </w:pPr>
    </w:p>
    <w:p w14:paraId="5347636E">
      <w:pPr>
        <w:pStyle w:val="101"/>
        <w:rPr>
          <w:color w:val="auto"/>
          <w:highlight w:val="none"/>
        </w:rPr>
      </w:pPr>
      <w:r>
        <w:rPr>
          <w:color w:val="auto"/>
          <w:highlight w:val="none"/>
        </w:rPr>
        <w:br w:type="page"/>
      </w:r>
    </w:p>
    <w:p w14:paraId="5347636F">
      <w:pPr>
        <w:pStyle w:val="101"/>
        <w:rPr>
          <w:color w:val="auto"/>
          <w:highlight w:val="none"/>
        </w:rPr>
      </w:pPr>
    </w:p>
    <w:p w14:paraId="53476370">
      <w:pPr>
        <w:pStyle w:val="101"/>
        <w:rPr>
          <w:color w:val="auto"/>
          <w:highlight w:val="none"/>
        </w:rPr>
      </w:pPr>
    </w:p>
    <w:p w14:paraId="53476371">
      <w:pPr>
        <w:pStyle w:val="101"/>
        <w:rPr>
          <w:color w:val="auto"/>
          <w:highlight w:val="none"/>
        </w:rPr>
      </w:pPr>
    </w:p>
    <w:p w14:paraId="53476372">
      <w:pPr>
        <w:pStyle w:val="101"/>
        <w:rPr>
          <w:color w:val="auto"/>
          <w:highlight w:val="none"/>
        </w:rPr>
      </w:pPr>
    </w:p>
    <w:p w14:paraId="53476373">
      <w:pPr>
        <w:pStyle w:val="101"/>
        <w:rPr>
          <w:color w:val="auto"/>
          <w:highlight w:val="none"/>
        </w:rPr>
      </w:pPr>
    </w:p>
    <w:p w14:paraId="53476374">
      <w:pPr>
        <w:pStyle w:val="101"/>
        <w:rPr>
          <w:color w:val="auto"/>
          <w:highlight w:val="none"/>
        </w:rPr>
      </w:pPr>
    </w:p>
    <w:p w14:paraId="53476375">
      <w:pPr>
        <w:pStyle w:val="101"/>
        <w:rPr>
          <w:color w:val="auto"/>
          <w:highlight w:val="none"/>
        </w:rPr>
      </w:pPr>
    </w:p>
    <w:p w14:paraId="53476376">
      <w:pPr>
        <w:pStyle w:val="101"/>
        <w:rPr>
          <w:color w:val="auto"/>
          <w:highlight w:val="none"/>
        </w:rPr>
      </w:pPr>
    </w:p>
    <w:p w14:paraId="53476377">
      <w:pPr>
        <w:pStyle w:val="101"/>
        <w:rPr>
          <w:color w:val="auto"/>
          <w:highlight w:val="none"/>
        </w:rPr>
      </w:pPr>
    </w:p>
    <w:p w14:paraId="53476378">
      <w:pPr>
        <w:pStyle w:val="101"/>
        <w:rPr>
          <w:color w:val="auto"/>
          <w:highlight w:val="none"/>
        </w:rPr>
      </w:pPr>
    </w:p>
    <w:p w14:paraId="53476379">
      <w:pPr>
        <w:pStyle w:val="101"/>
        <w:rPr>
          <w:color w:val="auto"/>
          <w:highlight w:val="none"/>
        </w:rPr>
      </w:pPr>
    </w:p>
    <w:p w14:paraId="5347637A">
      <w:pPr>
        <w:pStyle w:val="2"/>
        <w:spacing w:before="0" w:after="0" w:line="240" w:lineRule="auto"/>
        <w:jc w:val="center"/>
        <w:rPr>
          <w:rFonts w:ascii="宋体" w:hAnsi="宋体"/>
          <w:color w:val="auto"/>
          <w:highlight w:val="none"/>
        </w:rPr>
      </w:pPr>
      <w:bookmarkStart w:id="35" w:name="_Toc176861409"/>
      <w:r>
        <w:rPr>
          <w:rFonts w:hint="eastAsia" w:ascii="宋体" w:hAnsi="宋体"/>
          <w:color w:val="auto"/>
          <w:highlight w:val="none"/>
        </w:rPr>
        <w:t>第四章  采购项目需求</w:t>
      </w:r>
      <w:bookmarkEnd w:id="35"/>
    </w:p>
    <w:p w14:paraId="5347637B">
      <w:pPr>
        <w:rPr>
          <w:color w:val="auto"/>
          <w:highlight w:val="none"/>
        </w:rPr>
      </w:pPr>
    </w:p>
    <w:p w14:paraId="5347637C">
      <w:pPr>
        <w:rPr>
          <w:color w:val="auto"/>
          <w:highlight w:val="none"/>
        </w:rPr>
      </w:pPr>
    </w:p>
    <w:p w14:paraId="5347637D">
      <w:pPr>
        <w:spacing w:line="440" w:lineRule="exact"/>
        <w:jc w:val="center"/>
        <w:rPr>
          <w:color w:val="auto"/>
          <w:sz w:val="36"/>
          <w:szCs w:val="36"/>
          <w:highlight w:val="none"/>
        </w:rPr>
      </w:pPr>
    </w:p>
    <w:p w14:paraId="5347637E">
      <w:pPr>
        <w:pStyle w:val="22"/>
        <w:rPr>
          <w:color w:val="auto"/>
          <w:highlight w:val="none"/>
        </w:rPr>
      </w:pPr>
    </w:p>
    <w:p w14:paraId="5347637F">
      <w:pPr>
        <w:pStyle w:val="22"/>
        <w:rPr>
          <w:color w:val="auto"/>
          <w:highlight w:val="none"/>
        </w:rPr>
      </w:pPr>
    </w:p>
    <w:p w14:paraId="53476380">
      <w:pPr>
        <w:pStyle w:val="22"/>
        <w:rPr>
          <w:color w:val="auto"/>
          <w:highlight w:val="none"/>
        </w:rPr>
      </w:pPr>
    </w:p>
    <w:p w14:paraId="53476381">
      <w:pPr>
        <w:pStyle w:val="22"/>
        <w:rPr>
          <w:color w:val="auto"/>
          <w:highlight w:val="none"/>
        </w:rPr>
      </w:pPr>
    </w:p>
    <w:p w14:paraId="53476382">
      <w:pPr>
        <w:pStyle w:val="22"/>
        <w:rPr>
          <w:color w:val="auto"/>
          <w:highlight w:val="none"/>
        </w:rPr>
      </w:pPr>
    </w:p>
    <w:p w14:paraId="53476383">
      <w:pPr>
        <w:pStyle w:val="22"/>
        <w:rPr>
          <w:color w:val="auto"/>
          <w:highlight w:val="none"/>
        </w:rPr>
      </w:pPr>
    </w:p>
    <w:p w14:paraId="53476384">
      <w:pPr>
        <w:pStyle w:val="22"/>
        <w:rPr>
          <w:color w:val="auto"/>
          <w:highlight w:val="none"/>
        </w:rPr>
      </w:pPr>
    </w:p>
    <w:p w14:paraId="53476385">
      <w:pPr>
        <w:pStyle w:val="22"/>
        <w:rPr>
          <w:color w:val="auto"/>
          <w:highlight w:val="none"/>
        </w:rPr>
      </w:pPr>
    </w:p>
    <w:p w14:paraId="53476386">
      <w:pPr>
        <w:pStyle w:val="22"/>
        <w:rPr>
          <w:color w:val="auto"/>
          <w:highlight w:val="none"/>
        </w:rPr>
      </w:pPr>
    </w:p>
    <w:p w14:paraId="53476387">
      <w:pPr>
        <w:pStyle w:val="22"/>
        <w:rPr>
          <w:color w:val="auto"/>
          <w:highlight w:val="none"/>
        </w:rPr>
      </w:pPr>
    </w:p>
    <w:p w14:paraId="53476388">
      <w:pPr>
        <w:pStyle w:val="22"/>
        <w:rPr>
          <w:color w:val="auto"/>
          <w:highlight w:val="none"/>
        </w:rPr>
      </w:pPr>
    </w:p>
    <w:p w14:paraId="53476389">
      <w:pPr>
        <w:pStyle w:val="22"/>
        <w:rPr>
          <w:color w:val="auto"/>
          <w:highlight w:val="none"/>
        </w:rPr>
      </w:pPr>
    </w:p>
    <w:p w14:paraId="5347638A">
      <w:pPr>
        <w:pStyle w:val="22"/>
        <w:rPr>
          <w:color w:val="auto"/>
          <w:highlight w:val="none"/>
        </w:rPr>
      </w:pPr>
    </w:p>
    <w:p w14:paraId="5347638B">
      <w:pPr>
        <w:pStyle w:val="22"/>
        <w:rPr>
          <w:color w:val="auto"/>
          <w:highlight w:val="none"/>
        </w:rPr>
      </w:pPr>
    </w:p>
    <w:p w14:paraId="53476393">
      <w:pPr>
        <w:pStyle w:val="22"/>
        <w:rPr>
          <w:color w:val="auto"/>
          <w:highlight w:val="none"/>
        </w:rPr>
      </w:pPr>
    </w:p>
    <w:p w14:paraId="14E43011">
      <w:pPr>
        <w:rPr>
          <w:rFonts w:hint="eastAsia" w:ascii="宋体" w:hAnsi="宋体" w:cs="宋体"/>
          <w:b/>
          <w:bCs/>
          <w:color w:val="auto"/>
          <w:kern w:val="0"/>
          <w:sz w:val="32"/>
          <w:szCs w:val="32"/>
          <w:highlight w:val="none"/>
          <w:lang w:val="zh-CN"/>
        </w:rPr>
      </w:pPr>
      <w:r>
        <w:rPr>
          <w:rFonts w:hint="eastAsia" w:ascii="宋体" w:hAnsi="宋体" w:cs="宋体"/>
          <w:b/>
          <w:bCs/>
          <w:color w:val="auto"/>
          <w:kern w:val="0"/>
          <w:sz w:val="32"/>
          <w:szCs w:val="32"/>
          <w:highlight w:val="none"/>
          <w:lang w:val="zh-CN"/>
        </w:rPr>
        <w:br w:type="page"/>
      </w:r>
    </w:p>
    <w:p w14:paraId="53476394">
      <w:pPr>
        <w:autoSpaceDE w:val="0"/>
        <w:autoSpaceDN w:val="0"/>
        <w:adjustRightInd w:val="0"/>
        <w:jc w:val="center"/>
        <w:rPr>
          <w:rFonts w:ascii="宋体" w:hAnsi="宋体" w:cs="宋体"/>
          <w:b/>
          <w:bCs/>
          <w:color w:val="auto"/>
          <w:kern w:val="0"/>
          <w:sz w:val="32"/>
          <w:szCs w:val="32"/>
          <w:highlight w:val="none"/>
          <w:lang w:val="zh-CN"/>
        </w:rPr>
      </w:pPr>
      <w:r>
        <w:rPr>
          <w:rFonts w:hint="eastAsia" w:ascii="宋体" w:hAnsi="宋体" w:cs="宋体"/>
          <w:b/>
          <w:bCs/>
          <w:color w:val="auto"/>
          <w:kern w:val="0"/>
          <w:sz w:val="32"/>
          <w:szCs w:val="32"/>
          <w:highlight w:val="none"/>
          <w:lang w:val="zh-CN"/>
        </w:rPr>
        <w:t>项目采购需求</w:t>
      </w:r>
    </w:p>
    <w:p w14:paraId="53476395">
      <w:pPr>
        <w:adjustRightInd w:val="0"/>
        <w:snapToGrid w:val="0"/>
        <w:spacing w:line="46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说明：</w:t>
      </w:r>
    </w:p>
    <w:p w14:paraId="53476396">
      <w:pPr>
        <w:adjustRightInd w:val="0"/>
        <w:snapToGrid w:val="0"/>
        <w:spacing w:line="46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1.本项目的政府采购预算控制价为人民币</w:t>
      </w:r>
      <w:r>
        <w:rPr>
          <w:rFonts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1923946.32</w:t>
      </w:r>
      <w:r>
        <w:rPr>
          <w:rFonts w:hint="eastAsia" w:ascii="宋体" w:hAnsi="宋体" w:cs="宋体"/>
          <w:b/>
          <w:bCs/>
          <w:color w:val="auto"/>
          <w:sz w:val="24"/>
          <w:szCs w:val="24"/>
          <w:highlight w:val="none"/>
        </w:rPr>
        <w:t>元，超过上述预算价的报价将视为无效报价。</w:t>
      </w:r>
    </w:p>
    <w:p w14:paraId="53476397">
      <w:pPr>
        <w:adjustRightInd w:val="0"/>
        <w:snapToGrid w:val="0"/>
        <w:spacing w:line="46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2.根据《关于印发中小企业划型标准规定的通知》（工信部联企业〔2011〕300号）规定的划分标准，本项目采购所有标的对应的中小企业划分标准所属行业为：</w:t>
      </w:r>
      <w:r>
        <w:rPr>
          <w:rFonts w:hint="eastAsia" w:ascii="宋体" w:hAnsi="宋体" w:cs="宋体"/>
          <w:b/>
          <w:bCs/>
          <w:color w:val="auto"/>
          <w:sz w:val="24"/>
          <w:szCs w:val="24"/>
          <w:highlight w:val="none"/>
          <w:u w:val="single"/>
        </w:rPr>
        <w:t>建筑业</w:t>
      </w:r>
      <w:r>
        <w:rPr>
          <w:rFonts w:hint="eastAsia" w:ascii="宋体" w:hAnsi="宋体" w:cs="宋体"/>
          <w:b/>
          <w:bCs/>
          <w:color w:val="auto"/>
          <w:sz w:val="24"/>
          <w:szCs w:val="24"/>
          <w:highlight w:val="none"/>
        </w:rPr>
        <w:t xml:space="preserve">。   </w:t>
      </w:r>
    </w:p>
    <w:p w14:paraId="6245FA58">
      <w:pPr>
        <w:adjustRightInd w:val="0"/>
        <w:spacing w:line="360" w:lineRule="auto"/>
        <w:jc w:val="left"/>
        <w:rPr>
          <w:rFonts w:hint="eastAsia" w:ascii="宋体" w:hAnsi="宋体" w:cs="仿宋_GB2312"/>
          <w:b/>
          <w:bCs/>
          <w:color w:val="auto"/>
          <w:sz w:val="24"/>
          <w:highlight w:val="none"/>
        </w:rPr>
      </w:pPr>
      <w:r>
        <w:rPr>
          <w:rFonts w:hint="eastAsia" w:ascii="宋体" w:hAnsi="宋体" w:cs="仿宋_GB2312"/>
          <w:b/>
          <w:bCs/>
          <w:color w:val="auto"/>
          <w:sz w:val="24"/>
          <w:highlight w:val="none"/>
        </w:rPr>
        <w:t>一、工程概况</w:t>
      </w:r>
    </w:p>
    <w:p w14:paraId="6AC597FF">
      <w:pPr>
        <w:adjustRightInd w:val="0"/>
        <w:spacing w:line="360" w:lineRule="auto"/>
        <w:ind w:firstLine="480" w:firstLineChars="200"/>
        <w:jc w:val="left"/>
        <w:rPr>
          <w:rFonts w:hint="eastAsia" w:ascii="宋体" w:hAnsi="宋体" w:eastAsia="宋体" w:cs="仿宋_GB2312"/>
          <w:color w:val="auto"/>
          <w:sz w:val="24"/>
          <w:highlight w:val="none"/>
        </w:rPr>
      </w:pPr>
      <w:r>
        <w:rPr>
          <w:rFonts w:hint="eastAsia" w:ascii="宋体" w:hAnsi="宋体" w:cs="仿宋_GB2312"/>
          <w:color w:val="auto"/>
          <w:sz w:val="24"/>
          <w:highlight w:val="none"/>
          <w:lang w:eastAsia="zh-CN"/>
        </w:rPr>
        <w:t>2025年合浦县常乐镇车板江低坡村委东头岭段护岸加固工程位于合浦县常乐镇低坡村委东头岭村附近的车板江护岸，建设内容为加固护岸400m，其中护坡段长335m，抛石脚段65m。具体内容详见磋商文件，工程量清单及图纸。</w:t>
      </w:r>
    </w:p>
    <w:p w14:paraId="7C402CA7">
      <w:pPr>
        <w:adjustRightInd w:val="0"/>
        <w:spacing w:line="360" w:lineRule="auto"/>
        <w:jc w:val="left"/>
        <w:rPr>
          <w:rFonts w:ascii="宋体" w:hAnsi="宋体" w:cs="仿宋_GB2312"/>
          <w:color w:val="auto"/>
          <w:sz w:val="24"/>
          <w:highlight w:val="none"/>
        </w:rPr>
      </w:pPr>
      <w:r>
        <w:rPr>
          <w:rFonts w:hint="eastAsia" w:ascii="宋体" w:hAnsi="宋体" w:cs="仿宋_GB2312"/>
          <w:b/>
          <w:bCs/>
          <w:color w:val="auto"/>
          <w:sz w:val="24"/>
          <w:highlight w:val="none"/>
        </w:rPr>
        <w:t xml:space="preserve">二、工程内容 </w:t>
      </w:r>
    </w:p>
    <w:p w14:paraId="3D00F32D">
      <w:pPr>
        <w:adjustRightInd w:val="0"/>
        <w:spacing w:line="360" w:lineRule="auto"/>
        <w:ind w:left="210" w:leftChars="100"/>
        <w:jc w:val="left"/>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rPr>
        <w:t>1.工程名称：</w:t>
      </w:r>
      <w:r>
        <w:rPr>
          <w:rFonts w:hint="eastAsia" w:ascii="宋体" w:hAnsi="宋体" w:cs="仿宋_GB2312"/>
          <w:color w:val="auto"/>
          <w:sz w:val="24"/>
          <w:highlight w:val="none"/>
          <w:lang w:eastAsia="zh-CN"/>
        </w:rPr>
        <w:t>2025年合浦县常乐镇车板江低坡村委东头岭段护岸加固工程</w:t>
      </w:r>
    </w:p>
    <w:p w14:paraId="6B7A3EB0">
      <w:pPr>
        <w:adjustRightInd w:val="0"/>
        <w:spacing w:line="360" w:lineRule="auto"/>
        <w:ind w:left="210" w:leftChars="100"/>
        <w:jc w:val="left"/>
        <w:rPr>
          <w:rFonts w:ascii="宋体" w:hAnsi="宋体" w:cs="仿宋_GB2312"/>
          <w:color w:val="auto"/>
          <w:sz w:val="24"/>
          <w:highlight w:val="none"/>
        </w:rPr>
      </w:pPr>
      <w:r>
        <w:rPr>
          <w:rFonts w:hint="eastAsia" w:ascii="宋体" w:hAnsi="宋体" w:cs="仿宋_GB2312"/>
          <w:color w:val="auto"/>
          <w:sz w:val="24"/>
          <w:highlight w:val="none"/>
        </w:rPr>
        <w:t>2.现场条件：满足施工要求</w:t>
      </w:r>
    </w:p>
    <w:p w14:paraId="68551930">
      <w:pPr>
        <w:adjustRightInd w:val="0"/>
        <w:spacing w:line="360" w:lineRule="auto"/>
        <w:ind w:left="210" w:leftChars="100"/>
        <w:jc w:val="left"/>
        <w:rPr>
          <w:rFonts w:ascii="宋体" w:hAnsi="宋体" w:cs="仿宋_GB2312"/>
          <w:color w:val="auto"/>
          <w:sz w:val="24"/>
          <w:highlight w:val="none"/>
        </w:rPr>
      </w:pPr>
      <w:r>
        <w:rPr>
          <w:rFonts w:hint="eastAsia" w:ascii="宋体" w:hAnsi="宋体" w:cs="仿宋_GB2312"/>
          <w:color w:val="auto"/>
          <w:sz w:val="24"/>
          <w:highlight w:val="none"/>
        </w:rPr>
        <w:t>3.工程承包范围：</w:t>
      </w:r>
      <w:r>
        <w:rPr>
          <w:rFonts w:hint="eastAsia" w:ascii="宋体" w:hAnsi="宋体" w:cs="宋体"/>
          <w:color w:val="auto"/>
          <w:spacing w:val="2"/>
          <w:sz w:val="24"/>
          <w:highlight w:val="none"/>
        </w:rPr>
        <w:t>施工图纸</w:t>
      </w:r>
      <w:r>
        <w:rPr>
          <w:rFonts w:hint="eastAsia" w:hAnsi="宋体" w:cs="宋体"/>
          <w:color w:val="auto"/>
          <w:spacing w:val="2"/>
          <w:sz w:val="24"/>
          <w:highlight w:val="none"/>
        </w:rPr>
        <w:t>及工程量清单所包含的全部内容</w:t>
      </w:r>
      <w:r>
        <w:rPr>
          <w:rFonts w:hint="eastAsia" w:ascii="宋体" w:hAnsi="宋体" w:cs="宋体"/>
          <w:color w:val="auto"/>
          <w:spacing w:val="2"/>
          <w:sz w:val="24"/>
          <w:highlight w:val="none"/>
        </w:rPr>
        <w:t>。</w:t>
      </w:r>
      <w:r>
        <w:rPr>
          <w:rFonts w:hint="eastAsia" w:hAnsi="宋体" w:cs="宋体"/>
          <w:color w:val="auto"/>
          <w:spacing w:val="2"/>
          <w:sz w:val="24"/>
          <w:highlight w:val="none"/>
        </w:rPr>
        <w:t xml:space="preserve"> </w:t>
      </w:r>
    </w:p>
    <w:p w14:paraId="677D7314">
      <w:pPr>
        <w:adjustRightInd w:val="0"/>
        <w:spacing w:line="360" w:lineRule="auto"/>
        <w:ind w:left="210" w:leftChars="100"/>
        <w:jc w:val="left"/>
        <w:rPr>
          <w:rFonts w:hint="eastAsia" w:ascii="宋体" w:hAnsi="宋体" w:cs="仿宋_GB2312"/>
          <w:color w:val="auto"/>
          <w:sz w:val="24"/>
          <w:highlight w:val="none"/>
        </w:rPr>
      </w:pPr>
      <w:r>
        <w:rPr>
          <w:rFonts w:hint="eastAsia" w:ascii="宋体" w:hAnsi="宋体" w:cs="仿宋_GB2312"/>
          <w:color w:val="auto"/>
          <w:sz w:val="24"/>
          <w:highlight w:val="none"/>
        </w:rPr>
        <w:t>4.工程质量标准：达到国家工程施工验收规范合格标准。</w:t>
      </w:r>
    </w:p>
    <w:p w14:paraId="0D373BE5">
      <w:pPr>
        <w:adjustRightInd w:val="0"/>
        <w:spacing w:line="360" w:lineRule="auto"/>
        <w:ind w:left="210" w:leftChars="100"/>
        <w:jc w:val="left"/>
        <w:rPr>
          <w:rFonts w:hint="default"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5.技术标准和要求：符合国家现行的工程建设标准、技术规范及强制性标准条文、以及施工图纸载明的其他有关规范标准。</w:t>
      </w:r>
    </w:p>
    <w:p w14:paraId="1AA90CA9">
      <w:pPr>
        <w:adjustRightInd w:val="0"/>
        <w:spacing w:line="360" w:lineRule="auto"/>
        <w:ind w:left="210" w:leftChars="100"/>
        <w:jc w:val="left"/>
        <w:rPr>
          <w:rFonts w:hint="eastAsia" w:ascii="宋体" w:hAnsi="宋体" w:cs="仿宋_GB2312"/>
          <w:color w:val="auto"/>
          <w:sz w:val="24"/>
          <w:highlight w:val="none"/>
        </w:rPr>
      </w:pPr>
      <w:r>
        <w:rPr>
          <w:rFonts w:hint="eastAsia" w:ascii="宋体" w:hAnsi="宋体" w:cs="仿宋_GB2312"/>
          <w:color w:val="auto"/>
          <w:sz w:val="24"/>
          <w:highlight w:val="none"/>
          <w:lang w:val="en-US" w:eastAsia="zh-CN"/>
        </w:rPr>
        <w:t>6</w:t>
      </w:r>
      <w:r>
        <w:rPr>
          <w:rFonts w:hint="eastAsia" w:ascii="宋体" w:hAnsi="宋体" w:cs="仿宋_GB2312"/>
          <w:color w:val="auto"/>
          <w:sz w:val="24"/>
          <w:highlight w:val="none"/>
        </w:rPr>
        <w:t>.工程施工要求：满足施工要求</w:t>
      </w:r>
      <w:bookmarkStart w:id="2454" w:name="_GoBack"/>
      <w:bookmarkEnd w:id="2454"/>
    </w:p>
    <w:p w14:paraId="7B1E9E15">
      <w:pPr>
        <w:adjustRightInd w:val="0"/>
        <w:spacing w:line="360" w:lineRule="auto"/>
        <w:ind w:left="210" w:leftChars="100"/>
        <w:jc w:val="left"/>
        <w:rPr>
          <w:rFonts w:hint="eastAsia" w:ascii="宋体" w:hAnsi="宋体" w:cs="仿宋_GB2312"/>
          <w:color w:val="auto"/>
          <w:sz w:val="24"/>
          <w:highlight w:val="none"/>
        </w:rPr>
      </w:pPr>
      <w:r>
        <w:rPr>
          <w:rFonts w:hint="eastAsia" w:ascii="宋体" w:hAnsi="宋体" w:cs="仿宋_GB2312"/>
          <w:color w:val="auto"/>
          <w:sz w:val="24"/>
          <w:highlight w:val="none"/>
          <w:lang w:val="en-US" w:eastAsia="zh-CN"/>
        </w:rPr>
        <w:t>7</w:t>
      </w:r>
      <w:r>
        <w:rPr>
          <w:rFonts w:hint="eastAsia" w:ascii="宋体" w:hAnsi="宋体" w:cs="仿宋_GB2312"/>
          <w:color w:val="auto"/>
          <w:sz w:val="24"/>
          <w:highlight w:val="none"/>
        </w:rPr>
        <w:t>.工程管理要求：满足施工要求</w:t>
      </w:r>
    </w:p>
    <w:p w14:paraId="18569C52">
      <w:pPr>
        <w:adjustRightInd w:val="0"/>
        <w:spacing w:line="360" w:lineRule="auto"/>
        <w:ind w:left="210" w:leftChars="100"/>
        <w:jc w:val="left"/>
        <w:rPr>
          <w:rFonts w:hint="eastAsia" w:ascii="宋体" w:hAnsi="宋体" w:cs="仿宋_GB2312"/>
          <w:color w:val="auto"/>
          <w:sz w:val="24"/>
          <w:highlight w:val="none"/>
        </w:rPr>
      </w:pPr>
      <w:r>
        <w:rPr>
          <w:rFonts w:hint="eastAsia" w:ascii="宋体" w:hAnsi="宋体" w:cs="仿宋_GB2312"/>
          <w:color w:val="auto"/>
          <w:sz w:val="24"/>
          <w:highlight w:val="none"/>
          <w:lang w:val="en-US" w:eastAsia="zh-CN"/>
        </w:rPr>
        <w:t>8</w:t>
      </w:r>
      <w:r>
        <w:rPr>
          <w:rFonts w:hint="eastAsia" w:ascii="宋体" w:hAnsi="宋体" w:cs="仿宋_GB2312"/>
          <w:color w:val="auto"/>
          <w:sz w:val="24"/>
          <w:highlight w:val="none"/>
        </w:rPr>
        <w:t>.工程主要材料（设备）要求：满足施工要求</w:t>
      </w:r>
    </w:p>
    <w:p w14:paraId="23E18DB3">
      <w:pPr>
        <w:adjustRightInd w:val="0"/>
        <w:spacing w:line="360" w:lineRule="auto"/>
        <w:ind w:left="210" w:leftChars="1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9.本工程采用固定综合单价合同价格形式，合同价格包含增值税，本工程计价时采用的增值税计税方法为：一般计税法</w:t>
      </w:r>
    </w:p>
    <w:p w14:paraId="13602239">
      <w:pPr>
        <w:adjustRightInd w:val="0"/>
        <w:spacing w:line="360" w:lineRule="auto"/>
        <w:ind w:left="210" w:leftChars="100"/>
        <w:jc w:val="left"/>
        <w:rPr>
          <w:rFonts w:hint="default"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10.项目采购人：合浦县水利局；建设单位：合浦县水旱灾害防御中心</w:t>
      </w:r>
    </w:p>
    <w:p w14:paraId="16DE081D">
      <w:pPr>
        <w:adjustRightInd w:val="0"/>
        <w:spacing w:line="360" w:lineRule="auto"/>
        <w:jc w:val="left"/>
        <w:rPr>
          <w:rFonts w:ascii="宋体" w:hAnsi="宋体" w:cs="仿宋_GB2312"/>
          <w:b/>
          <w:bCs/>
          <w:color w:val="auto"/>
          <w:sz w:val="24"/>
          <w:highlight w:val="none"/>
        </w:rPr>
      </w:pPr>
      <w:r>
        <w:rPr>
          <w:rFonts w:hint="eastAsia" w:ascii="宋体" w:hAnsi="宋体" w:cs="仿宋_GB2312"/>
          <w:b/>
          <w:bCs/>
          <w:color w:val="auto"/>
          <w:sz w:val="24"/>
          <w:highlight w:val="none"/>
        </w:rPr>
        <w:t>三、商务要求</w:t>
      </w:r>
    </w:p>
    <w:p w14:paraId="5F403DA5">
      <w:pPr>
        <w:adjustRightInd w:val="0"/>
        <w:spacing w:line="360" w:lineRule="auto"/>
        <w:ind w:left="210" w:leftChars="100"/>
        <w:jc w:val="left"/>
        <w:rPr>
          <w:rFonts w:hint="default" w:ascii="宋体" w:hAnsi="宋体" w:cs="仿宋_GB2312"/>
          <w:color w:val="auto"/>
          <w:sz w:val="24"/>
          <w:highlight w:val="none"/>
          <w:lang w:val="en-US"/>
        </w:rPr>
      </w:pPr>
      <w:r>
        <w:rPr>
          <w:rFonts w:hint="eastAsia" w:ascii="宋体" w:hAnsi="宋体" w:cs="仿宋_GB2312"/>
          <w:color w:val="auto"/>
          <w:sz w:val="24"/>
          <w:highlight w:val="none"/>
        </w:rPr>
        <w:t>1.工期要求：</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监理签发的开工日起60日历天内完成 </w:t>
      </w:r>
    </w:p>
    <w:p w14:paraId="1FFC22A9">
      <w:pPr>
        <w:adjustRightInd w:val="0"/>
        <w:spacing w:line="360" w:lineRule="auto"/>
        <w:ind w:left="210" w:leftChars="100"/>
        <w:jc w:val="left"/>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rPr>
        <w:t>2.工程地点：</w:t>
      </w:r>
      <w:r>
        <w:rPr>
          <w:rFonts w:hint="eastAsia" w:ascii="宋体" w:hAnsi="宋体" w:cs="仿宋_GB2312"/>
          <w:color w:val="auto"/>
          <w:sz w:val="24"/>
          <w:highlight w:val="none"/>
          <w:u w:val="single"/>
          <w:lang w:eastAsia="zh-CN"/>
        </w:rPr>
        <w:t>合浦县常乐镇低坡村委东头岭村附近的车板江护岸</w:t>
      </w:r>
    </w:p>
    <w:p w14:paraId="58B907C9">
      <w:pPr>
        <w:adjustRightInd w:val="0"/>
        <w:spacing w:line="360" w:lineRule="auto"/>
        <w:ind w:left="210" w:leftChars="100"/>
        <w:jc w:val="left"/>
        <w:rPr>
          <w:rFonts w:ascii="宋体" w:hAnsi="宋体" w:cs="仿宋_GB2312"/>
          <w:color w:val="auto"/>
          <w:sz w:val="24"/>
          <w:highlight w:val="none"/>
        </w:rPr>
      </w:pPr>
      <w:r>
        <w:rPr>
          <w:rFonts w:hint="eastAsia" w:ascii="宋体" w:hAnsi="宋体" w:cs="仿宋_GB2312"/>
          <w:color w:val="auto"/>
          <w:sz w:val="24"/>
          <w:highlight w:val="none"/>
        </w:rPr>
        <w:t>3.付款条件（进度和方式）</w:t>
      </w:r>
    </w:p>
    <w:tbl>
      <w:tblPr>
        <w:tblStyle w:val="37"/>
        <w:tblW w:w="9539"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817"/>
        <w:gridCol w:w="2059"/>
        <w:gridCol w:w="6663"/>
      </w:tblGrid>
      <w:tr w14:paraId="09CAE60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576" w:hRule="atLeast"/>
          <w:jc w:val="center"/>
        </w:trPr>
        <w:tc>
          <w:tcPr>
            <w:tcW w:w="817" w:type="dxa"/>
            <w:shd w:val="clear" w:color="auto" w:fill="auto"/>
            <w:vAlign w:val="center"/>
          </w:tcPr>
          <w:p w14:paraId="2FB026B8">
            <w:pPr>
              <w:adjustRightInd w:val="0"/>
              <w:spacing w:line="360" w:lineRule="auto"/>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序号</w:t>
            </w:r>
          </w:p>
        </w:tc>
        <w:tc>
          <w:tcPr>
            <w:tcW w:w="2059" w:type="dxa"/>
            <w:shd w:val="clear" w:color="auto" w:fill="auto"/>
            <w:vAlign w:val="center"/>
          </w:tcPr>
          <w:p w14:paraId="10EA0CAC">
            <w:pPr>
              <w:adjustRightInd w:val="0"/>
              <w:spacing w:line="360" w:lineRule="auto"/>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付款比例（%）</w:t>
            </w:r>
          </w:p>
        </w:tc>
        <w:tc>
          <w:tcPr>
            <w:tcW w:w="6663" w:type="dxa"/>
            <w:shd w:val="clear" w:color="auto" w:fill="auto"/>
            <w:vAlign w:val="center"/>
          </w:tcPr>
          <w:p w14:paraId="26F51CD5">
            <w:pPr>
              <w:adjustRightInd w:val="0"/>
              <w:spacing w:line="360" w:lineRule="auto"/>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付款方式</w:t>
            </w:r>
          </w:p>
        </w:tc>
      </w:tr>
      <w:tr w14:paraId="7FEE099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87" w:hRule="atLeast"/>
          <w:jc w:val="center"/>
        </w:trPr>
        <w:tc>
          <w:tcPr>
            <w:tcW w:w="817" w:type="dxa"/>
            <w:shd w:val="clear" w:color="auto" w:fill="auto"/>
            <w:vAlign w:val="center"/>
          </w:tcPr>
          <w:p w14:paraId="66831DBE">
            <w:pPr>
              <w:adjustRightInd w:val="0"/>
              <w:spacing w:line="360" w:lineRule="auto"/>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1</w:t>
            </w:r>
          </w:p>
        </w:tc>
        <w:tc>
          <w:tcPr>
            <w:tcW w:w="2059" w:type="dxa"/>
            <w:shd w:val="clear" w:color="auto" w:fill="auto"/>
            <w:vAlign w:val="center"/>
          </w:tcPr>
          <w:p w14:paraId="56E6139E">
            <w:pPr>
              <w:pStyle w:val="102"/>
              <w:spacing w:before="114"/>
              <w:ind w:left="467" w:leftChars="0"/>
              <w:rPr>
                <w:rFonts w:hint="default" w:ascii="宋体" w:hAnsi="宋体" w:eastAsia="宋体" w:cs="仿宋_GB2312"/>
                <w:color w:val="auto"/>
                <w:sz w:val="24"/>
                <w:szCs w:val="24"/>
                <w:highlight w:val="none"/>
                <w:lang w:val="en-US" w:eastAsia="zh-CN"/>
              </w:rPr>
            </w:pPr>
            <w:r>
              <w:rPr>
                <w:color w:val="auto"/>
                <w:spacing w:val="-8"/>
                <w:sz w:val="24"/>
                <w:szCs w:val="24"/>
              </w:rPr>
              <w:t>30</w:t>
            </w:r>
          </w:p>
        </w:tc>
        <w:tc>
          <w:tcPr>
            <w:tcW w:w="6663" w:type="dxa"/>
            <w:shd w:val="clear" w:color="auto" w:fill="auto"/>
            <w:vAlign w:val="center"/>
          </w:tcPr>
          <w:p w14:paraId="20C5D70D">
            <w:pPr>
              <w:pStyle w:val="102"/>
              <w:spacing w:before="114" w:line="219" w:lineRule="auto"/>
              <w:ind w:left="114" w:leftChars="0"/>
              <w:rPr>
                <w:rFonts w:hint="eastAsia" w:ascii="宋体" w:hAnsi="宋体" w:eastAsia="宋体" w:cs="仿宋_GB2312"/>
                <w:color w:val="auto"/>
                <w:sz w:val="24"/>
                <w:szCs w:val="24"/>
                <w:highlight w:val="none"/>
                <w:lang w:eastAsia="zh-CN"/>
              </w:rPr>
            </w:pPr>
            <w:r>
              <w:rPr>
                <w:color w:val="auto"/>
                <w:spacing w:val="-2"/>
                <w:sz w:val="24"/>
                <w:szCs w:val="24"/>
              </w:rPr>
              <w:t>签订施工合同后支付合同价款</w:t>
            </w:r>
            <w:r>
              <w:rPr>
                <w:color w:val="auto"/>
                <w:spacing w:val="-29"/>
                <w:sz w:val="24"/>
                <w:szCs w:val="24"/>
              </w:rPr>
              <w:t xml:space="preserve"> </w:t>
            </w:r>
            <w:r>
              <w:rPr>
                <w:color w:val="auto"/>
                <w:spacing w:val="-2"/>
                <w:sz w:val="24"/>
                <w:szCs w:val="24"/>
              </w:rPr>
              <w:t>30%作为预付款</w:t>
            </w:r>
          </w:p>
        </w:tc>
      </w:tr>
      <w:tr w14:paraId="6758B5F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75" w:hRule="atLeast"/>
          <w:jc w:val="center"/>
        </w:trPr>
        <w:tc>
          <w:tcPr>
            <w:tcW w:w="817" w:type="dxa"/>
            <w:shd w:val="clear" w:color="auto" w:fill="auto"/>
            <w:vAlign w:val="center"/>
          </w:tcPr>
          <w:p w14:paraId="2EA89A64">
            <w:pPr>
              <w:adjustRightInd w:val="0"/>
              <w:spacing w:line="360" w:lineRule="auto"/>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2</w:t>
            </w:r>
          </w:p>
        </w:tc>
        <w:tc>
          <w:tcPr>
            <w:tcW w:w="2059" w:type="dxa"/>
            <w:shd w:val="clear" w:color="auto" w:fill="auto"/>
            <w:vAlign w:val="center"/>
          </w:tcPr>
          <w:p w14:paraId="1ED77986">
            <w:pPr>
              <w:pStyle w:val="102"/>
              <w:spacing w:before="78"/>
              <w:ind w:left="464" w:leftChars="0"/>
              <w:rPr>
                <w:rFonts w:hint="default" w:ascii="宋体" w:hAnsi="宋体" w:eastAsia="宋体" w:cs="仿宋_GB2312"/>
                <w:color w:val="auto"/>
                <w:sz w:val="24"/>
                <w:szCs w:val="24"/>
                <w:highlight w:val="none"/>
                <w:lang w:val="en-US" w:eastAsia="zh-CN"/>
              </w:rPr>
            </w:pPr>
            <w:r>
              <w:rPr>
                <w:color w:val="auto"/>
                <w:spacing w:val="-6"/>
                <w:sz w:val="24"/>
                <w:szCs w:val="24"/>
              </w:rPr>
              <w:t>65</w:t>
            </w:r>
          </w:p>
        </w:tc>
        <w:tc>
          <w:tcPr>
            <w:tcW w:w="6663" w:type="dxa"/>
            <w:shd w:val="clear" w:color="auto" w:fill="auto"/>
            <w:vAlign w:val="center"/>
          </w:tcPr>
          <w:p w14:paraId="51C2CC7E">
            <w:pPr>
              <w:pStyle w:val="102"/>
              <w:spacing w:before="118" w:line="312" w:lineRule="auto"/>
              <w:ind w:left="113" w:leftChars="0" w:right="107" w:rightChars="0" w:firstLine="3" w:firstLineChars="0"/>
              <w:rPr>
                <w:rFonts w:hint="eastAsia" w:ascii="宋体" w:hAnsi="宋体" w:eastAsia="宋体" w:cs="仿宋_GB2312"/>
                <w:color w:val="auto"/>
                <w:sz w:val="24"/>
                <w:szCs w:val="24"/>
                <w:highlight w:val="none"/>
                <w:lang w:eastAsia="zh-CN"/>
              </w:rPr>
            </w:pPr>
            <w:r>
              <w:rPr>
                <w:color w:val="auto"/>
                <w:spacing w:val="2"/>
                <w:sz w:val="24"/>
                <w:szCs w:val="24"/>
              </w:rPr>
              <w:t>从完成工程量达到合同价的</w:t>
            </w:r>
            <w:r>
              <w:rPr>
                <w:color w:val="auto"/>
                <w:spacing w:val="-37"/>
                <w:sz w:val="24"/>
                <w:szCs w:val="24"/>
              </w:rPr>
              <w:t xml:space="preserve"> </w:t>
            </w:r>
            <w:r>
              <w:rPr>
                <w:color w:val="auto"/>
                <w:spacing w:val="2"/>
                <w:sz w:val="24"/>
                <w:szCs w:val="24"/>
              </w:rPr>
              <w:t>30%开始，按每月完成工程量的</w:t>
            </w:r>
            <w:r>
              <w:rPr>
                <w:color w:val="auto"/>
                <w:spacing w:val="-45"/>
                <w:sz w:val="24"/>
                <w:szCs w:val="24"/>
              </w:rPr>
              <w:t xml:space="preserve"> </w:t>
            </w:r>
            <w:r>
              <w:rPr>
                <w:color w:val="auto"/>
                <w:spacing w:val="2"/>
                <w:sz w:val="24"/>
                <w:szCs w:val="24"/>
              </w:rPr>
              <w:t>90%支付工程进度款。工程完工验收合格及办理结算后支</w:t>
            </w:r>
            <w:r>
              <w:rPr>
                <w:color w:val="auto"/>
                <w:spacing w:val="1"/>
                <w:sz w:val="24"/>
                <w:szCs w:val="24"/>
              </w:rPr>
              <w:t>付至结算总价的95%</w:t>
            </w:r>
          </w:p>
        </w:tc>
      </w:tr>
      <w:tr w14:paraId="430D7C9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75" w:hRule="atLeast"/>
          <w:jc w:val="center"/>
        </w:trPr>
        <w:tc>
          <w:tcPr>
            <w:tcW w:w="817" w:type="dxa"/>
            <w:shd w:val="clear" w:color="auto" w:fill="auto"/>
            <w:vAlign w:val="center"/>
          </w:tcPr>
          <w:p w14:paraId="056753B4">
            <w:pPr>
              <w:adjustRightInd w:val="0"/>
              <w:spacing w:line="360" w:lineRule="auto"/>
              <w:jc w:val="center"/>
              <w:rPr>
                <w:rFonts w:hint="eastAsia" w:ascii="宋体" w:hAnsi="宋体" w:eastAsia="宋体" w:cs="仿宋_GB2312"/>
                <w:color w:val="auto"/>
                <w:sz w:val="24"/>
                <w:szCs w:val="24"/>
                <w:highlight w:val="none"/>
                <w:lang w:val="en-US" w:eastAsia="zh-CN"/>
              </w:rPr>
            </w:pPr>
            <w:r>
              <w:rPr>
                <w:rFonts w:hint="eastAsia" w:ascii="宋体" w:hAnsi="宋体" w:cs="仿宋_GB2312"/>
                <w:color w:val="auto"/>
                <w:sz w:val="24"/>
                <w:szCs w:val="24"/>
                <w:highlight w:val="none"/>
                <w:lang w:val="en-US" w:eastAsia="zh-CN"/>
              </w:rPr>
              <w:t>3</w:t>
            </w:r>
          </w:p>
        </w:tc>
        <w:tc>
          <w:tcPr>
            <w:tcW w:w="2059" w:type="dxa"/>
            <w:shd w:val="clear" w:color="auto" w:fill="auto"/>
            <w:vAlign w:val="center"/>
          </w:tcPr>
          <w:p w14:paraId="7E305BBC">
            <w:pPr>
              <w:pStyle w:val="102"/>
              <w:spacing w:before="78" w:line="242" w:lineRule="auto"/>
              <w:ind w:left="525" w:leftChars="0"/>
              <w:rPr>
                <w:rFonts w:hint="default" w:ascii="宋体" w:hAnsi="宋体" w:eastAsia="宋体" w:cs="仿宋_GB2312"/>
                <w:color w:val="auto"/>
                <w:sz w:val="24"/>
                <w:szCs w:val="24"/>
                <w:highlight w:val="none"/>
                <w:lang w:val="en-US" w:eastAsia="zh-CN"/>
              </w:rPr>
            </w:pPr>
            <w:r>
              <w:rPr>
                <w:color w:val="auto"/>
                <w:sz w:val="24"/>
                <w:szCs w:val="24"/>
              </w:rPr>
              <w:t>2</w:t>
            </w:r>
          </w:p>
        </w:tc>
        <w:tc>
          <w:tcPr>
            <w:tcW w:w="6663" w:type="dxa"/>
            <w:shd w:val="clear" w:color="auto" w:fill="auto"/>
            <w:vAlign w:val="center"/>
          </w:tcPr>
          <w:p w14:paraId="22E5CBA3">
            <w:pPr>
              <w:pStyle w:val="102"/>
              <w:spacing w:before="118" w:line="312" w:lineRule="auto"/>
              <w:ind w:left="119" w:leftChars="0" w:right="107" w:rightChars="0" w:hanging="3" w:firstLineChars="0"/>
              <w:rPr>
                <w:rFonts w:hint="eastAsia" w:ascii="宋体" w:hAnsi="宋体" w:eastAsia="宋体" w:cs="仿宋_GB2312"/>
                <w:color w:val="auto"/>
                <w:sz w:val="24"/>
                <w:szCs w:val="24"/>
                <w:highlight w:val="none"/>
                <w:lang w:eastAsia="zh-CN"/>
              </w:rPr>
            </w:pPr>
            <w:r>
              <w:rPr>
                <w:color w:val="auto"/>
                <w:spacing w:val="-1"/>
                <w:sz w:val="24"/>
                <w:szCs w:val="24"/>
              </w:rPr>
              <w:t>按政府制定的结算审计办法完成第三方结算审计后，工程款支付至审计</w:t>
            </w:r>
            <w:r>
              <w:rPr>
                <w:color w:val="auto"/>
                <w:spacing w:val="-2"/>
                <w:sz w:val="24"/>
                <w:szCs w:val="24"/>
              </w:rPr>
              <w:t>结算总价的 97%</w:t>
            </w:r>
          </w:p>
        </w:tc>
      </w:tr>
      <w:tr w14:paraId="6CB0AB9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950" w:hRule="atLeast"/>
          <w:jc w:val="center"/>
        </w:trPr>
        <w:tc>
          <w:tcPr>
            <w:tcW w:w="817" w:type="dxa"/>
            <w:shd w:val="clear" w:color="auto" w:fill="auto"/>
            <w:vAlign w:val="center"/>
          </w:tcPr>
          <w:p w14:paraId="14BA14D7">
            <w:pPr>
              <w:adjustRightInd w:val="0"/>
              <w:spacing w:line="360" w:lineRule="auto"/>
              <w:jc w:val="center"/>
              <w:rPr>
                <w:rFonts w:hint="eastAsia" w:ascii="宋体" w:hAnsi="宋体" w:eastAsia="宋体" w:cs="仿宋_GB2312"/>
                <w:color w:val="auto"/>
                <w:sz w:val="24"/>
                <w:szCs w:val="24"/>
                <w:highlight w:val="none"/>
                <w:lang w:eastAsia="zh-CN"/>
              </w:rPr>
            </w:pPr>
            <w:r>
              <w:rPr>
                <w:rFonts w:hint="eastAsia" w:ascii="宋体" w:hAnsi="宋体" w:cs="仿宋_GB2312"/>
                <w:color w:val="auto"/>
                <w:sz w:val="24"/>
                <w:szCs w:val="24"/>
                <w:highlight w:val="none"/>
                <w:lang w:val="en-US" w:eastAsia="zh-CN"/>
              </w:rPr>
              <w:t>4</w:t>
            </w:r>
          </w:p>
        </w:tc>
        <w:tc>
          <w:tcPr>
            <w:tcW w:w="2059" w:type="dxa"/>
            <w:shd w:val="clear" w:color="auto" w:fill="auto"/>
            <w:vAlign w:val="center"/>
          </w:tcPr>
          <w:p w14:paraId="43C2AF9A">
            <w:pPr>
              <w:pStyle w:val="102"/>
              <w:spacing w:before="78"/>
              <w:ind w:left="527" w:leftChars="0"/>
              <w:rPr>
                <w:rFonts w:hint="eastAsia" w:ascii="宋体" w:hAnsi="宋体" w:eastAsia="宋体" w:cs="仿宋_GB2312"/>
                <w:color w:val="auto"/>
                <w:sz w:val="24"/>
                <w:szCs w:val="24"/>
                <w:highlight w:val="none"/>
                <w:lang w:val="en-US" w:eastAsia="zh-CN"/>
              </w:rPr>
            </w:pPr>
            <w:r>
              <w:rPr>
                <w:color w:val="auto"/>
                <w:sz w:val="24"/>
                <w:szCs w:val="24"/>
              </w:rPr>
              <w:t>3</w:t>
            </w:r>
          </w:p>
        </w:tc>
        <w:tc>
          <w:tcPr>
            <w:tcW w:w="6663" w:type="dxa"/>
            <w:shd w:val="clear" w:color="auto" w:fill="auto"/>
            <w:vAlign w:val="center"/>
          </w:tcPr>
          <w:p w14:paraId="086B51C7">
            <w:pPr>
              <w:pStyle w:val="102"/>
              <w:spacing w:before="117" w:line="314" w:lineRule="auto"/>
              <w:ind w:left="117" w:leftChars="0" w:right="107" w:rightChars="0"/>
              <w:rPr>
                <w:rFonts w:ascii="宋体" w:hAnsi="宋体" w:cs="仿宋_GB2312"/>
                <w:color w:val="auto"/>
                <w:sz w:val="24"/>
                <w:szCs w:val="24"/>
                <w:highlight w:val="none"/>
              </w:rPr>
            </w:pPr>
            <w:r>
              <w:rPr>
                <w:color w:val="auto"/>
                <w:spacing w:val="-3"/>
                <w:sz w:val="24"/>
                <w:szCs w:val="24"/>
              </w:rPr>
              <w:t>发包人按工程价款结算总额的</w:t>
            </w:r>
            <w:r>
              <w:rPr>
                <w:color w:val="auto"/>
                <w:spacing w:val="-41"/>
                <w:sz w:val="24"/>
                <w:szCs w:val="24"/>
              </w:rPr>
              <w:t xml:space="preserve"> </w:t>
            </w:r>
            <w:r>
              <w:rPr>
                <w:color w:val="auto"/>
                <w:spacing w:val="-3"/>
                <w:sz w:val="24"/>
                <w:szCs w:val="24"/>
              </w:rPr>
              <w:t>3%预留工程质量保修金，待工程缺陷责任</w:t>
            </w:r>
            <w:r>
              <w:rPr>
                <w:color w:val="auto"/>
                <w:spacing w:val="-1"/>
                <w:sz w:val="24"/>
                <w:szCs w:val="24"/>
              </w:rPr>
              <w:t>期满后，如无质量问题，发包人应无息返还保修金</w:t>
            </w:r>
          </w:p>
        </w:tc>
      </w:tr>
    </w:tbl>
    <w:p w14:paraId="174B282D">
      <w:pPr>
        <w:adjustRightInd w:val="0"/>
        <w:spacing w:line="360" w:lineRule="auto"/>
        <w:ind w:left="210" w:leftChars="100"/>
        <w:jc w:val="left"/>
        <w:rPr>
          <w:rFonts w:ascii="宋体" w:hAnsi="宋体" w:cs="仿宋_GB2312"/>
          <w:color w:val="auto"/>
          <w:sz w:val="24"/>
          <w:highlight w:val="none"/>
        </w:rPr>
      </w:pPr>
      <w:r>
        <w:rPr>
          <w:rFonts w:hint="eastAsia" w:ascii="宋体" w:hAnsi="宋体" w:cs="仿宋_GB2312"/>
          <w:color w:val="auto"/>
          <w:sz w:val="24"/>
          <w:highlight w:val="none"/>
        </w:rPr>
        <w:t>4.工程售后服务要求：缺陷责任期一年</w:t>
      </w:r>
    </w:p>
    <w:p w14:paraId="4BE9C63E">
      <w:pPr>
        <w:adjustRightInd w:val="0"/>
        <w:spacing w:line="360" w:lineRule="auto"/>
        <w:ind w:left="210" w:leftChars="100"/>
        <w:jc w:val="left"/>
        <w:rPr>
          <w:rFonts w:ascii="宋体" w:hAnsi="宋体" w:cs="仿宋_GB2312"/>
          <w:color w:val="auto"/>
          <w:sz w:val="24"/>
          <w:highlight w:val="none"/>
        </w:rPr>
      </w:pPr>
      <w:r>
        <w:rPr>
          <w:rFonts w:hint="eastAsia" w:ascii="宋体" w:hAnsi="宋体" w:cs="仿宋_GB2312"/>
          <w:color w:val="auto"/>
          <w:sz w:val="24"/>
          <w:highlight w:val="none"/>
        </w:rPr>
        <w:t>5.合同签订时间</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自成交通知书发出之日起25日内。</w:t>
      </w:r>
    </w:p>
    <w:p w14:paraId="534763B7">
      <w:pPr>
        <w:pStyle w:val="22"/>
        <w:rPr>
          <w:color w:val="auto"/>
          <w:highlight w:val="none"/>
        </w:rPr>
      </w:pPr>
    </w:p>
    <w:p w14:paraId="39769186">
      <w:pPr>
        <w:rPr>
          <w:color w:val="auto"/>
          <w:highlight w:val="none"/>
        </w:rPr>
      </w:pPr>
      <w:r>
        <w:rPr>
          <w:color w:val="auto"/>
          <w:highlight w:val="none"/>
        </w:rPr>
        <w:br w:type="page"/>
      </w:r>
    </w:p>
    <w:p w14:paraId="346D8A95">
      <w:pPr>
        <w:pStyle w:val="22"/>
        <w:rPr>
          <w:color w:val="auto"/>
          <w:highlight w:val="none"/>
        </w:rPr>
      </w:pPr>
    </w:p>
    <w:p w14:paraId="534763B8">
      <w:pPr>
        <w:pStyle w:val="22"/>
        <w:rPr>
          <w:color w:val="auto"/>
          <w:highlight w:val="none"/>
        </w:rPr>
      </w:pPr>
    </w:p>
    <w:p w14:paraId="534763B9">
      <w:pPr>
        <w:pStyle w:val="22"/>
        <w:rPr>
          <w:color w:val="auto"/>
          <w:highlight w:val="none"/>
        </w:rPr>
      </w:pPr>
    </w:p>
    <w:p w14:paraId="534763BA">
      <w:pPr>
        <w:pStyle w:val="22"/>
        <w:rPr>
          <w:color w:val="auto"/>
          <w:highlight w:val="none"/>
        </w:rPr>
      </w:pPr>
    </w:p>
    <w:p w14:paraId="534763BB">
      <w:pPr>
        <w:pStyle w:val="22"/>
        <w:rPr>
          <w:color w:val="auto"/>
          <w:highlight w:val="none"/>
        </w:rPr>
      </w:pPr>
    </w:p>
    <w:p w14:paraId="534763BC">
      <w:pPr>
        <w:pStyle w:val="22"/>
        <w:rPr>
          <w:color w:val="auto"/>
          <w:highlight w:val="none"/>
        </w:rPr>
      </w:pPr>
    </w:p>
    <w:p w14:paraId="534763BD">
      <w:pPr>
        <w:pStyle w:val="22"/>
        <w:rPr>
          <w:color w:val="auto"/>
          <w:highlight w:val="none"/>
        </w:rPr>
      </w:pPr>
    </w:p>
    <w:p w14:paraId="534763BE">
      <w:pPr>
        <w:pStyle w:val="22"/>
        <w:rPr>
          <w:color w:val="auto"/>
          <w:highlight w:val="none"/>
        </w:rPr>
      </w:pPr>
    </w:p>
    <w:p w14:paraId="534763BF">
      <w:pPr>
        <w:pStyle w:val="22"/>
        <w:rPr>
          <w:color w:val="auto"/>
          <w:highlight w:val="none"/>
        </w:rPr>
      </w:pPr>
    </w:p>
    <w:p w14:paraId="534763C0">
      <w:pPr>
        <w:pStyle w:val="22"/>
        <w:rPr>
          <w:color w:val="auto"/>
          <w:highlight w:val="none"/>
        </w:rPr>
      </w:pPr>
    </w:p>
    <w:p w14:paraId="534763C1">
      <w:pPr>
        <w:pStyle w:val="22"/>
        <w:rPr>
          <w:color w:val="auto"/>
          <w:highlight w:val="none"/>
        </w:rPr>
      </w:pPr>
    </w:p>
    <w:p w14:paraId="534763C2">
      <w:pPr>
        <w:pStyle w:val="22"/>
        <w:rPr>
          <w:color w:val="auto"/>
          <w:highlight w:val="none"/>
        </w:rPr>
      </w:pPr>
    </w:p>
    <w:p w14:paraId="534763C3">
      <w:pPr>
        <w:pStyle w:val="22"/>
        <w:rPr>
          <w:color w:val="auto"/>
          <w:highlight w:val="none"/>
        </w:rPr>
      </w:pPr>
    </w:p>
    <w:p w14:paraId="534763C4">
      <w:pPr>
        <w:pStyle w:val="22"/>
        <w:rPr>
          <w:color w:val="auto"/>
          <w:highlight w:val="none"/>
        </w:rPr>
      </w:pPr>
    </w:p>
    <w:p w14:paraId="534763C5">
      <w:pPr>
        <w:pStyle w:val="22"/>
        <w:rPr>
          <w:color w:val="auto"/>
          <w:highlight w:val="none"/>
        </w:rPr>
      </w:pPr>
    </w:p>
    <w:p w14:paraId="534763C6">
      <w:pPr>
        <w:pStyle w:val="22"/>
        <w:rPr>
          <w:color w:val="auto"/>
          <w:highlight w:val="none"/>
        </w:rPr>
      </w:pPr>
    </w:p>
    <w:p w14:paraId="534763C7">
      <w:pPr>
        <w:pStyle w:val="2"/>
        <w:spacing w:before="0" w:after="0" w:line="240" w:lineRule="auto"/>
        <w:jc w:val="center"/>
        <w:rPr>
          <w:rFonts w:ascii="宋体" w:hAnsi="宋体"/>
          <w:color w:val="auto"/>
          <w:highlight w:val="none"/>
        </w:rPr>
      </w:pPr>
      <w:bookmarkStart w:id="36" w:name="_Toc176861410"/>
      <w:r>
        <w:rPr>
          <w:rFonts w:hint="eastAsia" w:ascii="宋体" w:hAnsi="宋体"/>
          <w:color w:val="auto"/>
          <w:highlight w:val="none"/>
        </w:rPr>
        <w:t>第五章  工程量清单及图纸</w:t>
      </w:r>
      <w:bookmarkEnd w:id="36"/>
    </w:p>
    <w:p w14:paraId="534763C8">
      <w:pPr>
        <w:rPr>
          <w:color w:val="auto"/>
          <w:highlight w:val="none"/>
        </w:rPr>
      </w:pPr>
    </w:p>
    <w:p w14:paraId="534763C9">
      <w:pPr>
        <w:rPr>
          <w:color w:val="auto"/>
          <w:highlight w:val="none"/>
        </w:rPr>
      </w:pPr>
    </w:p>
    <w:p w14:paraId="534763CA">
      <w:pPr>
        <w:spacing w:line="440" w:lineRule="exact"/>
        <w:jc w:val="center"/>
        <w:rPr>
          <w:color w:val="auto"/>
          <w:sz w:val="36"/>
          <w:szCs w:val="36"/>
          <w:highlight w:val="none"/>
        </w:rPr>
      </w:pPr>
      <w:r>
        <w:rPr>
          <w:rFonts w:hint="eastAsia"/>
          <w:color w:val="auto"/>
          <w:sz w:val="36"/>
          <w:szCs w:val="36"/>
          <w:highlight w:val="none"/>
        </w:rPr>
        <w:t>工程量清单及图纸（另册）</w:t>
      </w:r>
    </w:p>
    <w:p w14:paraId="534763CB">
      <w:pPr>
        <w:spacing w:line="440" w:lineRule="exact"/>
        <w:jc w:val="center"/>
        <w:rPr>
          <w:rFonts w:eastAsia="仿宋_GB2312"/>
          <w:color w:val="auto"/>
          <w:sz w:val="36"/>
          <w:szCs w:val="36"/>
          <w:highlight w:val="none"/>
        </w:rPr>
      </w:pPr>
    </w:p>
    <w:p w14:paraId="534763CC">
      <w:pPr>
        <w:bidi w:val="0"/>
        <w:rPr>
          <w:color w:val="auto"/>
          <w:highlight w:val="none"/>
        </w:rPr>
      </w:pPr>
      <w:r>
        <w:rPr>
          <w:color w:val="auto"/>
          <w:highlight w:val="none"/>
        </w:rPr>
        <w:br w:type="page"/>
      </w:r>
    </w:p>
    <w:p w14:paraId="534763CD">
      <w:pPr>
        <w:rPr>
          <w:color w:val="auto"/>
          <w:highlight w:val="none"/>
        </w:rPr>
      </w:pPr>
    </w:p>
    <w:p w14:paraId="534763CE">
      <w:pPr>
        <w:pStyle w:val="18"/>
        <w:rPr>
          <w:color w:val="auto"/>
          <w:highlight w:val="none"/>
        </w:rPr>
      </w:pPr>
    </w:p>
    <w:p w14:paraId="534763CF">
      <w:pPr>
        <w:rPr>
          <w:color w:val="auto"/>
          <w:highlight w:val="none"/>
        </w:rPr>
      </w:pPr>
    </w:p>
    <w:p w14:paraId="534763D0">
      <w:pPr>
        <w:spacing w:line="600" w:lineRule="exact"/>
        <w:rPr>
          <w:color w:val="auto"/>
          <w:szCs w:val="21"/>
          <w:highlight w:val="none"/>
        </w:rPr>
      </w:pPr>
    </w:p>
    <w:p w14:paraId="534763D1">
      <w:pPr>
        <w:spacing w:line="300" w:lineRule="auto"/>
        <w:rPr>
          <w:rFonts w:ascii="方正宋黑简体" w:hAnsi="宋体" w:eastAsia="方正宋黑简体"/>
          <w:b/>
          <w:color w:val="auto"/>
          <w:szCs w:val="21"/>
          <w:highlight w:val="none"/>
        </w:rPr>
      </w:pPr>
    </w:p>
    <w:p w14:paraId="534763D2">
      <w:pPr>
        <w:spacing w:line="300" w:lineRule="auto"/>
        <w:ind w:left="420" w:hanging="420"/>
        <w:jc w:val="center"/>
        <w:rPr>
          <w:rFonts w:ascii="黑体" w:hAnsi="宋体" w:eastAsia="黑体"/>
          <w:b/>
          <w:color w:val="auto"/>
          <w:kern w:val="0"/>
          <w:sz w:val="32"/>
          <w:szCs w:val="32"/>
          <w:highlight w:val="none"/>
        </w:rPr>
      </w:pPr>
    </w:p>
    <w:p w14:paraId="534763D3">
      <w:pPr>
        <w:spacing w:line="300" w:lineRule="auto"/>
        <w:ind w:left="420" w:hanging="420"/>
        <w:jc w:val="center"/>
        <w:rPr>
          <w:rFonts w:ascii="黑体" w:hAnsi="宋体" w:eastAsia="黑体"/>
          <w:b/>
          <w:color w:val="auto"/>
          <w:kern w:val="0"/>
          <w:sz w:val="32"/>
          <w:szCs w:val="32"/>
          <w:highlight w:val="none"/>
        </w:rPr>
      </w:pPr>
    </w:p>
    <w:p w14:paraId="534763D4">
      <w:pPr>
        <w:spacing w:line="300" w:lineRule="auto"/>
        <w:ind w:left="420" w:hanging="420"/>
        <w:jc w:val="center"/>
        <w:rPr>
          <w:rFonts w:ascii="黑体" w:hAnsi="宋体" w:eastAsia="黑体"/>
          <w:b/>
          <w:color w:val="auto"/>
          <w:kern w:val="0"/>
          <w:sz w:val="32"/>
          <w:szCs w:val="32"/>
          <w:highlight w:val="none"/>
        </w:rPr>
      </w:pPr>
    </w:p>
    <w:p w14:paraId="534763D5">
      <w:pPr>
        <w:pStyle w:val="18"/>
        <w:rPr>
          <w:color w:val="auto"/>
          <w:highlight w:val="none"/>
        </w:rPr>
      </w:pPr>
    </w:p>
    <w:p w14:paraId="534763D6">
      <w:pPr>
        <w:rPr>
          <w:color w:val="auto"/>
          <w:highlight w:val="none"/>
        </w:rPr>
      </w:pPr>
    </w:p>
    <w:p w14:paraId="534763D7">
      <w:pPr>
        <w:autoSpaceDE w:val="0"/>
        <w:autoSpaceDN w:val="0"/>
        <w:adjustRightInd w:val="0"/>
        <w:snapToGrid w:val="0"/>
        <w:spacing w:line="300" w:lineRule="auto"/>
        <w:ind w:firstLine="3282" w:firstLineChars="743"/>
        <w:outlineLvl w:val="0"/>
        <w:rPr>
          <w:rFonts w:ascii="宋体" w:hAnsi="宋体"/>
          <w:b/>
          <w:color w:val="auto"/>
          <w:kern w:val="0"/>
          <w:sz w:val="44"/>
          <w:szCs w:val="44"/>
          <w:highlight w:val="none"/>
        </w:rPr>
      </w:pPr>
      <w:bookmarkStart w:id="37" w:name="_Toc3994507"/>
      <w:bookmarkStart w:id="38" w:name="_Toc31815"/>
      <w:bookmarkStart w:id="39" w:name="_Toc176861411"/>
      <w:r>
        <w:rPr>
          <w:rFonts w:hint="eastAsia" w:ascii="宋体" w:hAnsi="宋体"/>
          <w:b/>
          <w:color w:val="auto"/>
          <w:kern w:val="0"/>
          <w:sz w:val="44"/>
          <w:szCs w:val="44"/>
          <w:highlight w:val="none"/>
        </w:rPr>
        <w:t>第六章  合同格式</w:t>
      </w:r>
      <w:bookmarkEnd w:id="37"/>
      <w:bookmarkEnd w:id="38"/>
      <w:bookmarkEnd w:id="39"/>
    </w:p>
    <w:p w14:paraId="534763D8">
      <w:pPr>
        <w:spacing w:line="300" w:lineRule="auto"/>
        <w:ind w:left="420" w:hanging="420"/>
        <w:jc w:val="center"/>
        <w:rPr>
          <w:rFonts w:ascii="黑体" w:hAnsi="宋体" w:eastAsia="黑体"/>
          <w:b/>
          <w:color w:val="auto"/>
          <w:kern w:val="0"/>
          <w:sz w:val="32"/>
          <w:szCs w:val="32"/>
          <w:highlight w:val="none"/>
        </w:rPr>
      </w:pPr>
    </w:p>
    <w:p w14:paraId="534763D9">
      <w:pPr>
        <w:spacing w:line="300" w:lineRule="auto"/>
        <w:ind w:left="420" w:hanging="420"/>
        <w:jc w:val="center"/>
        <w:rPr>
          <w:rFonts w:ascii="黑体" w:hAnsi="宋体" w:eastAsia="黑体"/>
          <w:b/>
          <w:color w:val="auto"/>
          <w:kern w:val="0"/>
          <w:sz w:val="32"/>
          <w:szCs w:val="32"/>
          <w:highlight w:val="none"/>
        </w:rPr>
      </w:pPr>
    </w:p>
    <w:p w14:paraId="534763DA">
      <w:pPr>
        <w:spacing w:line="300" w:lineRule="auto"/>
        <w:ind w:left="420" w:hanging="420"/>
        <w:jc w:val="center"/>
        <w:rPr>
          <w:rFonts w:ascii="黑体" w:hAnsi="宋体" w:eastAsia="黑体"/>
          <w:b/>
          <w:color w:val="auto"/>
          <w:kern w:val="0"/>
          <w:sz w:val="32"/>
          <w:szCs w:val="32"/>
          <w:highlight w:val="none"/>
        </w:rPr>
      </w:pPr>
    </w:p>
    <w:p w14:paraId="534763DB">
      <w:pPr>
        <w:spacing w:line="300" w:lineRule="auto"/>
        <w:ind w:left="420" w:hanging="420"/>
        <w:jc w:val="center"/>
        <w:rPr>
          <w:rFonts w:ascii="黑体" w:hAnsi="宋体" w:eastAsia="黑体"/>
          <w:b/>
          <w:color w:val="auto"/>
          <w:kern w:val="0"/>
          <w:sz w:val="32"/>
          <w:szCs w:val="32"/>
          <w:highlight w:val="none"/>
        </w:rPr>
      </w:pPr>
    </w:p>
    <w:p w14:paraId="534763DC">
      <w:pPr>
        <w:spacing w:line="300" w:lineRule="auto"/>
        <w:ind w:left="420" w:hanging="420"/>
        <w:jc w:val="center"/>
        <w:rPr>
          <w:rFonts w:ascii="黑体" w:hAnsi="宋体" w:eastAsia="黑体"/>
          <w:b/>
          <w:color w:val="auto"/>
          <w:kern w:val="0"/>
          <w:sz w:val="32"/>
          <w:szCs w:val="32"/>
          <w:highlight w:val="none"/>
        </w:rPr>
      </w:pPr>
    </w:p>
    <w:p w14:paraId="534763DD">
      <w:pPr>
        <w:spacing w:line="300" w:lineRule="auto"/>
        <w:ind w:left="420" w:hanging="420"/>
        <w:jc w:val="center"/>
        <w:rPr>
          <w:rFonts w:ascii="黑体" w:hAnsi="宋体" w:eastAsia="黑体"/>
          <w:b/>
          <w:color w:val="auto"/>
          <w:kern w:val="0"/>
          <w:sz w:val="32"/>
          <w:szCs w:val="32"/>
          <w:highlight w:val="none"/>
        </w:rPr>
      </w:pPr>
    </w:p>
    <w:p w14:paraId="534763DE">
      <w:pPr>
        <w:spacing w:line="300" w:lineRule="auto"/>
        <w:ind w:left="420" w:hanging="420"/>
        <w:jc w:val="center"/>
        <w:rPr>
          <w:rFonts w:ascii="黑体" w:hAnsi="宋体" w:eastAsia="黑体"/>
          <w:b/>
          <w:color w:val="auto"/>
          <w:kern w:val="0"/>
          <w:sz w:val="32"/>
          <w:szCs w:val="32"/>
          <w:highlight w:val="none"/>
        </w:rPr>
      </w:pPr>
    </w:p>
    <w:p w14:paraId="534763DF">
      <w:pPr>
        <w:spacing w:line="300" w:lineRule="auto"/>
        <w:ind w:left="420" w:hanging="420"/>
        <w:jc w:val="center"/>
        <w:rPr>
          <w:rFonts w:ascii="黑体" w:hAnsi="宋体" w:eastAsia="黑体"/>
          <w:b/>
          <w:color w:val="auto"/>
          <w:kern w:val="0"/>
          <w:sz w:val="32"/>
          <w:szCs w:val="32"/>
          <w:highlight w:val="none"/>
        </w:rPr>
      </w:pPr>
    </w:p>
    <w:p w14:paraId="534763E0">
      <w:pPr>
        <w:spacing w:line="300" w:lineRule="auto"/>
        <w:ind w:left="420" w:hanging="420"/>
        <w:jc w:val="center"/>
        <w:rPr>
          <w:rFonts w:ascii="黑体" w:hAnsi="宋体" w:eastAsia="黑体"/>
          <w:b/>
          <w:color w:val="auto"/>
          <w:kern w:val="0"/>
          <w:sz w:val="32"/>
          <w:szCs w:val="32"/>
          <w:highlight w:val="none"/>
        </w:rPr>
      </w:pPr>
    </w:p>
    <w:p w14:paraId="534763E1">
      <w:pPr>
        <w:pStyle w:val="18"/>
        <w:rPr>
          <w:color w:val="auto"/>
          <w:highlight w:val="none"/>
        </w:rPr>
      </w:pPr>
    </w:p>
    <w:p w14:paraId="534763E2">
      <w:pPr>
        <w:rPr>
          <w:color w:val="auto"/>
          <w:highlight w:val="none"/>
        </w:rPr>
      </w:pPr>
    </w:p>
    <w:p w14:paraId="534763E3">
      <w:pPr>
        <w:spacing w:line="300" w:lineRule="auto"/>
        <w:rPr>
          <w:rFonts w:ascii="黑体" w:hAnsi="宋体" w:eastAsia="黑体"/>
          <w:b/>
          <w:color w:val="auto"/>
          <w:kern w:val="0"/>
          <w:sz w:val="32"/>
          <w:szCs w:val="32"/>
          <w:highlight w:val="none"/>
        </w:rPr>
      </w:pPr>
      <w:r>
        <w:rPr>
          <w:rFonts w:ascii="黑体" w:hAnsi="宋体" w:eastAsia="黑体"/>
          <w:b/>
          <w:color w:val="auto"/>
          <w:kern w:val="0"/>
          <w:sz w:val="32"/>
          <w:szCs w:val="32"/>
          <w:highlight w:val="none"/>
        </w:rPr>
        <w:br w:type="page"/>
      </w:r>
    </w:p>
    <w:p w14:paraId="5EE969B6">
      <w:pPr>
        <w:spacing w:line="360" w:lineRule="auto"/>
        <w:jc w:val="center"/>
        <w:rPr>
          <w:rFonts w:cs="宋体" w:asciiTheme="minorEastAsia" w:hAnsiTheme="minorEastAsia" w:eastAsiaTheme="minorEastAsia"/>
          <w:b/>
          <w:bCs/>
          <w:color w:val="auto"/>
          <w:sz w:val="52"/>
          <w:highlight w:val="none"/>
          <w:lang w:eastAsia="zh-CN"/>
        </w:rPr>
      </w:pPr>
    </w:p>
    <w:p w14:paraId="5EE969B7">
      <w:pPr>
        <w:spacing w:line="360" w:lineRule="auto"/>
        <w:jc w:val="center"/>
        <w:rPr>
          <w:rFonts w:hint="eastAsia" w:ascii="宋体" w:hAnsi="宋体" w:eastAsia="宋体" w:cs="宋体"/>
          <w:b/>
          <w:bCs/>
          <w:color w:val="auto"/>
          <w:sz w:val="52"/>
          <w:highlight w:val="none"/>
          <w:lang w:eastAsia="zh-CN"/>
        </w:rPr>
      </w:pPr>
      <w:r>
        <w:rPr>
          <w:rFonts w:hint="eastAsia" w:ascii="宋体" w:hAnsi="宋体" w:eastAsia="宋体" w:cs="宋体"/>
          <w:b/>
          <w:bCs/>
          <w:color w:val="auto"/>
          <w:sz w:val="52"/>
          <w:highlight w:val="none"/>
          <w:lang w:eastAsia="zh-CN"/>
        </w:rPr>
        <w:t>北 海 市 政 府 采 购</w:t>
      </w:r>
    </w:p>
    <w:p w14:paraId="5EE969B8">
      <w:pPr>
        <w:spacing w:line="360" w:lineRule="auto"/>
        <w:ind w:firstLine="420" w:firstLineChars="200"/>
        <w:rPr>
          <w:rFonts w:hint="eastAsia" w:ascii="宋体" w:hAnsi="宋体" w:eastAsia="宋体" w:cs="宋体"/>
          <w:color w:val="auto"/>
          <w:highlight w:val="none"/>
          <w:lang w:eastAsia="zh-CN"/>
        </w:rPr>
      </w:pPr>
    </w:p>
    <w:p w14:paraId="5EE969B9">
      <w:pPr>
        <w:spacing w:line="360" w:lineRule="auto"/>
        <w:ind w:firstLine="420" w:firstLineChars="200"/>
        <w:rPr>
          <w:rFonts w:hint="eastAsia" w:ascii="宋体" w:hAnsi="宋体" w:eastAsia="宋体" w:cs="宋体"/>
          <w:color w:val="auto"/>
          <w:highlight w:val="none"/>
          <w:lang w:eastAsia="zh-CN"/>
        </w:rPr>
      </w:pPr>
    </w:p>
    <w:p w14:paraId="5EE969BA">
      <w:pPr>
        <w:spacing w:line="360" w:lineRule="auto"/>
        <w:jc w:val="center"/>
        <w:rPr>
          <w:rFonts w:hint="eastAsia" w:ascii="宋体" w:hAnsi="宋体" w:eastAsia="宋体" w:cs="宋体"/>
          <w:b/>
          <w:bCs/>
          <w:color w:val="auto"/>
          <w:sz w:val="44"/>
          <w:highlight w:val="none"/>
          <w:lang w:eastAsia="zh-CN"/>
        </w:rPr>
      </w:pPr>
      <w:r>
        <w:rPr>
          <w:rFonts w:hint="eastAsia" w:ascii="宋体" w:hAnsi="宋体" w:eastAsia="宋体" w:cs="宋体"/>
          <w:b/>
          <w:bCs/>
          <w:color w:val="auto"/>
          <w:sz w:val="44"/>
          <w:highlight w:val="none"/>
          <w:u w:val="single"/>
          <w:lang w:eastAsia="zh-CN"/>
        </w:rPr>
        <w:t xml:space="preserve">                    </w:t>
      </w:r>
      <w:r>
        <w:rPr>
          <w:rFonts w:hint="eastAsia" w:ascii="宋体" w:hAnsi="宋体" w:eastAsia="宋体" w:cs="宋体"/>
          <w:b/>
          <w:bCs/>
          <w:color w:val="auto"/>
          <w:sz w:val="44"/>
          <w:highlight w:val="none"/>
          <w:lang w:eastAsia="zh-CN"/>
        </w:rPr>
        <w:t>合同</w:t>
      </w:r>
    </w:p>
    <w:p w14:paraId="5EE969BB">
      <w:pPr>
        <w:spacing w:line="360" w:lineRule="auto"/>
        <w:jc w:val="center"/>
        <w:rPr>
          <w:rFonts w:hint="eastAsia" w:ascii="宋体" w:hAnsi="宋体" w:eastAsia="宋体" w:cs="宋体"/>
          <w:b/>
          <w:bCs/>
          <w:color w:val="auto"/>
          <w:sz w:val="44"/>
          <w:highlight w:val="none"/>
          <w:lang w:eastAsia="zh-CN"/>
        </w:rPr>
      </w:pPr>
    </w:p>
    <w:p w14:paraId="5EE969BC">
      <w:pPr>
        <w:spacing w:line="360" w:lineRule="auto"/>
        <w:ind w:firstLine="3507" w:firstLineChars="794"/>
        <w:rPr>
          <w:rFonts w:hint="eastAsia" w:ascii="宋体" w:hAnsi="宋体" w:eastAsia="宋体" w:cs="宋体"/>
          <w:b/>
          <w:bCs/>
          <w:color w:val="auto"/>
          <w:sz w:val="44"/>
          <w:highlight w:val="none"/>
          <w:lang w:eastAsia="zh-CN"/>
        </w:rPr>
      </w:pPr>
    </w:p>
    <w:p w14:paraId="5EE969BD">
      <w:pPr>
        <w:spacing w:line="360" w:lineRule="auto"/>
        <w:ind w:firstLine="3507" w:firstLineChars="794"/>
        <w:rPr>
          <w:rFonts w:hint="eastAsia" w:ascii="宋体" w:hAnsi="宋体" w:eastAsia="宋体" w:cs="宋体"/>
          <w:b/>
          <w:bCs/>
          <w:color w:val="auto"/>
          <w:sz w:val="44"/>
          <w:highlight w:val="none"/>
          <w:lang w:eastAsia="zh-CN"/>
        </w:rPr>
      </w:pPr>
    </w:p>
    <w:p w14:paraId="5EE969BE">
      <w:pPr>
        <w:ind w:firstLine="842" w:firstLineChars="233"/>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lang w:eastAsia="zh-CN"/>
        </w:rPr>
        <w:t>采购项目编号：</w:t>
      </w:r>
      <w:r>
        <w:rPr>
          <w:rFonts w:hint="eastAsia" w:ascii="宋体" w:hAnsi="宋体" w:eastAsia="宋体" w:cs="宋体"/>
          <w:b/>
          <w:color w:val="auto"/>
          <w:sz w:val="36"/>
          <w:szCs w:val="36"/>
          <w:highlight w:val="none"/>
          <w:u w:val="single"/>
          <w:lang w:eastAsia="zh-CN"/>
        </w:rPr>
        <w:t xml:space="preserve">                 </w:t>
      </w:r>
    </w:p>
    <w:p w14:paraId="5EE969BF">
      <w:pPr>
        <w:ind w:firstLine="842" w:firstLineChars="233"/>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lang w:eastAsia="zh-CN"/>
        </w:rPr>
        <w:t>采购计划编号：</w:t>
      </w:r>
      <w:r>
        <w:rPr>
          <w:rFonts w:hint="eastAsia" w:ascii="宋体" w:hAnsi="宋体" w:eastAsia="宋体" w:cs="宋体"/>
          <w:b/>
          <w:color w:val="auto"/>
          <w:sz w:val="36"/>
          <w:szCs w:val="36"/>
          <w:highlight w:val="none"/>
          <w:u w:val="single"/>
          <w:lang w:eastAsia="zh-CN"/>
        </w:rPr>
        <w:t xml:space="preserve">                 </w:t>
      </w:r>
    </w:p>
    <w:p w14:paraId="5EE969C0">
      <w:pPr>
        <w:ind w:firstLine="559" w:firstLineChars="233"/>
        <w:rPr>
          <w:rFonts w:hint="eastAsia" w:ascii="宋体" w:hAnsi="宋体" w:eastAsia="宋体" w:cs="宋体"/>
          <w:color w:val="auto"/>
          <w:sz w:val="24"/>
          <w:highlight w:val="none"/>
          <w:lang w:eastAsia="zh-CN"/>
        </w:rPr>
      </w:pPr>
    </w:p>
    <w:p w14:paraId="5EE969C1">
      <w:pPr>
        <w:ind w:firstLine="842" w:firstLineChars="233"/>
        <w:rPr>
          <w:rFonts w:hint="eastAsia" w:ascii="宋体" w:hAnsi="宋体" w:eastAsia="宋体" w:cs="宋体"/>
          <w:b/>
          <w:color w:val="auto"/>
          <w:sz w:val="36"/>
          <w:szCs w:val="36"/>
          <w:highlight w:val="none"/>
          <w:u w:val="single"/>
          <w:lang w:eastAsia="zh-CN"/>
        </w:rPr>
      </w:pPr>
    </w:p>
    <w:p w14:paraId="5EE969C2">
      <w:pPr>
        <w:ind w:firstLine="842" w:firstLineChars="233"/>
        <w:rPr>
          <w:rFonts w:hint="eastAsia" w:ascii="宋体" w:hAnsi="宋体" w:eastAsia="宋体" w:cs="宋体"/>
          <w:b/>
          <w:color w:val="auto"/>
          <w:sz w:val="36"/>
          <w:szCs w:val="36"/>
          <w:highlight w:val="none"/>
          <w:u w:val="single"/>
          <w:lang w:eastAsia="zh-CN"/>
        </w:rPr>
      </w:pPr>
    </w:p>
    <w:p w14:paraId="5EE969C3">
      <w:pPr>
        <w:tabs>
          <w:tab w:val="left" w:pos="7200"/>
        </w:tabs>
        <w:spacing w:line="360" w:lineRule="auto"/>
        <w:ind w:firstLine="842" w:firstLineChars="233"/>
        <w:rPr>
          <w:rFonts w:hint="eastAsia" w:ascii="宋体" w:hAnsi="宋体" w:eastAsia="宋体" w:cs="宋体"/>
          <w:b/>
          <w:color w:val="auto"/>
          <w:sz w:val="36"/>
          <w:szCs w:val="36"/>
          <w:highlight w:val="none"/>
          <w:u w:val="single"/>
          <w:lang w:eastAsia="zh-CN"/>
        </w:rPr>
      </w:pPr>
      <w:r>
        <w:rPr>
          <w:rFonts w:hint="eastAsia" w:ascii="宋体" w:hAnsi="宋体" w:eastAsia="宋体" w:cs="宋体"/>
          <w:b/>
          <w:color w:val="auto"/>
          <w:sz w:val="36"/>
          <w:szCs w:val="36"/>
          <w:highlight w:val="none"/>
          <w:lang w:eastAsia="zh-CN"/>
        </w:rPr>
        <w:t>采购人：</w:t>
      </w:r>
      <w:r>
        <w:rPr>
          <w:rFonts w:hint="eastAsia" w:ascii="宋体" w:hAnsi="宋体" w:eastAsia="宋体" w:cs="宋体"/>
          <w:b/>
          <w:color w:val="auto"/>
          <w:sz w:val="36"/>
          <w:szCs w:val="36"/>
          <w:highlight w:val="none"/>
          <w:u w:val="single"/>
          <w:lang w:eastAsia="zh-CN"/>
        </w:rPr>
        <w:t>合浦县水利局</w:t>
      </w:r>
    </w:p>
    <w:p w14:paraId="5EE969C4">
      <w:pPr>
        <w:tabs>
          <w:tab w:val="left" w:pos="7200"/>
        </w:tabs>
        <w:spacing w:line="360" w:lineRule="auto"/>
        <w:ind w:firstLine="842" w:firstLineChars="233"/>
        <w:rPr>
          <w:rFonts w:hint="eastAsia" w:ascii="宋体" w:hAnsi="宋体" w:eastAsia="宋体" w:cs="宋体"/>
          <w:b/>
          <w:color w:val="auto"/>
          <w:sz w:val="36"/>
          <w:szCs w:val="36"/>
          <w:highlight w:val="none"/>
          <w:u w:val="single"/>
          <w:lang w:eastAsia="zh-CN"/>
        </w:rPr>
      </w:pPr>
      <w:r>
        <w:rPr>
          <w:rFonts w:hint="eastAsia" w:ascii="宋体" w:hAnsi="宋体" w:eastAsia="宋体" w:cs="宋体"/>
          <w:b/>
          <w:color w:val="auto"/>
          <w:sz w:val="36"/>
          <w:szCs w:val="36"/>
          <w:highlight w:val="none"/>
          <w:lang w:eastAsia="zh-CN"/>
        </w:rPr>
        <w:t>建设单位：</w:t>
      </w:r>
      <w:r>
        <w:rPr>
          <w:rFonts w:hint="eastAsia" w:ascii="宋体" w:hAnsi="宋体" w:eastAsia="宋体" w:cs="宋体"/>
          <w:b/>
          <w:color w:val="auto"/>
          <w:sz w:val="36"/>
          <w:szCs w:val="36"/>
          <w:highlight w:val="none"/>
          <w:u w:val="single"/>
          <w:lang w:eastAsia="zh-CN"/>
        </w:rPr>
        <w:t xml:space="preserve">                   </w:t>
      </w:r>
    </w:p>
    <w:p w14:paraId="5EE969C5">
      <w:pPr>
        <w:tabs>
          <w:tab w:val="left" w:pos="7380"/>
        </w:tabs>
        <w:spacing w:line="360" w:lineRule="auto"/>
        <w:ind w:firstLine="842" w:firstLineChars="233"/>
        <w:rPr>
          <w:rFonts w:hint="eastAsia" w:ascii="宋体" w:hAnsi="宋体" w:eastAsia="宋体" w:cs="宋体"/>
          <w:b/>
          <w:bCs/>
          <w:color w:val="auto"/>
          <w:sz w:val="44"/>
          <w:highlight w:val="none"/>
          <w:lang w:eastAsia="zh-CN"/>
        </w:rPr>
      </w:pPr>
      <w:r>
        <w:rPr>
          <w:rFonts w:hint="eastAsia" w:ascii="宋体" w:hAnsi="宋体" w:eastAsia="宋体" w:cs="宋体"/>
          <w:b/>
          <w:color w:val="auto"/>
          <w:sz w:val="36"/>
          <w:szCs w:val="36"/>
          <w:highlight w:val="none"/>
          <w:lang w:eastAsia="zh-CN"/>
        </w:rPr>
        <w:t>成交供应商：</w:t>
      </w:r>
      <w:r>
        <w:rPr>
          <w:rFonts w:hint="eastAsia" w:ascii="宋体" w:hAnsi="宋体" w:eastAsia="宋体" w:cs="宋体"/>
          <w:b/>
          <w:color w:val="auto"/>
          <w:sz w:val="36"/>
          <w:szCs w:val="36"/>
          <w:highlight w:val="none"/>
          <w:u w:val="single"/>
          <w:lang w:eastAsia="zh-CN"/>
        </w:rPr>
        <w:t xml:space="preserve">                 </w:t>
      </w:r>
    </w:p>
    <w:p w14:paraId="5EE969C6">
      <w:pPr>
        <w:tabs>
          <w:tab w:val="left" w:pos="7380"/>
        </w:tabs>
        <w:spacing w:line="360" w:lineRule="auto"/>
        <w:rPr>
          <w:rFonts w:hint="eastAsia" w:ascii="宋体" w:hAnsi="宋体" w:eastAsia="宋体" w:cs="宋体"/>
          <w:b/>
          <w:bCs/>
          <w:color w:val="auto"/>
          <w:sz w:val="44"/>
          <w:highlight w:val="none"/>
          <w:lang w:eastAsia="zh-CN"/>
        </w:rPr>
      </w:pPr>
    </w:p>
    <w:p w14:paraId="5EE969C7">
      <w:pPr>
        <w:tabs>
          <w:tab w:val="left" w:pos="7380"/>
        </w:tabs>
        <w:spacing w:line="360" w:lineRule="auto"/>
        <w:ind w:firstLine="3360" w:firstLineChars="140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签订时间：</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val="zh-CN" w:eastAsia="zh-CN"/>
        </w:rPr>
        <w:t>年</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val="zh-CN" w:eastAsia="zh-CN"/>
        </w:rPr>
        <w:t>月</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val="zh-CN" w:eastAsia="zh-CN"/>
        </w:rPr>
        <w:t>日</w:t>
      </w:r>
    </w:p>
    <w:p w14:paraId="5EE969C8">
      <w:pPr>
        <w:pStyle w:val="114"/>
        <w:rPr>
          <w:rFonts w:hint="eastAsia" w:ascii="宋体" w:hAnsi="宋体" w:eastAsia="宋体" w:cs="宋体"/>
          <w:color w:val="auto"/>
          <w:sz w:val="32"/>
          <w:szCs w:val="32"/>
          <w:highlight w:val="none"/>
          <w:lang w:eastAsia="zh-CN"/>
        </w:rPr>
      </w:pPr>
      <w:r>
        <w:rPr>
          <w:rFonts w:hint="eastAsia" w:ascii="宋体" w:hAnsi="宋体" w:eastAsia="宋体" w:cs="宋体"/>
          <w:color w:val="auto"/>
          <w:sz w:val="44"/>
          <w:highlight w:val="none"/>
          <w:lang w:eastAsia="zh-CN"/>
        </w:rPr>
        <w:br w:type="page"/>
      </w:r>
      <w:bookmarkStart w:id="40" w:name="_Toc32227"/>
      <w:bookmarkStart w:id="41" w:name="_Toc199152834"/>
      <w:bookmarkStart w:id="42" w:name="_Toc5515"/>
      <w:bookmarkStart w:id="43" w:name="bookmark878"/>
      <w:bookmarkStart w:id="44" w:name="_Toc13447"/>
      <w:bookmarkStart w:id="45" w:name="_Toc3936"/>
      <w:bookmarkStart w:id="46" w:name="bookmark879"/>
      <w:bookmarkStart w:id="47" w:name="_Toc23604"/>
      <w:bookmarkStart w:id="48" w:name="_Toc16333"/>
      <w:bookmarkStart w:id="49" w:name="bookmark880"/>
      <w:bookmarkStart w:id="50" w:name="_Toc30441"/>
      <w:r>
        <w:rPr>
          <w:rFonts w:hint="eastAsia" w:ascii="宋体" w:hAnsi="宋体" w:eastAsia="宋体" w:cs="宋体"/>
          <w:bCs w:val="0"/>
          <w:color w:val="auto"/>
          <w:kern w:val="2"/>
          <w:sz w:val="28"/>
          <w:szCs w:val="28"/>
          <w:highlight w:val="none"/>
          <w:lang w:eastAsia="zh-CN" w:bidi="ar-SA"/>
        </w:rPr>
        <w:t>第一部分合同协议书</w:t>
      </w:r>
      <w:bookmarkEnd w:id="40"/>
      <w:bookmarkEnd w:id="41"/>
    </w:p>
    <w:p w14:paraId="5EE969C9">
      <w:pPr>
        <w:pStyle w:val="47"/>
        <w:jc w:val="center"/>
        <w:rPr>
          <w:rFonts w:hint="eastAsia" w:ascii="宋体" w:hAnsi="宋体" w:eastAsia="宋体" w:cs="宋体"/>
          <w:b/>
          <w:color w:val="auto"/>
          <w:sz w:val="21"/>
          <w:szCs w:val="21"/>
          <w:highlight w:val="none"/>
          <w:lang w:eastAsia="zh-CN"/>
        </w:rPr>
      </w:pPr>
    </w:p>
    <w:p w14:paraId="5EE969CA">
      <w:pPr>
        <w:pStyle w:val="47"/>
        <w:jc w:val="center"/>
        <w:rPr>
          <w:rFonts w:hint="eastAsia" w:ascii="宋体" w:hAnsi="宋体" w:eastAsia="宋体" w:cs="宋体"/>
          <w:b/>
          <w:color w:val="auto"/>
          <w:sz w:val="21"/>
          <w:szCs w:val="21"/>
          <w:highlight w:val="none"/>
          <w:lang w:eastAsia="zh-CN"/>
        </w:rPr>
      </w:pPr>
    </w:p>
    <w:p w14:paraId="5EE969CB">
      <w:pPr>
        <w:pStyle w:val="4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（发包人名称，以下简称“发包人”）为实施</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（项目名称），已接受</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（承包人名称，以下简称“承包人”）对该项目</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（项目名称）</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（标段名称）的投标，并确定其为中标人。</w:t>
      </w:r>
      <w:r>
        <w:rPr>
          <w:rFonts w:hint="eastAsia" w:ascii="宋体" w:hAnsi="宋体" w:eastAsia="宋体" w:cs="宋体"/>
          <w:color w:val="auto"/>
          <w:sz w:val="21"/>
          <w:szCs w:val="21"/>
          <w:highlight w:val="none"/>
        </w:rPr>
        <w:t>发包人和承包人共同达成如下协议。</w:t>
      </w:r>
    </w:p>
    <w:p w14:paraId="5EE969CC">
      <w:pPr>
        <w:pStyle w:val="115"/>
        <w:numPr>
          <w:ilvl w:val="0"/>
          <w:numId w:val="4"/>
        </w:numPr>
        <w:tabs>
          <w:tab w:val="left" w:pos="764"/>
        </w:tabs>
        <w:ind w:firstLine="420"/>
        <w:jc w:val="both"/>
        <w:rPr>
          <w:rFonts w:hint="eastAsia" w:ascii="宋体" w:hAnsi="宋体" w:eastAsia="宋体" w:cs="宋体"/>
          <w:color w:val="auto"/>
          <w:sz w:val="21"/>
          <w:szCs w:val="21"/>
          <w:highlight w:val="none"/>
        </w:rPr>
      </w:pPr>
      <w:bookmarkStart w:id="51" w:name="bookmark1897"/>
      <w:bookmarkEnd w:id="51"/>
      <w:r>
        <w:rPr>
          <w:rFonts w:hint="eastAsia" w:ascii="宋体" w:hAnsi="宋体" w:eastAsia="宋体" w:cs="宋体"/>
          <w:color w:val="auto"/>
          <w:sz w:val="21"/>
          <w:szCs w:val="21"/>
          <w:highlight w:val="none"/>
        </w:rPr>
        <w:t>本协议书与下列文件一起构成合同文件：</w:t>
      </w:r>
    </w:p>
    <w:p w14:paraId="5EE969CD">
      <w:pPr>
        <w:pStyle w:val="115"/>
        <w:tabs>
          <w:tab w:val="left" w:pos="903"/>
        </w:tabs>
        <w:ind w:firstLine="420"/>
        <w:jc w:val="both"/>
        <w:rPr>
          <w:rFonts w:hint="eastAsia" w:ascii="宋体" w:hAnsi="宋体" w:eastAsia="宋体" w:cs="宋体"/>
          <w:color w:val="auto"/>
          <w:sz w:val="21"/>
          <w:szCs w:val="21"/>
          <w:highlight w:val="none"/>
        </w:rPr>
      </w:pPr>
      <w:bookmarkStart w:id="52" w:name="bookmark1898"/>
      <w:r>
        <w:rPr>
          <w:rFonts w:hint="eastAsia" w:ascii="宋体" w:hAnsi="宋体" w:eastAsia="宋体" w:cs="宋体"/>
          <w:color w:val="auto"/>
          <w:sz w:val="21"/>
          <w:szCs w:val="21"/>
          <w:highlight w:val="none"/>
        </w:rPr>
        <w:t>（</w:t>
      </w:r>
      <w:bookmarkEnd w:id="52"/>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中标通知书；</w:t>
      </w:r>
    </w:p>
    <w:p w14:paraId="5EE969CE">
      <w:pPr>
        <w:pStyle w:val="115"/>
        <w:tabs>
          <w:tab w:val="left" w:pos="903"/>
        </w:tabs>
        <w:ind w:firstLine="420"/>
        <w:jc w:val="both"/>
        <w:rPr>
          <w:rFonts w:hint="eastAsia" w:ascii="宋体" w:hAnsi="宋体" w:eastAsia="宋体" w:cs="宋体"/>
          <w:color w:val="auto"/>
          <w:sz w:val="21"/>
          <w:szCs w:val="21"/>
          <w:highlight w:val="none"/>
        </w:rPr>
      </w:pPr>
      <w:bookmarkStart w:id="53" w:name="bookmark1899"/>
      <w:r>
        <w:rPr>
          <w:rFonts w:hint="eastAsia" w:ascii="宋体" w:hAnsi="宋体" w:eastAsia="宋体" w:cs="宋体"/>
          <w:color w:val="auto"/>
          <w:sz w:val="21"/>
          <w:szCs w:val="21"/>
          <w:highlight w:val="none"/>
        </w:rPr>
        <w:t>（</w:t>
      </w:r>
      <w:bookmarkEnd w:id="53"/>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投标函及投标函附录；</w:t>
      </w:r>
    </w:p>
    <w:p w14:paraId="5EE969CF">
      <w:pPr>
        <w:pStyle w:val="115"/>
        <w:tabs>
          <w:tab w:val="left" w:pos="903"/>
        </w:tabs>
        <w:ind w:firstLine="420"/>
        <w:jc w:val="both"/>
        <w:rPr>
          <w:rFonts w:hint="eastAsia" w:ascii="宋体" w:hAnsi="宋体" w:eastAsia="宋体" w:cs="宋体"/>
          <w:color w:val="auto"/>
          <w:sz w:val="21"/>
          <w:szCs w:val="21"/>
          <w:highlight w:val="none"/>
        </w:rPr>
      </w:pPr>
      <w:bookmarkStart w:id="54" w:name="bookmark1900"/>
      <w:r>
        <w:rPr>
          <w:rFonts w:hint="eastAsia" w:ascii="宋体" w:hAnsi="宋体" w:eastAsia="宋体" w:cs="宋体"/>
          <w:color w:val="auto"/>
          <w:sz w:val="21"/>
          <w:szCs w:val="21"/>
          <w:highlight w:val="none"/>
        </w:rPr>
        <w:t>（</w:t>
      </w:r>
      <w:bookmarkEnd w:id="54"/>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专用合同条款（含附加条款）；</w:t>
      </w:r>
    </w:p>
    <w:p w14:paraId="5EE969D0">
      <w:pPr>
        <w:pStyle w:val="115"/>
        <w:tabs>
          <w:tab w:val="left" w:pos="903"/>
        </w:tabs>
        <w:ind w:firstLine="420"/>
        <w:jc w:val="both"/>
        <w:rPr>
          <w:rFonts w:hint="eastAsia" w:ascii="宋体" w:hAnsi="宋体" w:eastAsia="宋体" w:cs="宋体"/>
          <w:color w:val="auto"/>
          <w:sz w:val="21"/>
          <w:szCs w:val="21"/>
          <w:highlight w:val="none"/>
        </w:rPr>
      </w:pPr>
      <w:bookmarkStart w:id="55" w:name="bookmark1901"/>
      <w:r>
        <w:rPr>
          <w:rFonts w:hint="eastAsia" w:ascii="宋体" w:hAnsi="宋体" w:eastAsia="宋体" w:cs="宋体"/>
          <w:color w:val="auto"/>
          <w:sz w:val="21"/>
          <w:szCs w:val="21"/>
          <w:highlight w:val="none"/>
        </w:rPr>
        <w:t>（</w:t>
      </w:r>
      <w:bookmarkEnd w:id="55"/>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通用合同条款；</w:t>
      </w:r>
    </w:p>
    <w:p w14:paraId="5EE969D1">
      <w:pPr>
        <w:pStyle w:val="115"/>
        <w:tabs>
          <w:tab w:val="left" w:pos="903"/>
        </w:tabs>
        <w:ind w:firstLine="420"/>
        <w:jc w:val="both"/>
        <w:rPr>
          <w:rFonts w:hint="eastAsia" w:ascii="宋体" w:hAnsi="宋体" w:eastAsia="宋体" w:cs="宋体"/>
          <w:color w:val="auto"/>
          <w:sz w:val="21"/>
          <w:szCs w:val="21"/>
          <w:highlight w:val="none"/>
        </w:rPr>
      </w:pPr>
      <w:bookmarkStart w:id="56" w:name="bookmark1902"/>
      <w:r>
        <w:rPr>
          <w:rFonts w:hint="eastAsia" w:ascii="宋体" w:hAnsi="宋体" w:eastAsia="宋体" w:cs="宋体"/>
          <w:color w:val="auto"/>
          <w:sz w:val="21"/>
          <w:szCs w:val="21"/>
          <w:highlight w:val="none"/>
        </w:rPr>
        <w:t>（</w:t>
      </w:r>
      <w:bookmarkEnd w:id="56"/>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技术标准和要求（合同技术条款）；</w:t>
      </w:r>
    </w:p>
    <w:p w14:paraId="5EE969D2">
      <w:pPr>
        <w:pStyle w:val="115"/>
        <w:tabs>
          <w:tab w:val="left" w:pos="903"/>
        </w:tabs>
        <w:ind w:firstLine="420"/>
        <w:jc w:val="both"/>
        <w:rPr>
          <w:rFonts w:hint="eastAsia" w:ascii="宋体" w:hAnsi="宋体" w:eastAsia="宋体" w:cs="宋体"/>
          <w:color w:val="auto"/>
          <w:sz w:val="21"/>
          <w:szCs w:val="21"/>
          <w:highlight w:val="none"/>
        </w:rPr>
      </w:pPr>
      <w:bookmarkStart w:id="57" w:name="bookmark1903"/>
      <w:r>
        <w:rPr>
          <w:rFonts w:hint="eastAsia" w:ascii="宋体" w:hAnsi="宋体" w:eastAsia="宋体" w:cs="宋体"/>
          <w:color w:val="auto"/>
          <w:sz w:val="21"/>
          <w:szCs w:val="21"/>
          <w:highlight w:val="none"/>
        </w:rPr>
        <w:t>（</w:t>
      </w:r>
      <w:bookmarkEnd w:id="57"/>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图纸；</w:t>
      </w:r>
    </w:p>
    <w:p w14:paraId="5EE969D3">
      <w:pPr>
        <w:pStyle w:val="115"/>
        <w:tabs>
          <w:tab w:val="left" w:pos="903"/>
        </w:tabs>
        <w:ind w:firstLine="420"/>
        <w:jc w:val="both"/>
        <w:rPr>
          <w:rFonts w:hint="eastAsia" w:ascii="宋体" w:hAnsi="宋体" w:eastAsia="宋体" w:cs="宋体"/>
          <w:color w:val="auto"/>
          <w:sz w:val="21"/>
          <w:szCs w:val="21"/>
          <w:highlight w:val="none"/>
        </w:rPr>
      </w:pPr>
      <w:bookmarkStart w:id="58" w:name="bookmark1904"/>
      <w:r>
        <w:rPr>
          <w:rFonts w:hint="eastAsia" w:ascii="宋体" w:hAnsi="宋体" w:eastAsia="宋体" w:cs="宋体"/>
          <w:color w:val="auto"/>
          <w:sz w:val="21"/>
          <w:szCs w:val="21"/>
          <w:highlight w:val="none"/>
        </w:rPr>
        <w:t>（</w:t>
      </w:r>
      <w:bookmarkEnd w:id="58"/>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已标价工程量清单；</w:t>
      </w:r>
    </w:p>
    <w:p w14:paraId="5EE969D4">
      <w:pPr>
        <w:pStyle w:val="115"/>
        <w:tabs>
          <w:tab w:val="left" w:pos="903"/>
        </w:tabs>
        <w:ind w:firstLine="420"/>
        <w:jc w:val="both"/>
        <w:rPr>
          <w:rFonts w:hint="eastAsia" w:ascii="宋体" w:hAnsi="宋体" w:eastAsia="宋体" w:cs="宋体"/>
          <w:color w:val="auto"/>
          <w:sz w:val="21"/>
          <w:szCs w:val="21"/>
          <w:highlight w:val="none"/>
        </w:rPr>
      </w:pPr>
      <w:bookmarkStart w:id="59" w:name="bookmark1905"/>
      <w:r>
        <w:rPr>
          <w:rFonts w:hint="eastAsia" w:ascii="宋体" w:hAnsi="宋体" w:eastAsia="宋体" w:cs="宋体"/>
          <w:color w:val="auto"/>
          <w:sz w:val="21"/>
          <w:szCs w:val="21"/>
          <w:highlight w:val="none"/>
        </w:rPr>
        <w:t>（</w:t>
      </w:r>
      <w:bookmarkEnd w:id="59"/>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其他合同文件。</w:t>
      </w:r>
    </w:p>
    <w:p w14:paraId="5EE969D5">
      <w:pPr>
        <w:pStyle w:val="115"/>
        <w:tabs>
          <w:tab w:val="left" w:pos="903"/>
        </w:tabs>
        <w:ind w:firstLine="42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双方有关工程洽商、变更等书面协议或文件视为本合同的组成部分。</w:t>
      </w:r>
    </w:p>
    <w:p w14:paraId="5EE969D6">
      <w:pPr>
        <w:pStyle w:val="115"/>
        <w:numPr>
          <w:ilvl w:val="0"/>
          <w:numId w:val="4"/>
        </w:numPr>
        <w:tabs>
          <w:tab w:val="left" w:pos="764"/>
        </w:tabs>
        <w:ind w:firstLine="420"/>
        <w:jc w:val="both"/>
        <w:rPr>
          <w:rFonts w:hint="eastAsia" w:ascii="宋体" w:hAnsi="宋体" w:eastAsia="宋体" w:cs="宋体"/>
          <w:color w:val="auto"/>
          <w:sz w:val="21"/>
          <w:szCs w:val="21"/>
          <w:highlight w:val="none"/>
        </w:rPr>
      </w:pPr>
      <w:bookmarkStart w:id="60" w:name="bookmark1906"/>
      <w:bookmarkEnd w:id="60"/>
      <w:r>
        <w:rPr>
          <w:rFonts w:hint="eastAsia" w:ascii="宋体" w:hAnsi="宋体" w:eastAsia="宋体" w:cs="宋体"/>
          <w:color w:val="auto"/>
          <w:sz w:val="21"/>
          <w:szCs w:val="21"/>
          <w:highlight w:val="none"/>
        </w:rPr>
        <w:t>上述文件互相补充和解释，如有不明确或不一致之处，以合同约定次序在先者为准。</w:t>
      </w:r>
    </w:p>
    <w:p w14:paraId="5EE969D7">
      <w:pPr>
        <w:pStyle w:val="115"/>
        <w:numPr>
          <w:ilvl w:val="0"/>
          <w:numId w:val="4"/>
        </w:numPr>
        <w:tabs>
          <w:tab w:val="left" w:pos="764"/>
          <w:tab w:val="left" w:pos="4291"/>
          <w:tab w:val="left" w:pos="5794"/>
        </w:tabs>
        <w:ind w:firstLine="420"/>
        <w:jc w:val="both"/>
        <w:rPr>
          <w:rFonts w:hint="eastAsia" w:ascii="宋体" w:hAnsi="宋体" w:eastAsia="宋体" w:cs="宋体"/>
          <w:color w:val="auto"/>
          <w:sz w:val="21"/>
          <w:szCs w:val="21"/>
          <w:highlight w:val="none"/>
        </w:rPr>
      </w:pPr>
      <w:bookmarkStart w:id="61" w:name="bookmark1907"/>
      <w:bookmarkEnd w:id="61"/>
      <w:r>
        <w:rPr>
          <w:rFonts w:hint="eastAsia" w:ascii="宋体" w:hAnsi="宋体" w:eastAsia="宋体" w:cs="宋体"/>
          <w:color w:val="auto"/>
          <w:sz w:val="21"/>
          <w:szCs w:val="21"/>
          <w:highlight w:val="none"/>
        </w:rPr>
        <w:t>签约合同价：人民币（大写）</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lang w:val="en-US" w:bidi="en-US"/>
        </w:rPr>
        <w:t>），承包方式为：</w:t>
      </w:r>
      <w:r>
        <w:rPr>
          <w:rFonts w:hint="eastAsia" w:ascii="宋体" w:hAnsi="宋体" w:eastAsia="宋体" w:cs="宋体"/>
          <w:color w:val="auto"/>
          <w:sz w:val="21"/>
          <w:szCs w:val="21"/>
          <w:highlight w:val="none"/>
          <w:u w:val="single"/>
          <w:lang w:val="en-US" w:bidi="en-US"/>
        </w:rPr>
        <w:t>固定综合单价</w:t>
      </w:r>
    </w:p>
    <w:p w14:paraId="5EE969D8">
      <w:pPr>
        <w:pStyle w:val="115"/>
        <w:numPr>
          <w:ilvl w:val="0"/>
          <w:numId w:val="4"/>
        </w:numPr>
        <w:tabs>
          <w:tab w:val="left" w:pos="764"/>
          <w:tab w:val="left" w:pos="4234"/>
        </w:tabs>
        <w:ind w:firstLine="420"/>
        <w:jc w:val="both"/>
        <w:rPr>
          <w:rFonts w:hint="eastAsia" w:ascii="宋体" w:hAnsi="宋体" w:eastAsia="宋体" w:cs="宋体"/>
          <w:color w:val="auto"/>
          <w:sz w:val="21"/>
          <w:szCs w:val="21"/>
          <w:highlight w:val="none"/>
        </w:rPr>
      </w:pPr>
      <w:bookmarkStart w:id="62" w:name="bookmark1908"/>
      <w:bookmarkEnd w:id="62"/>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lang w:val="en-US" w:bidi="en-US"/>
        </w:rPr>
        <w:t>。</w:t>
      </w:r>
    </w:p>
    <w:p w14:paraId="5EE969D9">
      <w:pPr>
        <w:pStyle w:val="115"/>
        <w:numPr>
          <w:ilvl w:val="0"/>
          <w:numId w:val="4"/>
        </w:numPr>
        <w:tabs>
          <w:tab w:val="left" w:pos="764"/>
          <w:tab w:val="left" w:pos="3809"/>
        </w:tabs>
        <w:ind w:firstLine="420"/>
        <w:jc w:val="both"/>
        <w:rPr>
          <w:rFonts w:hint="eastAsia" w:ascii="宋体" w:hAnsi="宋体" w:eastAsia="宋体" w:cs="宋体"/>
          <w:color w:val="auto"/>
          <w:sz w:val="21"/>
          <w:szCs w:val="21"/>
          <w:highlight w:val="none"/>
        </w:rPr>
      </w:pPr>
      <w:bookmarkStart w:id="63" w:name="bookmark1909"/>
      <w:bookmarkEnd w:id="63"/>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标准。</w:t>
      </w:r>
    </w:p>
    <w:p w14:paraId="5EE969DA">
      <w:pPr>
        <w:pStyle w:val="115"/>
        <w:numPr>
          <w:ilvl w:val="0"/>
          <w:numId w:val="4"/>
        </w:numPr>
        <w:tabs>
          <w:tab w:val="left" w:pos="764"/>
        </w:tabs>
        <w:ind w:firstLine="420"/>
        <w:jc w:val="both"/>
        <w:rPr>
          <w:rFonts w:hint="eastAsia" w:ascii="宋体" w:hAnsi="宋体" w:eastAsia="宋体" w:cs="宋体"/>
          <w:color w:val="auto"/>
          <w:sz w:val="21"/>
          <w:szCs w:val="21"/>
          <w:highlight w:val="none"/>
        </w:rPr>
      </w:pPr>
      <w:bookmarkStart w:id="64" w:name="bookmark1910"/>
      <w:bookmarkEnd w:id="64"/>
      <w:r>
        <w:rPr>
          <w:rFonts w:hint="eastAsia" w:ascii="宋体" w:hAnsi="宋体" w:eastAsia="宋体" w:cs="宋体"/>
          <w:color w:val="auto"/>
          <w:sz w:val="21"/>
          <w:szCs w:val="21"/>
          <w:highlight w:val="none"/>
        </w:rPr>
        <w:t>承包人承诺按合同约定承担工程的实施、完成及缺陷修复。</w:t>
      </w:r>
    </w:p>
    <w:p w14:paraId="5EE969DB">
      <w:pPr>
        <w:pStyle w:val="115"/>
        <w:numPr>
          <w:ilvl w:val="0"/>
          <w:numId w:val="4"/>
        </w:numPr>
        <w:tabs>
          <w:tab w:val="left" w:pos="764"/>
        </w:tabs>
        <w:ind w:firstLine="420"/>
        <w:jc w:val="both"/>
        <w:rPr>
          <w:rFonts w:hint="eastAsia" w:ascii="宋体" w:hAnsi="宋体" w:eastAsia="宋体" w:cs="宋体"/>
          <w:color w:val="auto"/>
          <w:sz w:val="21"/>
          <w:szCs w:val="21"/>
          <w:highlight w:val="none"/>
        </w:rPr>
      </w:pPr>
      <w:bookmarkStart w:id="65" w:name="bookmark1911"/>
      <w:bookmarkEnd w:id="65"/>
      <w:r>
        <w:rPr>
          <w:rFonts w:hint="eastAsia" w:ascii="宋体" w:hAnsi="宋体" w:eastAsia="宋体" w:cs="宋体"/>
          <w:color w:val="auto"/>
          <w:sz w:val="21"/>
          <w:szCs w:val="21"/>
          <w:highlight w:val="none"/>
        </w:rPr>
        <w:t>发包人承诺按合同约定的条件、时间和方式向承包人支付合同价款。</w:t>
      </w:r>
    </w:p>
    <w:p w14:paraId="5EE969DC">
      <w:pPr>
        <w:pStyle w:val="115"/>
        <w:numPr>
          <w:ilvl w:val="0"/>
          <w:numId w:val="4"/>
        </w:numPr>
        <w:tabs>
          <w:tab w:val="left" w:pos="764"/>
          <w:tab w:val="left" w:pos="5717"/>
        </w:tabs>
        <w:ind w:firstLine="420"/>
        <w:jc w:val="both"/>
        <w:rPr>
          <w:rFonts w:hint="eastAsia" w:ascii="宋体" w:hAnsi="宋体" w:eastAsia="宋体" w:cs="宋体"/>
          <w:color w:val="auto"/>
          <w:sz w:val="21"/>
          <w:szCs w:val="21"/>
          <w:highlight w:val="none"/>
        </w:rPr>
      </w:pPr>
      <w:bookmarkStart w:id="66" w:name="bookmark1912"/>
      <w:bookmarkEnd w:id="66"/>
      <w:r>
        <w:rPr>
          <w:rFonts w:hint="eastAsia" w:ascii="宋体" w:hAnsi="宋体" w:eastAsia="宋体" w:cs="宋体"/>
          <w:color w:val="auto"/>
          <w:sz w:val="21"/>
          <w:szCs w:val="21"/>
          <w:highlight w:val="none"/>
        </w:rPr>
        <w:t>承包人承诺执行监理人开工通知，计划工期为</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天。</w:t>
      </w:r>
    </w:p>
    <w:p w14:paraId="5EE969DD">
      <w:pPr>
        <w:pStyle w:val="115"/>
        <w:numPr>
          <w:ilvl w:val="0"/>
          <w:numId w:val="4"/>
        </w:numPr>
        <w:tabs>
          <w:tab w:val="left" w:pos="764"/>
          <w:tab w:val="left" w:pos="2789"/>
        </w:tabs>
        <w:ind w:firstLine="420"/>
        <w:jc w:val="both"/>
        <w:rPr>
          <w:rFonts w:hint="eastAsia" w:ascii="宋体" w:hAnsi="宋体" w:eastAsia="宋体" w:cs="宋体"/>
          <w:color w:val="auto"/>
          <w:sz w:val="21"/>
          <w:szCs w:val="21"/>
          <w:highlight w:val="none"/>
        </w:rPr>
      </w:pPr>
      <w:bookmarkStart w:id="67" w:name="bookmark1913"/>
      <w:bookmarkEnd w:id="67"/>
      <w:r>
        <w:rPr>
          <w:rFonts w:hint="eastAsia" w:ascii="宋体" w:hAnsi="宋体" w:eastAsia="宋体" w:cs="宋体"/>
          <w:color w:val="auto"/>
          <w:sz w:val="21"/>
          <w:szCs w:val="21"/>
          <w:highlight w:val="none"/>
        </w:rPr>
        <w:t>本协议书一式</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份，合同双方各执</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份。</w:t>
      </w:r>
    </w:p>
    <w:p w14:paraId="5EE969DE">
      <w:pPr>
        <w:pStyle w:val="115"/>
        <w:numPr>
          <w:ilvl w:val="0"/>
          <w:numId w:val="4"/>
        </w:numPr>
        <w:tabs>
          <w:tab w:val="left" w:pos="841"/>
        </w:tabs>
        <w:spacing w:after="320"/>
        <w:ind w:firstLine="420"/>
        <w:jc w:val="both"/>
        <w:rPr>
          <w:rFonts w:hint="eastAsia" w:ascii="宋体" w:hAnsi="宋体" w:eastAsia="宋体" w:cs="宋体"/>
          <w:color w:val="auto"/>
          <w:sz w:val="21"/>
          <w:szCs w:val="21"/>
          <w:highlight w:val="none"/>
        </w:rPr>
      </w:pPr>
      <w:bookmarkStart w:id="68" w:name="bookmark1914"/>
      <w:bookmarkEnd w:id="68"/>
      <w:r>
        <w:rPr>
          <w:rFonts w:hint="eastAsia" w:ascii="宋体" w:hAnsi="宋体" w:eastAsia="宋体" w:cs="宋体"/>
          <w:color w:val="auto"/>
          <w:sz w:val="21"/>
          <w:szCs w:val="21"/>
          <w:highlight w:val="none"/>
        </w:rPr>
        <w:t>合同未尽事宜，双方另行签订补充协议。补充协议是合同的组成部分。</w:t>
      </w:r>
    </w:p>
    <w:p w14:paraId="5EE969DF">
      <w:pPr>
        <w:pStyle w:val="115"/>
        <w:tabs>
          <w:tab w:val="left" w:pos="2532"/>
          <w:tab w:val="left" w:pos="3132"/>
          <w:tab w:val="left" w:pos="6926"/>
        </w:tabs>
        <w:spacing w:line="355" w:lineRule="exact"/>
        <w:ind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采购人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（盖单位公章）</w:t>
      </w:r>
      <w:r>
        <w:rPr>
          <w:rFonts w:hint="eastAsia" w:ascii="宋体" w:hAnsi="宋体" w:eastAsia="宋体" w:cs="宋体"/>
          <w:color w:val="auto"/>
          <w:sz w:val="21"/>
          <w:szCs w:val="21"/>
          <w:highlight w:val="none"/>
          <w:lang w:val="en-US"/>
        </w:rPr>
        <w:t xml:space="preserve">         </w:t>
      </w: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（盖单位公章）</w:t>
      </w:r>
    </w:p>
    <w:p w14:paraId="5EE969E0">
      <w:pPr>
        <w:pStyle w:val="115"/>
        <w:tabs>
          <w:tab w:val="left" w:pos="2532"/>
          <w:tab w:val="left" w:pos="3132"/>
          <w:tab w:val="left" w:pos="6926"/>
        </w:tabs>
        <w:spacing w:line="355" w:lineRule="exact"/>
        <w:ind w:firstLine="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法定代表人(或项目负责人)：</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val="en-US"/>
        </w:rPr>
        <w:t xml:space="preserve">    </w:t>
      </w: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（签字）</w:t>
      </w:r>
    </w:p>
    <w:p w14:paraId="5EE969E1">
      <w:pPr>
        <w:pStyle w:val="115"/>
        <w:tabs>
          <w:tab w:val="left" w:pos="2532"/>
          <w:tab w:val="left" w:pos="3132"/>
          <w:tab w:val="left" w:pos="6926"/>
        </w:tabs>
        <w:spacing w:line="355" w:lineRule="exact"/>
        <w:ind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建设单位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（盖单位公章）</w:t>
      </w:r>
    </w:p>
    <w:p w14:paraId="5EE969E2">
      <w:pPr>
        <w:pStyle w:val="115"/>
        <w:tabs>
          <w:tab w:val="left" w:pos="2532"/>
          <w:tab w:val="left" w:pos="3132"/>
          <w:tab w:val="left" w:pos="6926"/>
        </w:tabs>
        <w:spacing w:line="355" w:lineRule="exact"/>
        <w:ind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法定代表人(或项目负责人)：</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（签字）</w:t>
      </w:r>
    </w:p>
    <w:p w14:paraId="5EE969E3">
      <w:pPr>
        <w:pStyle w:val="115"/>
        <w:tabs>
          <w:tab w:val="left" w:pos="2532"/>
          <w:tab w:val="left" w:pos="3132"/>
          <w:tab w:val="left" w:pos="6926"/>
        </w:tabs>
        <w:spacing w:line="355" w:lineRule="exact"/>
        <w:ind w:firstLine="0"/>
        <w:jc w:val="both"/>
        <w:rPr>
          <w:rFonts w:hint="eastAsia" w:ascii="宋体" w:hAnsi="宋体" w:eastAsia="宋体" w:cs="宋体"/>
          <w:color w:val="auto"/>
          <w:sz w:val="21"/>
          <w:szCs w:val="21"/>
          <w:highlight w:val="none"/>
        </w:rPr>
      </w:pPr>
    </w:p>
    <w:p w14:paraId="5EE969E4">
      <w:pPr>
        <w:pStyle w:val="115"/>
        <w:tabs>
          <w:tab w:val="left" w:pos="1590"/>
          <w:tab w:val="left" w:pos="2648"/>
          <w:tab w:val="left" w:pos="3704"/>
          <w:tab w:val="left" w:pos="5089"/>
          <w:tab w:val="left" w:pos="6018"/>
          <w:tab w:val="left" w:pos="7074"/>
          <w:tab w:val="left" w:pos="8132"/>
        </w:tabs>
        <w:spacing w:line="355" w:lineRule="exact"/>
        <w:ind w:firstLine="609" w:firstLineChars="29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lang w:val="en-US"/>
        </w:rPr>
        <w:t xml:space="preserve">                     </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日</w:t>
      </w:r>
    </w:p>
    <w:p w14:paraId="5EE969E5">
      <w:pPr>
        <w:pStyle w:val="115"/>
        <w:tabs>
          <w:tab w:val="left" w:pos="1590"/>
          <w:tab w:val="left" w:pos="2648"/>
          <w:tab w:val="left" w:pos="3704"/>
          <w:tab w:val="left" w:pos="5089"/>
          <w:tab w:val="left" w:pos="6018"/>
          <w:tab w:val="left" w:pos="7074"/>
          <w:tab w:val="left" w:pos="8132"/>
        </w:tabs>
        <w:spacing w:line="355" w:lineRule="exact"/>
        <w:ind w:firstLine="609" w:firstLineChars="29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 xml:space="preserve">   </w:t>
      </w:r>
    </w:p>
    <w:p w14:paraId="5EE969E6">
      <w:pPr>
        <w:pStyle w:val="114"/>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Cs w:val="0"/>
          <w:color w:val="auto"/>
          <w:kern w:val="2"/>
          <w:sz w:val="28"/>
          <w:szCs w:val="28"/>
          <w:highlight w:val="none"/>
          <w:lang w:eastAsia="zh-CN" w:bidi="ar-SA"/>
        </w:rPr>
        <w:t>第二部分</w:t>
      </w:r>
      <w:r>
        <w:rPr>
          <w:rFonts w:hint="eastAsia" w:ascii="宋体" w:hAnsi="宋体" w:eastAsia="宋体" w:cs="宋体"/>
          <w:bCs w:val="0"/>
          <w:color w:val="auto"/>
          <w:kern w:val="2"/>
          <w:sz w:val="28"/>
          <w:szCs w:val="28"/>
          <w:highlight w:val="none"/>
          <w:lang w:val="en-US" w:eastAsia="zh-CN" w:bidi="ar-SA"/>
        </w:rPr>
        <w:t xml:space="preserve"> </w:t>
      </w:r>
      <w:r>
        <w:rPr>
          <w:rFonts w:hint="eastAsia" w:ascii="宋体" w:hAnsi="宋体" w:eastAsia="宋体" w:cs="宋体"/>
          <w:bCs w:val="0"/>
          <w:color w:val="auto"/>
          <w:kern w:val="2"/>
          <w:sz w:val="28"/>
          <w:szCs w:val="28"/>
          <w:highlight w:val="none"/>
          <w:lang w:eastAsia="zh-CN" w:bidi="ar-SA"/>
        </w:rPr>
        <w:t>通用合同条款</w:t>
      </w:r>
      <w:bookmarkEnd w:id="42"/>
      <w:bookmarkEnd w:id="43"/>
      <w:bookmarkEnd w:id="44"/>
      <w:bookmarkEnd w:id="45"/>
      <w:bookmarkEnd w:id="46"/>
      <w:bookmarkEnd w:id="47"/>
      <w:bookmarkEnd w:id="48"/>
      <w:bookmarkEnd w:id="49"/>
      <w:bookmarkEnd w:id="50"/>
    </w:p>
    <w:p w14:paraId="5EE969E7">
      <w:pPr>
        <w:pStyle w:val="116"/>
        <w:spacing w:line="360" w:lineRule="exact"/>
        <w:rPr>
          <w:rFonts w:hint="eastAsia" w:ascii="宋体" w:hAnsi="宋体" w:eastAsia="宋体" w:cs="宋体"/>
          <w:color w:val="auto"/>
          <w:highlight w:val="none"/>
          <w:lang w:eastAsia="zh-CN"/>
        </w:rPr>
      </w:pPr>
      <w:bookmarkStart w:id="69" w:name="_Toc19504"/>
      <w:bookmarkStart w:id="70" w:name="_Toc23273"/>
      <w:bookmarkStart w:id="71" w:name="_Toc1751"/>
      <w:bookmarkStart w:id="72" w:name="bookmark882"/>
      <w:bookmarkStart w:id="73" w:name="_Toc20808"/>
      <w:bookmarkStart w:id="74" w:name="bookmark883"/>
      <w:bookmarkStart w:id="75" w:name="_Toc23189"/>
      <w:bookmarkStart w:id="76" w:name="_Toc199152835"/>
      <w:bookmarkStart w:id="77" w:name="bookmark881"/>
      <w:bookmarkStart w:id="78" w:name="_Toc24915"/>
      <w:bookmarkStart w:id="79" w:name="_Toc8348"/>
      <w:r>
        <w:rPr>
          <w:rFonts w:hint="eastAsia" w:ascii="宋体" w:hAnsi="宋体" w:eastAsia="宋体" w:cs="宋体"/>
          <w:color w:val="auto"/>
          <w:highlight w:val="none"/>
          <w:lang w:eastAsia="zh-CN"/>
        </w:rPr>
        <w:t>1.一般约定</w:t>
      </w:r>
      <w:bookmarkEnd w:id="69"/>
      <w:bookmarkEnd w:id="70"/>
      <w:bookmarkEnd w:id="71"/>
      <w:bookmarkEnd w:id="72"/>
      <w:bookmarkEnd w:id="73"/>
      <w:bookmarkEnd w:id="74"/>
      <w:bookmarkEnd w:id="75"/>
      <w:bookmarkEnd w:id="76"/>
      <w:bookmarkEnd w:id="77"/>
      <w:bookmarkEnd w:id="78"/>
      <w:bookmarkEnd w:id="79"/>
    </w:p>
    <w:p w14:paraId="5EE969E8">
      <w:pPr>
        <w:pStyle w:val="116"/>
        <w:rPr>
          <w:rFonts w:hint="eastAsia" w:ascii="宋体" w:hAnsi="宋体" w:eastAsia="宋体" w:cs="宋体"/>
          <w:color w:val="auto"/>
          <w:sz w:val="24"/>
          <w:szCs w:val="24"/>
          <w:highlight w:val="none"/>
          <w:lang w:eastAsia="zh-CN"/>
        </w:rPr>
      </w:pPr>
      <w:bookmarkStart w:id="80" w:name="_Toc13265"/>
      <w:bookmarkStart w:id="81" w:name="_Toc8676"/>
      <w:bookmarkStart w:id="82" w:name="_Toc199152836"/>
      <w:bookmarkStart w:id="83" w:name="bookmark884"/>
      <w:bookmarkStart w:id="84" w:name="_Toc207"/>
      <w:bookmarkStart w:id="85" w:name="_Toc5974"/>
      <w:bookmarkStart w:id="86" w:name="bookmark886"/>
      <w:bookmarkStart w:id="87" w:name="_Toc30871"/>
      <w:bookmarkStart w:id="88" w:name="bookmark885"/>
      <w:bookmarkStart w:id="89" w:name="_Toc25759"/>
      <w:bookmarkStart w:id="90" w:name="_Toc29687"/>
      <w:r>
        <w:rPr>
          <w:rFonts w:hint="eastAsia" w:ascii="宋体" w:hAnsi="宋体" w:eastAsia="宋体" w:cs="宋体"/>
          <w:color w:val="auto"/>
          <w:sz w:val="24"/>
          <w:szCs w:val="24"/>
          <w:highlight w:val="none"/>
          <w:lang w:eastAsia="zh-CN"/>
        </w:rPr>
        <w:t>1.1词语定义</w:t>
      </w:r>
      <w:bookmarkEnd w:id="80"/>
      <w:bookmarkEnd w:id="81"/>
      <w:bookmarkEnd w:id="82"/>
      <w:bookmarkEnd w:id="83"/>
      <w:bookmarkEnd w:id="84"/>
      <w:bookmarkEnd w:id="85"/>
      <w:bookmarkEnd w:id="86"/>
      <w:bookmarkEnd w:id="87"/>
      <w:bookmarkEnd w:id="88"/>
      <w:bookmarkEnd w:id="89"/>
      <w:bookmarkEnd w:id="90"/>
    </w:p>
    <w:p w14:paraId="5EE969E9">
      <w:pPr>
        <w:pStyle w:val="115"/>
        <w:spacing w:after="100" w:line="35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通用合同条款、专用合同条款中的下列词语应具有本款所赋予的含义。</w:t>
      </w:r>
    </w:p>
    <w:p w14:paraId="5EE969EA">
      <w:pPr>
        <w:pStyle w:val="117"/>
        <w:spacing w:after="0" w:line="360" w:lineRule="auto"/>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1.1.</w:t>
      </w:r>
      <w:r>
        <w:rPr>
          <w:rFonts w:hint="eastAsia" w:ascii="宋体" w:hAnsi="宋体" w:eastAsia="宋体" w:cs="宋体"/>
          <w:color w:val="auto"/>
          <w:highlight w:val="none"/>
          <w:lang w:val="zh-CN" w:eastAsia="zh-CN" w:bidi="zh-CN"/>
        </w:rPr>
        <w:t>1合同</w:t>
      </w:r>
    </w:p>
    <w:p w14:paraId="5EE969EB">
      <w:pPr>
        <w:pStyle w:val="115"/>
        <w:spacing w:line="35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1.1.1.1</w:t>
      </w:r>
      <w:r>
        <w:rPr>
          <w:rFonts w:hint="eastAsia" w:ascii="宋体" w:hAnsi="宋体" w:eastAsia="宋体" w:cs="宋体"/>
          <w:color w:val="auto"/>
          <w:highlight w:val="none"/>
        </w:rPr>
        <w:t>合同文件（或称合同）：指合同协议书、中标通知书、投标函及投标函附录、专用合同条款、通用合同条款、技术标准和要求、图纸、已标价工程量清单，以及其他合同文件。</w:t>
      </w:r>
    </w:p>
    <w:p w14:paraId="5EE969EC">
      <w:pPr>
        <w:pStyle w:val="115"/>
        <w:tabs>
          <w:tab w:val="left" w:pos="944"/>
        </w:tabs>
        <w:spacing w:line="362" w:lineRule="exact"/>
        <w:ind w:left="420" w:firstLine="0"/>
        <w:rPr>
          <w:rFonts w:hint="eastAsia" w:ascii="宋体" w:hAnsi="宋体" w:eastAsia="宋体" w:cs="宋体"/>
          <w:color w:val="auto"/>
          <w:highlight w:val="none"/>
        </w:rPr>
      </w:pPr>
      <w:bookmarkStart w:id="91" w:name="bookmark887"/>
      <w:bookmarkEnd w:id="91"/>
      <w:r>
        <w:rPr>
          <w:rFonts w:hint="eastAsia" w:ascii="宋体" w:hAnsi="宋体" w:eastAsia="宋体" w:cs="宋体"/>
          <w:color w:val="auto"/>
          <w:highlight w:val="none"/>
          <w:lang w:val="en-US" w:bidi="en-US"/>
        </w:rPr>
        <w:t>1.1.1.</w:t>
      </w:r>
      <w:r>
        <w:rPr>
          <w:rFonts w:hint="eastAsia" w:ascii="宋体" w:hAnsi="宋体" w:eastAsia="宋体" w:cs="宋体"/>
          <w:color w:val="auto"/>
          <w:highlight w:val="none"/>
        </w:rPr>
        <w:t>2合同协议书：指第</w:t>
      </w:r>
      <w:r>
        <w:rPr>
          <w:rFonts w:hint="eastAsia" w:ascii="宋体" w:hAnsi="宋体" w:eastAsia="宋体" w:cs="宋体"/>
          <w:color w:val="auto"/>
          <w:highlight w:val="none"/>
          <w:lang w:val="en-US" w:bidi="en-US"/>
        </w:rPr>
        <w:t>1.5</w:t>
      </w:r>
      <w:r>
        <w:rPr>
          <w:rFonts w:hint="eastAsia" w:ascii="宋体" w:hAnsi="宋体" w:eastAsia="宋体" w:cs="宋体"/>
          <w:color w:val="auto"/>
          <w:highlight w:val="none"/>
        </w:rPr>
        <w:t>款所指的合同协议书。</w:t>
      </w:r>
    </w:p>
    <w:p w14:paraId="5EE969ED">
      <w:pPr>
        <w:pStyle w:val="115"/>
        <w:spacing w:line="362" w:lineRule="exact"/>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1.1.1.</w:t>
      </w:r>
      <w:r>
        <w:rPr>
          <w:rFonts w:hint="eastAsia" w:ascii="宋体" w:hAnsi="宋体" w:eastAsia="宋体" w:cs="宋体"/>
          <w:color w:val="auto"/>
          <w:highlight w:val="none"/>
        </w:rPr>
        <w:t>3中标通知书：指发包人通知承包人中标的函件。</w:t>
      </w:r>
    </w:p>
    <w:p w14:paraId="5EE969EE">
      <w:pPr>
        <w:pStyle w:val="115"/>
        <w:tabs>
          <w:tab w:val="left" w:pos="944"/>
        </w:tabs>
        <w:spacing w:line="362" w:lineRule="exact"/>
        <w:ind w:left="420" w:firstLine="0"/>
        <w:rPr>
          <w:rFonts w:hint="eastAsia" w:ascii="宋体" w:hAnsi="宋体" w:eastAsia="宋体" w:cs="宋体"/>
          <w:color w:val="auto"/>
          <w:highlight w:val="none"/>
        </w:rPr>
      </w:pPr>
      <w:bookmarkStart w:id="92" w:name="bookmark888"/>
      <w:bookmarkEnd w:id="92"/>
      <w:r>
        <w:rPr>
          <w:rFonts w:hint="eastAsia" w:ascii="宋体" w:hAnsi="宋体" w:eastAsia="宋体" w:cs="宋体"/>
          <w:color w:val="auto"/>
          <w:highlight w:val="none"/>
          <w:lang w:val="en-US" w:bidi="en-US"/>
        </w:rPr>
        <w:t>1.1.1.</w:t>
      </w:r>
      <w:r>
        <w:rPr>
          <w:rFonts w:hint="eastAsia" w:ascii="宋体" w:hAnsi="宋体" w:eastAsia="宋体" w:cs="宋体"/>
          <w:color w:val="auto"/>
          <w:highlight w:val="none"/>
        </w:rPr>
        <w:t>4投标函：指构成合同文件组成部分的由承包人填写并签署的投标函。</w:t>
      </w:r>
    </w:p>
    <w:p w14:paraId="5EE969EF">
      <w:pPr>
        <w:pStyle w:val="115"/>
        <w:spacing w:line="362" w:lineRule="exact"/>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1.1.1.</w:t>
      </w:r>
      <w:r>
        <w:rPr>
          <w:rFonts w:hint="eastAsia" w:ascii="宋体" w:hAnsi="宋体" w:eastAsia="宋体" w:cs="宋体"/>
          <w:color w:val="auto"/>
          <w:highlight w:val="none"/>
        </w:rPr>
        <w:t>5投标函附录：指附在投标函后构成合同文件的投标函附录。</w:t>
      </w:r>
    </w:p>
    <w:p w14:paraId="5EE969F0">
      <w:pPr>
        <w:pStyle w:val="115"/>
        <w:spacing w:line="350" w:lineRule="exact"/>
        <w:ind w:firstLine="420"/>
        <w:jc w:val="both"/>
        <w:rPr>
          <w:rFonts w:hint="eastAsia" w:ascii="宋体" w:hAnsi="宋体" w:eastAsia="宋体" w:cs="宋体"/>
          <w:color w:val="auto"/>
          <w:highlight w:val="none"/>
          <w:lang w:val="en-US" w:bidi="en-US"/>
        </w:rPr>
      </w:pPr>
      <w:bookmarkStart w:id="93" w:name="bookmark889"/>
      <w:bookmarkEnd w:id="93"/>
      <w:r>
        <w:rPr>
          <w:rFonts w:hint="eastAsia" w:ascii="宋体" w:hAnsi="宋体" w:eastAsia="宋体" w:cs="宋体"/>
          <w:color w:val="auto"/>
          <w:highlight w:val="none"/>
          <w:lang w:val="en-US" w:bidi="en-US"/>
        </w:rPr>
        <w:t>1.1.1.6技术标准和要求：指构成合同文件组成部分的名为技术标准和要求（合同技术条款）的文件，包括合同双方当事人约定对其所做的修改或补充。</w:t>
      </w:r>
    </w:p>
    <w:p w14:paraId="5EE969F1">
      <w:pPr>
        <w:pStyle w:val="115"/>
        <w:spacing w:line="350" w:lineRule="exact"/>
        <w:ind w:firstLine="420"/>
        <w:jc w:val="both"/>
        <w:rPr>
          <w:rFonts w:hint="eastAsia" w:ascii="宋体" w:hAnsi="宋体" w:eastAsia="宋体" w:cs="宋体"/>
          <w:color w:val="auto"/>
          <w:highlight w:val="none"/>
          <w:lang w:val="en-US" w:bidi="en-US"/>
        </w:rPr>
      </w:pPr>
      <w:bookmarkStart w:id="94" w:name="bookmark890"/>
      <w:bookmarkEnd w:id="94"/>
      <w:r>
        <w:rPr>
          <w:rFonts w:hint="eastAsia" w:ascii="宋体" w:hAnsi="宋体" w:eastAsia="宋体" w:cs="宋体"/>
          <w:color w:val="auto"/>
          <w:highlight w:val="none"/>
          <w:lang w:val="en-US" w:bidi="en-US"/>
        </w:rPr>
        <w:t>1.1.1.7图纸：指列入合同的招标图纸、投标图纸和发包人按合同约定向承包人提供的施工图纸和其他图纸（包括配套说明和有关资料）。列入合同的招标图纸已成为合同文件的一部分，具有合同效力，主要用于在履行合同过程中作为衡量变更的依据，但不能直接用于施工。经发包人确认进入合同的投标图纸亦成为合同文件的一部分，用于在履行合同中检验承包人是否按其投标时承诺的条件进行施工的依据，亦不能直接用于施工。</w:t>
      </w:r>
    </w:p>
    <w:p w14:paraId="5EE969F2">
      <w:pPr>
        <w:pStyle w:val="115"/>
        <w:spacing w:line="319"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1.1.1.</w:t>
      </w:r>
      <w:r>
        <w:rPr>
          <w:rFonts w:hint="eastAsia" w:ascii="宋体" w:hAnsi="宋体" w:eastAsia="宋体" w:cs="宋体"/>
          <w:color w:val="auto"/>
          <w:highlight w:val="none"/>
        </w:rPr>
        <w:t>8已标价工程量清单：指构成合同文件组成部分的由承包人按照规定的格式和要求填写并标明价格的工程量清单。</w:t>
      </w:r>
    </w:p>
    <w:p w14:paraId="5EE969F3">
      <w:pPr>
        <w:pStyle w:val="115"/>
        <w:spacing w:line="352"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1.1.1.</w:t>
      </w:r>
      <w:r>
        <w:rPr>
          <w:rFonts w:hint="eastAsia" w:ascii="宋体" w:hAnsi="宋体" w:eastAsia="宋体" w:cs="宋体"/>
          <w:color w:val="auto"/>
          <w:highlight w:val="none"/>
        </w:rPr>
        <w:t>9其他合同文件：指经合同双方当事人确认构成合同文件的其他文件。</w:t>
      </w:r>
    </w:p>
    <w:p w14:paraId="5EE969F4">
      <w:pPr>
        <w:pStyle w:val="115"/>
        <w:spacing w:line="352"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1.1.2</w:t>
      </w:r>
      <w:r>
        <w:rPr>
          <w:rFonts w:hint="eastAsia" w:ascii="宋体" w:hAnsi="宋体" w:eastAsia="宋体" w:cs="宋体"/>
          <w:color w:val="auto"/>
          <w:highlight w:val="none"/>
        </w:rPr>
        <w:t>合同当事人和人员。</w:t>
      </w:r>
    </w:p>
    <w:p w14:paraId="5EE969F5">
      <w:pPr>
        <w:pStyle w:val="115"/>
        <w:spacing w:line="352" w:lineRule="exact"/>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1.1.2.1</w:t>
      </w:r>
      <w:r>
        <w:rPr>
          <w:rFonts w:hint="eastAsia" w:ascii="宋体" w:hAnsi="宋体" w:eastAsia="宋体" w:cs="宋体"/>
          <w:color w:val="auto"/>
          <w:highlight w:val="none"/>
        </w:rPr>
        <w:t>合同当事人：指发包人和（或）承包人。</w:t>
      </w:r>
    </w:p>
    <w:p w14:paraId="5EE969F6">
      <w:pPr>
        <w:pStyle w:val="115"/>
        <w:tabs>
          <w:tab w:val="left" w:pos="944"/>
        </w:tabs>
        <w:spacing w:line="352" w:lineRule="exact"/>
        <w:ind w:left="420" w:firstLine="0"/>
        <w:rPr>
          <w:rFonts w:hint="eastAsia" w:ascii="宋体" w:hAnsi="宋体" w:eastAsia="宋体" w:cs="宋体"/>
          <w:color w:val="auto"/>
          <w:highlight w:val="none"/>
        </w:rPr>
      </w:pPr>
      <w:bookmarkStart w:id="95" w:name="bookmark891"/>
      <w:bookmarkEnd w:id="95"/>
      <w:r>
        <w:rPr>
          <w:rFonts w:hint="eastAsia" w:ascii="宋体" w:hAnsi="宋体" w:eastAsia="宋体" w:cs="宋体"/>
          <w:color w:val="auto"/>
          <w:highlight w:val="none"/>
          <w:lang w:val="en-US" w:bidi="en-US"/>
        </w:rPr>
        <w:t>1.1.2.2</w:t>
      </w:r>
      <w:r>
        <w:rPr>
          <w:rFonts w:hint="eastAsia" w:ascii="宋体" w:hAnsi="宋体" w:eastAsia="宋体" w:cs="宋体"/>
          <w:color w:val="auto"/>
          <w:highlight w:val="none"/>
        </w:rPr>
        <w:t>发包人：指专用合同条款中指明并与承包人在合同协议书中签字的当事人。</w:t>
      </w:r>
    </w:p>
    <w:p w14:paraId="5EE969F7">
      <w:pPr>
        <w:pStyle w:val="115"/>
        <w:tabs>
          <w:tab w:val="left" w:pos="944"/>
        </w:tabs>
        <w:spacing w:line="352" w:lineRule="exact"/>
        <w:ind w:left="420" w:firstLine="0"/>
        <w:rPr>
          <w:rFonts w:hint="eastAsia" w:ascii="宋体" w:hAnsi="宋体" w:eastAsia="宋体" w:cs="宋体"/>
          <w:color w:val="auto"/>
          <w:highlight w:val="none"/>
        </w:rPr>
      </w:pPr>
      <w:bookmarkStart w:id="96" w:name="bookmark892"/>
      <w:bookmarkEnd w:id="96"/>
      <w:r>
        <w:rPr>
          <w:rFonts w:hint="eastAsia" w:ascii="宋体" w:hAnsi="宋体" w:eastAsia="宋体" w:cs="宋体"/>
          <w:color w:val="auto"/>
          <w:highlight w:val="none"/>
          <w:lang w:val="en-US" w:bidi="en-US"/>
        </w:rPr>
        <w:t>1.1.2.3</w:t>
      </w:r>
      <w:r>
        <w:rPr>
          <w:rFonts w:hint="eastAsia" w:ascii="宋体" w:hAnsi="宋体" w:eastAsia="宋体" w:cs="宋体"/>
          <w:color w:val="auto"/>
          <w:highlight w:val="none"/>
        </w:rPr>
        <w:t>承包人：指专用合同条款中指明并与发包人在合同协议书中签字的当事人。</w:t>
      </w:r>
    </w:p>
    <w:p w14:paraId="5EE969F8">
      <w:pPr>
        <w:pStyle w:val="115"/>
        <w:spacing w:line="352" w:lineRule="exact"/>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1.1.2.4</w:t>
      </w:r>
      <w:r>
        <w:rPr>
          <w:rFonts w:hint="eastAsia" w:ascii="宋体" w:hAnsi="宋体" w:eastAsia="宋体" w:cs="宋体"/>
          <w:color w:val="auto"/>
          <w:highlight w:val="none"/>
        </w:rPr>
        <w:t>承包人项目经理：指承包人派驻施工场地的全权负责人。</w:t>
      </w:r>
    </w:p>
    <w:p w14:paraId="5EE969F9">
      <w:pPr>
        <w:pStyle w:val="115"/>
        <w:spacing w:line="319"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1.1.2.5</w:t>
      </w:r>
      <w:r>
        <w:rPr>
          <w:rFonts w:hint="eastAsia" w:ascii="宋体" w:hAnsi="宋体" w:eastAsia="宋体" w:cs="宋体"/>
          <w:color w:val="auto"/>
          <w:highlight w:val="none"/>
        </w:rPr>
        <w:t>分包人：指专用合同条款中指明的，从承包人处分包合同中某一部分工程</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并与其签订分包合同的分包人。</w:t>
      </w:r>
    </w:p>
    <w:p w14:paraId="5EE969FA">
      <w:pPr>
        <w:pStyle w:val="115"/>
        <w:tabs>
          <w:tab w:val="left" w:pos="951"/>
        </w:tabs>
        <w:spacing w:line="374" w:lineRule="exact"/>
        <w:ind w:left="420" w:firstLine="0"/>
        <w:jc w:val="both"/>
        <w:rPr>
          <w:rFonts w:hint="eastAsia" w:ascii="宋体" w:hAnsi="宋体" w:eastAsia="宋体" w:cs="宋体"/>
          <w:color w:val="auto"/>
          <w:highlight w:val="none"/>
        </w:rPr>
      </w:pPr>
      <w:bookmarkStart w:id="97" w:name="bookmark893"/>
      <w:bookmarkEnd w:id="97"/>
      <w:r>
        <w:rPr>
          <w:rFonts w:hint="eastAsia" w:ascii="宋体" w:hAnsi="宋体" w:eastAsia="宋体" w:cs="宋体"/>
          <w:color w:val="auto"/>
          <w:highlight w:val="none"/>
          <w:lang w:val="en-US" w:bidi="en-US"/>
        </w:rPr>
        <w:t>1.1.2.6</w:t>
      </w:r>
      <w:r>
        <w:rPr>
          <w:rFonts w:hint="eastAsia" w:ascii="宋体" w:hAnsi="宋体" w:eastAsia="宋体" w:cs="宋体"/>
          <w:color w:val="auto"/>
          <w:highlight w:val="none"/>
        </w:rPr>
        <w:t>监理人：指在专用合同条款中指明的，受发包人委托对合同履行实施管理的法人或其他组织。</w:t>
      </w:r>
    </w:p>
    <w:p w14:paraId="5EE969FB">
      <w:pPr>
        <w:pStyle w:val="115"/>
        <w:spacing w:line="362"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1.1.2.</w:t>
      </w:r>
      <w:r>
        <w:rPr>
          <w:rFonts w:hint="eastAsia" w:ascii="宋体" w:hAnsi="宋体" w:eastAsia="宋体" w:cs="宋体"/>
          <w:color w:val="auto"/>
          <w:highlight w:val="none"/>
        </w:rPr>
        <w:t>7总监理工程师（总监）:指由监理人委派常驻施工场地对合同履行实施管理的全权负责人。</w:t>
      </w:r>
    </w:p>
    <w:p w14:paraId="5EE969FC">
      <w:pPr>
        <w:pStyle w:val="117"/>
        <w:spacing w:after="0" w:line="362" w:lineRule="exact"/>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1.1.</w:t>
      </w:r>
      <w:r>
        <w:rPr>
          <w:rFonts w:hint="eastAsia" w:ascii="宋体" w:hAnsi="宋体" w:eastAsia="宋体" w:cs="宋体"/>
          <w:color w:val="auto"/>
          <w:highlight w:val="none"/>
          <w:lang w:val="zh-CN" w:eastAsia="zh-CN" w:bidi="zh-CN"/>
        </w:rPr>
        <w:t>3工程和设备</w:t>
      </w:r>
    </w:p>
    <w:p w14:paraId="5EE969FD">
      <w:pPr>
        <w:pStyle w:val="115"/>
        <w:spacing w:line="362"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1.1.3.</w:t>
      </w:r>
      <w:r>
        <w:rPr>
          <w:rFonts w:hint="eastAsia" w:ascii="宋体" w:hAnsi="宋体" w:eastAsia="宋体" w:cs="宋体"/>
          <w:color w:val="auto"/>
          <w:highlight w:val="none"/>
        </w:rPr>
        <w:t>1工程：指永久工程和（或）临时工程。</w:t>
      </w:r>
    </w:p>
    <w:p w14:paraId="5EE969FE">
      <w:pPr>
        <w:pStyle w:val="115"/>
        <w:tabs>
          <w:tab w:val="left" w:pos="944"/>
        </w:tabs>
        <w:spacing w:line="362" w:lineRule="exact"/>
        <w:ind w:left="420" w:firstLine="0"/>
        <w:jc w:val="both"/>
        <w:rPr>
          <w:rFonts w:hint="eastAsia" w:ascii="宋体" w:hAnsi="宋体" w:eastAsia="宋体" w:cs="宋体"/>
          <w:color w:val="auto"/>
          <w:highlight w:val="none"/>
        </w:rPr>
      </w:pPr>
      <w:bookmarkStart w:id="98" w:name="bookmark894"/>
      <w:bookmarkEnd w:id="98"/>
      <w:r>
        <w:rPr>
          <w:rFonts w:hint="eastAsia" w:ascii="宋体" w:hAnsi="宋体" w:eastAsia="宋体" w:cs="宋体"/>
          <w:color w:val="auto"/>
          <w:highlight w:val="none"/>
          <w:lang w:val="en-US" w:bidi="en-US"/>
        </w:rPr>
        <w:t>1.1.3.</w:t>
      </w:r>
      <w:r>
        <w:rPr>
          <w:rFonts w:hint="eastAsia" w:ascii="宋体" w:hAnsi="宋体" w:eastAsia="宋体" w:cs="宋体"/>
          <w:color w:val="auto"/>
          <w:highlight w:val="none"/>
        </w:rPr>
        <w:t>2永久工程：指按合同约定建造并移交给发包人的工程，包括工程设备。</w:t>
      </w:r>
    </w:p>
    <w:p w14:paraId="5EE969FF">
      <w:pPr>
        <w:pStyle w:val="115"/>
        <w:tabs>
          <w:tab w:val="left" w:pos="954"/>
        </w:tabs>
        <w:spacing w:line="372" w:lineRule="exact"/>
        <w:ind w:firstLine="426" w:firstLineChars="213"/>
        <w:jc w:val="both"/>
        <w:rPr>
          <w:rFonts w:hint="eastAsia" w:ascii="宋体" w:hAnsi="宋体" w:eastAsia="宋体" w:cs="宋体"/>
          <w:color w:val="auto"/>
          <w:highlight w:val="none"/>
        </w:rPr>
      </w:pPr>
      <w:bookmarkStart w:id="99" w:name="bookmark895"/>
      <w:bookmarkEnd w:id="99"/>
      <w:r>
        <w:rPr>
          <w:rFonts w:hint="eastAsia" w:ascii="宋体" w:hAnsi="宋体" w:eastAsia="宋体" w:cs="宋体"/>
          <w:color w:val="auto"/>
          <w:highlight w:val="none"/>
          <w:lang w:val="en-US" w:bidi="en-US"/>
        </w:rPr>
        <w:t>1.1.3.</w:t>
      </w:r>
      <w:r>
        <w:rPr>
          <w:rFonts w:hint="eastAsia" w:ascii="宋体" w:hAnsi="宋体" w:eastAsia="宋体" w:cs="宋体"/>
          <w:color w:val="auto"/>
          <w:highlight w:val="none"/>
        </w:rPr>
        <w:t>3临时工程：指为完成合同约定的永久工程所修建的各类临时性工程，不包括施工设备。</w:t>
      </w:r>
    </w:p>
    <w:p w14:paraId="5EE96A00">
      <w:pPr>
        <w:pStyle w:val="115"/>
        <w:spacing w:line="367"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1.1.3.</w:t>
      </w:r>
      <w:r>
        <w:rPr>
          <w:rFonts w:hint="eastAsia" w:ascii="宋体" w:hAnsi="宋体" w:eastAsia="宋体" w:cs="宋体"/>
          <w:color w:val="auto"/>
          <w:highlight w:val="none"/>
        </w:rPr>
        <w:t>4单位工程：指专用合同条款中指明特定范围的永久工程。</w:t>
      </w:r>
    </w:p>
    <w:p w14:paraId="5EE96A01">
      <w:pPr>
        <w:pStyle w:val="115"/>
        <w:tabs>
          <w:tab w:val="left" w:pos="951"/>
        </w:tabs>
        <w:spacing w:line="367" w:lineRule="exact"/>
        <w:ind w:firstLine="426" w:firstLineChars="213"/>
        <w:jc w:val="both"/>
        <w:rPr>
          <w:rFonts w:hint="eastAsia" w:ascii="宋体" w:hAnsi="宋体" w:eastAsia="宋体" w:cs="宋体"/>
          <w:color w:val="auto"/>
          <w:highlight w:val="none"/>
        </w:rPr>
      </w:pPr>
      <w:bookmarkStart w:id="100" w:name="bookmark896"/>
      <w:bookmarkEnd w:id="100"/>
      <w:r>
        <w:rPr>
          <w:rFonts w:hint="eastAsia" w:ascii="宋体" w:hAnsi="宋体" w:eastAsia="宋体" w:cs="宋体"/>
          <w:color w:val="auto"/>
          <w:highlight w:val="none"/>
          <w:lang w:val="en-US" w:bidi="en-US"/>
        </w:rPr>
        <w:t>1.1.3.</w:t>
      </w:r>
      <w:r>
        <w:rPr>
          <w:rFonts w:hint="eastAsia" w:ascii="宋体" w:hAnsi="宋体" w:eastAsia="宋体" w:cs="宋体"/>
          <w:color w:val="auto"/>
          <w:highlight w:val="none"/>
        </w:rPr>
        <w:t>5工程设备：指构成或计划构成永久工程一部分的机电设备、金属结构设备、仪器装置及其他类似的设备和装置。</w:t>
      </w:r>
    </w:p>
    <w:p w14:paraId="5EE96A02">
      <w:pPr>
        <w:pStyle w:val="115"/>
        <w:tabs>
          <w:tab w:val="left" w:pos="954"/>
        </w:tabs>
        <w:spacing w:line="361" w:lineRule="exact"/>
        <w:ind w:firstLine="426" w:firstLineChars="213"/>
        <w:jc w:val="both"/>
        <w:rPr>
          <w:rFonts w:hint="eastAsia" w:ascii="宋体" w:hAnsi="宋体" w:eastAsia="宋体" w:cs="宋体"/>
          <w:color w:val="auto"/>
          <w:highlight w:val="none"/>
        </w:rPr>
      </w:pPr>
      <w:bookmarkStart w:id="101" w:name="bookmark897"/>
      <w:bookmarkEnd w:id="101"/>
      <w:r>
        <w:rPr>
          <w:rFonts w:hint="eastAsia" w:ascii="宋体" w:hAnsi="宋体" w:eastAsia="宋体" w:cs="宋体"/>
          <w:color w:val="auto"/>
          <w:highlight w:val="none"/>
          <w:lang w:val="en-US" w:bidi="en-US"/>
        </w:rPr>
        <w:t>1.1.3.</w:t>
      </w:r>
      <w:r>
        <w:rPr>
          <w:rFonts w:hint="eastAsia" w:ascii="宋体" w:hAnsi="宋体" w:eastAsia="宋体" w:cs="宋体"/>
          <w:color w:val="auto"/>
          <w:highlight w:val="none"/>
        </w:rPr>
        <w:t>6施工设备：指为完成合同约定的各项工作所需的设备、器具和其他物品，不包括临时工程和材料。</w:t>
      </w:r>
    </w:p>
    <w:p w14:paraId="5EE96A03">
      <w:pPr>
        <w:pStyle w:val="115"/>
        <w:tabs>
          <w:tab w:val="left" w:pos="944"/>
        </w:tabs>
        <w:spacing w:line="361" w:lineRule="exact"/>
        <w:ind w:left="420" w:firstLine="0"/>
        <w:jc w:val="both"/>
        <w:rPr>
          <w:rFonts w:hint="eastAsia" w:ascii="宋体" w:hAnsi="宋体" w:eastAsia="宋体" w:cs="宋体"/>
          <w:color w:val="auto"/>
          <w:highlight w:val="none"/>
        </w:rPr>
      </w:pPr>
      <w:bookmarkStart w:id="102" w:name="bookmark898"/>
      <w:bookmarkEnd w:id="102"/>
      <w:r>
        <w:rPr>
          <w:rFonts w:hint="eastAsia" w:ascii="宋体" w:hAnsi="宋体" w:eastAsia="宋体" w:cs="宋体"/>
          <w:color w:val="auto"/>
          <w:highlight w:val="none"/>
          <w:lang w:val="en-US" w:bidi="en-US"/>
        </w:rPr>
        <w:t>1.1.3.7</w:t>
      </w:r>
      <w:r>
        <w:rPr>
          <w:rFonts w:hint="eastAsia" w:ascii="宋体" w:hAnsi="宋体" w:eastAsia="宋体" w:cs="宋体"/>
          <w:color w:val="auto"/>
          <w:highlight w:val="none"/>
        </w:rPr>
        <w:t>临时设施：指为完成合同约定的各项工作所服务的临时性生产和生活设施。</w:t>
      </w:r>
    </w:p>
    <w:p w14:paraId="5EE96A04">
      <w:pPr>
        <w:pStyle w:val="115"/>
        <w:tabs>
          <w:tab w:val="left" w:pos="954"/>
        </w:tabs>
        <w:spacing w:line="361" w:lineRule="exact"/>
        <w:ind w:left="420" w:firstLine="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1.1.3.8</w:t>
      </w:r>
      <w:r>
        <w:rPr>
          <w:rFonts w:hint="eastAsia" w:ascii="宋体" w:hAnsi="宋体" w:eastAsia="宋体" w:cs="宋体"/>
          <w:color w:val="auto"/>
          <w:highlight w:val="none"/>
        </w:rPr>
        <w:t>承包人设备：指承包人自带的施工设备。</w:t>
      </w:r>
    </w:p>
    <w:p w14:paraId="5EE96A05">
      <w:pPr>
        <w:pStyle w:val="115"/>
        <w:tabs>
          <w:tab w:val="left" w:pos="954"/>
        </w:tabs>
        <w:spacing w:line="361" w:lineRule="exact"/>
        <w:ind w:firstLine="426" w:firstLineChars="213"/>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1.1.3.9</w:t>
      </w:r>
      <w:r>
        <w:rPr>
          <w:rFonts w:hint="eastAsia" w:ascii="宋体" w:hAnsi="宋体" w:eastAsia="宋体" w:cs="宋体"/>
          <w:color w:val="auto"/>
          <w:highlight w:val="none"/>
        </w:rPr>
        <w:t>施工场地（或称工地、现场）：指用于合同工程施工的场所，以及在合同中指定作为施工场地组成部分的其他场所，包括永久占地和临时占地。</w:t>
      </w:r>
    </w:p>
    <w:p w14:paraId="5EE96A06">
      <w:pPr>
        <w:pStyle w:val="115"/>
        <w:tabs>
          <w:tab w:val="left" w:pos="951"/>
        </w:tabs>
        <w:spacing w:line="361" w:lineRule="exact"/>
        <w:ind w:left="420" w:firstLine="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1.1.3.10</w:t>
      </w:r>
      <w:r>
        <w:rPr>
          <w:rFonts w:hint="eastAsia" w:ascii="宋体" w:hAnsi="宋体" w:eastAsia="宋体" w:cs="宋体"/>
          <w:color w:val="auto"/>
          <w:highlight w:val="none"/>
        </w:rPr>
        <w:t>永久占地：指发包人为建设本合同工程永久征用的场地。</w:t>
      </w:r>
    </w:p>
    <w:p w14:paraId="5EE96A07">
      <w:pPr>
        <w:pStyle w:val="115"/>
        <w:tabs>
          <w:tab w:val="left" w:pos="951"/>
        </w:tabs>
        <w:spacing w:line="367" w:lineRule="exact"/>
        <w:ind w:firstLine="426" w:firstLineChars="213"/>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1.1.3.11</w:t>
      </w:r>
      <w:r>
        <w:rPr>
          <w:rFonts w:hint="eastAsia" w:ascii="宋体" w:hAnsi="宋体" w:eastAsia="宋体" w:cs="宋体"/>
          <w:color w:val="auto"/>
          <w:highlight w:val="none"/>
        </w:rPr>
        <w:t>临时占地：指发包人为建设本合同工程临时征用，并应在完工后须按合同要求退还的场地。</w:t>
      </w:r>
    </w:p>
    <w:p w14:paraId="5EE96A08">
      <w:pPr>
        <w:pStyle w:val="117"/>
        <w:spacing w:after="0"/>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1.1.4</w:t>
      </w:r>
      <w:r>
        <w:rPr>
          <w:rFonts w:hint="eastAsia" w:ascii="宋体" w:hAnsi="宋体" w:eastAsia="宋体" w:cs="宋体"/>
          <w:color w:val="auto"/>
          <w:highlight w:val="none"/>
          <w:lang w:val="zh-CN" w:eastAsia="zh-CN" w:bidi="zh-CN"/>
        </w:rPr>
        <w:t>日期</w:t>
      </w:r>
    </w:p>
    <w:p w14:paraId="5EE96A09">
      <w:pPr>
        <w:pStyle w:val="115"/>
        <w:spacing w:line="348"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1.1.4.</w:t>
      </w:r>
      <w:r>
        <w:rPr>
          <w:rFonts w:hint="eastAsia" w:ascii="宋体" w:hAnsi="宋体" w:eastAsia="宋体" w:cs="宋体"/>
          <w:color w:val="auto"/>
          <w:highlight w:val="none"/>
        </w:rPr>
        <w:t>1开工通知：指监理人按第</w:t>
      </w:r>
      <w:r>
        <w:rPr>
          <w:rFonts w:hint="eastAsia" w:ascii="宋体" w:hAnsi="宋体" w:eastAsia="宋体" w:cs="宋体"/>
          <w:color w:val="auto"/>
          <w:highlight w:val="none"/>
          <w:lang w:val="en-US" w:bidi="en-US"/>
        </w:rPr>
        <w:t>11.</w:t>
      </w:r>
      <w:r>
        <w:rPr>
          <w:rFonts w:hint="eastAsia" w:ascii="宋体" w:hAnsi="宋体" w:eastAsia="宋体" w:cs="宋体"/>
          <w:color w:val="auto"/>
          <w:highlight w:val="none"/>
        </w:rPr>
        <w:t>1款通知承包人开工的函件。</w:t>
      </w:r>
    </w:p>
    <w:p w14:paraId="5EE96A0A">
      <w:pPr>
        <w:pStyle w:val="115"/>
        <w:spacing w:line="348"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1.1.4.2</w:t>
      </w:r>
      <w:r>
        <w:rPr>
          <w:rFonts w:hint="eastAsia" w:ascii="宋体" w:hAnsi="宋体" w:eastAsia="宋体" w:cs="宋体"/>
          <w:color w:val="auto"/>
          <w:highlight w:val="none"/>
        </w:rPr>
        <w:t>开工日期：指监理人按第</w:t>
      </w:r>
      <w:r>
        <w:rPr>
          <w:rFonts w:hint="eastAsia" w:ascii="宋体" w:hAnsi="宋体" w:eastAsia="宋体" w:cs="宋体"/>
          <w:color w:val="auto"/>
          <w:highlight w:val="none"/>
          <w:lang w:val="en-US" w:bidi="en-US"/>
        </w:rPr>
        <w:t>11.</w:t>
      </w:r>
      <w:r>
        <w:rPr>
          <w:rFonts w:hint="eastAsia" w:ascii="宋体" w:hAnsi="宋体" w:eastAsia="宋体" w:cs="宋体"/>
          <w:color w:val="auto"/>
          <w:highlight w:val="none"/>
        </w:rPr>
        <w:t>1款发出的开工通知中写明的开工日期。</w:t>
      </w:r>
    </w:p>
    <w:p w14:paraId="5EE96A0B">
      <w:pPr>
        <w:pStyle w:val="115"/>
        <w:spacing w:line="348"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1.1.4.3</w:t>
      </w:r>
      <w:r>
        <w:rPr>
          <w:rFonts w:hint="eastAsia" w:ascii="宋体" w:hAnsi="宋体" w:eastAsia="宋体" w:cs="宋体"/>
          <w:color w:val="auto"/>
          <w:highlight w:val="none"/>
        </w:rPr>
        <w:t>工期：指承包人在投标函中承诺的完成合同工程所需的期限，包括按第</w:t>
      </w:r>
      <w:r>
        <w:rPr>
          <w:rFonts w:hint="eastAsia" w:ascii="宋体" w:hAnsi="宋体" w:eastAsia="宋体" w:cs="宋体"/>
          <w:color w:val="auto"/>
          <w:highlight w:val="none"/>
          <w:lang w:val="en-US" w:bidi="en-US"/>
        </w:rPr>
        <w:t>11.3</w:t>
      </w:r>
      <w:r>
        <w:rPr>
          <w:rFonts w:hint="eastAsia" w:ascii="宋体" w:hAnsi="宋体" w:eastAsia="宋体" w:cs="宋体"/>
          <w:color w:val="auto"/>
          <w:highlight w:val="none"/>
        </w:rPr>
        <w:t>款、第</w:t>
      </w:r>
      <w:r>
        <w:rPr>
          <w:rFonts w:hint="eastAsia" w:ascii="宋体" w:hAnsi="宋体" w:eastAsia="宋体" w:cs="宋体"/>
          <w:color w:val="auto"/>
          <w:highlight w:val="none"/>
          <w:lang w:val="en-US" w:bidi="en-US"/>
        </w:rPr>
        <w:t>11.</w:t>
      </w:r>
      <w:r>
        <w:rPr>
          <w:rFonts w:hint="eastAsia" w:ascii="宋体" w:hAnsi="宋体" w:eastAsia="宋体" w:cs="宋体"/>
          <w:color w:val="auto"/>
          <w:highlight w:val="none"/>
        </w:rPr>
        <w:t>4款和第</w:t>
      </w:r>
      <w:r>
        <w:rPr>
          <w:rFonts w:hint="eastAsia" w:ascii="宋体" w:hAnsi="宋体" w:eastAsia="宋体" w:cs="宋体"/>
          <w:color w:val="auto"/>
          <w:highlight w:val="none"/>
          <w:lang w:val="en-US" w:bidi="en-US"/>
        </w:rPr>
        <w:t>11.</w:t>
      </w:r>
      <w:r>
        <w:rPr>
          <w:rFonts w:hint="eastAsia" w:ascii="宋体" w:hAnsi="宋体" w:eastAsia="宋体" w:cs="宋体"/>
          <w:color w:val="auto"/>
          <w:highlight w:val="none"/>
        </w:rPr>
        <w:t>6款约定所作的变更。</w:t>
      </w:r>
    </w:p>
    <w:p w14:paraId="5EE96A0C">
      <w:pPr>
        <w:pStyle w:val="115"/>
        <w:tabs>
          <w:tab w:val="left" w:pos="949"/>
        </w:tabs>
        <w:spacing w:line="374" w:lineRule="exact"/>
        <w:ind w:firstLine="426" w:firstLineChars="213"/>
        <w:jc w:val="both"/>
        <w:rPr>
          <w:rFonts w:hint="eastAsia" w:ascii="宋体" w:hAnsi="宋体" w:eastAsia="宋体" w:cs="宋体"/>
          <w:color w:val="auto"/>
          <w:highlight w:val="none"/>
        </w:rPr>
      </w:pPr>
      <w:bookmarkStart w:id="103" w:name="bookmark899"/>
      <w:bookmarkEnd w:id="103"/>
      <w:r>
        <w:rPr>
          <w:rFonts w:hint="eastAsia" w:ascii="宋体" w:hAnsi="宋体" w:eastAsia="宋体" w:cs="宋体"/>
          <w:color w:val="auto"/>
          <w:highlight w:val="none"/>
          <w:lang w:val="en-US" w:bidi="en-US"/>
        </w:rPr>
        <w:t>1.1.4.4</w:t>
      </w:r>
      <w:r>
        <w:rPr>
          <w:rFonts w:hint="eastAsia" w:ascii="宋体" w:hAnsi="宋体" w:eastAsia="宋体" w:cs="宋体"/>
          <w:color w:val="auto"/>
          <w:highlight w:val="none"/>
        </w:rPr>
        <w:t>竣工日期：即合同工程完工日期，指第</w:t>
      </w:r>
      <w:r>
        <w:rPr>
          <w:rFonts w:hint="eastAsia" w:ascii="宋体" w:hAnsi="宋体" w:eastAsia="宋体" w:cs="宋体"/>
          <w:color w:val="auto"/>
          <w:highlight w:val="none"/>
          <w:lang w:val="en-US" w:bidi="en-US"/>
        </w:rPr>
        <w:t>1.1.4.</w:t>
      </w:r>
      <w:r>
        <w:rPr>
          <w:rFonts w:hint="eastAsia" w:ascii="宋体" w:hAnsi="宋体" w:eastAsia="宋体" w:cs="宋体"/>
          <w:color w:val="auto"/>
          <w:highlight w:val="none"/>
        </w:rPr>
        <w:t>3目约定工期届满时的日期。实际完工时间以合同工程完工证书中写明的日期为准。</w:t>
      </w:r>
    </w:p>
    <w:p w14:paraId="5EE96A0D">
      <w:pPr>
        <w:pStyle w:val="115"/>
        <w:tabs>
          <w:tab w:val="left" w:pos="954"/>
        </w:tabs>
        <w:spacing w:line="370" w:lineRule="exact"/>
        <w:ind w:firstLine="426" w:firstLineChars="213"/>
        <w:jc w:val="both"/>
        <w:rPr>
          <w:rFonts w:hint="eastAsia" w:ascii="宋体" w:hAnsi="宋体" w:eastAsia="宋体" w:cs="宋体"/>
          <w:color w:val="auto"/>
          <w:highlight w:val="none"/>
        </w:rPr>
      </w:pPr>
      <w:bookmarkStart w:id="104" w:name="bookmark900"/>
      <w:bookmarkEnd w:id="104"/>
      <w:r>
        <w:rPr>
          <w:rFonts w:hint="eastAsia" w:ascii="宋体" w:hAnsi="宋体" w:eastAsia="宋体" w:cs="宋体"/>
          <w:color w:val="auto"/>
          <w:highlight w:val="none"/>
          <w:lang w:val="en-US" w:bidi="en-US"/>
        </w:rPr>
        <w:t>1.1.4.5</w:t>
      </w:r>
      <w:r>
        <w:rPr>
          <w:rFonts w:hint="eastAsia" w:ascii="宋体" w:hAnsi="宋体" w:eastAsia="宋体" w:cs="宋体"/>
          <w:color w:val="auto"/>
          <w:highlight w:val="none"/>
        </w:rPr>
        <w:t>缺陷责任期：即工程质量保修期，指履行第</w:t>
      </w:r>
      <w:r>
        <w:rPr>
          <w:rFonts w:hint="eastAsia" w:ascii="宋体" w:hAnsi="宋体" w:eastAsia="宋体" w:cs="宋体"/>
          <w:color w:val="auto"/>
          <w:highlight w:val="none"/>
          <w:lang w:val="en-US" w:bidi="en-US"/>
        </w:rPr>
        <w:t>19.</w:t>
      </w:r>
      <w:r>
        <w:rPr>
          <w:rFonts w:hint="eastAsia" w:ascii="宋体" w:hAnsi="宋体" w:eastAsia="宋体" w:cs="宋体"/>
          <w:color w:val="auto"/>
          <w:highlight w:val="none"/>
        </w:rPr>
        <w:t>2款约定的缺陷责任的期限</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包括根据第</w:t>
      </w:r>
      <w:r>
        <w:rPr>
          <w:rFonts w:hint="eastAsia" w:ascii="宋体" w:hAnsi="宋体" w:eastAsia="宋体" w:cs="宋体"/>
          <w:color w:val="auto"/>
          <w:highlight w:val="none"/>
          <w:lang w:val="en-US" w:bidi="en-US"/>
        </w:rPr>
        <w:t>19.</w:t>
      </w:r>
      <w:r>
        <w:rPr>
          <w:rFonts w:hint="eastAsia" w:ascii="宋体" w:hAnsi="宋体" w:eastAsia="宋体" w:cs="宋体"/>
          <w:color w:val="auto"/>
          <w:highlight w:val="none"/>
        </w:rPr>
        <w:t>3款约定所作的延长，具体期限由专用合同条款约定。</w:t>
      </w:r>
    </w:p>
    <w:p w14:paraId="5EE96A0E">
      <w:pPr>
        <w:pStyle w:val="115"/>
        <w:spacing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1.1.4.6</w:t>
      </w:r>
      <w:r>
        <w:rPr>
          <w:rFonts w:hint="eastAsia" w:ascii="宋体" w:hAnsi="宋体" w:eastAsia="宋体" w:cs="宋体"/>
          <w:color w:val="auto"/>
          <w:highlight w:val="none"/>
        </w:rPr>
        <w:t>基准日期：指投标截止时间前28天的日期。</w:t>
      </w:r>
    </w:p>
    <w:p w14:paraId="5EE96A0F">
      <w:pPr>
        <w:pStyle w:val="115"/>
        <w:spacing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1.1.4.7</w:t>
      </w:r>
      <w:r>
        <w:rPr>
          <w:rFonts w:hint="eastAsia" w:ascii="宋体" w:hAnsi="宋体" w:eastAsia="宋体" w:cs="宋体"/>
          <w:color w:val="auto"/>
          <w:highlight w:val="none"/>
        </w:rPr>
        <w:t>天：除特别指明外，指日历天。合同中按天计算时间的，开始当天不计入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从次日开始计算。期限最后一天的截止时间为当天24：</w:t>
      </w:r>
      <w:r>
        <w:rPr>
          <w:rFonts w:hint="eastAsia" w:ascii="宋体" w:hAnsi="宋体" w:eastAsia="宋体" w:cs="宋体"/>
          <w:color w:val="auto"/>
          <w:highlight w:val="none"/>
          <w:lang w:val="en-US" w:bidi="en-US"/>
        </w:rPr>
        <w:t>00</w:t>
      </w:r>
      <w:r>
        <w:rPr>
          <w:rFonts w:hint="eastAsia" w:ascii="宋体" w:hAnsi="宋体" w:eastAsia="宋体" w:cs="宋体"/>
          <w:color w:val="auto"/>
          <w:highlight w:val="none"/>
          <w:vertAlign w:val="subscript"/>
          <w:lang w:val="en-US" w:bidi="en-US"/>
        </w:rPr>
        <w:t>o</w:t>
      </w:r>
    </w:p>
    <w:p w14:paraId="5EE96A10">
      <w:pPr>
        <w:pStyle w:val="115"/>
        <w:spacing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1.1.5</w:t>
      </w:r>
      <w:r>
        <w:rPr>
          <w:rFonts w:hint="eastAsia" w:ascii="宋体" w:hAnsi="宋体" w:eastAsia="宋体" w:cs="宋体"/>
          <w:color w:val="auto"/>
          <w:highlight w:val="none"/>
        </w:rPr>
        <w:t>合同价格和费用</w:t>
      </w:r>
    </w:p>
    <w:p w14:paraId="5EE96A11">
      <w:pPr>
        <w:pStyle w:val="115"/>
        <w:tabs>
          <w:tab w:val="left" w:pos="934"/>
        </w:tabs>
        <w:spacing w:line="360" w:lineRule="exact"/>
        <w:ind w:firstLine="426" w:firstLineChars="213"/>
        <w:jc w:val="both"/>
        <w:rPr>
          <w:rFonts w:hint="eastAsia" w:ascii="宋体" w:hAnsi="宋体" w:eastAsia="宋体" w:cs="宋体"/>
          <w:color w:val="auto"/>
          <w:highlight w:val="none"/>
        </w:rPr>
      </w:pPr>
      <w:bookmarkStart w:id="105" w:name="bookmark901"/>
      <w:bookmarkEnd w:id="105"/>
      <w:r>
        <w:rPr>
          <w:rFonts w:hint="eastAsia" w:ascii="宋体" w:hAnsi="宋体" w:eastAsia="宋体" w:cs="宋体"/>
          <w:color w:val="auto"/>
          <w:highlight w:val="none"/>
          <w:lang w:val="en-US" w:bidi="en-US"/>
        </w:rPr>
        <w:t>1.1.5.1</w:t>
      </w:r>
      <w:r>
        <w:rPr>
          <w:rFonts w:hint="eastAsia" w:ascii="宋体" w:hAnsi="宋体" w:eastAsia="宋体" w:cs="宋体"/>
          <w:color w:val="auto"/>
          <w:highlight w:val="none"/>
        </w:rPr>
        <w:t>签约合同价：指签定合同时合同协议书中写明的，包括了暂列金额、暂估价的合同总金额。</w:t>
      </w:r>
    </w:p>
    <w:p w14:paraId="5EE96A12">
      <w:pPr>
        <w:pStyle w:val="115"/>
        <w:tabs>
          <w:tab w:val="left" w:pos="954"/>
        </w:tabs>
        <w:spacing w:line="360" w:lineRule="exact"/>
        <w:ind w:firstLine="426" w:firstLineChars="213"/>
        <w:jc w:val="both"/>
        <w:rPr>
          <w:rFonts w:hint="eastAsia" w:ascii="宋体" w:hAnsi="宋体" w:eastAsia="宋体" w:cs="宋体"/>
          <w:color w:val="auto"/>
          <w:highlight w:val="none"/>
        </w:rPr>
      </w:pPr>
      <w:bookmarkStart w:id="106" w:name="bookmark902"/>
      <w:bookmarkEnd w:id="106"/>
      <w:r>
        <w:rPr>
          <w:rFonts w:hint="eastAsia" w:ascii="宋体" w:hAnsi="宋体" w:eastAsia="宋体" w:cs="宋体"/>
          <w:color w:val="auto"/>
          <w:highlight w:val="none"/>
        </w:rPr>
        <w:t>1.1.5.2合同价格：指承包人按合同约定完成了包括缺陷责任期内的全部承包工作后，发包人应付给承包人的金额，包括在履行合同过程中按合同约定进行的变更和调整。</w:t>
      </w:r>
    </w:p>
    <w:p w14:paraId="5EE96A13">
      <w:pPr>
        <w:pStyle w:val="115"/>
        <w:tabs>
          <w:tab w:val="left" w:pos="954"/>
        </w:tabs>
        <w:spacing w:line="360" w:lineRule="exact"/>
        <w:ind w:firstLine="426" w:firstLineChars="213"/>
        <w:jc w:val="both"/>
        <w:rPr>
          <w:rFonts w:hint="eastAsia" w:ascii="宋体" w:hAnsi="宋体" w:eastAsia="宋体" w:cs="宋体"/>
          <w:color w:val="auto"/>
          <w:highlight w:val="none"/>
        </w:rPr>
      </w:pPr>
      <w:bookmarkStart w:id="107" w:name="bookmark903"/>
      <w:bookmarkEnd w:id="107"/>
      <w:r>
        <w:rPr>
          <w:rFonts w:hint="eastAsia" w:ascii="宋体" w:hAnsi="宋体" w:eastAsia="宋体" w:cs="宋体"/>
          <w:color w:val="auto"/>
          <w:highlight w:val="none"/>
        </w:rPr>
        <w:t>1.1.5.3费用：指为履行合同所发生的或将要发生的所有合理开支，包括管理费和应分摊的其他费用，但不包括利润。</w:t>
      </w:r>
    </w:p>
    <w:p w14:paraId="5EE96A14">
      <w:pPr>
        <w:pStyle w:val="115"/>
        <w:spacing w:line="366"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1.1.5.4</w:t>
      </w:r>
      <w:r>
        <w:rPr>
          <w:rFonts w:hint="eastAsia" w:ascii="宋体" w:hAnsi="宋体" w:eastAsia="宋体" w:cs="宋体"/>
          <w:color w:val="auto"/>
          <w:highlight w:val="none"/>
        </w:rPr>
        <w:t>暂列金额：指已标价工程量清单中所列的暂列金额，用于在签订协议书时尚未确定或不可预见变更的施工及其所需材料、工程设备、服务等的金额，包括以计日工方式支付的金额。</w:t>
      </w:r>
    </w:p>
    <w:p w14:paraId="5EE96A15">
      <w:pPr>
        <w:pStyle w:val="115"/>
        <w:spacing w:line="374"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1.1.5.5</w:t>
      </w:r>
      <w:r>
        <w:rPr>
          <w:rFonts w:hint="eastAsia" w:ascii="宋体" w:hAnsi="宋体" w:eastAsia="宋体" w:cs="宋体"/>
          <w:color w:val="auto"/>
          <w:highlight w:val="none"/>
        </w:rPr>
        <w:t>暂估价：指发包人在工程量清单中给定的用于支付必然发生但暂时不能确定价格的材料、设备以及专业工程的金额。</w:t>
      </w:r>
    </w:p>
    <w:p w14:paraId="5EE96A16">
      <w:pPr>
        <w:pStyle w:val="115"/>
        <w:spacing w:line="374" w:lineRule="exact"/>
        <w:ind w:firstLine="440"/>
        <w:jc w:val="both"/>
        <w:rPr>
          <w:rFonts w:hint="eastAsia" w:ascii="宋体" w:hAnsi="宋体" w:eastAsia="宋体" w:cs="宋体"/>
          <w:color w:val="auto"/>
          <w:highlight w:val="none"/>
        </w:rPr>
      </w:pPr>
      <w:bookmarkStart w:id="108" w:name="bookmark904"/>
      <w:bookmarkEnd w:id="108"/>
      <w:r>
        <w:rPr>
          <w:rFonts w:hint="eastAsia" w:ascii="宋体" w:hAnsi="宋体" w:eastAsia="宋体" w:cs="宋体"/>
          <w:color w:val="auto"/>
          <w:highlight w:val="none"/>
          <w:lang w:val="en-US" w:bidi="en-US"/>
        </w:rPr>
        <w:t>1.1.5.6</w:t>
      </w:r>
      <w:r>
        <w:rPr>
          <w:rFonts w:hint="eastAsia" w:ascii="宋体" w:hAnsi="宋体" w:eastAsia="宋体" w:cs="宋体"/>
          <w:color w:val="auto"/>
          <w:highlight w:val="none"/>
        </w:rPr>
        <w:t>计日工：指对零星工作采取的一种计价方式，按合同中的计日工子目及其单价计价付款。</w:t>
      </w:r>
    </w:p>
    <w:p w14:paraId="5EE96A17">
      <w:pPr>
        <w:pStyle w:val="115"/>
        <w:spacing w:after="140" w:line="379"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1.1.5.7</w:t>
      </w:r>
      <w:r>
        <w:rPr>
          <w:rFonts w:hint="eastAsia" w:ascii="宋体" w:hAnsi="宋体" w:eastAsia="宋体" w:cs="宋体"/>
          <w:color w:val="auto"/>
          <w:highlight w:val="none"/>
        </w:rPr>
        <w:t>质量保证金(或称保留金)：指按第</w:t>
      </w:r>
      <w:r>
        <w:rPr>
          <w:rFonts w:hint="eastAsia" w:ascii="宋体" w:hAnsi="宋体" w:eastAsia="宋体" w:cs="宋体"/>
          <w:color w:val="auto"/>
          <w:highlight w:val="none"/>
          <w:lang w:val="en-US" w:bidi="en-US"/>
        </w:rPr>
        <w:t>17.4.1</w:t>
      </w:r>
      <w:r>
        <w:rPr>
          <w:rFonts w:hint="eastAsia" w:ascii="宋体" w:hAnsi="宋体" w:eastAsia="宋体" w:cs="宋体"/>
          <w:color w:val="auto"/>
          <w:highlight w:val="none"/>
        </w:rPr>
        <w:t>项约定用于保证在缺陷责任期内履行缺陷修复义务的金额。</w:t>
      </w:r>
    </w:p>
    <w:p w14:paraId="5EE96A18">
      <w:pPr>
        <w:pStyle w:val="117"/>
        <w:spacing w:after="0" w:line="384" w:lineRule="auto"/>
        <w:ind w:firstLine="440"/>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1.1.6</w:t>
      </w:r>
      <w:r>
        <w:rPr>
          <w:rFonts w:hint="eastAsia" w:ascii="宋体" w:hAnsi="宋体" w:eastAsia="宋体" w:cs="宋体"/>
          <w:color w:val="auto"/>
          <w:highlight w:val="none"/>
          <w:lang w:val="zh-CN" w:eastAsia="zh-CN" w:bidi="zh-CN"/>
        </w:rPr>
        <w:t>其他</w:t>
      </w:r>
    </w:p>
    <w:p w14:paraId="5EE96A19">
      <w:pPr>
        <w:pStyle w:val="115"/>
        <w:tabs>
          <w:tab w:val="left" w:pos="954"/>
        </w:tabs>
        <w:spacing w:after="140" w:line="367" w:lineRule="exact"/>
        <w:ind w:left="440" w:firstLine="0"/>
        <w:jc w:val="both"/>
        <w:rPr>
          <w:rFonts w:hint="eastAsia" w:ascii="宋体" w:hAnsi="宋体" w:eastAsia="宋体" w:cs="宋体"/>
          <w:color w:val="auto"/>
          <w:highlight w:val="none"/>
        </w:rPr>
      </w:pPr>
      <w:bookmarkStart w:id="109" w:name="bookmark905"/>
      <w:bookmarkEnd w:id="109"/>
      <w:r>
        <w:rPr>
          <w:rFonts w:hint="eastAsia" w:ascii="宋体" w:hAnsi="宋体" w:eastAsia="宋体" w:cs="宋体"/>
          <w:color w:val="auto"/>
          <w:highlight w:val="none"/>
          <w:lang w:val="en-US" w:bidi="en-US"/>
        </w:rPr>
        <w:t>1.1.6.1</w:t>
      </w:r>
      <w:r>
        <w:rPr>
          <w:rFonts w:hint="eastAsia" w:ascii="宋体" w:hAnsi="宋体" w:eastAsia="宋体" w:cs="宋体"/>
          <w:color w:val="auto"/>
          <w:highlight w:val="none"/>
        </w:rPr>
        <w:t>书面形式：指合同文件、信函、电报、传真等可以有形地表现所载内容的形式。</w:t>
      </w:r>
    </w:p>
    <w:p w14:paraId="5EE96A1A">
      <w:pPr>
        <w:pStyle w:val="116"/>
        <w:rPr>
          <w:rFonts w:hint="eastAsia" w:ascii="宋体" w:hAnsi="宋体" w:eastAsia="宋体" w:cs="宋体"/>
          <w:color w:val="auto"/>
          <w:sz w:val="28"/>
          <w:szCs w:val="28"/>
          <w:highlight w:val="none"/>
          <w:lang w:eastAsia="zh-CN"/>
        </w:rPr>
      </w:pPr>
      <w:bookmarkStart w:id="110" w:name="_Toc4240"/>
      <w:bookmarkStart w:id="111" w:name="bookmark906"/>
      <w:bookmarkStart w:id="112" w:name="_Toc5220"/>
      <w:bookmarkStart w:id="113" w:name="_Toc26052"/>
      <w:bookmarkStart w:id="114" w:name="_Toc16626"/>
      <w:bookmarkStart w:id="115" w:name="_Toc199152837"/>
      <w:bookmarkStart w:id="116" w:name="_Toc6434"/>
      <w:bookmarkStart w:id="117" w:name="_Toc6385"/>
      <w:bookmarkStart w:id="118" w:name="bookmark908"/>
      <w:bookmarkStart w:id="119" w:name="bookmark907"/>
      <w:bookmarkStart w:id="120" w:name="_Toc30128"/>
      <w:r>
        <w:rPr>
          <w:rFonts w:hint="eastAsia" w:ascii="宋体" w:hAnsi="宋体" w:eastAsia="宋体" w:cs="宋体"/>
          <w:color w:val="auto"/>
          <w:sz w:val="24"/>
          <w:szCs w:val="24"/>
          <w:highlight w:val="none"/>
          <w:lang w:eastAsia="zh-CN"/>
        </w:rPr>
        <w:t>1.2语言文字</w:t>
      </w:r>
      <w:bookmarkEnd w:id="110"/>
      <w:bookmarkEnd w:id="111"/>
      <w:bookmarkEnd w:id="112"/>
      <w:bookmarkEnd w:id="113"/>
      <w:bookmarkEnd w:id="114"/>
      <w:bookmarkEnd w:id="115"/>
      <w:bookmarkEnd w:id="116"/>
      <w:bookmarkEnd w:id="117"/>
      <w:bookmarkEnd w:id="118"/>
      <w:bookmarkEnd w:id="119"/>
      <w:bookmarkEnd w:id="120"/>
    </w:p>
    <w:p w14:paraId="5EE96A1B">
      <w:pPr>
        <w:pStyle w:val="115"/>
        <w:spacing w:after="140" w:line="366"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除专用术语外，合同使用的语言文字为中文。必要时专用术语应附有中文注释。</w:t>
      </w:r>
    </w:p>
    <w:p w14:paraId="5EE96A1C">
      <w:pPr>
        <w:pStyle w:val="116"/>
        <w:rPr>
          <w:rFonts w:hint="eastAsia" w:ascii="宋体" w:hAnsi="宋体" w:eastAsia="宋体" w:cs="宋体"/>
          <w:color w:val="auto"/>
          <w:sz w:val="24"/>
          <w:szCs w:val="24"/>
          <w:highlight w:val="none"/>
          <w:lang w:eastAsia="zh-CN"/>
        </w:rPr>
      </w:pPr>
      <w:bookmarkStart w:id="121" w:name="_Toc23178"/>
      <w:bookmarkStart w:id="122" w:name="_Toc21818"/>
      <w:bookmarkStart w:id="123" w:name="_Toc2483"/>
      <w:bookmarkStart w:id="124" w:name="bookmark910"/>
      <w:bookmarkStart w:id="125" w:name="_Toc199152838"/>
      <w:bookmarkStart w:id="126" w:name="bookmark909"/>
      <w:bookmarkStart w:id="127" w:name="_Toc7852"/>
      <w:bookmarkStart w:id="128" w:name="_Toc24132"/>
      <w:bookmarkStart w:id="129" w:name="_Toc25038"/>
      <w:bookmarkStart w:id="130" w:name="_Toc21128"/>
      <w:bookmarkStart w:id="131" w:name="bookmark911"/>
      <w:r>
        <w:rPr>
          <w:rFonts w:hint="eastAsia" w:ascii="宋体" w:hAnsi="宋体" w:eastAsia="宋体" w:cs="宋体"/>
          <w:color w:val="auto"/>
          <w:sz w:val="24"/>
          <w:szCs w:val="24"/>
          <w:highlight w:val="none"/>
          <w:lang w:eastAsia="zh-CN"/>
        </w:rPr>
        <w:t>1.3法律</w:t>
      </w:r>
      <w:bookmarkEnd w:id="121"/>
      <w:bookmarkEnd w:id="122"/>
      <w:bookmarkEnd w:id="123"/>
      <w:bookmarkEnd w:id="124"/>
      <w:bookmarkEnd w:id="125"/>
      <w:bookmarkEnd w:id="126"/>
      <w:bookmarkEnd w:id="127"/>
      <w:bookmarkEnd w:id="128"/>
      <w:bookmarkEnd w:id="129"/>
      <w:bookmarkEnd w:id="130"/>
      <w:bookmarkEnd w:id="131"/>
    </w:p>
    <w:p w14:paraId="5EE96A1D">
      <w:pPr>
        <w:pStyle w:val="115"/>
        <w:spacing w:after="140"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适用于合同的法律包括中华人民共和国法律、行政法规、部门规章，以及工程所在地的地方法规、自治条例、单行条例和地方政府规章。</w:t>
      </w:r>
    </w:p>
    <w:p w14:paraId="5EE96A1E">
      <w:pPr>
        <w:pStyle w:val="116"/>
        <w:rPr>
          <w:rFonts w:hint="eastAsia" w:ascii="宋体" w:hAnsi="宋体" w:eastAsia="宋体" w:cs="宋体"/>
          <w:color w:val="auto"/>
          <w:sz w:val="24"/>
          <w:szCs w:val="24"/>
          <w:highlight w:val="none"/>
          <w:lang w:eastAsia="zh-CN"/>
        </w:rPr>
      </w:pPr>
      <w:bookmarkStart w:id="132" w:name="_Toc17089"/>
      <w:bookmarkStart w:id="133" w:name="_Toc32102"/>
      <w:bookmarkStart w:id="134" w:name="bookmark913"/>
      <w:bookmarkStart w:id="135" w:name="bookmark912"/>
      <w:bookmarkStart w:id="136" w:name="_Toc131"/>
      <w:bookmarkStart w:id="137" w:name="_Toc15834"/>
      <w:bookmarkStart w:id="138" w:name="_Toc6674"/>
      <w:bookmarkStart w:id="139" w:name="_Toc22610"/>
      <w:bookmarkStart w:id="140" w:name="_Toc199152839"/>
      <w:bookmarkStart w:id="141" w:name="bookmark914"/>
      <w:bookmarkStart w:id="142" w:name="_Toc7682"/>
      <w:r>
        <w:rPr>
          <w:rFonts w:hint="eastAsia" w:ascii="宋体" w:hAnsi="宋体" w:eastAsia="宋体" w:cs="宋体"/>
          <w:color w:val="auto"/>
          <w:sz w:val="24"/>
          <w:szCs w:val="24"/>
          <w:highlight w:val="none"/>
          <w:lang w:eastAsia="zh-CN"/>
        </w:rPr>
        <w:t>1.4合同文件的优先顺序</w:t>
      </w:r>
      <w:bookmarkEnd w:id="132"/>
      <w:bookmarkEnd w:id="133"/>
      <w:bookmarkEnd w:id="134"/>
      <w:bookmarkEnd w:id="135"/>
      <w:bookmarkEnd w:id="136"/>
      <w:bookmarkEnd w:id="137"/>
      <w:bookmarkEnd w:id="138"/>
      <w:bookmarkEnd w:id="139"/>
      <w:bookmarkEnd w:id="140"/>
      <w:bookmarkEnd w:id="141"/>
      <w:bookmarkEnd w:id="142"/>
    </w:p>
    <w:p w14:paraId="5EE96A1F">
      <w:pPr>
        <w:pStyle w:val="115"/>
        <w:spacing w:after="140"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组成合同的各项文件应互相解释，互为说明。除专用合同条款另有约定外，解释合同文件的优先顺序如下：</w:t>
      </w:r>
    </w:p>
    <w:p w14:paraId="5EE96A20">
      <w:pPr>
        <w:pStyle w:val="115"/>
        <w:tabs>
          <w:tab w:val="left" w:pos="923"/>
        </w:tabs>
        <w:spacing w:line="360" w:lineRule="exact"/>
        <w:ind w:firstLine="440"/>
        <w:jc w:val="both"/>
        <w:rPr>
          <w:rFonts w:hint="eastAsia" w:ascii="宋体" w:hAnsi="宋体" w:eastAsia="宋体" w:cs="宋体"/>
          <w:color w:val="auto"/>
          <w:highlight w:val="none"/>
        </w:rPr>
      </w:pPr>
      <w:bookmarkStart w:id="143" w:name="bookmark915"/>
      <w:bookmarkEnd w:id="143"/>
      <w:r>
        <w:rPr>
          <w:rFonts w:hint="eastAsia" w:ascii="宋体" w:hAnsi="宋体" w:eastAsia="宋体" w:cs="宋体"/>
          <w:color w:val="auto"/>
          <w:highlight w:val="none"/>
        </w:rPr>
        <w:t>(1)合同协议书；</w:t>
      </w:r>
    </w:p>
    <w:p w14:paraId="5EE96A21">
      <w:pPr>
        <w:pStyle w:val="115"/>
        <w:tabs>
          <w:tab w:val="left" w:pos="923"/>
        </w:tabs>
        <w:spacing w:line="360" w:lineRule="exact"/>
        <w:ind w:firstLine="440"/>
        <w:jc w:val="both"/>
        <w:rPr>
          <w:rFonts w:hint="eastAsia" w:ascii="宋体" w:hAnsi="宋体" w:eastAsia="宋体" w:cs="宋体"/>
          <w:color w:val="auto"/>
          <w:highlight w:val="none"/>
        </w:rPr>
      </w:pPr>
      <w:bookmarkStart w:id="144" w:name="bookmark916"/>
      <w:bookmarkEnd w:id="144"/>
      <w:r>
        <w:rPr>
          <w:rFonts w:hint="eastAsia" w:ascii="宋体" w:hAnsi="宋体" w:eastAsia="宋体" w:cs="宋体"/>
          <w:color w:val="auto"/>
          <w:highlight w:val="none"/>
        </w:rPr>
        <w:t>(2)中标通知书；</w:t>
      </w:r>
    </w:p>
    <w:p w14:paraId="5EE96A22">
      <w:pPr>
        <w:pStyle w:val="115"/>
        <w:tabs>
          <w:tab w:val="left" w:pos="903"/>
        </w:tabs>
        <w:spacing w:line="360" w:lineRule="exact"/>
        <w:ind w:firstLine="420"/>
        <w:rPr>
          <w:rFonts w:hint="eastAsia" w:ascii="宋体" w:hAnsi="宋体" w:eastAsia="宋体" w:cs="宋体"/>
          <w:color w:val="auto"/>
          <w:highlight w:val="none"/>
        </w:rPr>
      </w:pPr>
      <w:bookmarkStart w:id="145" w:name="bookmark917"/>
      <w:bookmarkEnd w:id="145"/>
      <w:r>
        <w:rPr>
          <w:rFonts w:hint="eastAsia" w:ascii="宋体" w:hAnsi="宋体" w:eastAsia="宋体" w:cs="宋体"/>
          <w:color w:val="auto"/>
          <w:highlight w:val="none"/>
        </w:rPr>
        <w:t>(3)投标函及投标函附录；</w:t>
      </w:r>
    </w:p>
    <w:p w14:paraId="5EE96A23">
      <w:pPr>
        <w:pStyle w:val="115"/>
        <w:tabs>
          <w:tab w:val="left" w:pos="903"/>
        </w:tabs>
        <w:spacing w:line="360" w:lineRule="exact"/>
        <w:ind w:firstLine="420"/>
        <w:rPr>
          <w:rFonts w:hint="eastAsia" w:ascii="宋体" w:hAnsi="宋体" w:eastAsia="宋体" w:cs="宋体"/>
          <w:color w:val="auto"/>
          <w:highlight w:val="none"/>
        </w:rPr>
      </w:pPr>
      <w:bookmarkStart w:id="146" w:name="bookmark918"/>
      <w:bookmarkEnd w:id="146"/>
      <w:r>
        <w:rPr>
          <w:rFonts w:hint="eastAsia" w:ascii="宋体" w:hAnsi="宋体" w:eastAsia="宋体" w:cs="宋体"/>
          <w:color w:val="auto"/>
          <w:highlight w:val="none"/>
        </w:rPr>
        <w:t>(4)专用合同条款；</w:t>
      </w:r>
    </w:p>
    <w:p w14:paraId="5EE96A24">
      <w:pPr>
        <w:pStyle w:val="115"/>
        <w:tabs>
          <w:tab w:val="left" w:pos="903"/>
        </w:tabs>
        <w:spacing w:line="360" w:lineRule="exact"/>
        <w:ind w:firstLine="420"/>
        <w:rPr>
          <w:rFonts w:hint="eastAsia" w:ascii="宋体" w:hAnsi="宋体" w:eastAsia="宋体" w:cs="宋体"/>
          <w:color w:val="auto"/>
          <w:highlight w:val="none"/>
        </w:rPr>
      </w:pPr>
      <w:bookmarkStart w:id="147" w:name="bookmark919"/>
      <w:bookmarkEnd w:id="147"/>
      <w:r>
        <w:rPr>
          <w:rFonts w:hint="eastAsia" w:ascii="宋体" w:hAnsi="宋体" w:eastAsia="宋体" w:cs="宋体"/>
          <w:color w:val="auto"/>
          <w:highlight w:val="none"/>
        </w:rPr>
        <w:t>(5)通用合同条款；</w:t>
      </w:r>
    </w:p>
    <w:p w14:paraId="5EE96A25">
      <w:pPr>
        <w:pStyle w:val="115"/>
        <w:tabs>
          <w:tab w:val="left" w:pos="903"/>
        </w:tabs>
        <w:spacing w:line="360" w:lineRule="exact"/>
        <w:ind w:firstLine="420"/>
        <w:rPr>
          <w:rFonts w:hint="eastAsia" w:ascii="宋体" w:hAnsi="宋体" w:eastAsia="宋体" w:cs="宋体"/>
          <w:color w:val="auto"/>
          <w:highlight w:val="none"/>
        </w:rPr>
      </w:pPr>
      <w:bookmarkStart w:id="148" w:name="bookmark920"/>
      <w:bookmarkEnd w:id="148"/>
      <w:r>
        <w:rPr>
          <w:rFonts w:hint="eastAsia" w:ascii="宋体" w:hAnsi="宋体" w:eastAsia="宋体" w:cs="宋体"/>
          <w:color w:val="auto"/>
          <w:highlight w:val="none"/>
        </w:rPr>
        <w:t>(6)技术标准和要求；</w:t>
      </w:r>
    </w:p>
    <w:p w14:paraId="5EE96A26">
      <w:pPr>
        <w:pStyle w:val="115"/>
        <w:tabs>
          <w:tab w:val="left" w:pos="903"/>
        </w:tabs>
        <w:spacing w:line="360" w:lineRule="exact"/>
        <w:ind w:firstLine="420"/>
        <w:jc w:val="both"/>
        <w:rPr>
          <w:rFonts w:hint="eastAsia" w:ascii="宋体" w:hAnsi="宋体" w:eastAsia="宋体" w:cs="宋体"/>
          <w:color w:val="auto"/>
          <w:highlight w:val="none"/>
        </w:rPr>
      </w:pPr>
      <w:bookmarkStart w:id="149" w:name="bookmark921"/>
      <w:bookmarkEnd w:id="149"/>
      <w:r>
        <w:rPr>
          <w:rFonts w:hint="eastAsia" w:ascii="宋体" w:hAnsi="宋体" w:eastAsia="宋体" w:cs="宋体"/>
          <w:color w:val="auto"/>
          <w:highlight w:val="none"/>
        </w:rPr>
        <w:t>(7)图纸；</w:t>
      </w:r>
    </w:p>
    <w:p w14:paraId="5EE96A27">
      <w:pPr>
        <w:pStyle w:val="115"/>
        <w:tabs>
          <w:tab w:val="left" w:pos="903"/>
        </w:tabs>
        <w:spacing w:line="360" w:lineRule="exact"/>
        <w:ind w:firstLine="420"/>
        <w:jc w:val="both"/>
        <w:rPr>
          <w:rFonts w:hint="eastAsia" w:ascii="宋体" w:hAnsi="宋体" w:eastAsia="宋体" w:cs="宋体"/>
          <w:color w:val="auto"/>
          <w:highlight w:val="none"/>
        </w:rPr>
      </w:pPr>
      <w:bookmarkStart w:id="150" w:name="bookmark922"/>
      <w:bookmarkEnd w:id="150"/>
      <w:r>
        <w:rPr>
          <w:rFonts w:hint="eastAsia" w:ascii="宋体" w:hAnsi="宋体" w:eastAsia="宋体" w:cs="宋体"/>
          <w:color w:val="auto"/>
          <w:highlight w:val="none"/>
        </w:rPr>
        <w:t>(8)已标价工程量清单；</w:t>
      </w:r>
    </w:p>
    <w:p w14:paraId="5EE96A28">
      <w:pPr>
        <w:pStyle w:val="115"/>
        <w:tabs>
          <w:tab w:val="left" w:pos="903"/>
        </w:tabs>
        <w:spacing w:line="360" w:lineRule="exact"/>
        <w:ind w:firstLine="420"/>
        <w:jc w:val="both"/>
        <w:rPr>
          <w:rFonts w:hint="eastAsia" w:ascii="宋体" w:hAnsi="宋体" w:eastAsia="宋体" w:cs="宋体"/>
          <w:color w:val="auto"/>
          <w:highlight w:val="none"/>
        </w:rPr>
      </w:pPr>
      <w:bookmarkStart w:id="151" w:name="bookmark923"/>
      <w:bookmarkEnd w:id="151"/>
      <w:r>
        <w:rPr>
          <w:rFonts w:hint="eastAsia" w:ascii="宋体" w:hAnsi="宋体" w:eastAsia="宋体" w:cs="宋体"/>
          <w:color w:val="auto"/>
          <w:highlight w:val="none"/>
        </w:rPr>
        <w:t>(9)其他合同文件。</w:t>
      </w:r>
    </w:p>
    <w:p w14:paraId="5EE96A29">
      <w:pPr>
        <w:pStyle w:val="116"/>
        <w:spacing w:line="360" w:lineRule="exact"/>
        <w:rPr>
          <w:rFonts w:hint="eastAsia" w:ascii="宋体" w:hAnsi="宋体" w:eastAsia="宋体" w:cs="宋体"/>
          <w:color w:val="auto"/>
          <w:sz w:val="24"/>
          <w:szCs w:val="24"/>
          <w:highlight w:val="none"/>
          <w:lang w:eastAsia="zh-CN"/>
        </w:rPr>
      </w:pPr>
      <w:bookmarkStart w:id="152" w:name="_Toc11037"/>
      <w:bookmarkStart w:id="153" w:name="bookmark924"/>
      <w:bookmarkStart w:id="154" w:name="_Toc199152840"/>
      <w:bookmarkStart w:id="155" w:name="bookmark925"/>
      <w:bookmarkStart w:id="156" w:name="_Toc2531"/>
      <w:bookmarkStart w:id="157" w:name="_Toc30693"/>
      <w:bookmarkStart w:id="158" w:name="_Toc24113"/>
      <w:bookmarkStart w:id="159" w:name="bookmark926"/>
      <w:bookmarkStart w:id="160" w:name="_Toc22840"/>
      <w:bookmarkStart w:id="161" w:name="_Toc14912"/>
      <w:bookmarkStart w:id="162" w:name="_Toc11200"/>
      <w:r>
        <w:rPr>
          <w:rFonts w:hint="eastAsia" w:ascii="宋体" w:hAnsi="宋体" w:eastAsia="宋体" w:cs="宋体"/>
          <w:color w:val="auto"/>
          <w:sz w:val="24"/>
          <w:szCs w:val="24"/>
          <w:highlight w:val="none"/>
          <w:lang w:eastAsia="zh-CN"/>
        </w:rPr>
        <w:t>1.5合同协议书</w:t>
      </w:r>
      <w:bookmarkEnd w:id="152"/>
      <w:bookmarkEnd w:id="153"/>
      <w:bookmarkEnd w:id="154"/>
      <w:bookmarkEnd w:id="155"/>
      <w:bookmarkEnd w:id="156"/>
      <w:bookmarkEnd w:id="157"/>
      <w:bookmarkEnd w:id="158"/>
      <w:bookmarkEnd w:id="159"/>
      <w:bookmarkEnd w:id="160"/>
      <w:bookmarkEnd w:id="161"/>
      <w:bookmarkEnd w:id="162"/>
    </w:p>
    <w:p w14:paraId="5EE96A2A">
      <w:pPr>
        <w:pStyle w:val="115"/>
        <w:spacing w:after="140" w:line="355"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承包人按中标通知书规定的时间与发包人签订合同协议书。除法律另有规定或合同另有约定外，发包人和承包人的法定代表人或其委托代理人在合同协议书上签字并盖单位电子公章后，合同生效。</w:t>
      </w:r>
    </w:p>
    <w:p w14:paraId="5EE96A2B">
      <w:pPr>
        <w:pStyle w:val="116"/>
        <w:spacing w:line="360" w:lineRule="exact"/>
        <w:rPr>
          <w:rFonts w:hint="eastAsia" w:ascii="宋体" w:hAnsi="宋体" w:eastAsia="宋体" w:cs="宋体"/>
          <w:color w:val="auto"/>
          <w:sz w:val="24"/>
          <w:szCs w:val="24"/>
          <w:highlight w:val="none"/>
          <w:lang w:eastAsia="zh-CN"/>
        </w:rPr>
      </w:pPr>
      <w:bookmarkStart w:id="163" w:name="bookmark929"/>
      <w:bookmarkStart w:id="164" w:name="_Toc30421"/>
      <w:bookmarkStart w:id="165" w:name="_Toc199152841"/>
      <w:bookmarkStart w:id="166" w:name="bookmark928"/>
      <w:bookmarkStart w:id="167" w:name="_Toc3518"/>
      <w:bookmarkStart w:id="168" w:name="_Toc10434"/>
      <w:bookmarkStart w:id="169" w:name="_Toc19448"/>
      <w:bookmarkStart w:id="170" w:name="_Toc14160"/>
      <w:bookmarkStart w:id="171" w:name="_Toc15219"/>
      <w:bookmarkStart w:id="172" w:name="_Toc16988"/>
      <w:bookmarkStart w:id="173" w:name="bookmark927"/>
      <w:r>
        <w:rPr>
          <w:rFonts w:hint="eastAsia" w:ascii="宋体" w:hAnsi="宋体" w:eastAsia="宋体" w:cs="宋体"/>
          <w:color w:val="auto"/>
          <w:sz w:val="24"/>
          <w:szCs w:val="24"/>
          <w:highlight w:val="none"/>
          <w:lang w:eastAsia="zh-CN"/>
        </w:rPr>
        <w:t>1.6图纸和承包人文件</w:t>
      </w:r>
      <w:bookmarkEnd w:id="163"/>
      <w:bookmarkEnd w:id="164"/>
      <w:bookmarkEnd w:id="165"/>
      <w:bookmarkEnd w:id="166"/>
      <w:bookmarkEnd w:id="167"/>
      <w:bookmarkEnd w:id="168"/>
      <w:bookmarkEnd w:id="169"/>
      <w:bookmarkEnd w:id="170"/>
      <w:bookmarkEnd w:id="171"/>
      <w:bookmarkEnd w:id="172"/>
      <w:bookmarkEnd w:id="173"/>
    </w:p>
    <w:p w14:paraId="5EE96A2C">
      <w:pPr>
        <w:pStyle w:val="115"/>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1.6.1</w:t>
      </w:r>
      <w:r>
        <w:rPr>
          <w:rFonts w:hint="eastAsia" w:ascii="宋体" w:hAnsi="宋体" w:eastAsia="宋体" w:cs="宋体"/>
          <w:color w:val="auto"/>
          <w:highlight w:val="none"/>
        </w:rPr>
        <w:t>图纸的提供</w:t>
      </w:r>
    </w:p>
    <w:p w14:paraId="5EE96A2D">
      <w:pPr>
        <w:pStyle w:val="115"/>
        <w:spacing w:after="120"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发包人应按技术标准和要求(合同技术条款)约定的期限和数量将施工图纸以及其它图纸（包括配套说明和有关资料）提供给承包人。由于发包人未按时提供图纸造成工期延误的，按第</w:t>
      </w:r>
      <w:r>
        <w:rPr>
          <w:rFonts w:hint="eastAsia" w:ascii="宋体" w:hAnsi="宋体" w:eastAsia="宋体" w:cs="宋体"/>
          <w:color w:val="auto"/>
          <w:highlight w:val="none"/>
          <w:lang w:val="en-US" w:bidi="en-US"/>
        </w:rPr>
        <w:t>11.</w:t>
      </w:r>
      <w:r>
        <w:rPr>
          <w:rFonts w:hint="eastAsia" w:ascii="宋体" w:hAnsi="宋体" w:eastAsia="宋体" w:cs="宋体"/>
          <w:color w:val="auto"/>
          <w:highlight w:val="none"/>
        </w:rPr>
        <w:t>3款的约定办理。</w:t>
      </w:r>
    </w:p>
    <w:p w14:paraId="5EE96A2E">
      <w:pPr>
        <w:pStyle w:val="115"/>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lang w:val="en-US"/>
        </w:rPr>
        <w:t>1.6.</w:t>
      </w:r>
      <w:r>
        <w:rPr>
          <w:rFonts w:hint="eastAsia" w:ascii="宋体" w:hAnsi="宋体" w:eastAsia="宋体" w:cs="宋体"/>
          <w:color w:val="auto"/>
          <w:highlight w:val="none"/>
        </w:rPr>
        <w:t>2承包人提供的文件</w:t>
      </w:r>
    </w:p>
    <w:p w14:paraId="5EE96A2F">
      <w:pPr>
        <w:pStyle w:val="115"/>
        <w:spacing w:after="120"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承包人提供的文件应按技术标准和要求（合同技术条款）约定的期限和数量提供给监理人。监理人应按技术标准和要求（合同技术条款）约定的期限批复承包人。</w:t>
      </w:r>
    </w:p>
    <w:p w14:paraId="5EE96A30">
      <w:pPr>
        <w:pStyle w:val="115"/>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lang w:val="en-US"/>
        </w:rPr>
        <w:t>1.6.3</w:t>
      </w:r>
      <w:r>
        <w:rPr>
          <w:rFonts w:hint="eastAsia" w:ascii="宋体" w:hAnsi="宋体" w:eastAsia="宋体" w:cs="宋体"/>
          <w:color w:val="auto"/>
          <w:highlight w:val="none"/>
        </w:rPr>
        <w:t>图纸的修改</w:t>
      </w:r>
    </w:p>
    <w:p w14:paraId="5EE96A31">
      <w:pPr>
        <w:pStyle w:val="115"/>
        <w:spacing w:after="120"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14:paraId="5EE96A32">
      <w:pPr>
        <w:pStyle w:val="115"/>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lang w:val="en-US"/>
        </w:rPr>
        <w:t>1.6.4</w:t>
      </w:r>
      <w:r>
        <w:rPr>
          <w:rFonts w:hint="eastAsia" w:ascii="宋体" w:hAnsi="宋体" w:eastAsia="宋体" w:cs="宋体"/>
          <w:color w:val="auto"/>
          <w:highlight w:val="none"/>
        </w:rPr>
        <w:t>图纸的错误</w:t>
      </w:r>
    </w:p>
    <w:p w14:paraId="5EE96A33">
      <w:pPr>
        <w:pStyle w:val="115"/>
        <w:spacing w:after="120"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承包人发现发包人提供的图纸存在明显错误或疏忽，应及时通知监理人。</w:t>
      </w:r>
    </w:p>
    <w:p w14:paraId="5EE96A34">
      <w:pPr>
        <w:pStyle w:val="115"/>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lang w:val="en-US"/>
        </w:rPr>
        <w:t>1.6.5</w:t>
      </w:r>
      <w:r>
        <w:rPr>
          <w:rFonts w:hint="eastAsia" w:ascii="宋体" w:hAnsi="宋体" w:eastAsia="宋体" w:cs="宋体"/>
          <w:color w:val="auto"/>
          <w:highlight w:val="none"/>
        </w:rPr>
        <w:t>图纸和承包人文件的保管</w:t>
      </w:r>
    </w:p>
    <w:p w14:paraId="5EE96A35">
      <w:pPr>
        <w:pStyle w:val="115"/>
        <w:spacing w:after="180"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监理人和承包人均应在施工场地各保存一套完整的包含第</w:t>
      </w:r>
      <w:r>
        <w:rPr>
          <w:rFonts w:hint="eastAsia" w:ascii="宋体" w:hAnsi="宋体" w:eastAsia="宋体" w:cs="宋体"/>
          <w:color w:val="auto"/>
          <w:highlight w:val="none"/>
          <w:lang w:val="en-US" w:bidi="en-US"/>
        </w:rPr>
        <w:t>1.6.</w:t>
      </w:r>
      <w:r>
        <w:rPr>
          <w:rFonts w:hint="eastAsia" w:ascii="宋体" w:hAnsi="宋体" w:eastAsia="宋体" w:cs="宋体"/>
          <w:color w:val="auto"/>
          <w:highlight w:val="none"/>
        </w:rPr>
        <w:t>1项、第</w:t>
      </w:r>
      <w:r>
        <w:rPr>
          <w:rFonts w:hint="eastAsia" w:ascii="宋体" w:hAnsi="宋体" w:eastAsia="宋体" w:cs="宋体"/>
          <w:color w:val="auto"/>
          <w:highlight w:val="none"/>
          <w:lang w:val="en-US" w:bidi="en-US"/>
        </w:rPr>
        <w:t>1.6.2</w:t>
      </w:r>
      <w:r>
        <w:rPr>
          <w:rFonts w:hint="eastAsia" w:ascii="宋体" w:hAnsi="宋体" w:eastAsia="宋体" w:cs="宋体"/>
          <w:color w:val="auto"/>
          <w:highlight w:val="none"/>
        </w:rPr>
        <w:t>项、第</w:t>
      </w:r>
      <w:r>
        <w:rPr>
          <w:rFonts w:hint="eastAsia" w:ascii="宋体" w:hAnsi="宋体" w:eastAsia="宋体" w:cs="宋体"/>
          <w:color w:val="auto"/>
          <w:highlight w:val="none"/>
          <w:lang w:val="en-US" w:bidi="en-US"/>
        </w:rPr>
        <w:t>1.6.</w:t>
      </w:r>
      <w:r>
        <w:rPr>
          <w:rFonts w:hint="eastAsia" w:ascii="宋体" w:hAnsi="宋体" w:eastAsia="宋体" w:cs="宋体"/>
          <w:color w:val="auto"/>
          <w:highlight w:val="none"/>
        </w:rPr>
        <w:t>3项约定内容的图纸和承包人文件。</w:t>
      </w:r>
    </w:p>
    <w:p w14:paraId="5EE96A36">
      <w:pPr>
        <w:pStyle w:val="116"/>
        <w:spacing w:line="360" w:lineRule="exact"/>
        <w:rPr>
          <w:rFonts w:hint="eastAsia" w:ascii="宋体" w:hAnsi="宋体" w:eastAsia="宋体" w:cs="宋体"/>
          <w:color w:val="auto"/>
          <w:sz w:val="24"/>
          <w:szCs w:val="24"/>
          <w:highlight w:val="none"/>
          <w:lang w:eastAsia="zh-CN"/>
        </w:rPr>
      </w:pPr>
      <w:bookmarkStart w:id="174" w:name="bookmark930"/>
      <w:bookmarkStart w:id="175" w:name="_Toc199152842"/>
      <w:bookmarkStart w:id="176" w:name="_Toc18431"/>
      <w:bookmarkStart w:id="177" w:name="bookmark932"/>
      <w:bookmarkStart w:id="178" w:name="_Toc4639"/>
      <w:bookmarkStart w:id="179" w:name="_Toc28325"/>
      <w:bookmarkStart w:id="180" w:name="_Toc7541"/>
      <w:bookmarkStart w:id="181" w:name="_Toc69"/>
      <w:bookmarkStart w:id="182" w:name="_Toc23868"/>
      <w:bookmarkStart w:id="183" w:name="bookmark931"/>
      <w:bookmarkStart w:id="184" w:name="_Toc21549"/>
      <w:r>
        <w:rPr>
          <w:rFonts w:hint="eastAsia" w:ascii="宋体" w:hAnsi="宋体" w:eastAsia="宋体" w:cs="宋体"/>
          <w:color w:val="auto"/>
          <w:sz w:val="24"/>
          <w:szCs w:val="24"/>
          <w:highlight w:val="none"/>
          <w:lang w:eastAsia="zh-CN"/>
        </w:rPr>
        <w:t>1.7联络</w:t>
      </w:r>
      <w:bookmarkEnd w:id="174"/>
      <w:bookmarkEnd w:id="175"/>
      <w:bookmarkEnd w:id="176"/>
      <w:bookmarkEnd w:id="177"/>
      <w:bookmarkEnd w:id="178"/>
      <w:bookmarkEnd w:id="179"/>
      <w:bookmarkEnd w:id="180"/>
      <w:bookmarkEnd w:id="181"/>
      <w:bookmarkEnd w:id="182"/>
      <w:bookmarkEnd w:id="183"/>
      <w:bookmarkEnd w:id="184"/>
    </w:p>
    <w:p w14:paraId="5EE96A37">
      <w:pPr>
        <w:pStyle w:val="115"/>
        <w:spacing w:line="386"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1.7.1</w:t>
      </w:r>
      <w:r>
        <w:rPr>
          <w:rFonts w:hint="eastAsia" w:ascii="宋体" w:hAnsi="宋体" w:eastAsia="宋体" w:cs="宋体"/>
          <w:color w:val="auto"/>
          <w:highlight w:val="none"/>
        </w:rPr>
        <w:t>与合同有关的通知、批准、证明、证书、指示、要求、请求、同意、意见、确定和决定等，均应采用书面形式。</w:t>
      </w:r>
    </w:p>
    <w:p w14:paraId="5EE96A38">
      <w:pPr>
        <w:pStyle w:val="115"/>
        <w:spacing w:line="37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1.7.2</w:t>
      </w:r>
      <w:r>
        <w:rPr>
          <w:rFonts w:hint="eastAsia" w:ascii="宋体" w:hAnsi="宋体" w:eastAsia="宋体" w:cs="宋体"/>
          <w:color w:val="auto"/>
          <w:highlight w:val="none"/>
        </w:rPr>
        <w:t>第</w:t>
      </w:r>
      <w:r>
        <w:rPr>
          <w:rFonts w:hint="eastAsia" w:ascii="宋体" w:hAnsi="宋体" w:eastAsia="宋体" w:cs="宋体"/>
          <w:color w:val="auto"/>
          <w:highlight w:val="none"/>
          <w:lang w:val="en-US" w:bidi="en-US"/>
        </w:rPr>
        <w:t>1.7.1</w:t>
      </w:r>
      <w:r>
        <w:rPr>
          <w:rFonts w:hint="eastAsia" w:ascii="宋体" w:hAnsi="宋体" w:eastAsia="宋体" w:cs="宋体"/>
          <w:color w:val="auto"/>
          <w:highlight w:val="none"/>
        </w:rPr>
        <w:t>项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14:paraId="5EE96A39">
      <w:pPr>
        <w:pStyle w:val="115"/>
        <w:spacing w:after="180" w:line="367"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1.7.3</w:t>
      </w:r>
      <w:r>
        <w:rPr>
          <w:rFonts w:hint="eastAsia" w:ascii="宋体" w:hAnsi="宋体" w:eastAsia="宋体" w:cs="宋体"/>
          <w:color w:val="auto"/>
          <w:highlight w:val="none"/>
        </w:rPr>
        <w:t>来往函件均应按合同约定的期限及时发出和答复，不得无故扣压和拖延，亦不得拒收。否则，由此造成的后果由责任方负责。</w:t>
      </w:r>
    </w:p>
    <w:p w14:paraId="5EE96A3A">
      <w:pPr>
        <w:pStyle w:val="116"/>
        <w:spacing w:line="360" w:lineRule="exact"/>
        <w:rPr>
          <w:rFonts w:hint="eastAsia" w:ascii="宋体" w:hAnsi="宋体" w:eastAsia="宋体" w:cs="宋体"/>
          <w:color w:val="auto"/>
          <w:sz w:val="24"/>
          <w:szCs w:val="24"/>
          <w:highlight w:val="none"/>
          <w:lang w:eastAsia="zh-CN"/>
        </w:rPr>
      </w:pPr>
      <w:bookmarkStart w:id="185" w:name="_Toc14849"/>
      <w:bookmarkStart w:id="186" w:name="_Toc31757"/>
      <w:bookmarkStart w:id="187" w:name="_Toc15551"/>
      <w:bookmarkStart w:id="188" w:name="_Toc11450"/>
      <w:bookmarkStart w:id="189" w:name="_Toc26447"/>
      <w:bookmarkStart w:id="190" w:name="bookmark935"/>
      <w:bookmarkStart w:id="191" w:name="_Toc19396"/>
      <w:bookmarkStart w:id="192" w:name="_Toc500"/>
      <w:bookmarkStart w:id="193" w:name="_Toc199152843"/>
      <w:bookmarkStart w:id="194" w:name="bookmark934"/>
      <w:bookmarkStart w:id="195" w:name="bookmark933"/>
      <w:r>
        <w:rPr>
          <w:rFonts w:hint="eastAsia" w:ascii="宋体" w:hAnsi="宋体" w:eastAsia="宋体" w:cs="宋体"/>
          <w:color w:val="auto"/>
          <w:sz w:val="24"/>
          <w:szCs w:val="24"/>
          <w:highlight w:val="none"/>
          <w:lang w:eastAsia="zh-CN"/>
        </w:rPr>
        <w:t>1.8转让</w:t>
      </w:r>
      <w:bookmarkEnd w:id="185"/>
      <w:bookmarkEnd w:id="186"/>
      <w:bookmarkEnd w:id="187"/>
      <w:bookmarkEnd w:id="188"/>
      <w:bookmarkEnd w:id="189"/>
      <w:bookmarkEnd w:id="190"/>
      <w:bookmarkEnd w:id="191"/>
      <w:bookmarkEnd w:id="192"/>
      <w:bookmarkEnd w:id="193"/>
      <w:bookmarkEnd w:id="194"/>
      <w:bookmarkEnd w:id="195"/>
    </w:p>
    <w:p w14:paraId="5EE96A3B">
      <w:pPr>
        <w:pStyle w:val="115"/>
        <w:spacing w:after="180" w:line="358"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除合同另有约定外，未经对方当事人同意，一方当事人不得将合同权利全部或部分转让给第三人，也不得全部或部分转移合同义务。</w:t>
      </w:r>
    </w:p>
    <w:p w14:paraId="5EE96A3C">
      <w:pPr>
        <w:pStyle w:val="116"/>
        <w:spacing w:line="360" w:lineRule="exact"/>
        <w:rPr>
          <w:rFonts w:hint="eastAsia" w:ascii="宋体" w:hAnsi="宋体" w:eastAsia="宋体" w:cs="宋体"/>
          <w:color w:val="auto"/>
          <w:sz w:val="24"/>
          <w:szCs w:val="24"/>
          <w:highlight w:val="none"/>
          <w:lang w:eastAsia="zh-CN"/>
        </w:rPr>
      </w:pPr>
      <w:bookmarkStart w:id="196" w:name="_Toc4066"/>
      <w:bookmarkStart w:id="197" w:name="_Toc25110"/>
      <w:bookmarkStart w:id="198" w:name="_Toc25870"/>
      <w:bookmarkStart w:id="199" w:name="_Toc199152844"/>
      <w:bookmarkStart w:id="200" w:name="bookmark936"/>
      <w:bookmarkStart w:id="201" w:name="_Toc24229"/>
      <w:bookmarkStart w:id="202" w:name="_Toc28520"/>
      <w:bookmarkStart w:id="203" w:name="_Toc13405"/>
      <w:bookmarkStart w:id="204" w:name="_Toc10293"/>
      <w:bookmarkStart w:id="205" w:name="bookmark937"/>
      <w:bookmarkStart w:id="206" w:name="bookmark938"/>
      <w:r>
        <w:rPr>
          <w:rFonts w:hint="eastAsia" w:ascii="宋体" w:hAnsi="宋体" w:eastAsia="宋体" w:cs="宋体"/>
          <w:color w:val="auto"/>
          <w:sz w:val="24"/>
          <w:szCs w:val="24"/>
          <w:highlight w:val="none"/>
          <w:lang w:eastAsia="zh-CN"/>
        </w:rPr>
        <w:t>1.9严禁贿赂</w:t>
      </w:r>
      <w:bookmarkEnd w:id="196"/>
      <w:bookmarkEnd w:id="197"/>
      <w:bookmarkEnd w:id="198"/>
      <w:bookmarkEnd w:id="199"/>
      <w:bookmarkEnd w:id="200"/>
      <w:bookmarkEnd w:id="201"/>
      <w:bookmarkEnd w:id="202"/>
      <w:bookmarkEnd w:id="203"/>
      <w:bookmarkEnd w:id="204"/>
      <w:bookmarkEnd w:id="205"/>
      <w:bookmarkEnd w:id="206"/>
    </w:p>
    <w:p w14:paraId="5EE96A3D">
      <w:pPr>
        <w:pStyle w:val="115"/>
        <w:spacing w:after="180" w:line="367"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合同双方当事人不得以贿赂或变相贿赂的方式，谋取不当利益或损害对方权益。因贿赂造成对方损失的，行为人应赔偿损失，并承担相应的法律责任。</w:t>
      </w:r>
    </w:p>
    <w:p w14:paraId="5EE96A3E">
      <w:pPr>
        <w:pStyle w:val="116"/>
        <w:spacing w:line="360" w:lineRule="exact"/>
        <w:rPr>
          <w:rFonts w:hint="eastAsia" w:ascii="宋体" w:hAnsi="宋体" w:eastAsia="宋体" w:cs="宋体"/>
          <w:color w:val="auto"/>
          <w:sz w:val="24"/>
          <w:szCs w:val="24"/>
          <w:highlight w:val="none"/>
          <w:lang w:eastAsia="zh-CN"/>
        </w:rPr>
      </w:pPr>
      <w:bookmarkStart w:id="207" w:name="_Toc21839"/>
      <w:bookmarkStart w:id="208" w:name="_Toc199152845"/>
      <w:bookmarkStart w:id="209" w:name="bookmark941"/>
      <w:bookmarkStart w:id="210" w:name="_Toc31122"/>
      <w:bookmarkStart w:id="211" w:name="_Toc27697"/>
      <w:bookmarkStart w:id="212" w:name="_Toc18518"/>
      <w:bookmarkStart w:id="213" w:name="_Toc26377"/>
      <w:bookmarkStart w:id="214" w:name="_Toc29164"/>
      <w:bookmarkStart w:id="215" w:name="bookmark940"/>
      <w:bookmarkStart w:id="216" w:name="bookmark939"/>
      <w:bookmarkStart w:id="217" w:name="_Toc32649"/>
      <w:r>
        <w:rPr>
          <w:rFonts w:hint="eastAsia" w:ascii="宋体" w:hAnsi="宋体" w:eastAsia="宋体" w:cs="宋体"/>
          <w:color w:val="auto"/>
          <w:sz w:val="24"/>
          <w:szCs w:val="24"/>
          <w:highlight w:val="none"/>
          <w:lang w:eastAsia="zh-CN"/>
        </w:rPr>
        <w:t>1.10化石、文物</w:t>
      </w:r>
      <w:bookmarkEnd w:id="207"/>
      <w:bookmarkEnd w:id="208"/>
      <w:bookmarkEnd w:id="209"/>
      <w:bookmarkEnd w:id="210"/>
      <w:bookmarkEnd w:id="211"/>
      <w:bookmarkEnd w:id="212"/>
      <w:bookmarkEnd w:id="213"/>
      <w:bookmarkEnd w:id="214"/>
      <w:bookmarkEnd w:id="215"/>
      <w:bookmarkEnd w:id="216"/>
      <w:bookmarkEnd w:id="217"/>
    </w:p>
    <w:p w14:paraId="5EE96A3F">
      <w:pPr>
        <w:pStyle w:val="115"/>
        <w:spacing w:line="36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1.10.</w:t>
      </w:r>
      <w:r>
        <w:rPr>
          <w:rFonts w:hint="eastAsia" w:ascii="宋体" w:hAnsi="宋体" w:eastAsia="宋体" w:cs="宋体"/>
          <w:color w:val="auto"/>
          <w:highlight w:val="none"/>
        </w:rPr>
        <w:t>1在施工场地发掘的所有文物、古迹以及具有地质研究或考古价值的其他遗迹、化石、钱币或物品属于国家所有。一旦发现上述文物，承包人应采取有效合理的保护措施</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防止任何人员移动或损坏上述物品，并立即报告当地文物行政部门，同时通知监理人。发包人、监理人和承包人应按文物行政部门要求采取妥善保护措施，由此导致费用增加和（或）工期延误由发包人承担。</w:t>
      </w:r>
    </w:p>
    <w:p w14:paraId="5EE96A40">
      <w:pPr>
        <w:pStyle w:val="115"/>
        <w:spacing w:after="120" w:line="36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1.10.</w:t>
      </w:r>
      <w:r>
        <w:rPr>
          <w:rFonts w:hint="eastAsia" w:ascii="宋体" w:hAnsi="宋体" w:eastAsia="宋体" w:cs="宋体"/>
          <w:color w:val="auto"/>
          <w:highlight w:val="none"/>
        </w:rPr>
        <w:t>2承包人发现文物后不及时报告或隐瞒不报，致使文物丢失或损坏的，应赔偿损失，并承担相应的法律责任。</w:t>
      </w:r>
    </w:p>
    <w:p w14:paraId="5EE96A41">
      <w:pPr>
        <w:pStyle w:val="116"/>
        <w:spacing w:line="360" w:lineRule="exact"/>
        <w:rPr>
          <w:rFonts w:hint="eastAsia" w:ascii="宋体" w:hAnsi="宋体" w:eastAsia="宋体" w:cs="宋体"/>
          <w:color w:val="auto"/>
          <w:sz w:val="24"/>
          <w:szCs w:val="24"/>
          <w:highlight w:val="none"/>
          <w:lang w:eastAsia="zh-CN"/>
        </w:rPr>
      </w:pPr>
      <w:bookmarkStart w:id="218" w:name="_Toc13421"/>
      <w:bookmarkStart w:id="219" w:name="_Toc199152846"/>
      <w:bookmarkStart w:id="220" w:name="_Toc5616"/>
      <w:bookmarkStart w:id="221" w:name="bookmark943"/>
      <w:bookmarkStart w:id="222" w:name="bookmark942"/>
      <w:bookmarkStart w:id="223" w:name="_Toc6650"/>
      <w:bookmarkStart w:id="224" w:name="_Toc12830"/>
      <w:bookmarkStart w:id="225" w:name="bookmark944"/>
      <w:bookmarkStart w:id="226" w:name="_Toc8461"/>
      <w:bookmarkStart w:id="227" w:name="_Toc29048"/>
      <w:bookmarkStart w:id="228" w:name="_Toc9622"/>
      <w:r>
        <w:rPr>
          <w:rFonts w:hint="eastAsia" w:ascii="宋体" w:hAnsi="宋体" w:eastAsia="宋体" w:cs="宋体"/>
          <w:color w:val="auto"/>
          <w:sz w:val="24"/>
          <w:szCs w:val="24"/>
          <w:highlight w:val="none"/>
          <w:lang w:eastAsia="zh-CN"/>
        </w:rPr>
        <w:t>1.11专利技术</w:t>
      </w:r>
      <w:bookmarkEnd w:id="218"/>
      <w:bookmarkEnd w:id="219"/>
      <w:bookmarkEnd w:id="220"/>
      <w:bookmarkEnd w:id="221"/>
      <w:bookmarkEnd w:id="222"/>
      <w:bookmarkEnd w:id="223"/>
      <w:bookmarkEnd w:id="224"/>
      <w:bookmarkEnd w:id="225"/>
      <w:bookmarkEnd w:id="226"/>
      <w:bookmarkEnd w:id="227"/>
      <w:bookmarkEnd w:id="228"/>
    </w:p>
    <w:p w14:paraId="5EE96A42">
      <w:pPr>
        <w:pStyle w:val="115"/>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1.11.1</w:t>
      </w:r>
      <w:r>
        <w:rPr>
          <w:rFonts w:hint="eastAsia" w:ascii="宋体" w:hAnsi="宋体" w:eastAsia="宋体" w:cs="宋体"/>
          <w:color w:val="auto"/>
          <w:highlight w:val="none"/>
        </w:rPr>
        <w:t>承包人在使用任何材料、承包人设备、工程设备或采用施工工艺时，因侵犯专利权或其他知识产权所引起的责任，由承包人承担，但由于遵照发包人提供的设计或技术标准和要求引起的除外。</w:t>
      </w:r>
    </w:p>
    <w:p w14:paraId="5EE96A43">
      <w:pPr>
        <w:pStyle w:val="115"/>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1.11.2</w:t>
      </w:r>
      <w:r>
        <w:rPr>
          <w:rFonts w:hint="eastAsia" w:ascii="宋体" w:hAnsi="宋体" w:eastAsia="宋体" w:cs="宋体"/>
          <w:color w:val="auto"/>
          <w:highlight w:val="none"/>
        </w:rPr>
        <w:t>承包人在投标文件中采用专利技术的，专利技术的使用费包含在投标报价内。</w:t>
      </w:r>
    </w:p>
    <w:p w14:paraId="5EE96A44">
      <w:pPr>
        <w:pStyle w:val="115"/>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1.11.3</w:t>
      </w:r>
      <w:r>
        <w:rPr>
          <w:rFonts w:hint="eastAsia" w:ascii="宋体" w:hAnsi="宋体" w:eastAsia="宋体" w:cs="宋体"/>
          <w:color w:val="auto"/>
          <w:highlight w:val="none"/>
        </w:rPr>
        <w:t>承包人的技术秘密和声明需要保密的资料和信息，发包人和监理人不得为合同以外的目的泄露给他人。</w:t>
      </w:r>
    </w:p>
    <w:p w14:paraId="5EE96A45">
      <w:pPr>
        <w:pStyle w:val="115"/>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1.11.4</w:t>
      </w:r>
      <w:r>
        <w:rPr>
          <w:rFonts w:hint="eastAsia" w:ascii="宋体" w:hAnsi="宋体" w:eastAsia="宋体" w:cs="宋体"/>
          <w:color w:val="auto"/>
          <w:highlight w:val="none"/>
        </w:rPr>
        <w:t>合同实施过程中，发包人要求承包人采用专利技术的，发包人应办理相应的使用手续，承包人应按发包人约定的条件使用，并承担使用专利技术的相关试验工作。所需的费用由发包人承担。</w:t>
      </w:r>
    </w:p>
    <w:p w14:paraId="5EE96A46">
      <w:pPr>
        <w:pStyle w:val="116"/>
        <w:spacing w:line="360" w:lineRule="exact"/>
        <w:rPr>
          <w:rFonts w:hint="eastAsia" w:ascii="宋体" w:hAnsi="宋体" w:eastAsia="宋体" w:cs="宋体"/>
          <w:color w:val="auto"/>
          <w:sz w:val="24"/>
          <w:szCs w:val="24"/>
          <w:highlight w:val="none"/>
          <w:lang w:eastAsia="zh-CN"/>
        </w:rPr>
      </w:pPr>
      <w:bookmarkStart w:id="229" w:name="_Toc199152847"/>
      <w:bookmarkStart w:id="230" w:name="_Toc3009"/>
      <w:bookmarkStart w:id="231" w:name="_Toc29021"/>
      <w:bookmarkStart w:id="232" w:name="bookmark946"/>
      <w:bookmarkStart w:id="233" w:name="bookmark945"/>
      <w:bookmarkStart w:id="234" w:name="_Toc15317"/>
      <w:bookmarkStart w:id="235" w:name="_Toc21439"/>
      <w:bookmarkStart w:id="236" w:name="_Toc7052"/>
      <w:bookmarkStart w:id="237" w:name="_Toc30991"/>
      <w:bookmarkStart w:id="238" w:name="bookmark947"/>
      <w:bookmarkStart w:id="239" w:name="_Toc14918"/>
      <w:r>
        <w:rPr>
          <w:rFonts w:hint="eastAsia" w:ascii="宋体" w:hAnsi="宋体" w:eastAsia="宋体" w:cs="宋体"/>
          <w:color w:val="auto"/>
          <w:sz w:val="24"/>
          <w:szCs w:val="24"/>
          <w:highlight w:val="none"/>
          <w:lang w:eastAsia="zh-CN"/>
        </w:rPr>
        <w:t>1.12图纸和文件的保密</w:t>
      </w:r>
      <w:bookmarkEnd w:id="229"/>
      <w:bookmarkEnd w:id="230"/>
      <w:bookmarkEnd w:id="231"/>
      <w:bookmarkEnd w:id="232"/>
      <w:bookmarkEnd w:id="233"/>
      <w:bookmarkEnd w:id="234"/>
      <w:bookmarkEnd w:id="235"/>
      <w:bookmarkEnd w:id="236"/>
      <w:bookmarkEnd w:id="237"/>
      <w:bookmarkEnd w:id="238"/>
      <w:bookmarkEnd w:id="239"/>
    </w:p>
    <w:p w14:paraId="5EE96A47">
      <w:pPr>
        <w:pStyle w:val="115"/>
        <w:spacing w:line="37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1.12.1</w:t>
      </w:r>
      <w:r>
        <w:rPr>
          <w:rFonts w:hint="eastAsia" w:ascii="宋体" w:hAnsi="宋体" w:eastAsia="宋体" w:cs="宋体"/>
          <w:color w:val="auto"/>
          <w:highlight w:val="none"/>
        </w:rPr>
        <w:t>发包人提供的图纸和文件，未经发包人同意，承包人不得为合同以外的目的泄露给他人或公开发表与引用。</w:t>
      </w:r>
    </w:p>
    <w:p w14:paraId="5EE96A48">
      <w:pPr>
        <w:pStyle w:val="115"/>
        <w:spacing w:after="200" w:line="367"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1.12.2</w:t>
      </w:r>
      <w:r>
        <w:rPr>
          <w:rFonts w:hint="eastAsia" w:ascii="宋体" w:hAnsi="宋体" w:eastAsia="宋体" w:cs="宋体"/>
          <w:color w:val="auto"/>
          <w:highlight w:val="none"/>
        </w:rPr>
        <w:t>承包人提供的文件，未经承包人同意，发包人和监理人不得为合同以外的目的泄露给他人或公开发表与引用。</w:t>
      </w:r>
    </w:p>
    <w:p w14:paraId="5EE96A49">
      <w:pPr>
        <w:pStyle w:val="116"/>
        <w:spacing w:line="360" w:lineRule="exact"/>
        <w:rPr>
          <w:rFonts w:hint="eastAsia" w:ascii="宋体" w:hAnsi="宋体" w:eastAsia="宋体" w:cs="宋体"/>
          <w:color w:val="auto"/>
          <w:highlight w:val="none"/>
          <w:lang w:eastAsia="zh-CN"/>
        </w:rPr>
      </w:pPr>
      <w:bookmarkStart w:id="240" w:name="bookmark950"/>
      <w:bookmarkEnd w:id="240"/>
      <w:bookmarkStart w:id="241" w:name="_Toc16330"/>
      <w:bookmarkStart w:id="242" w:name="_Toc5404"/>
      <w:bookmarkStart w:id="243" w:name="_Toc17061"/>
      <w:bookmarkStart w:id="244" w:name="_Toc15178"/>
      <w:bookmarkStart w:id="245" w:name="bookmark948"/>
      <w:bookmarkStart w:id="246" w:name="bookmark949"/>
      <w:bookmarkStart w:id="247" w:name="_Toc2299"/>
      <w:bookmarkStart w:id="248" w:name="_Toc28349"/>
      <w:bookmarkStart w:id="249" w:name="bookmark951"/>
      <w:bookmarkStart w:id="250" w:name="_Toc199152848"/>
      <w:bookmarkStart w:id="251" w:name="_Toc3842"/>
      <w:r>
        <w:rPr>
          <w:rFonts w:hint="eastAsia" w:ascii="宋体" w:hAnsi="宋体" w:eastAsia="宋体" w:cs="宋体"/>
          <w:color w:val="auto"/>
          <w:highlight w:val="none"/>
          <w:lang w:eastAsia="zh-CN"/>
        </w:rPr>
        <w:t>2.发包人义务</w:t>
      </w:r>
      <w:bookmarkEnd w:id="241"/>
      <w:bookmarkEnd w:id="242"/>
      <w:bookmarkEnd w:id="243"/>
      <w:bookmarkEnd w:id="244"/>
      <w:bookmarkEnd w:id="245"/>
      <w:bookmarkEnd w:id="246"/>
      <w:bookmarkEnd w:id="247"/>
      <w:bookmarkEnd w:id="248"/>
      <w:bookmarkEnd w:id="249"/>
      <w:bookmarkEnd w:id="250"/>
      <w:bookmarkEnd w:id="251"/>
    </w:p>
    <w:p w14:paraId="5EE96A4A">
      <w:pPr>
        <w:pStyle w:val="116"/>
        <w:spacing w:line="360" w:lineRule="exact"/>
        <w:rPr>
          <w:rFonts w:hint="eastAsia" w:ascii="宋体" w:hAnsi="宋体" w:eastAsia="宋体" w:cs="宋体"/>
          <w:color w:val="auto"/>
          <w:sz w:val="24"/>
          <w:szCs w:val="24"/>
          <w:highlight w:val="none"/>
          <w:lang w:eastAsia="zh-CN"/>
        </w:rPr>
      </w:pPr>
      <w:bookmarkStart w:id="252" w:name="_Toc26172"/>
      <w:bookmarkStart w:id="253" w:name="bookmark954"/>
      <w:bookmarkStart w:id="254" w:name="_Toc18491"/>
      <w:bookmarkStart w:id="255" w:name="_Toc5639"/>
      <w:bookmarkStart w:id="256" w:name="_Toc27192"/>
      <w:bookmarkStart w:id="257" w:name="bookmark952"/>
      <w:bookmarkStart w:id="258" w:name="_Toc19875"/>
      <w:bookmarkStart w:id="259" w:name="_Toc199152849"/>
      <w:bookmarkStart w:id="260" w:name="_Toc9385"/>
      <w:bookmarkStart w:id="261" w:name="_Toc4970"/>
      <w:bookmarkStart w:id="262" w:name="bookmark953"/>
      <w:r>
        <w:rPr>
          <w:rFonts w:hint="eastAsia" w:ascii="宋体" w:hAnsi="宋体" w:eastAsia="宋体" w:cs="宋体"/>
          <w:color w:val="auto"/>
          <w:sz w:val="24"/>
          <w:szCs w:val="24"/>
          <w:highlight w:val="none"/>
          <w:lang w:eastAsia="zh-CN"/>
        </w:rPr>
        <w:t>2.1遵守法律</w:t>
      </w:r>
      <w:bookmarkEnd w:id="252"/>
      <w:bookmarkEnd w:id="253"/>
      <w:bookmarkEnd w:id="254"/>
      <w:bookmarkEnd w:id="255"/>
      <w:bookmarkEnd w:id="256"/>
      <w:bookmarkEnd w:id="257"/>
      <w:bookmarkEnd w:id="258"/>
      <w:bookmarkEnd w:id="259"/>
      <w:bookmarkEnd w:id="260"/>
      <w:bookmarkEnd w:id="261"/>
      <w:bookmarkEnd w:id="262"/>
    </w:p>
    <w:p w14:paraId="5EE96A4B">
      <w:pPr>
        <w:pStyle w:val="115"/>
        <w:spacing w:after="240" w:line="355"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发包人在履行合同过程中应遵守法律，并保证承包人免于承担因发包人违反法律而引起的任何责任。</w:t>
      </w:r>
    </w:p>
    <w:p w14:paraId="5EE96A4C">
      <w:pPr>
        <w:pStyle w:val="116"/>
        <w:spacing w:line="360" w:lineRule="exact"/>
        <w:rPr>
          <w:rFonts w:hint="eastAsia" w:ascii="宋体" w:hAnsi="宋体" w:eastAsia="宋体" w:cs="宋体"/>
          <w:color w:val="auto"/>
          <w:sz w:val="24"/>
          <w:szCs w:val="24"/>
          <w:highlight w:val="none"/>
          <w:lang w:eastAsia="zh-CN"/>
        </w:rPr>
      </w:pPr>
      <w:bookmarkStart w:id="263" w:name="_Toc30994"/>
      <w:bookmarkStart w:id="264" w:name="_Toc16693"/>
      <w:bookmarkStart w:id="265" w:name="_Toc17750"/>
      <w:bookmarkStart w:id="266" w:name="_Toc15166"/>
      <w:bookmarkStart w:id="267" w:name="bookmark955"/>
      <w:bookmarkStart w:id="268" w:name="_Toc8694"/>
      <w:bookmarkStart w:id="269" w:name="_Toc29690"/>
      <w:bookmarkStart w:id="270" w:name="bookmark956"/>
      <w:bookmarkStart w:id="271" w:name="bookmark957"/>
      <w:bookmarkStart w:id="272" w:name="_Toc18717"/>
      <w:bookmarkStart w:id="273" w:name="_Toc199152850"/>
      <w:r>
        <w:rPr>
          <w:rFonts w:hint="eastAsia" w:ascii="宋体" w:hAnsi="宋体" w:eastAsia="宋体" w:cs="宋体"/>
          <w:color w:val="auto"/>
          <w:sz w:val="24"/>
          <w:szCs w:val="24"/>
          <w:highlight w:val="none"/>
          <w:lang w:eastAsia="zh-CN"/>
        </w:rPr>
        <w:t>2.2发出开工通知</w:t>
      </w:r>
      <w:bookmarkEnd w:id="263"/>
      <w:bookmarkEnd w:id="264"/>
      <w:bookmarkEnd w:id="265"/>
      <w:bookmarkEnd w:id="266"/>
      <w:bookmarkEnd w:id="267"/>
      <w:bookmarkEnd w:id="268"/>
      <w:bookmarkEnd w:id="269"/>
      <w:bookmarkEnd w:id="270"/>
      <w:bookmarkEnd w:id="271"/>
      <w:bookmarkEnd w:id="272"/>
      <w:bookmarkEnd w:id="273"/>
    </w:p>
    <w:p w14:paraId="5EE96A4D">
      <w:pPr>
        <w:pStyle w:val="115"/>
        <w:spacing w:after="240" w:line="363"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发包人应委托监理人按第</w:t>
      </w:r>
      <w:r>
        <w:rPr>
          <w:rFonts w:hint="eastAsia" w:ascii="宋体" w:hAnsi="宋体" w:eastAsia="宋体" w:cs="宋体"/>
          <w:color w:val="auto"/>
          <w:highlight w:val="none"/>
          <w:lang w:val="en-US" w:bidi="en-US"/>
        </w:rPr>
        <w:t>H.</w:t>
      </w:r>
      <w:r>
        <w:rPr>
          <w:rFonts w:hint="eastAsia" w:ascii="宋体" w:hAnsi="宋体" w:eastAsia="宋体" w:cs="宋体"/>
          <w:color w:val="auto"/>
          <w:highlight w:val="none"/>
        </w:rPr>
        <w:t>1款的约定向承包人发出开工通知。</w:t>
      </w:r>
    </w:p>
    <w:p w14:paraId="5EE96A4E">
      <w:pPr>
        <w:pStyle w:val="116"/>
        <w:spacing w:line="360" w:lineRule="exact"/>
        <w:rPr>
          <w:rFonts w:hint="eastAsia" w:ascii="宋体" w:hAnsi="宋体" w:eastAsia="宋体" w:cs="宋体"/>
          <w:color w:val="auto"/>
          <w:sz w:val="24"/>
          <w:szCs w:val="24"/>
          <w:highlight w:val="none"/>
          <w:lang w:eastAsia="zh-CN"/>
        </w:rPr>
      </w:pPr>
      <w:bookmarkStart w:id="274" w:name="_Toc199152851"/>
      <w:bookmarkStart w:id="275" w:name="_Toc20639"/>
      <w:bookmarkStart w:id="276" w:name="bookmark960"/>
      <w:bookmarkStart w:id="277" w:name="_Toc2184"/>
      <w:bookmarkStart w:id="278" w:name="_Toc25325"/>
      <w:bookmarkStart w:id="279" w:name="bookmark959"/>
      <w:bookmarkStart w:id="280" w:name="_Toc5643"/>
      <w:bookmarkStart w:id="281" w:name="_Toc24217"/>
      <w:bookmarkStart w:id="282" w:name="bookmark958"/>
      <w:bookmarkStart w:id="283" w:name="_Toc24867"/>
      <w:bookmarkStart w:id="284" w:name="_Toc22446"/>
      <w:r>
        <w:rPr>
          <w:rFonts w:hint="eastAsia" w:ascii="宋体" w:hAnsi="宋体" w:eastAsia="宋体" w:cs="宋体"/>
          <w:color w:val="auto"/>
          <w:sz w:val="24"/>
          <w:szCs w:val="24"/>
          <w:highlight w:val="none"/>
          <w:lang w:eastAsia="zh-CN"/>
        </w:rPr>
        <w:t>2.3提供施工场地</w:t>
      </w:r>
      <w:bookmarkEnd w:id="274"/>
      <w:bookmarkEnd w:id="275"/>
      <w:bookmarkEnd w:id="276"/>
      <w:bookmarkEnd w:id="277"/>
      <w:bookmarkEnd w:id="278"/>
      <w:bookmarkEnd w:id="279"/>
      <w:bookmarkEnd w:id="280"/>
      <w:bookmarkEnd w:id="281"/>
      <w:bookmarkEnd w:id="282"/>
      <w:bookmarkEnd w:id="283"/>
      <w:bookmarkEnd w:id="284"/>
    </w:p>
    <w:p w14:paraId="5EE96A4F">
      <w:pPr>
        <w:pStyle w:val="115"/>
        <w:spacing w:line="373"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2.3.1</w:t>
      </w:r>
      <w:r>
        <w:rPr>
          <w:rFonts w:hint="eastAsia" w:ascii="宋体" w:hAnsi="宋体" w:eastAsia="宋体" w:cs="宋体"/>
          <w:color w:val="auto"/>
          <w:highlight w:val="none"/>
        </w:rPr>
        <w:t>发包人应在合同双方签定合同协议书后的14天内，将本合同工程的施工场地范围图提交给承包人。发包人提供的施工用地范围图应标明用地范围内永久占地与临时占地的范围和界限，以及指明提供给承包人用于施工场地布置的范围和界限及其有关资料。</w:t>
      </w:r>
    </w:p>
    <w:p w14:paraId="5EE96A50">
      <w:pPr>
        <w:pStyle w:val="115"/>
        <w:spacing w:line="366"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2.3.2</w:t>
      </w:r>
      <w:r>
        <w:rPr>
          <w:rFonts w:hint="eastAsia" w:ascii="宋体" w:hAnsi="宋体" w:eastAsia="宋体" w:cs="宋体"/>
          <w:color w:val="auto"/>
          <w:highlight w:val="none"/>
        </w:rPr>
        <w:t>发包人提供的施工用地范围在专用合同条款中约定。</w:t>
      </w:r>
    </w:p>
    <w:p w14:paraId="5EE96A51">
      <w:pPr>
        <w:pStyle w:val="115"/>
        <w:spacing w:after="240" w:line="366"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2.3.3</w:t>
      </w:r>
      <w:r>
        <w:rPr>
          <w:rFonts w:hint="eastAsia" w:ascii="宋体" w:hAnsi="宋体" w:eastAsia="宋体" w:cs="宋体"/>
          <w:color w:val="auto"/>
          <w:highlight w:val="none"/>
        </w:rPr>
        <w:t>除专用合同条款另有约定外，发包人应按技术标准和要求（合同技术条款）的约定，向承包人提供施工场地内的工程地质图纸和报告，以及地下障碍物图纸等施工场地有关资料，并保证资料的真实、准确、完整。</w:t>
      </w:r>
    </w:p>
    <w:p w14:paraId="5EE96A52">
      <w:pPr>
        <w:pStyle w:val="116"/>
        <w:spacing w:line="360" w:lineRule="exact"/>
        <w:rPr>
          <w:rFonts w:hint="eastAsia" w:ascii="宋体" w:hAnsi="宋体" w:eastAsia="宋体" w:cs="宋体"/>
          <w:color w:val="auto"/>
          <w:sz w:val="24"/>
          <w:szCs w:val="24"/>
          <w:highlight w:val="none"/>
          <w:lang w:eastAsia="zh-CN"/>
        </w:rPr>
      </w:pPr>
      <w:bookmarkStart w:id="285" w:name="_Toc1448"/>
      <w:bookmarkStart w:id="286" w:name="bookmark963"/>
      <w:bookmarkStart w:id="287" w:name="_Toc3862"/>
      <w:bookmarkStart w:id="288" w:name="_Toc7008"/>
      <w:bookmarkStart w:id="289" w:name="_Toc199152852"/>
      <w:bookmarkStart w:id="290" w:name="_Toc19832"/>
      <w:bookmarkStart w:id="291" w:name="bookmark962"/>
      <w:bookmarkStart w:id="292" w:name="bookmark961"/>
      <w:bookmarkStart w:id="293" w:name="_Toc25194"/>
      <w:bookmarkStart w:id="294" w:name="_Toc14473"/>
      <w:bookmarkStart w:id="295" w:name="_Toc502"/>
      <w:r>
        <w:rPr>
          <w:rFonts w:hint="eastAsia" w:ascii="宋体" w:hAnsi="宋体" w:eastAsia="宋体" w:cs="宋体"/>
          <w:color w:val="auto"/>
          <w:sz w:val="24"/>
          <w:szCs w:val="24"/>
          <w:highlight w:val="none"/>
          <w:lang w:eastAsia="zh-CN"/>
        </w:rPr>
        <w:t>2.4协助承包人办理证件和批件</w:t>
      </w:r>
      <w:bookmarkEnd w:id="285"/>
      <w:bookmarkEnd w:id="286"/>
      <w:bookmarkEnd w:id="287"/>
      <w:bookmarkEnd w:id="288"/>
      <w:bookmarkEnd w:id="289"/>
      <w:bookmarkEnd w:id="290"/>
      <w:bookmarkEnd w:id="291"/>
      <w:bookmarkEnd w:id="292"/>
      <w:bookmarkEnd w:id="293"/>
      <w:bookmarkEnd w:id="294"/>
      <w:bookmarkEnd w:id="295"/>
    </w:p>
    <w:p w14:paraId="5EE96A53">
      <w:pPr>
        <w:pStyle w:val="115"/>
        <w:spacing w:after="240" w:line="363"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发包人应协助承包人办理法律规定的有关施工证件和批件。</w:t>
      </w:r>
    </w:p>
    <w:p w14:paraId="5EE96A54">
      <w:pPr>
        <w:pStyle w:val="116"/>
        <w:spacing w:line="360" w:lineRule="exact"/>
        <w:rPr>
          <w:rFonts w:hint="eastAsia" w:ascii="宋体" w:hAnsi="宋体" w:eastAsia="宋体" w:cs="宋体"/>
          <w:color w:val="auto"/>
          <w:sz w:val="24"/>
          <w:szCs w:val="24"/>
          <w:highlight w:val="none"/>
          <w:lang w:eastAsia="zh-CN"/>
        </w:rPr>
      </w:pPr>
      <w:bookmarkStart w:id="296" w:name="_Toc199152853"/>
      <w:bookmarkStart w:id="297" w:name="_Toc29272"/>
      <w:bookmarkStart w:id="298" w:name="_Toc15085"/>
      <w:bookmarkStart w:id="299" w:name="_Toc22288"/>
      <w:bookmarkStart w:id="300" w:name="_Toc8130"/>
      <w:bookmarkStart w:id="301" w:name="_Toc5558"/>
      <w:bookmarkStart w:id="302" w:name="bookmark965"/>
      <w:bookmarkStart w:id="303" w:name="bookmark966"/>
      <w:bookmarkStart w:id="304" w:name="bookmark964"/>
      <w:bookmarkStart w:id="305" w:name="_Toc27327"/>
      <w:bookmarkStart w:id="306" w:name="_Toc2933"/>
      <w:r>
        <w:rPr>
          <w:rFonts w:hint="eastAsia" w:ascii="宋体" w:hAnsi="宋体" w:eastAsia="宋体" w:cs="宋体"/>
          <w:color w:val="auto"/>
          <w:sz w:val="24"/>
          <w:szCs w:val="24"/>
          <w:highlight w:val="none"/>
          <w:lang w:eastAsia="zh-CN"/>
        </w:rPr>
        <w:t>2.5组织设计交底</w:t>
      </w:r>
      <w:bookmarkEnd w:id="296"/>
      <w:bookmarkEnd w:id="297"/>
      <w:bookmarkEnd w:id="298"/>
      <w:bookmarkEnd w:id="299"/>
      <w:bookmarkEnd w:id="300"/>
      <w:bookmarkEnd w:id="301"/>
      <w:bookmarkEnd w:id="302"/>
      <w:bookmarkEnd w:id="303"/>
      <w:bookmarkEnd w:id="304"/>
      <w:bookmarkEnd w:id="305"/>
      <w:bookmarkEnd w:id="306"/>
    </w:p>
    <w:p w14:paraId="5EE96A55">
      <w:pPr>
        <w:pStyle w:val="115"/>
        <w:spacing w:after="240" w:line="363"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发包人应根据合同进度计划，组织设计单位向承包人进行设计交底。</w:t>
      </w:r>
    </w:p>
    <w:p w14:paraId="5EE96A56">
      <w:pPr>
        <w:pStyle w:val="116"/>
        <w:spacing w:line="360" w:lineRule="exact"/>
        <w:rPr>
          <w:rFonts w:hint="eastAsia" w:ascii="宋体" w:hAnsi="宋体" w:eastAsia="宋体" w:cs="宋体"/>
          <w:color w:val="auto"/>
          <w:sz w:val="24"/>
          <w:szCs w:val="24"/>
          <w:highlight w:val="none"/>
          <w:lang w:eastAsia="zh-CN"/>
        </w:rPr>
      </w:pPr>
      <w:bookmarkStart w:id="307" w:name="_Toc199152854"/>
      <w:bookmarkStart w:id="308" w:name="_Toc15125"/>
      <w:bookmarkStart w:id="309" w:name="bookmark967"/>
      <w:bookmarkStart w:id="310" w:name="_Toc9855"/>
      <w:bookmarkStart w:id="311" w:name="_Toc13895"/>
      <w:bookmarkStart w:id="312" w:name="_Toc22442"/>
      <w:bookmarkStart w:id="313" w:name="bookmark968"/>
      <w:bookmarkStart w:id="314" w:name="_Toc30250"/>
      <w:bookmarkStart w:id="315" w:name="bookmark969"/>
      <w:bookmarkStart w:id="316" w:name="_Toc13277"/>
      <w:bookmarkStart w:id="317" w:name="_Toc11916"/>
      <w:r>
        <w:rPr>
          <w:rFonts w:hint="eastAsia" w:ascii="宋体" w:hAnsi="宋体" w:eastAsia="宋体" w:cs="宋体"/>
          <w:color w:val="auto"/>
          <w:sz w:val="24"/>
          <w:szCs w:val="24"/>
          <w:highlight w:val="none"/>
          <w:lang w:eastAsia="zh-CN"/>
        </w:rPr>
        <w:t>2.6支付合同价款</w:t>
      </w:r>
      <w:bookmarkEnd w:id="307"/>
      <w:bookmarkEnd w:id="308"/>
      <w:bookmarkEnd w:id="309"/>
      <w:bookmarkEnd w:id="310"/>
      <w:bookmarkEnd w:id="311"/>
      <w:bookmarkEnd w:id="312"/>
      <w:bookmarkEnd w:id="313"/>
      <w:bookmarkEnd w:id="314"/>
      <w:bookmarkEnd w:id="315"/>
      <w:bookmarkEnd w:id="316"/>
      <w:bookmarkEnd w:id="317"/>
    </w:p>
    <w:p w14:paraId="5EE96A57">
      <w:pPr>
        <w:pStyle w:val="115"/>
        <w:spacing w:after="240" w:line="363"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发包人应按合同约定向承包人及时支付合同价款。</w:t>
      </w:r>
    </w:p>
    <w:p w14:paraId="5EE96A58">
      <w:pPr>
        <w:pStyle w:val="116"/>
        <w:spacing w:line="360" w:lineRule="exact"/>
        <w:rPr>
          <w:rFonts w:hint="eastAsia" w:ascii="宋体" w:hAnsi="宋体" w:eastAsia="宋体" w:cs="宋体"/>
          <w:color w:val="auto"/>
          <w:sz w:val="24"/>
          <w:szCs w:val="24"/>
          <w:highlight w:val="none"/>
          <w:lang w:eastAsia="zh-CN"/>
        </w:rPr>
      </w:pPr>
      <w:bookmarkStart w:id="318" w:name="bookmark971"/>
      <w:bookmarkStart w:id="319" w:name="_Toc20777"/>
      <w:bookmarkStart w:id="320" w:name="_Toc25936"/>
      <w:bookmarkStart w:id="321" w:name="bookmark970"/>
      <w:bookmarkStart w:id="322" w:name="_Toc17360"/>
      <w:bookmarkStart w:id="323" w:name="_Toc199152855"/>
      <w:bookmarkStart w:id="324" w:name="_Toc5624"/>
      <w:bookmarkStart w:id="325" w:name="_Toc18903"/>
      <w:bookmarkStart w:id="326" w:name="_Toc5215"/>
      <w:bookmarkStart w:id="327" w:name="bookmark972"/>
      <w:bookmarkStart w:id="328" w:name="_Toc14608"/>
      <w:r>
        <w:rPr>
          <w:rFonts w:hint="eastAsia" w:ascii="宋体" w:hAnsi="宋体" w:eastAsia="宋体" w:cs="宋体"/>
          <w:color w:val="auto"/>
          <w:sz w:val="24"/>
          <w:szCs w:val="24"/>
          <w:highlight w:val="none"/>
          <w:lang w:eastAsia="zh-CN"/>
        </w:rPr>
        <w:t>2.7组织竣工验收（组织法人验收）</w:t>
      </w:r>
      <w:bookmarkEnd w:id="318"/>
      <w:bookmarkEnd w:id="319"/>
      <w:bookmarkEnd w:id="320"/>
      <w:bookmarkEnd w:id="321"/>
      <w:bookmarkEnd w:id="322"/>
      <w:bookmarkEnd w:id="323"/>
      <w:bookmarkEnd w:id="324"/>
      <w:bookmarkEnd w:id="325"/>
      <w:bookmarkEnd w:id="326"/>
      <w:bookmarkEnd w:id="327"/>
      <w:bookmarkEnd w:id="328"/>
    </w:p>
    <w:p w14:paraId="5EE96A59">
      <w:pPr>
        <w:pStyle w:val="115"/>
        <w:spacing w:after="120"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发包人应按合同约定及时组织法人验收。</w:t>
      </w:r>
    </w:p>
    <w:p w14:paraId="5EE96A5A">
      <w:pPr>
        <w:pStyle w:val="116"/>
        <w:spacing w:line="360" w:lineRule="exact"/>
        <w:rPr>
          <w:rFonts w:hint="eastAsia" w:ascii="宋体" w:hAnsi="宋体" w:eastAsia="宋体" w:cs="宋体"/>
          <w:color w:val="auto"/>
          <w:sz w:val="24"/>
          <w:szCs w:val="24"/>
          <w:highlight w:val="none"/>
          <w:lang w:eastAsia="zh-CN"/>
        </w:rPr>
      </w:pPr>
      <w:bookmarkStart w:id="329" w:name="_Toc26461"/>
      <w:bookmarkStart w:id="330" w:name="_Toc32314"/>
      <w:bookmarkStart w:id="331" w:name="bookmark975"/>
      <w:bookmarkStart w:id="332" w:name="_Toc10153"/>
      <w:bookmarkStart w:id="333" w:name="_Toc199152856"/>
      <w:bookmarkStart w:id="334" w:name="_Toc11362"/>
      <w:bookmarkStart w:id="335" w:name="_Toc25338"/>
      <w:bookmarkStart w:id="336" w:name="bookmark973"/>
      <w:bookmarkStart w:id="337" w:name="bookmark974"/>
      <w:bookmarkStart w:id="338" w:name="_Toc24594"/>
      <w:bookmarkStart w:id="339" w:name="_Toc16585"/>
      <w:r>
        <w:rPr>
          <w:rFonts w:hint="eastAsia" w:ascii="宋体" w:hAnsi="宋体" w:eastAsia="宋体" w:cs="宋体"/>
          <w:color w:val="auto"/>
          <w:sz w:val="24"/>
          <w:szCs w:val="24"/>
          <w:highlight w:val="none"/>
          <w:lang w:eastAsia="zh-CN"/>
        </w:rPr>
        <w:t>2.8其它义务</w:t>
      </w:r>
      <w:bookmarkEnd w:id="329"/>
      <w:bookmarkEnd w:id="330"/>
      <w:bookmarkEnd w:id="331"/>
      <w:bookmarkEnd w:id="332"/>
      <w:bookmarkEnd w:id="333"/>
      <w:bookmarkEnd w:id="334"/>
      <w:bookmarkEnd w:id="335"/>
      <w:bookmarkEnd w:id="336"/>
      <w:bookmarkEnd w:id="337"/>
      <w:bookmarkEnd w:id="338"/>
      <w:bookmarkEnd w:id="339"/>
    </w:p>
    <w:p w14:paraId="5EE96A5B">
      <w:pPr>
        <w:pStyle w:val="115"/>
        <w:spacing w:after="280"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其它义务在专用合同条款中补充约定。</w:t>
      </w:r>
    </w:p>
    <w:p w14:paraId="5EE96A5C">
      <w:pPr>
        <w:pStyle w:val="116"/>
        <w:spacing w:line="360" w:lineRule="exact"/>
        <w:rPr>
          <w:rFonts w:hint="eastAsia" w:ascii="宋体" w:hAnsi="宋体" w:eastAsia="宋体" w:cs="宋体"/>
          <w:color w:val="auto"/>
          <w:highlight w:val="none"/>
          <w:lang w:eastAsia="zh-CN"/>
        </w:rPr>
      </w:pPr>
      <w:bookmarkStart w:id="340" w:name="_Toc25929"/>
      <w:bookmarkStart w:id="341" w:name="bookmark978"/>
      <w:bookmarkStart w:id="342" w:name="_Toc15629"/>
      <w:bookmarkStart w:id="343" w:name="bookmark976"/>
      <w:bookmarkStart w:id="344" w:name="_Toc19662"/>
      <w:bookmarkStart w:id="345" w:name="_Toc199152857"/>
      <w:bookmarkStart w:id="346" w:name="_Toc17454"/>
      <w:bookmarkStart w:id="347" w:name="_Toc6361"/>
      <w:bookmarkStart w:id="348" w:name="bookmark977"/>
      <w:bookmarkStart w:id="349" w:name="_Toc14450"/>
      <w:bookmarkStart w:id="350" w:name="_Toc6258"/>
      <w:r>
        <w:rPr>
          <w:rFonts w:hint="eastAsia" w:ascii="宋体" w:hAnsi="宋体" w:eastAsia="宋体" w:cs="宋体"/>
          <w:color w:val="auto"/>
          <w:highlight w:val="none"/>
          <w:lang w:eastAsia="zh-CN"/>
        </w:rPr>
        <w:t>3.监理人</w:t>
      </w:r>
      <w:bookmarkEnd w:id="340"/>
      <w:bookmarkEnd w:id="341"/>
      <w:bookmarkEnd w:id="342"/>
      <w:bookmarkEnd w:id="343"/>
      <w:bookmarkEnd w:id="344"/>
      <w:bookmarkEnd w:id="345"/>
      <w:bookmarkEnd w:id="346"/>
      <w:bookmarkEnd w:id="347"/>
      <w:bookmarkEnd w:id="348"/>
      <w:bookmarkEnd w:id="349"/>
      <w:bookmarkEnd w:id="350"/>
    </w:p>
    <w:p w14:paraId="5EE96A5D">
      <w:pPr>
        <w:pStyle w:val="116"/>
        <w:spacing w:line="360" w:lineRule="exact"/>
        <w:rPr>
          <w:rFonts w:hint="eastAsia" w:ascii="宋体" w:hAnsi="宋体" w:eastAsia="宋体" w:cs="宋体"/>
          <w:color w:val="auto"/>
          <w:sz w:val="24"/>
          <w:szCs w:val="24"/>
          <w:highlight w:val="none"/>
          <w:lang w:eastAsia="zh-CN"/>
        </w:rPr>
      </w:pPr>
      <w:bookmarkStart w:id="351" w:name="_Toc27658"/>
      <w:bookmarkStart w:id="352" w:name="_Toc3993"/>
      <w:bookmarkStart w:id="353" w:name="_Toc199152858"/>
      <w:bookmarkStart w:id="354" w:name="_Toc29547"/>
      <w:bookmarkStart w:id="355" w:name="_Toc21998"/>
      <w:bookmarkStart w:id="356" w:name="_Toc5442"/>
      <w:bookmarkStart w:id="357" w:name="bookmark980"/>
      <w:bookmarkStart w:id="358" w:name="_Toc21827"/>
      <w:bookmarkStart w:id="359" w:name="bookmark981"/>
      <w:bookmarkStart w:id="360" w:name="bookmark979"/>
      <w:bookmarkStart w:id="361" w:name="_Toc28768"/>
      <w:r>
        <w:rPr>
          <w:rFonts w:hint="eastAsia" w:ascii="宋体" w:hAnsi="宋体" w:eastAsia="宋体" w:cs="宋体"/>
          <w:color w:val="auto"/>
          <w:sz w:val="24"/>
          <w:szCs w:val="24"/>
          <w:highlight w:val="none"/>
          <w:lang w:eastAsia="zh-CN"/>
        </w:rPr>
        <w:t>3.1监理人的职责和权利</w:t>
      </w:r>
      <w:bookmarkEnd w:id="351"/>
      <w:bookmarkEnd w:id="352"/>
      <w:bookmarkEnd w:id="353"/>
      <w:bookmarkEnd w:id="354"/>
      <w:bookmarkEnd w:id="355"/>
      <w:bookmarkEnd w:id="356"/>
      <w:bookmarkEnd w:id="357"/>
      <w:bookmarkEnd w:id="358"/>
      <w:bookmarkEnd w:id="359"/>
      <w:bookmarkEnd w:id="360"/>
      <w:bookmarkEnd w:id="361"/>
    </w:p>
    <w:p w14:paraId="5EE96A5E">
      <w:pPr>
        <w:pStyle w:val="115"/>
        <w:spacing w:line="356"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3.1.1</w:t>
      </w:r>
      <w:r>
        <w:rPr>
          <w:rFonts w:hint="eastAsia" w:ascii="宋体" w:hAnsi="宋体" w:eastAsia="宋体" w:cs="宋体"/>
          <w:color w:val="auto"/>
          <w:highlight w:val="none"/>
        </w:rPr>
        <w:t>监理人受发包人的委托，享有合同约定的权力。监理人的权力范围在专用合同条款中约定。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p>
    <w:p w14:paraId="5EE96A5F">
      <w:pPr>
        <w:pStyle w:val="115"/>
        <w:spacing w:line="356"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3.1.2</w:t>
      </w:r>
      <w:r>
        <w:rPr>
          <w:rFonts w:hint="eastAsia" w:ascii="宋体" w:hAnsi="宋体" w:eastAsia="宋体" w:cs="宋体"/>
          <w:color w:val="auto"/>
          <w:highlight w:val="none"/>
        </w:rPr>
        <w:t>监理人发出的任何指示应视为已得到发包人的批准，但监理人无权免除或变更合同约定的发包人和承包人的权利、义务和责任。</w:t>
      </w:r>
    </w:p>
    <w:p w14:paraId="5EE96A60">
      <w:pPr>
        <w:pStyle w:val="115"/>
        <w:spacing w:after="120" w:line="356"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3.1.3</w:t>
      </w:r>
      <w:r>
        <w:rPr>
          <w:rFonts w:hint="eastAsia" w:ascii="宋体" w:hAnsi="宋体" w:eastAsia="宋体" w:cs="宋体"/>
          <w:color w:val="auto"/>
          <w:highlight w:val="none"/>
        </w:rPr>
        <w:t>合同约定应由承包人承担的义务和责任，不因监理人对承包人提交文件的审查或批准，对工程、材料和设备的检查和检验，以及为实施监理作出的指示等职务行为而减轻或解除。</w:t>
      </w:r>
    </w:p>
    <w:p w14:paraId="5EE96A61">
      <w:pPr>
        <w:pStyle w:val="116"/>
        <w:spacing w:line="360" w:lineRule="exact"/>
        <w:rPr>
          <w:rFonts w:hint="eastAsia" w:ascii="宋体" w:hAnsi="宋体" w:eastAsia="宋体" w:cs="宋体"/>
          <w:color w:val="auto"/>
          <w:sz w:val="24"/>
          <w:szCs w:val="24"/>
          <w:highlight w:val="none"/>
          <w:lang w:eastAsia="zh-CN"/>
        </w:rPr>
      </w:pPr>
      <w:bookmarkStart w:id="362" w:name="_Toc20317"/>
      <w:bookmarkStart w:id="363" w:name="bookmark983"/>
      <w:bookmarkStart w:id="364" w:name="_Toc16039"/>
      <w:bookmarkStart w:id="365" w:name="bookmark984"/>
      <w:bookmarkStart w:id="366" w:name="_Toc10001"/>
      <w:bookmarkStart w:id="367" w:name="_Toc28424"/>
      <w:bookmarkStart w:id="368" w:name="_Toc22299"/>
      <w:bookmarkStart w:id="369" w:name="bookmark982"/>
      <w:bookmarkStart w:id="370" w:name="_Toc5278"/>
      <w:bookmarkStart w:id="371" w:name="_Toc199152859"/>
      <w:bookmarkStart w:id="372" w:name="_Toc10991"/>
      <w:r>
        <w:rPr>
          <w:rFonts w:hint="eastAsia" w:ascii="宋体" w:hAnsi="宋体" w:eastAsia="宋体" w:cs="宋体"/>
          <w:color w:val="auto"/>
          <w:sz w:val="24"/>
          <w:szCs w:val="24"/>
          <w:highlight w:val="none"/>
          <w:lang w:eastAsia="zh-CN"/>
        </w:rPr>
        <w:t>3.2总监理工程师</w:t>
      </w:r>
      <w:bookmarkEnd w:id="362"/>
      <w:bookmarkEnd w:id="363"/>
      <w:bookmarkEnd w:id="364"/>
      <w:bookmarkEnd w:id="365"/>
      <w:bookmarkEnd w:id="366"/>
      <w:bookmarkEnd w:id="367"/>
      <w:bookmarkEnd w:id="368"/>
      <w:bookmarkEnd w:id="369"/>
      <w:bookmarkEnd w:id="370"/>
      <w:bookmarkEnd w:id="371"/>
      <w:bookmarkEnd w:id="372"/>
    </w:p>
    <w:p w14:paraId="5EE96A62">
      <w:pPr>
        <w:pStyle w:val="115"/>
        <w:spacing w:after="120" w:line="354"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发包人应在发出开工通知前将总监理工程师的任命通知承包人。总监理工程师更换时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应在调离14天前通知承包人。总监理工程师短期离开施工场地的，应委派代表代行其职责，并通知承包人。</w:t>
      </w:r>
    </w:p>
    <w:p w14:paraId="5EE96A63">
      <w:pPr>
        <w:pStyle w:val="116"/>
        <w:spacing w:line="360" w:lineRule="exact"/>
        <w:rPr>
          <w:rFonts w:hint="eastAsia" w:ascii="宋体" w:hAnsi="宋体" w:eastAsia="宋体" w:cs="宋体"/>
          <w:color w:val="auto"/>
          <w:sz w:val="24"/>
          <w:szCs w:val="24"/>
          <w:highlight w:val="none"/>
          <w:lang w:eastAsia="zh-CN"/>
        </w:rPr>
      </w:pPr>
      <w:bookmarkStart w:id="373" w:name="_Toc11573"/>
      <w:bookmarkStart w:id="374" w:name="_Toc15944"/>
      <w:bookmarkStart w:id="375" w:name="bookmark987"/>
      <w:bookmarkStart w:id="376" w:name="_Toc11960"/>
      <w:bookmarkStart w:id="377" w:name="bookmark986"/>
      <w:bookmarkStart w:id="378" w:name="_Toc13884"/>
      <w:bookmarkStart w:id="379" w:name="bookmark985"/>
      <w:bookmarkStart w:id="380" w:name="_Toc8155"/>
      <w:bookmarkStart w:id="381" w:name="_Toc7501"/>
      <w:bookmarkStart w:id="382" w:name="_Toc28261"/>
      <w:bookmarkStart w:id="383" w:name="_Toc199152860"/>
      <w:r>
        <w:rPr>
          <w:rFonts w:hint="eastAsia" w:ascii="宋体" w:hAnsi="宋体" w:eastAsia="宋体" w:cs="宋体"/>
          <w:color w:val="auto"/>
          <w:sz w:val="24"/>
          <w:szCs w:val="24"/>
          <w:highlight w:val="none"/>
          <w:lang w:eastAsia="zh-CN"/>
        </w:rPr>
        <w:t>3.3监理人员</w:t>
      </w:r>
      <w:bookmarkEnd w:id="373"/>
      <w:bookmarkEnd w:id="374"/>
      <w:bookmarkEnd w:id="375"/>
      <w:bookmarkEnd w:id="376"/>
      <w:bookmarkEnd w:id="377"/>
      <w:bookmarkEnd w:id="378"/>
      <w:bookmarkEnd w:id="379"/>
      <w:bookmarkEnd w:id="380"/>
      <w:bookmarkEnd w:id="381"/>
      <w:bookmarkEnd w:id="382"/>
      <w:bookmarkEnd w:id="383"/>
    </w:p>
    <w:p w14:paraId="5EE96A64">
      <w:pPr>
        <w:pStyle w:val="115"/>
        <w:spacing w:line="361" w:lineRule="exact"/>
        <w:ind w:firstLine="420"/>
        <w:jc w:val="both"/>
        <w:rPr>
          <w:rFonts w:hint="eastAsia" w:ascii="宋体" w:hAnsi="宋体" w:eastAsia="宋体" w:cs="宋体"/>
          <w:color w:val="auto"/>
          <w:highlight w:val="none"/>
        </w:rPr>
      </w:pPr>
      <w:bookmarkStart w:id="384" w:name="bookmark988"/>
      <w:bookmarkEnd w:id="384"/>
      <w:r>
        <w:rPr>
          <w:rFonts w:hint="eastAsia" w:ascii="宋体" w:hAnsi="宋体" w:eastAsia="宋体" w:cs="宋体"/>
          <w:color w:val="auto"/>
          <w:highlight w:val="none"/>
        </w:rPr>
        <w:t>3.3.1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5EE96A65">
      <w:pPr>
        <w:pStyle w:val="115"/>
        <w:spacing w:line="361"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3.3.2</w:t>
      </w:r>
      <w:r>
        <w:rPr>
          <w:rFonts w:hint="eastAsia" w:ascii="宋体" w:hAnsi="宋体" w:eastAsia="宋体" w:cs="宋体"/>
          <w:color w:val="auto"/>
          <w:highlight w:val="none"/>
        </w:rPr>
        <w:t>监理人员对承包人的任何工作、工程或其采用的材料和工程设备未在约定的或合理的期限内提出否定意见的，视为已获批准，但不影响监理人在以后拒绝该项工作、工程、材料或工程设备的权利。</w:t>
      </w:r>
    </w:p>
    <w:p w14:paraId="5EE96A66">
      <w:pPr>
        <w:pStyle w:val="115"/>
        <w:spacing w:line="361"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3.3.3</w:t>
      </w:r>
      <w:r>
        <w:rPr>
          <w:rFonts w:hint="eastAsia" w:ascii="宋体" w:hAnsi="宋体" w:eastAsia="宋体" w:cs="宋体"/>
          <w:color w:val="auto"/>
          <w:highlight w:val="none"/>
        </w:rPr>
        <w:t>承包人对总监理工程师授权的监理人员发出的指示有疑问的，可向总监理工程师提出书面异议，总监理工程师应在48小时内对该指示予以确认、更改或撤销。</w:t>
      </w:r>
    </w:p>
    <w:p w14:paraId="5EE96A67">
      <w:pPr>
        <w:pStyle w:val="115"/>
        <w:spacing w:after="240" w:line="361" w:lineRule="exact"/>
        <w:ind w:firstLine="420"/>
        <w:jc w:val="both"/>
        <w:rPr>
          <w:rFonts w:hint="eastAsia" w:ascii="宋体" w:hAnsi="宋体" w:eastAsia="宋体" w:cs="宋体"/>
          <w:color w:val="auto"/>
          <w:highlight w:val="none"/>
        </w:rPr>
      </w:pPr>
      <w:bookmarkStart w:id="385" w:name="bookmark989"/>
      <w:bookmarkEnd w:id="385"/>
      <w:r>
        <w:rPr>
          <w:rFonts w:hint="eastAsia" w:ascii="宋体" w:hAnsi="宋体" w:eastAsia="宋体" w:cs="宋体"/>
          <w:color w:val="auto"/>
          <w:highlight w:val="none"/>
        </w:rPr>
        <w:t>3.3.4除专用合同条款另有约定外，总监理工程师不应将第3.5款约定应由总监理工程师作出确定的权力授权或委托给其他监理人员。</w:t>
      </w:r>
    </w:p>
    <w:p w14:paraId="5EE96A68">
      <w:pPr>
        <w:pStyle w:val="116"/>
        <w:spacing w:line="360" w:lineRule="exact"/>
        <w:rPr>
          <w:rFonts w:hint="eastAsia" w:ascii="宋体" w:hAnsi="宋体" w:eastAsia="宋体" w:cs="宋体"/>
          <w:color w:val="auto"/>
          <w:sz w:val="24"/>
          <w:szCs w:val="24"/>
          <w:highlight w:val="none"/>
          <w:lang w:eastAsia="zh-CN"/>
        </w:rPr>
      </w:pPr>
      <w:bookmarkStart w:id="386" w:name="bookmark992"/>
      <w:bookmarkStart w:id="387" w:name="_Toc14172"/>
      <w:bookmarkStart w:id="388" w:name="_Toc29343"/>
      <w:bookmarkStart w:id="389" w:name="_Toc28235"/>
      <w:bookmarkStart w:id="390" w:name="_Toc18876"/>
      <w:bookmarkStart w:id="391" w:name="_Toc23356"/>
      <w:bookmarkStart w:id="392" w:name="_Toc22811"/>
      <w:bookmarkStart w:id="393" w:name="bookmark990"/>
      <w:bookmarkStart w:id="394" w:name="_Toc19209"/>
      <w:bookmarkStart w:id="395" w:name="_Toc199152861"/>
      <w:bookmarkStart w:id="396" w:name="bookmark991"/>
      <w:r>
        <w:rPr>
          <w:rFonts w:hint="eastAsia" w:ascii="宋体" w:hAnsi="宋体" w:eastAsia="宋体" w:cs="宋体"/>
          <w:color w:val="auto"/>
          <w:sz w:val="24"/>
          <w:szCs w:val="24"/>
          <w:highlight w:val="none"/>
          <w:lang w:eastAsia="zh-CN"/>
        </w:rPr>
        <w:t>3.4监理人的指示</w:t>
      </w:r>
      <w:bookmarkEnd w:id="386"/>
      <w:bookmarkEnd w:id="387"/>
      <w:bookmarkEnd w:id="388"/>
      <w:bookmarkEnd w:id="389"/>
      <w:bookmarkEnd w:id="390"/>
      <w:bookmarkEnd w:id="391"/>
      <w:bookmarkEnd w:id="392"/>
      <w:bookmarkEnd w:id="393"/>
      <w:bookmarkEnd w:id="394"/>
      <w:bookmarkEnd w:id="395"/>
      <w:bookmarkEnd w:id="396"/>
    </w:p>
    <w:p w14:paraId="5EE96A69">
      <w:pPr>
        <w:pStyle w:val="115"/>
        <w:spacing w:line="362"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3.4.</w:t>
      </w:r>
      <w:r>
        <w:rPr>
          <w:rFonts w:hint="eastAsia" w:ascii="宋体" w:hAnsi="宋体" w:eastAsia="宋体" w:cs="宋体"/>
          <w:color w:val="auto"/>
          <w:highlight w:val="none"/>
        </w:rPr>
        <w:t>1监理人应按第</w:t>
      </w:r>
      <w:r>
        <w:rPr>
          <w:rFonts w:hint="eastAsia" w:ascii="宋体" w:hAnsi="宋体" w:eastAsia="宋体" w:cs="宋体"/>
          <w:color w:val="auto"/>
          <w:highlight w:val="none"/>
          <w:lang w:val="en-US" w:bidi="en-US"/>
        </w:rPr>
        <w:t>3.</w:t>
      </w:r>
      <w:r>
        <w:rPr>
          <w:rFonts w:hint="eastAsia" w:ascii="宋体" w:hAnsi="宋体" w:eastAsia="宋体" w:cs="宋体"/>
          <w:color w:val="auto"/>
          <w:highlight w:val="none"/>
        </w:rPr>
        <w:t>1款的约定向承包人发出指示，监理人的指示应盖有监理人授权的施工场地机构章，并由总监理工程师或总监理工程师按第</w:t>
      </w:r>
      <w:r>
        <w:rPr>
          <w:rFonts w:hint="eastAsia" w:ascii="宋体" w:hAnsi="宋体" w:eastAsia="宋体" w:cs="宋体"/>
          <w:color w:val="auto"/>
          <w:highlight w:val="none"/>
          <w:lang w:val="en-US" w:bidi="en-US"/>
        </w:rPr>
        <w:t>3.3.</w:t>
      </w:r>
      <w:r>
        <w:rPr>
          <w:rFonts w:hint="eastAsia" w:ascii="宋体" w:hAnsi="宋体" w:eastAsia="宋体" w:cs="宋体"/>
          <w:color w:val="auto"/>
          <w:highlight w:val="none"/>
        </w:rPr>
        <w:t>1项约定授权的监理人员签字</w:t>
      </w:r>
      <w:r>
        <w:rPr>
          <w:rFonts w:hint="eastAsia" w:ascii="宋体" w:hAnsi="宋体" w:eastAsia="宋体" w:cs="宋体"/>
          <w:color w:val="auto"/>
          <w:highlight w:val="none"/>
          <w:lang w:val="en-US" w:bidi="en-US"/>
        </w:rPr>
        <w:t>。</w:t>
      </w:r>
    </w:p>
    <w:p w14:paraId="5EE96A6A">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3.4.2</w:t>
      </w:r>
      <w:r>
        <w:rPr>
          <w:rFonts w:hint="eastAsia" w:ascii="宋体" w:hAnsi="宋体" w:eastAsia="宋体" w:cs="宋体"/>
          <w:color w:val="auto"/>
          <w:highlight w:val="none"/>
        </w:rPr>
        <w:t>承包人收到监理人按第</w:t>
      </w:r>
      <w:r>
        <w:rPr>
          <w:rFonts w:hint="eastAsia" w:ascii="宋体" w:hAnsi="宋体" w:eastAsia="宋体" w:cs="宋体"/>
          <w:color w:val="auto"/>
          <w:highlight w:val="none"/>
          <w:lang w:val="en-US" w:bidi="en-US"/>
        </w:rPr>
        <w:t>3.4.1</w:t>
      </w:r>
      <w:r>
        <w:rPr>
          <w:rFonts w:hint="eastAsia" w:ascii="宋体" w:hAnsi="宋体" w:eastAsia="宋体" w:cs="宋体"/>
          <w:color w:val="auto"/>
          <w:highlight w:val="none"/>
        </w:rPr>
        <w:t>项作出的指示后应遵照执行。指示构成变更的，应按第15条处理。</w:t>
      </w:r>
    </w:p>
    <w:p w14:paraId="5EE96A6B">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3.4.3</w:t>
      </w:r>
      <w:r>
        <w:rPr>
          <w:rFonts w:hint="eastAsia" w:ascii="宋体" w:hAnsi="宋体" w:eastAsia="宋体" w:cs="宋体"/>
          <w:color w:val="auto"/>
          <w:highlight w:val="none"/>
        </w:rPr>
        <w:t>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5EE96A6C">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3.4.4</w:t>
      </w:r>
      <w:r>
        <w:rPr>
          <w:rFonts w:hint="eastAsia" w:ascii="宋体" w:hAnsi="宋体" w:eastAsia="宋体" w:cs="宋体"/>
          <w:color w:val="auto"/>
          <w:highlight w:val="none"/>
        </w:rPr>
        <w:t>除合同另有约定外，承包人只从总监理工程师或按第</w:t>
      </w:r>
      <w:r>
        <w:rPr>
          <w:rFonts w:hint="eastAsia" w:ascii="宋体" w:hAnsi="宋体" w:eastAsia="宋体" w:cs="宋体"/>
          <w:color w:val="auto"/>
          <w:highlight w:val="none"/>
          <w:lang w:val="en-US" w:bidi="en-US"/>
        </w:rPr>
        <w:t>3.3.</w:t>
      </w:r>
      <w:r>
        <w:rPr>
          <w:rFonts w:hint="eastAsia" w:ascii="宋体" w:hAnsi="宋体" w:eastAsia="宋体" w:cs="宋体"/>
          <w:color w:val="auto"/>
          <w:highlight w:val="none"/>
        </w:rPr>
        <w:t>1项被授权的监理人员处取得指示。</w:t>
      </w:r>
    </w:p>
    <w:p w14:paraId="5EE96A6D">
      <w:pPr>
        <w:pStyle w:val="115"/>
        <w:spacing w:after="120"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3.4.5</w:t>
      </w:r>
      <w:r>
        <w:rPr>
          <w:rFonts w:hint="eastAsia" w:ascii="宋体" w:hAnsi="宋体" w:eastAsia="宋体" w:cs="宋体"/>
          <w:color w:val="auto"/>
          <w:highlight w:val="none"/>
        </w:rPr>
        <w:t>由于监理人未能按合同约定发出指示、指示延误或指示错误而导致承包人费用增加和（或）工期延误的，由发包人承担赔偿责任。</w:t>
      </w:r>
    </w:p>
    <w:p w14:paraId="5EE96A6E">
      <w:pPr>
        <w:pStyle w:val="116"/>
        <w:spacing w:line="360" w:lineRule="exact"/>
        <w:rPr>
          <w:rFonts w:hint="eastAsia" w:ascii="宋体" w:hAnsi="宋体" w:eastAsia="宋体" w:cs="宋体"/>
          <w:color w:val="auto"/>
          <w:sz w:val="24"/>
          <w:szCs w:val="24"/>
          <w:highlight w:val="none"/>
          <w:lang w:eastAsia="zh-CN"/>
        </w:rPr>
      </w:pPr>
      <w:bookmarkStart w:id="397" w:name="_Toc26584"/>
      <w:bookmarkStart w:id="398" w:name="bookmark994"/>
      <w:bookmarkStart w:id="399" w:name="_Toc22411"/>
      <w:bookmarkStart w:id="400" w:name="_Toc17429"/>
      <w:bookmarkStart w:id="401" w:name="_Toc15164"/>
      <w:bookmarkStart w:id="402" w:name="_Toc1212"/>
      <w:bookmarkStart w:id="403" w:name="_Toc18381"/>
      <w:bookmarkStart w:id="404" w:name="bookmark993"/>
      <w:bookmarkStart w:id="405" w:name="_Toc19935"/>
      <w:bookmarkStart w:id="406" w:name="_Toc199152862"/>
      <w:bookmarkStart w:id="407" w:name="bookmark995"/>
      <w:r>
        <w:rPr>
          <w:rFonts w:hint="eastAsia" w:ascii="宋体" w:hAnsi="宋体" w:eastAsia="宋体" w:cs="宋体"/>
          <w:color w:val="auto"/>
          <w:sz w:val="24"/>
          <w:szCs w:val="24"/>
          <w:highlight w:val="none"/>
          <w:lang w:eastAsia="zh-CN"/>
        </w:rPr>
        <w:t>3.5商定或确定</w:t>
      </w:r>
      <w:bookmarkEnd w:id="397"/>
      <w:bookmarkEnd w:id="398"/>
      <w:bookmarkEnd w:id="399"/>
      <w:bookmarkEnd w:id="400"/>
      <w:bookmarkEnd w:id="401"/>
      <w:bookmarkEnd w:id="402"/>
      <w:bookmarkEnd w:id="403"/>
      <w:bookmarkEnd w:id="404"/>
      <w:bookmarkEnd w:id="405"/>
      <w:bookmarkEnd w:id="406"/>
      <w:bookmarkEnd w:id="407"/>
    </w:p>
    <w:p w14:paraId="5EE96A6F">
      <w:pPr>
        <w:pStyle w:val="115"/>
        <w:spacing w:line="368"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3.5.1</w:t>
      </w:r>
      <w:r>
        <w:rPr>
          <w:rFonts w:hint="eastAsia" w:ascii="宋体" w:hAnsi="宋体" w:eastAsia="宋体" w:cs="宋体"/>
          <w:color w:val="auto"/>
          <w:highlight w:val="none"/>
        </w:rPr>
        <w:t>合同约定总监理工程师应按照本款对任何事项进行商定或确定时，总监理工程师应与合同当事人协商，尽量达成一致。不能达成一致的，总监理工程师应认真研究后审慎确定。</w:t>
      </w:r>
    </w:p>
    <w:p w14:paraId="5EE96A70">
      <w:pPr>
        <w:pStyle w:val="115"/>
        <w:spacing w:after="280" w:line="356"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3.5.2</w:t>
      </w:r>
      <w:r>
        <w:rPr>
          <w:rFonts w:hint="eastAsia" w:ascii="宋体" w:hAnsi="宋体" w:eastAsia="宋体" w:cs="宋体"/>
          <w:color w:val="auto"/>
          <w:highlight w:val="none"/>
        </w:rPr>
        <w:t>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r>
        <w:rPr>
          <w:rFonts w:hint="eastAsia" w:ascii="宋体" w:hAnsi="宋体" w:eastAsia="宋体" w:cs="宋体"/>
          <w:color w:val="auto"/>
          <w:highlight w:val="none"/>
          <w:lang w:val="en-US" w:bidi="en-US"/>
        </w:rPr>
        <w:t>。</w:t>
      </w:r>
    </w:p>
    <w:p w14:paraId="5EE96A71">
      <w:pPr>
        <w:pStyle w:val="116"/>
        <w:spacing w:line="360" w:lineRule="exact"/>
        <w:rPr>
          <w:rFonts w:hint="eastAsia" w:ascii="宋体" w:hAnsi="宋体" w:eastAsia="宋体" w:cs="宋体"/>
          <w:color w:val="auto"/>
          <w:highlight w:val="none"/>
          <w:lang w:eastAsia="zh-CN"/>
        </w:rPr>
      </w:pPr>
      <w:bookmarkStart w:id="408" w:name="_Toc30470"/>
      <w:bookmarkStart w:id="409" w:name="bookmark996"/>
      <w:bookmarkStart w:id="410" w:name="_Toc199152863"/>
      <w:bookmarkStart w:id="411" w:name="_Toc15264"/>
      <w:bookmarkStart w:id="412" w:name="_Toc45"/>
      <w:bookmarkStart w:id="413" w:name="_Toc554"/>
      <w:bookmarkStart w:id="414" w:name="_Toc13765"/>
      <w:bookmarkStart w:id="415" w:name="_Toc30773"/>
      <w:bookmarkStart w:id="416" w:name="bookmark997"/>
      <w:bookmarkStart w:id="417" w:name="_Toc28178"/>
      <w:bookmarkStart w:id="418" w:name="bookmark998"/>
      <w:r>
        <w:rPr>
          <w:rFonts w:hint="eastAsia" w:ascii="宋体" w:hAnsi="宋体" w:eastAsia="宋体" w:cs="宋体"/>
          <w:color w:val="auto"/>
          <w:highlight w:val="none"/>
          <w:lang w:eastAsia="zh-CN"/>
        </w:rPr>
        <w:t>4.承包人</w:t>
      </w:r>
      <w:bookmarkEnd w:id="408"/>
      <w:bookmarkEnd w:id="409"/>
      <w:bookmarkEnd w:id="410"/>
      <w:bookmarkEnd w:id="411"/>
      <w:bookmarkEnd w:id="412"/>
      <w:bookmarkEnd w:id="413"/>
      <w:bookmarkEnd w:id="414"/>
      <w:bookmarkEnd w:id="415"/>
      <w:bookmarkEnd w:id="416"/>
      <w:bookmarkEnd w:id="417"/>
      <w:bookmarkEnd w:id="418"/>
    </w:p>
    <w:p w14:paraId="5EE96A72">
      <w:pPr>
        <w:pStyle w:val="116"/>
        <w:spacing w:line="360" w:lineRule="exact"/>
        <w:rPr>
          <w:rFonts w:hint="eastAsia" w:ascii="宋体" w:hAnsi="宋体" w:eastAsia="宋体" w:cs="宋体"/>
          <w:color w:val="auto"/>
          <w:sz w:val="24"/>
          <w:szCs w:val="24"/>
          <w:highlight w:val="none"/>
          <w:lang w:eastAsia="zh-CN"/>
        </w:rPr>
      </w:pPr>
      <w:bookmarkStart w:id="419" w:name="_Toc199152864"/>
      <w:bookmarkStart w:id="420" w:name="_Toc834"/>
      <w:bookmarkStart w:id="421" w:name="bookmark1000"/>
      <w:bookmarkStart w:id="422" w:name="_Toc14674"/>
      <w:bookmarkStart w:id="423" w:name="_Toc12757"/>
      <w:bookmarkStart w:id="424" w:name="bookmark999"/>
      <w:bookmarkStart w:id="425" w:name="bookmark1001"/>
      <w:bookmarkStart w:id="426" w:name="_Toc31468"/>
      <w:bookmarkStart w:id="427" w:name="_Toc25353"/>
      <w:bookmarkStart w:id="428" w:name="_Toc3815"/>
      <w:bookmarkStart w:id="429" w:name="_Toc11324"/>
      <w:r>
        <w:rPr>
          <w:rFonts w:hint="eastAsia" w:ascii="宋体" w:hAnsi="宋体" w:eastAsia="宋体" w:cs="宋体"/>
          <w:color w:val="auto"/>
          <w:sz w:val="24"/>
          <w:szCs w:val="24"/>
          <w:highlight w:val="none"/>
          <w:lang w:eastAsia="zh-CN"/>
        </w:rPr>
        <w:t>4.1承包人的一般义务</w:t>
      </w:r>
      <w:bookmarkEnd w:id="419"/>
      <w:bookmarkEnd w:id="420"/>
      <w:bookmarkEnd w:id="421"/>
      <w:bookmarkEnd w:id="422"/>
      <w:bookmarkEnd w:id="423"/>
      <w:bookmarkEnd w:id="424"/>
      <w:bookmarkEnd w:id="425"/>
      <w:bookmarkEnd w:id="426"/>
      <w:bookmarkEnd w:id="427"/>
      <w:bookmarkEnd w:id="428"/>
      <w:bookmarkEnd w:id="429"/>
    </w:p>
    <w:p w14:paraId="5EE96A73">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4.1.1</w:t>
      </w:r>
      <w:r>
        <w:rPr>
          <w:rFonts w:hint="eastAsia" w:ascii="宋体" w:hAnsi="宋体" w:eastAsia="宋体" w:cs="宋体"/>
          <w:color w:val="auto"/>
          <w:highlight w:val="none"/>
        </w:rPr>
        <w:t>遵守法律</w:t>
      </w:r>
    </w:p>
    <w:p w14:paraId="5EE96A74">
      <w:pPr>
        <w:pStyle w:val="115"/>
        <w:spacing w:after="120" w:line="35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承包人在履行合同过程中应遵守法律，并保证发包人免于承担因承包人违反法律而引起的任何责任。</w:t>
      </w:r>
    </w:p>
    <w:p w14:paraId="5EE96A75">
      <w:pPr>
        <w:pStyle w:val="115"/>
        <w:spacing w:line="363" w:lineRule="exact"/>
        <w:ind w:firstLine="420"/>
        <w:jc w:val="both"/>
        <w:rPr>
          <w:rFonts w:hint="eastAsia" w:ascii="宋体" w:hAnsi="宋体" w:eastAsia="宋体" w:cs="宋体"/>
          <w:color w:val="auto"/>
          <w:highlight w:val="none"/>
        </w:rPr>
      </w:pPr>
      <w:bookmarkStart w:id="430" w:name="bookmark1002"/>
      <w:bookmarkEnd w:id="430"/>
      <w:r>
        <w:rPr>
          <w:rFonts w:hint="eastAsia" w:ascii="宋体" w:hAnsi="宋体" w:eastAsia="宋体" w:cs="宋体"/>
          <w:color w:val="auto"/>
          <w:highlight w:val="none"/>
          <w:lang w:val="en-US"/>
        </w:rPr>
        <w:t>4.1.2</w:t>
      </w:r>
      <w:r>
        <w:rPr>
          <w:rFonts w:hint="eastAsia" w:ascii="宋体" w:hAnsi="宋体" w:eastAsia="宋体" w:cs="宋体"/>
          <w:color w:val="auto"/>
          <w:highlight w:val="none"/>
        </w:rPr>
        <w:t>依法纳税</w:t>
      </w:r>
    </w:p>
    <w:p w14:paraId="5EE96A76">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承包人应按有关法律规定纳税，应缴纳的税金包括在合同价格内。</w:t>
      </w:r>
    </w:p>
    <w:p w14:paraId="5EE96A77">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rPr>
        <w:t>4.1.3</w:t>
      </w:r>
      <w:r>
        <w:rPr>
          <w:rFonts w:hint="eastAsia" w:ascii="宋体" w:hAnsi="宋体" w:eastAsia="宋体" w:cs="宋体"/>
          <w:color w:val="auto"/>
          <w:highlight w:val="none"/>
        </w:rPr>
        <w:t>完成各项承包工作</w:t>
      </w:r>
    </w:p>
    <w:p w14:paraId="5EE96A78">
      <w:pPr>
        <w:pStyle w:val="115"/>
        <w:spacing w:line="366"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承包人应按合同约定以及监理人根据第</w:t>
      </w:r>
      <w:r>
        <w:rPr>
          <w:rFonts w:hint="eastAsia" w:ascii="宋体" w:hAnsi="宋体" w:eastAsia="宋体" w:cs="宋体"/>
          <w:color w:val="auto"/>
          <w:highlight w:val="none"/>
          <w:lang w:val="en-US" w:bidi="en-US"/>
        </w:rPr>
        <w:t>3.4</w:t>
      </w:r>
      <w:r>
        <w:rPr>
          <w:rFonts w:hint="eastAsia" w:ascii="宋体" w:hAnsi="宋体" w:eastAsia="宋体" w:cs="宋体"/>
          <w:color w:val="auto"/>
          <w:highlight w:val="none"/>
        </w:rPr>
        <w:t>款作出的指示，实施、完成全部工程，并修补工程中的任何缺陷。除第</w:t>
      </w:r>
      <w:r>
        <w:rPr>
          <w:rFonts w:hint="eastAsia" w:ascii="宋体" w:hAnsi="宋体" w:eastAsia="宋体" w:cs="宋体"/>
          <w:color w:val="auto"/>
          <w:highlight w:val="none"/>
          <w:lang w:val="en-US" w:bidi="en-US"/>
        </w:rPr>
        <w:t>5.</w:t>
      </w:r>
      <w:r>
        <w:rPr>
          <w:rFonts w:hint="eastAsia" w:ascii="宋体" w:hAnsi="宋体" w:eastAsia="宋体" w:cs="宋体"/>
          <w:color w:val="auto"/>
          <w:highlight w:val="none"/>
        </w:rPr>
        <w:t>2款、第</w:t>
      </w:r>
      <w:r>
        <w:rPr>
          <w:rFonts w:hint="eastAsia" w:ascii="宋体" w:hAnsi="宋体" w:eastAsia="宋体" w:cs="宋体"/>
          <w:color w:val="auto"/>
          <w:highlight w:val="none"/>
          <w:lang w:val="en-US" w:bidi="en-US"/>
        </w:rPr>
        <w:t>6.</w:t>
      </w:r>
      <w:r>
        <w:rPr>
          <w:rFonts w:hint="eastAsia" w:ascii="宋体" w:hAnsi="宋体" w:eastAsia="宋体" w:cs="宋体"/>
          <w:color w:val="auto"/>
          <w:highlight w:val="none"/>
        </w:rPr>
        <w:t>2款另有约定外，承包人应提供为完成合同工作所需的劳务、材料、施工设备、工程设备和其它物品，并按合同约定负责临时设施的设计、建造、运行、维护、管理和拆除。</w:t>
      </w:r>
    </w:p>
    <w:p w14:paraId="5EE96A79">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rPr>
        <w:t>4.1.4</w:t>
      </w:r>
      <w:r>
        <w:rPr>
          <w:rFonts w:hint="eastAsia" w:ascii="宋体" w:hAnsi="宋体" w:eastAsia="宋体" w:cs="宋体"/>
          <w:color w:val="auto"/>
          <w:highlight w:val="none"/>
        </w:rPr>
        <w:t>对施工作业和施工方法的完备性负责</w:t>
      </w:r>
    </w:p>
    <w:p w14:paraId="5EE96A7A">
      <w:pPr>
        <w:pStyle w:val="115"/>
        <w:spacing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承包人应按合同约定的工作内容和施工进度要求，编制施工组织设计和施工措施计划，并对所有施工作业和施工方法的完备性和安全可靠性负责。</w:t>
      </w:r>
    </w:p>
    <w:p w14:paraId="5EE96A7B">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rPr>
        <w:t>4.1.5</w:t>
      </w:r>
      <w:r>
        <w:rPr>
          <w:rFonts w:hint="eastAsia" w:ascii="宋体" w:hAnsi="宋体" w:eastAsia="宋体" w:cs="宋体"/>
          <w:color w:val="auto"/>
          <w:highlight w:val="none"/>
        </w:rPr>
        <w:t>保证工程施工和人员的安全</w:t>
      </w:r>
    </w:p>
    <w:p w14:paraId="5EE96A7C">
      <w:pPr>
        <w:pStyle w:val="115"/>
        <w:spacing w:line="382"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承包人应按第</w:t>
      </w:r>
      <w:r>
        <w:rPr>
          <w:rFonts w:hint="eastAsia" w:ascii="宋体" w:hAnsi="宋体" w:eastAsia="宋体" w:cs="宋体"/>
          <w:color w:val="auto"/>
          <w:highlight w:val="none"/>
          <w:lang w:val="en-US" w:bidi="en-US"/>
        </w:rPr>
        <w:t>9.</w:t>
      </w:r>
      <w:r>
        <w:rPr>
          <w:rFonts w:hint="eastAsia" w:ascii="宋体" w:hAnsi="宋体" w:eastAsia="宋体" w:cs="宋体"/>
          <w:color w:val="auto"/>
          <w:highlight w:val="none"/>
        </w:rPr>
        <w:t>2款约定采取施工安全措施，确保工程及其人员、材料、设备和设施的安全，防止因工程施工造成的人身伤害和财产损失。</w:t>
      </w:r>
    </w:p>
    <w:p w14:paraId="5EE96A7D">
      <w:pPr>
        <w:pStyle w:val="115"/>
        <w:spacing w:line="363" w:lineRule="exact"/>
        <w:ind w:firstLine="420"/>
        <w:jc w:val="both"/>
        <w:rPr>
          <w:rFonts w:hint="eastAsia" w:ascii="宋体" w:hAnsi="宋体" w:eastAsia="宋体" w:cs="宋体"/>
          <w:color w:val="auto"/>
          <w:highlight w:val="none"/>
        </w:rPr>
      </w:pPr>
      <w:bookmarkStart w:id="431" w:name="bookmark1003"/>
      <w:bookmarkEnd w:id="431"/>
      <w:r>
        <w:rPr>
          <w:rFonts w:hint="eastAsia" w:ascii="宋体" w:hAnsi="宋体" w:eastAsia="宋体" w:cs="宋体"/>
          <w:color w:val="auto"/>
          <w:highlight w:val="none"/>
          <w:lang w:val="en-US"/>
        </w:rPr>
        <w:t>4.1.6</w:t>
      </w:r>
      <w:r>
        <w:rPr>
          <w:rFonts w:hint="eastAsia" w:ascii="宋体" w:hAnsi="宋体" w:eastAsia="宋体" w:cs="宋体"/>
          <w:color w:val="auto"/>
          <w:highlight w:val="none"/>
        </w:rPr>
        <w:t>负责施工场地及其周边环境与生态的保护工作</w:t>
      </w:r>
    </w:p>
    <w:p w14:paraId="5EE96A7E">
      <w:pPr>
        <w:pStyle w:val="115"/>
        <w:spacing w:line="355"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承包人应按照第</w:t>
      </w:r>
      <w:r>
        <w:rPr>
          <w:rFonts w:hint="eastAsia" w:ascii="宋体" w:hAnsi="宋体" w:eastAsia="宋体" w:cs="宋体"/>
          <w:color w:val="auto"/>
          <w:highlight w:val="none"/>
          <w:lang w:val="en-US" w:bidi="en-US"/>
        </w:rPr>
        <w:t>9.4</w:t>
      </w:r>
      <w:r>
        <w:rPr>
          <w:rFonts w:hint="eastAsia" w:ascii="宋体" w:hAnsi="宋体" w:eastAsia="宋体" w:cs="宋体"/>
          <w:color w:val="auto"/>
          <w:highlight w:val="none"/>
        </w:rPr>
        <w:t>款约定负责施工场地及其周边环境与生态的保护工作。</w:t>
      </w:r>
    </w:p>
    <w:p w14:paraId="5EE96A7F">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rPr>
        <w:t>4.1.</w:t>
      </w:r>
      <w:r>
        <w:rPr>
          <w:rFonts w:hint="eastAsia" w:ascii="宋体" w:hAnsi="宋体" w:eastAsia="宋体" w:cs="宋体"/>
          <w:color w:val="auto"/>
          <w:highlight w:val="none"/>
        </w:rPr>
        <w:t>7避免施工对公众与他人的利益造成损害</w:t>
      </w:r>
    </w:p>
    <w:p w14:paraId="5EE96A80">
      <w:pPr>
        <w:pStyle w:val="115"/>
        <w:spacing w:line="355"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5EE96A81">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rPr>
        <w:t>4.1.8</w:t>
      </w:r>
      <w:r>
        <w:rPr>
          <w:rFonts w:hint="eastAsia" w:ascii="宋体" w:hAnsi="宋体" w:eastAsia="宋体" w:cs="宋体"/>
          <w:color w:val="auto"/>
          <w:highlight w:val="none"/>
        </w:rPr>
        <w:t>为他人提供方便</w:t>
      </w:r>
    </w:p>
    <w:p w14:paraId="5EE96A82">
      <w:pPr>
        <w:pStyle w:val="115"/>
        <w:spacing w:line="341"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承包人应按监理人的指示为他人在施工场地或附近实施与工程有关的其他各项工作提供可能的条件。除合同另有约定外，提供有关条件的内容和可能发生的费用，由监理人按第</w:t>
      </w:r>
      <w:r>
        <w:rPr>
          <w:rFonts w:hint="eastAsia" w:ascii="宋体" w:hAnsi="宋体" w:eastAsia="宋体" w:cs="宋体"/>
          <w:color w:val="auto"/>
          <w:highlight w:val="none"/>
          <w:lang w:val="en-US" w:bidi="en-US"/>
        </w:rPr>
        <w:t>3.</w:t>
      </w:r>
      <w:r>
        <w:rPr>
          <w:rFonts w:hint="eastAsia" w:ascii="宋体" w:hAnsi="宋体" w:eastAsia="宋体" w:cs="宋体"/>
          <w:color w:val="auto"/>
          <w:highlight w:val="none"/>
        </w:rPr>
        <w:t>5款商定或确定。</w:t>
      </w:r>
    </w:p>
    <w:p w14:paraId="5EE96A83">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rPr>
        <w:t>4.1.9</w:t>
      </w:r>
      <w:r>
        <w:rPr>
          <w:rFonts w:hint="eastAsia" w:ascii="宋体" w:hAnsi="宋体" w:eastAsia="宋体" w:cs="宋体"/>
          <w:color w:val="auto"/>
          <w:highlight w:val="none"/>
        </w:rPr>
        <w:t>工程的维护和照管</w:t>
      </w:r>
    </w:p>
    <w:p w14:paraId="5EE96A84">
      <w:pPr>
        <w:pStyle w:val="115"/>
        <w:spacing w:line="355"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除合同另有约定外，合同工程完工证书颁发前，承包人应负责照管和维护工程。合同工程完工证书颁发时尚有部分未完工程的，承包人还应负责该未完工程的照管和维护工作，直至完工后移交给发包人为止。</w:t>
      </w:r>
    </w:p>
    <w:p w14:paraId="5EE96A85">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4.1.10其它义务</w:t>
      </w:r>
    </w:p>
    <w:p w14:paraId="5EE96A86">
      <w:pPr>
        <w:pStyle w:val="115"/>
        <w:spacing w:after="120"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其它义务在专用合同条款中补充约定。</w:t>
      </w:r>
    </w:p>
    <w:p w14:paraId="5EE96A87">
      <w:pPr>
        <w:pStyle w:val="116"/>
        <w:spacing w:line="360" w:lineRule="exact"/>
        <w:rPr>
          <w:rFonts w:hint="eastAsia" w:ascii="宋体" w:hAnsi="宋体" w:eastAsia="宋体" w:cs="宋体"/>
          <w:color w:val="auto"/>
          <w:sz w:val="24"/>
          <w:szCs w:val="24"/>
          <w:highlight w:val="none"/>
          <w:lang w:eastAsia="zh-CN"/>
        </w:rPr>
      </w:pPr>
      <w:bookmarkStart w:id="432" w:name="_Toc30450"/>
      <w:bookmarkStart w:id="433" w:name="_Toc11535"/>
      <w:bookmarkStart w:id="434" w:name="bookmark1004"/>
      <w:bookmarkStart w:id="435" w:name="_Toc19295"/>
      <w:bookmarkStart w:id="436" w:name="_Toc5452"/>
      <w:bookmarkStart w:id="437" w:name="bookmark1006"/>
      <w:bookmarkStart w:id="438" w:name="bookmark1005"/>
      <w:bookmarkStart w:id="439" w:name="_Toc23140"/>
      <w:bookmarkStart w:id="440" w:name="_Toc199152865"/>
      <w:bookmarkStart w:id="441" w:name="_Toc12072"/>
      <w:bookmarkStart w:id="442" w:name="_Toc20330"/>
      <w:r>
        <w:rPr>
          <w:rFonts w:hint="eastAsia" w:ascii="宋体" w:hAnsi="宋体" w:eastAsia="宋体" w:cs="宋体"/>
          <w:color w:val="auto"/>
          <w:sz w:val="24"/>
          <w:szCs w:val="24"/>
          <w:highlight w:val="none"/>
          <w:lang w:eastAsia="zh-CN"/>
        </w:rPr>
        <w:t>4.2履约担保</w:t>
      </w:r>
      <w:bookmarkEnd w:id="432"/>
      <w:bookmarkEnd w:id="433"/>
      <w:bookmarkEnd w:id="434"/>
      <w:bookmarkEnd w:id="435"/>
      <w:bookmarkEnd w:id="436"/>
      <w:bookmarkEnd w:id="437"/>
      <w:bookmarkEnd w:id="438"/>
      <w:bookmarkEnd w:id="439"/>
      <w:bookmarkEnd w:id="440"/>
      <w:bookmarkEnd w:id="441"/>
      <w:bookmarkEnd w:id="442"/>
    </w:p>
    <w:p w14:paraId="5EE96A88">
      <w:pPr>
        <w:pStyle w:val="115"/>
        <w:spacing w:after="160" w:line="331"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承包人应保证其履约担保在发包人颁发合同工程完工证书前一直有效。发包人应在合同工程完工证书颁发后28天内将履约担保退还给承包人。</w:t>
      </w:r>
    </w:p>
    <w:p w14:paraId="5EE96A89">
      <w:pPr>
        <w:pStyle w:val="116"/>
        <w:spacing w:line="360" w:lineRule="exact"/>
        <w:rPr>
          <w:rFonts w:hint="eastAsia" w:ascii="宋体" w:hAnsi="宋体" w:eastAsia="宋体" w:cs="宋体"/>
          <w:color w:val="auto"/>
          <w:sz w:val="24"/>
          <w:szCs w:val="24"/>
          <w:highlight w:val="none"/>
          <w:lang w:eastAsia="zh-CN"/>
        </w:rPr>
      </w:pPr>
      <w:bookmarkStart w:id="443" w:name="_Toc7723"/>
      <w:bookmarkStart w:id="444" w:name="_Toc14304"/>
      <w:bookmarkStart w:id="445" w:name="bookmark1009"/>
      <w:bookmarkStart w:id="446" w:name="_Toc199152866"/>
      <w:bookmarkStart w:id="447" w:name="_Toc8180"/>
      <w:bookmarkStart w:id="448" w:name="_Toc8313"/>
      <w:bookmarkStart w:id="449" w:name="_Toc31393"/>
      <w:bookmarkStart w:id="450" w:name="_Toc11216"/>
      <w:bookmarkStart w:id="451" w:name="bookmark1007"/>
      <w:bookmarkStart w:id="452" w:name="bookmark1008"/>
      <w:bookmarkStart w:id="453" w:name="_Toc32323"/>
      <w:r>
        <w:rPr>
          <w:rFonts w:hint="eastAsia" w:ascii="宋体" w:hAnsi="宋体" w:eastAsia="宋体" w:cs="宋体"/>
          <w:color w:val="auto"/>
          <w:sz w:val="24"/>
          <w:szCs w:val="24"/>
          <w:highlight w:val="none"/>
          <w:lang w:eastAsia="zh-CN"/>
        </w:rPr>
        <w:t>4.3分包</w:t>
      </w:r>
      <w:bookmarkEnd w:id="443"/>
      <w:bookmarkEnd w:id="444"/>
      <w:bookmarkEnd w:id="445"/>
      <w:bookmarkEnd w:id="446"/>
      <w:bookmarkEnd w:id="447"/>
      <w:bookmarkEnd w:id="448"/>
      <w:bookmarkEnd w:id="449"/>
      <w:bookmarkEnd w:id="450"/>
      <w:bookmarkEnd w:id="451"/>
      <w:bookmarkEnd w:id="452"/>
      <w:bookmarkEnd w:id="453"/>
    </w:p>
    <w:p w14:paraId="5EE96A8A">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4.3.1</w:t>
      </w:r>
      <w:r>
        <w:rPr>
          <w:rFonts w:hint="eastAsia" w:ascii="宋体" w:hAnsi="宋体" w:eastAsia="宋体" w:cs="宋体"/>
          <w:color w:val="auto"/>
          <w:highlight w:val="none"/>
        </w:rPr>
        <w:t>承包人不得将其承包的全部工程转包给第三人，或将其承包的全部工程肢解后以分包的名义转包给第三人。</w:t>
      </w:r>
    </w:p>
    <w:p w14:paraId="5EE96A8B">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4.3.2</w:t>
      </w:r>
      <w:r>
        <w:rPr>
          <w:rFonts w:hint="eastAsia" w:ascii="宋体" w:hAnsi="宋体" w:eastAsia="宋体" w:cs="宋体"/>
          <w:color w:val="auto"/>
          <w:highlight w:val="none"/>
        </w:rPr>
        <w:t>承包人不得将工程主体、关键性工作分包给第三人。除专用合同条款另有约定外，未经发包人同意，承包人不得将工程的其他部分或工作分包给第三人。</w:t>
      </w:r>
    </w:p>
    <w:p w14:paraId="5EE96A8C">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4.3.</w:t>
      </w:r>
      <w:r>
        <w:rPr>
          <w:rFonts w:hint="eastAsia" w:ascii="宋体" w:hAnsi="宋体" w:eastAsia="宋体" w:cs="宋体"/>
          <w:color w:val="auto"/>
          <w:highlight w:val="none"/>
        </w:rPr>
        <w:t>3分包人的资格能力应与其分包工程的标准和规模相适应。</w:t>
      </w:r>
    </w:p>
    <w:p w14:paraId="5EE96A8D">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4.3.4</w:t>
      </w:r>
      <w:r>
        <w:rPr>
          <w:rFonts w:hint="eastAsia" w:ascii="宋体" w:hAnsi="宋体" w:eastAsia="宋体" w:cs="宋体"/>
          <w:color w:val="auto"/>
          <w:highlight w:val="none"/>
        </w:rPr>
        <w:t>按投标函附录约定分包工程的，承包人应向发包人和监理人提交分包合同副本。</w:t>
      </w:r>
    </w:p>
    <w:p w14:paraId="5EE96A8E">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4.3.5</w:t>
      </w:r>
      <w:r>
        <w:rPr>
          <w:rFonts w:hint="eastAsia" w:ascii="宋体" w:hAnsi="宋体" w:eastAsia="宋体" w:cs="宋体"/>
          <w:color w:val="auto"/>
          <w:highlight w:val="none"/>
        </w:rPr>
        <w:t>承包人应与分包人就分包工程向发包人承担连带责任。</w:t>
      </w:r>
    </w:p>
    <w:p w14:paraId="5EE96A8F">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4.3.6</w:t>
      </w:r>
      <w:r>
        <w:rPr>
          <w:rFonts w:hint="eastAsia" w:ascii="宋体" w:hAnsi="宋体" w:eastAsia="宋体" w:cs="宋体"/>
          <w:color w:val="auto"/>
          <w:highlight w:val="none"/>
        </w:rPr>
        <w:t>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14:paraId="5EE96A90">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4.3.7</w:t>
      </w:r>
      <w:r>
        <w:rPr>
          <w:rFonts w:hint="eastAsia" w:ascii="宋体" w:hAnsi="宋体" w:eastAsia="宋体" w:cs="宋体"/>
          <w:color w:val="auto"/>
          <w:highlight w:val="none"/>
        </w:rPr>
        <w:t>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得增加承包人的额外费用；因承包人原因形成指定分包条件的，承包人应承担指定分包所增加的费用。由指定分包人造成的与其分包工作有关的一切索赔、诉讼和损失赔偿由指定分包人直接对发包人负责，承包人不对此承担责任。</w:t>
      </w:r>
    </w:p>
    <w:p w14:paraId="5EE96A91">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4.3.8</w:t>
      </w:r>
      <w:r>
        <w:rPr>
          <w:rFonts w:hint="eastAsia" w:ascii="宋体" w:hAnsi="宋体" w:eastAsia="宋体" w:cs="宋体"/>
          <w:color w:val="auto"/>
          <w:highlight w:val="none"/>
        </w:rPr>
        <w:t>承包人和发包人应当签订分包合同，并履行合同约定的义务。分包合同必须遵循承包合同的各项原则，满足相应条款的要求。发包人可以对分包合同实施情况进行监督检查。承包人应将分包合同副本提交发包人和监理人。</w:t>
      </w:r>
    </w:p>
    <w:p w14:paraId="5EE96A92">
      <w:pPr>
        <w:pStyle w:val="115"/>
        <w:spacing w:line="357"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4.3.9</w:t>
      </w:r>
      <w:r>
        <w:rPr>
          <w:rFonts w:hint="eastAsia" w:ascii="宋体" w:hAnsi="宋体" w:eastAsia="宋体" w:cs="宋体"/>
          <w:color w:val="auto"/>
          <w:highlight w:val="none"/>
        </w:rPr>
        <w:t>除第</w:t>
      </w:r>
      <w:r>
        <w:rPr>
          <w:rFonts w:hint="eastAsia" w:ascii="宋体" w:hAnsi="宋体" w:eastAsia="宋体" w:cs="宋体"/>
          <w:color w:val="auto"/>
          <w:highlight w:val="none"/>
          <w:lang w:val="en-US" w:bidi="en-US"/>
        </w:rPr>
        <w:t>4.3.</w:t>
      </w:r>
      <w:r>
        <w:rPr>
          <w:rFonts w:hint="eastAsia" w:ascii="宋体" w:hAnsi="宋体" w:eastAsia="宋体" w:cs="宋体"/>
          <w:color w:val="auto"/>
          <w:highlight w:val="none"/>
        </w:rPr>
        <w:t>7项规定的指定分包外，承包人对其分包项目的实施以及分包人的行为向发包人负全部责任。承包人应对分包项目的工程进度、质量、安全、计量和验收等实施监督和管理。</w:t>
      </w:r>
    </w:p>
    <w:p w14:paraId="5EE96A93">
      <w:pPr>
        <w:pStyle w:val="115"/>
        <w:tabs>
          <w:tab w:val="left" w:pos="736"/>
        </w:tabs>
        <w:spacing w:after="140" w:line="372" w:lineRule="exact"/>
        <w:ind w:left="420" w:firstLine="0"/>
        <w:jc w:val="both"/>
        <w:rPr>
          <w:rFonts w:hint="eastAsia" w:ascii="宋体" w:hAnsi="宋体" w:eastAsia="宋体" w:cs="宋体"/>
          <w:color w:val="auto"/>
          <w:highlight w:val="none"/>
        </w:rPr>
      </w:pPr>
      <w:bookmarkStart w:id="454" w:name="bookmark1010"/>
      <w:bookmarkEnd w:id="454"/>
      <w:r>
        <w:rPr>
          <w:rFonts w:hint="eastAsia" w:ascii="宋体" w:hAnsi="宋体" w:eastAsia="宋体" w:cs="宋体"/>
          <w:color w:val="auto"/>
          <w:highlight w:val="none"/>
          <w:lang w:val="en-US" w:bidi="en-US"/>
        </w:rPr>
        <w:t>4.3.</w:t>
      </w:r>
      <w:r>
        <w:rPr>
          <w:rFonts w:hint="eastAsia" w:ascii="宋体" w:hAnsi="宋体" w:eastAsia="宋体" w:cs="宋体"/>
          <w:color w:val="auto"/>
          <w:highlight w:val="none"/>
        </w:rPr>
        <w:t>10分包人应按专用合同条款的约定设立项目管理机构组织管理分包工程的施工活动。</w:t>
      </w:r>
    </w:p>
    <w:p w14:paraId="5EE96A94">
      <w:pPr>
        <w:pStyle w:val="116"/>
        <w:spacing w:line="360" w:lineRule="exact"/>
        <w:rPr>
          <w:rFonts w:hint="eastAsia" w:ascii="宋体" w:hAnsi="宋体" w:eastAsia="宋体" w:cs="宋体"/>
          <w:color w:val="auto"/>
          <w:sz w:val="24"/>
          <w:szCs w:val="24"/>
          <w:highlight w:val="none"/>
          <w:lang w:eastAsia="zh-CN"/>
        </w:rPr>
      </w:pPr>
      <w:bookmarkStart w:id="455" w:name="_Toc12218"/>
      <w:bookmarkStart w:id="456" w:name="bookmark1011"/>
      <w:bookmarkStart w:id="457" w:name="bookmark1012"/>
      <w:bookmarkStart w:id="458" w:name="_Toc27582"/>
      <w:bookmarkStart w:id="459" w:name="_Toc199152867"/>
      <w:bookmarkStart w:id="460" w:name="_Toc18421"/>
      <w:bookmarkStart w:id="461" w:name="_Toc19404"/>
      <w:bookmarkStart w:id="462" w:name="_Toc20891"/>
      <w:bookmarkStart w:id="463" w:name="_Toc30550"/>
      <w:bookmarkStart w:id="464" w:name="_Toc2750"/>
      <w:bookmarkStart w:id="465" w:name="bookmark1013"/>
      <w:r>
        <w:rPr>
          <w:rFonts w:hint="eastAsia" w:ascii="宋体" w:hAnsi="宋体" w:eastAsia="宋体" w:cs="宋体"/>
          <w:color w:val="auto"/>
          <w:sz w:val="24"/>
          <w:szCs w:val="24"/>
          <w:highlight w:val="none"/>
          <w:lang w:eastAsia="zh-CN"/>
        </w:rPr>
        <w:t>4.4联合体</w:t>
      </w:r>
      <w:bookmarkEnd w:id="455"/>
      <w:bookmarkEnd w:id="456"/>
      <w:bookmarkEnd w:id="457"/>
      <w:bookmarkEnd w:id="458"/>
      <w:bookmarkEnd w:id="459"/>
      <w:bookmarkEnd w:id="460"/>
      <w:bookmarkEnd w:id="461"/>
      <w:bookmarkEnd w:id="462"/>
      <w:bookmarkEnd w:id="463"/>
      <w:bookmarkEnd w:id="464"/>
      <w:bookmarkEnd w:id="465"/>
    </w:p>
    <w:p w14:paraId="5EE96A95">
      <w:pPr>
        <w:pStyle w:val="115"/>
        <w:tabs>
          <w:tab w:val="left" w:pos="738"/>
        </w:tabs>
        <w:spacing w:line="377" w:lineRule="exact"/>
        <w:ind w:firstLineChars="200"/>
        <w:jc w:val="both"/>
        <w:rPr>
          <w:rFonts w:hint="eastAsia" w:ascii="宋体" w:hAnsi="宋体" w:eastAsia="宋体" w:cs="宋体"/>
          <w:color w:val="auto"/>
          <w:highlight w:val="none"/>
        </w:rPr>
      </w:pPr>
      <w:bookmarkStart w:id="466" w:name="bookmark1014"/>
      <w:bookmarkEnd w:id="466"/>
      <w:r>
        <w:rPr>
          <w:rFonts w:hint="eastAsia" w:ascii="宋体" w:hAnsi="宋体" w:eastAsia="宋体" w:cs="宋体"/>
          <w:color w:val="auto"/>
          <w:highlight w:val="none"/>
          <w:lang w:val="en-US" w:bidi="en-US"/>
        </w:rPr>
        <w:t>4.4.1</w:t>
      </w:r>
      <w:r>
        <w:rPr>
          <w:rFonts w:hint="eastAsia" w:ascii="宋体" w:hAnsi="宋体" w:eastAsia="宋体" w:cs="宋体"/>
          <w:color w:val="auto"/>
          <w:highlight w:val="none"/>
        </w:rPr>
        <w:t>联合体各方应共同与发包人签订合同协议书。联合体各方应为履行合同承担连带责任。</w:t>
      </w:r>
    </w:p>
    <w:p w14:paraId="5EE96A96">
      <w:pPr>
        <w:pStyle w:val="115"/>
        <w:spacing w:line="365"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4.4.2</w:t>
      </w:r>
      <w:r>
        <w:rPr>
          <w:rFonts w:hint="eastAsia" w:ascii="宋体" w:hAnsi="宋体" w:eastAsia="宋体" w:cs="宋体"/>
          <w:color w:val="auto"/>
          <w:highlight w:val="none"/>
        </w:rPr>
        <w:t>联合体协议经发包人确认后作为合同附件。在履行合同过程中，未经发包人同意，不得修改联合体协议。</w:t>
      </w:r>
    </w:p>
    <w:p w14:paraId="5EE96A97">
      <w:pPr>
        <w:pStyle w:val="115"/>
        <w:spacing w:after="140" w:line="362"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4.4.3</w:t>
      </w:r>
      <w:r>
        <w:rPr>
          <w:rFonts w:hint="eastAsia" w:ascii="宋体" w:hAnsi="宋体" w:eastAsia="宋体" w:cs="宋体"/>
          <w:color w:val="auto"/>
          <w:highlight w:val="none"/>
        </w:rPr>
        <w:t>联合体牵头人负责与发包人和监理人联系，并接受指示，负责组织联合体各成员全面履行合同。</w:t>
      </w:r>
    </w:p>
    <w:p w14:paraId="5EE96A98">
      <w:pPr>
        <w:pStyle w:val="116"/>
        <w:spacing w:line="360" w:lineRule="exact"/>
        <w:rPr>
          <w:rFonts w:hint="eastAsia" w:ascii="宋体" w:hAnsi="宋体" w:eastAsia="宋体" w:cs="宋体"/>
          <w:color w:val="auto"/>
          <w:sz w:val="24"/>
          <w:szCs w:val="24"/>
          <w:highlight w:val="none"/>
          <w:lang w:eastAsia="zh-CN"/>
        </w:rPr>
      </w:pPr>
      <w:bookmarkStart w:id="467" w:name="bookmark1015"/>
      <w:bookmarkStart w:id="468" w:name="_Toc27934"/>
      <w:bookmarkStart w:id="469" w:name="_Toc30523"/>
      <w:bookmarkStart w:id="470" w:name="bookmark1016"/>
      <w:bookmarkStart w:id="471" w:name="_Toc18564"/>
      <w:bookmarkStart w:id="472" w:name="_Toc6790"/>
      <w:bookmarkStart w:id="473" w:name="_Toc199152868"/>
      <w:bookmarkStart w:id="474" w:name="_Toc31212"/>
      <w:bookmarkStart w:id="475" w:name="bookmark1017"/>
      <w:bookmarkStart w:id="476" w:name="_Toc22472"/>
      <w:bookmarkStart w:id="477" w:name="_Toc31582"/>
      <w:r>
        <w:rPr>
          <w:rFonts w:hint="eastAsia" w:ascii="宋体" w:hAnsi="宋体" w:eastAsia="宋体" w:cs="宋体"/>
          <w:color w:val="auto"/>
          <w:sz w:val="24"/>
          <w:szCs w:val="24"/>
          <w:highlight w:val="none"/>
          <w:lang w:eastAsia="zh-CN"/>
        </w:rPr>
        <w:t>4.5承包人项目经理</w:t>
      </w:r>
      <w:bookmarkEnd w:id="467"/>
      <w:bookmarkEnd w:id="468"/>
      <w:bookmarkEnd w:id="469"/>
      <w:bookmarkEnd w:id="470"/>
      <w:bookmarkEnd w:id="471"/>
      <w:bookmarkEnd w:id="472"/>
      <w:bookmarkEnd w:id="473"/>
      <w:bookmarkEnd w:id="474"/>
      <w:bookmarkEnd w:id="475"/>
      <w:bookmarkEnd w:id="476"/>
      <w:bookmarkEnd w:id="477"/>
    </w:p>
    <w:p w14:paraId="5EE96A99">
      <w:pPr>
        <w:pStyle w:val="115"/>
        <w:spacing w:line="359"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4.5.1</w:t>
      </w:r>
      <w:r>
        <w:rPr>
          <w:rFonts w:hint="eastAsia" w:ascii="宋体" w:hAnsi="宋体" w:eastAsia="宋体" w:cs="宋体"/>
          <w:color w:val="auto"/>
          <w:highlight w:val="none"/>
        </w:rPr>
        <w:t>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5EE96A9A">
      <w:pPr>
        <w:pStyle w:val="115"/>
        <w:spacing w:line="366"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4.5.2</w:t>
      </w:r>
      <w:r>
        <w:rPr>
          <w:rFonts w:hint="eastAsia" w:ascii="宋体" w:hAnsi="宋体" w:eastAsia="宋体" w:cs="宋体"/>
          <w:color w:val="auto"/>
          <w:highlight w:val="none"/>
        </w:rPr>
        <w:t>承包人项目经理应按合同约定以及监理人按第</w:t>
      </w:r>
      <w:r>
        <w:rPr>
          <w:rFonts w:hint="eastAsia" w:ascii="宋体" w:hAnsi="宋体" w:eastAsia="宋体" w:cs="宋体"/>
          <w:color w:val="auto"/>
          <w:highlight w:val="none"/>
          <w:lang w:val="en-US" w:bidi="en-US"/>
        </w:rPr>
        <w:t>3.</w:t>
      </w:r>
      <w:r>
        <w:rPr>
          <w:rFonts w:hint="eastAsia" w:ascii="宋体" w:hAnsi="宋体" w:eastAsia="宋体" w:cs="宋体"/>
          <w:color w:val="auto"/>
          <w:highlight w:val="none"/>
        </w:rPr>
        <w:t>4款作出的指示，负责组织合同工程的实施。在情况紧急且无法与监理人取得联系时，可采取保证工程和人员生命财产安全的紧急措施，并在采取措施后24小时内向监理人提交书面报告。</w:t>
      </w:r>
    </w:p>
    <w:p w14:paraId="5EE96A9B">
      <w:pPr>
        <w:pStyle w:val="115"/>
        <w:spacing w:line="366"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4.5.</w:t>
      </w:r>
      <w:r>
        <w:rPr>
          <w:rFonts w:hint="eastAsia" w:ascii="宋体" w:hAnsi="宋体" w:eastAsia="宋体" w:cs="宋体"/>
          <w:color w:val="auto"/>
          <w:highlight w:val="none"/>
        </w:rPr>
        <w:t>3承包人为履行合同发出的一切函件均应盖有承包人授权的施工场地管理机构章，并由承包人项目经理或其授权代表签字。</w:t>
      </w:r>
    </w:p>
    <w:p w14:paraId="5EE96A9C">
      <w:pPr>
        <w:pStyle w:val="115"/>
        <w:spacing w:after="140" w:line="362"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4.5.4</w:t>
      </w:r>
      <w:r>
        <w:rPr>
          <w:rFonts w:hint="eastAsia" w:ascii="宋体" w:hAnsi="宋体" w:eastAsia="宋体" w:cs="宋体"/>
          <w:color w:val="auto"/>
          <w:highlight w:val="none"/>
        </w:rPr>
        <w:t>承包人项目经理可以授权其下属人员履行其某项职责，但事先应将这些人员的姓名和授权范围通知监理人。</w:t>
      </w:r>
    </w:p>
    <w:p w14:paraId="5EE96A9D">
      <w:pPr>
        <w:pStyle w:val="116"/>
        <w:spacing w:line="360" w:lineRule="exact"/>
        <w:rPr>
          <w:rFonts w:hint="eastAsia" w:ascii="宋体" w:hAnsi="宋体" w:eastAsia="宋体" w:cs="宋体"/>
          <w:color w:val="auto"/>
          <w:sz w:val="24"/>
          <w:szCs w:val="24"/>
          <w:highlight w:val="none"/>
          <w:lang w:eastAsia="zh-CN"/>
        </w:rPr>
      </w:pPr>
      <w:bookmarkStart w:id="478" w:name="bookmark1019"/>
      <w:bookmarkStart w:id="479" w:name="_Toc199152869"/>
      <w:bookmarkStart w:id="480" w:name="_Toc30135"/>
      <w:bookmarkStart w:id="481" w:name="_Toc1095"/>
      <w:bookmarkStart w:id="482" w:name="_Toc2678"/>
      <w:bookmarkStart w:id="483" w:name="bookmark1018"/>
      <w:bookmarkStart w:id="484" w:name="bookmark1020"/>
      <w:bookmarkStart w:id="485" w:name="_Toc7416"/>
      <w:bookmarkStart w:id="486" w:name="_Toc32630"/>
      <w:bookmarkStart w:id="487" w:name="_Toc22230"/>
      <w:bookmarkStart w:id="488" w:name="_Toc20561"/>
      <w:r>
        <w:rPr>
          <w:rFonts w:hint="eastAsia" w:ascii="宋体" w:hAnsi="宋体" w:eastAsia="宋体" w:cs="宋体"/>
          <w:color w:val="auto"/>
          <w:sz w:val="24"/>
          <w:szCs w:val="24"/>
          <w:highlight w:val="none"/>
          <w:lang w:eastAsia="zh-CN"/>
        </w:rPr>
        <w:t>4.6承包人人员的管理</w:t>
      </w:r>
      <w:bookmarkEnd w:id="478"/>
      <w:bookmarkEnd w:id="479"/>
      <w:bookmarkEnd w:id="480"/>
      <w:bookmarkEnd w:id="481"/>
      <w:bookmarkEnd w:id="482"/>
      <w:bookmarkEnd w:id="483"/>
      <w:bookmarkEnd w:id="484"/>
      <w:bookmarkEnd w:id="485"/>
      <w:bookmarkEnd w:id="486"/>
      <w:bookmarkEnd w:id="487"/>
      <w:bookmarkEnd w:id="488"/>
    </w:p>
    <w:p w14:paraId="5EE96A9E">
      <w:pPr>
        <w:pStyle w:val="115"/>
        <w:spacing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4.6.1</w:t>
      </w:r>
      <w:r>
        <w:rPr>
          <w:rFonts w:hint="eastAsia" w:ascii="宋体" w:hAnsi="宋体" w:eastAsia="宋体" w:cs="宋体"/>
          <w:color w:val="auto"/>
          <w:highlight w:val="none"/>
        </w:rPr>
        <w:t>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5EE96A9F">
      <w:pPr>
        <w:pStyle w:val="115"/>
        <w:spacing w:after="140"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4.6.2</w:t>
      </w:r>
      <w:r>
        <w:rPr>
          <w:rFonts w:hint="eastAsia" w:ascii="宋体" w:hAnsi="宋体" w:eastAsia="宋体" w:cs="宋体"/>
          <w:color w:val="auto"/>
          <w:highlight w:val="none"/>
        </w:rPr>
        <w:t>为完成合同约定的各项工作，承包人应向施工场地派遣或雇佣足够数量的下列人员：</w:t>
      </w:r>
    </w:p>
    <w:p w14:paraId="5EE96AA0">
      <w:pPr>
        <w:pStyle w:val="115"/>
        <w:numPr>
          <w:ilvl w:val="0"/>
          <w:numId w:val="5"/>
        </w:numPr>
        <w:tabs>
          <w:tab w:val="left" w:pos="899"/>
        </w:tabs>
        <w:spacing w:line="360" w:lineRule="exact"/>
        <w:ind w:firstLine="420"/>
        <w:jc w:val="both"/>
        <w:rPr>
          <w:rFonts w:hint="eastAsia" w:ascii="宋体" w:hAnsi="宋体" w:eastAsia="宋体" w:cs="宋体"/>
          <w:color w:val="auto"/>
          <w:highlight w:val="none"/>
        </w:rPr>
      </w:pPr>
      <w:bookmarkStart w:id="489" w:name="bookmark1021"/>
      <w:bookmarkEnd w:id="489"/>
      <w:r>
        <w:rPr>
          <w:rFonts w:hint="eastAsia" w:ascii="宋体" w:hAnsi="宋体" w:eastAsia="宋体" w:cs="宋体"/>
          <w:color w:val="auto"/>
          <w:highlight w:val="none"/>
        </w:rPr>
        <w:t>具有相应资格的专业技工和合格的普工；</w:t>
      </w:r>
    </w:p>
    <w:p w14:paraId="5EE96AA1">
      <w:pPr>
        <w:pStyle w:val="115"/>
        <w:numPr>
          <w:ilvl w:val="0"/>
          <w:numId w:val="5"/>
        </w:numPr>
        <w:tabs>
          <w:tab w:val="left" w:pos="899"/>
        </w:tabs>
        <w:spacing w:line="360" w:lineRule="exact"/>
        <w:ind w:firstLine="420"/>
        <w:jc w:val="both"/>
        <w:rPr>
          <w:rFonts w:hint="eastAsia" w:ascii="宋体" w:hAnsi="宋体" w:eastAsia="宋体" w:cs="宋体"/>
          <w:color w:val="auto"/>
          <w:highlight w:val="none"/>
        </w:rPr>
      </w:pPr>
      <w:bookmarkStart w:id="490" w:name="bookmark1022"/>
      <w:bookmarkEnd w:id="490"/>
      <w:r>
        <w:rPr>
          <w:rFonts w:hint="eastAsia" w:ascii="宋体" w:hAnsi="宋体" w:eastAsia="宋体" w:cs="宋体"/>
          <w:color w:val="auto"/>
          <w:highlight w:val="none"/>
        </w:rPr>
        <w:t>具有相应施工经验的技术人员；</w:t>
      </w:r>
    </w:p>
    <w:p w14:paraId="5EE96AA2">
      <w:pPr>
        <w:pStyle w:val="115"/>
        <w:numPr>
          <w:ilvl w:val="0"/>
          <w:numId w:val="5"/>
        </w:numPr>
        <w:tabs>
          <w:tab w:val="left" w:pos="899"/>
        </w:tabs>
        <w:spacing w:line="360" w:lineRule="exact"/>
        <w:ind w:firstLine="420"/>
        <w:jc w:val="both"/>
        <w:rPr>
          <w:rFonts w:hint="eastAsia" w:ascii="宋体" w:hAnsi="宋体" w:eastAsia="宋体" w:cs="宋体"/>
          <w:color w:val="auto"/>
          <w:highlight w:val="none"/>
        </w:rPr>
      </w:pPr>
      <w:bookmarkStart w:id="491" w:name="bookmark1023"/>
      <w:bookmarkEnd w:id="491"/>
      <w:r>
        <w:rPr>
          <w:rFonts w:hint="eastAsia" w:ascii="宋体" w:hAnsi="宋体" w:eastAsia="宋体" w:cs="宋体"/>
          <w:color w:val="auto"/>
          <w:highlight w:val="none"/>
        </w:rPr>
        <w:t>具有相应岗位资格的各级管理人员。</w:t>
      </w:r>
    </w:p>
    <w:p w14:paraId="5EE96AA3">
      <w:pPr>
        <w:pStyle w:val="115"/>
        <w:spacing w:after="140"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4.6.3</w:t>
      </w:r>
      <w:r>
        <w:rPr>
          <w:rFonts w:hint="eastAsia" w:ascii="宋体" w:hAnsi="宋体" w:eastAsia="宋体" w:cs="宋体"/>
          <w:color w:val="auto"/>
          <w:highlight w:val="none"/>
        </w:rPr>
        <w:t>承包人安排在施工场地的主要管理人员和技术骨干应相对稳定。承包人更换主要管理人员和技术骨干时，应取得监理人的同意。</w:t>
      </w:r>
    </w:p>
    <w:p w14:paraId="5EE96AA4">
      <w:pPr>
        <w:pStyle w:val="115"/>
        <w:spacing w:after="40"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4.6.4</w:t>
      </w:r>
      <w:r>
        <w:rPr>
          <w:rFonts w:hint="eastAsia" w:ascii="宋体" w:hAnsi="宋体" w:eastAsia="宋体" w:cs="宋体"/>
          <w:color w:val="auto"/>
          <w:highlight w:val="none"/>
        </w:rPr>
        <w:t>特殊岗位的工作人员均应持有相应的资格证明，监理人有权随时检查。监理人认为有必要时，可进行现场考核。</w:t>
      </w:r>
    </w:p>
    <w:p w14:paraId="5EE96AA5">
      <w:pPr>
        <w:pStyle w:val="116"/>
        <w:spacing w:line="360" w:lineRule="exact"/>
        <w:rPr>
          <w:rFonts w:hint="eastAsia" w:ascii="宋体" w:hAnsi="宋体" w:eastAsia="宋体" w:cs="宋体"/>
          <w:color w:val="auto"/>
          <w:sz w:val="24"/>
          <w:szCs w:val="24"/>
          <w:highlight w:val="none"/>
          <w:lang w:eastAsia="zh-CN"/>
        </w:rPr>
      </w:pPr>
      <w:bookmarkStart w:id="492" w:name="_Toc15746"/>
      <w:bookmarkStart w:id="493" w:name="bookmark1026"/>
      <w:bookmarkStart w:id="494" w:name="bookmark1024"/>
      <w:bookmarkStart w:id="495" w:name="_Toc24164"/>
      <w:bookmarkStart w:id="496" w:name="_Toc273"/>
      <w:bookmarkStart w:id="497" w:name="_Toc23743"/>
      <w:bookmarkStart w:id="498" w:name="_Toc31913"/>
      <w:bookmarkStart w:id="499" w:name="_Toc24736"/>
      <w:bookmarkStart w:id="500" w:name="_Toc199152870"/>
      <w:bookmarkStart w:id="501" w:name="_Toc30195"/>
      <w:bookmarkStart w:id="502" w:name="bookmark1025"/>
      <w:r>
        <w:rPr>
          <w:rFonts w:hint="eastAsia" w:ascii="宋体" w:hAnsi="宋体" w:eastAsia="宋体" w:cs="宋体"/>
          <w:color w:val="auto"/>
          <w:sz w:val="24"/>
          <w:szCs w:val="24"/>
          <w:highlight w:val="none"/>
          <w:lang w:eastAsia="zh-CN"/>
        </w:rPr>
        <w:t>4.7撤换承包人项目经理和其他人员</w:t>
      </w:r>
      <w:bookmarkEnd w:id="492"/>
      <w:bookmarkEnd w:id="493"/>
      <w:bookmarkEnd w:id="494"/>
      <w:bookmarkEnd w:id="495"/>
      <w:bookmarkEnd w:id="496"/>
      <w:bookmarkEnd w:id="497"/>
      <w:bookmarkEnd w:id="498"/>
      <w:bookmarkEnd w:id="499"/>
      <w:bookmarkEnd w:id="500"/>
      <w:bookmarkEnd w:id="501"/>
      <w:bookmarkEnd w:id="502"/>
    </w:p>
    <w:p w14:paraId="5EE96AA6">
      <w:pPr>
        <w:pStyle w:val="115"/>
        <w:spacing w:after="160"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承包人应对其项目经理和其他人员进行有效管理。监理人要求撤换不能胜任本职工作、行为不端或玩忽职守的承包人项目经理和其他人员的，承包人应予以撤换。</w:t>
      </w:r>
    </w:p>
    <w:p w14:paraId="5EE96AA7">
      <w:pPr>
        <w:pStyle w:val="116"/>
        <w:spacing w:line="360" w:lineRule="exact"/>
        <w:rPr>
          <w:rFonts w:hint="eastAsia" w:ascii="宋体" w:hAnsi="宋体" w:eastAsia="宋体" w:cs="宋体"/>
          <w:color w:val="auto"/>
          <w:sz w:val="24"/>
          <w:szCs w:val="24"/>
          <w:highlight w:val="none"/>
          <w:lang w:eastAsia="zh-CN"/>
        </w:rPr>
      </w:pPr>
      <w:bookmarkStart w:id="503" w:name="_Toc199152871"/>
      <w:bookmarkStart w:id="504" w:name="bookmark1029"/>
      <w:bookmarkStart w:id="505" w:name="_Toc5690"/>
      <w:bookmarkStart w:id="506" w:name="bookmark1028"/>
      <w:bookmarkStart w:id="507" w:name="bookmark1027"/>
      <w:bookmarkStart w:id="508" w:name="_Toc29514"/>
      <w:bookmarkStart w:id="509" w:name="_Toc22541"/>
      <w:bookmarkStart w:id="510" w:name="_Toc3749"/>
      <w:bookmarkStart w:id="511" w:name="_Toc1547"/>
      <w:bookmarkStart w:id="512" w:name="_Toc21781"/>
      <w:bookmarkStart w:id="513" w:name="_Toc19207"/>
      <w:r>
        <w:rPr>
          <w:rFonts w:hint="eastAsia" w:ascii="宋体" w:hAnsi="宋体" w:eastAsia="宋体" w:cs="宋体"/>
          <w:color w:val="auto"/>
          <w:sz w:val="24"/>
          <w:szCs w:val="24"/>
          <w:highlight w:val="none"/>
          <w:lang w:eastAsia="zh-CN"/>
        </w:rPr>
        <w:t>4.8保障承包人人员的合法权益</w:t>
      </w:r>
      <w:bookmarkEnd w:id="503"/>
      <w:bookmarkEnd w:id="504"/>
      <w:bookmarkEnd w:id="505"/>
      <w:bookmarkEnd w:id="506"/>
      <w:bookmarkEnd w:id="507"/>
      <w:bookmarkEnd w:id="508"/>
      <w:bookmarkEnd w:id="509"/>
      <w:bookmarkEnd w:id="510"/>
      <w:bookmarkEnd w:id="511"/>
      <w:bookmarkEnd w:id="512"/>
      <w:bookmarkEnd w:id="513"/>
    </w:p>
    <w:p w14:paraId="5EE96AA8">
      <w:pPr>
        <w:pStyle w:val="115"/>
        <w:spacing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4.8.</w:t>
      </w:r>
      <w:r>
        <w:rPr>
          <w:rFonts w:hint="eastAsia" w:ascii="宋体" w:hAnsi="宋体" w:eastAsia="宋体" w:cs="宋体"/>
          <w:color w:val="auto"/>
          <w:highlight w:val="none"/>
        </w:rPr>
        <w:t>1承包人应与其雇佣的人员签订劳动合同，并按时发放工资。</w:t>
      </w:r>
    </w:p>
    <w:p w14:paraId="5EE96AA9">
      <w:pPr>
        <w:pStyle w:val="115"/>
        <w:spacing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4.8.</w:t>
      </w:r>
      <w:r>
        <w:rPr>
          <w:rFonts w:hint="eastAsia" w:ascii="宋体" w:hAnsi="宋体" w:eastAsia="宋体" w:cs="宋体"/>
          <w:color w:val="auto"/>
          <w:highlight w:val="none"/>
        </w:rPr>
        <w:t>2承包人应按劳动法的规定安排工作时间，保证其雇佣人员享有休息和休假的权利。因工程施工的特殊需要占用休假日或延长工作时间的，应不超过法律规定的限度，并按法律规定给予补休或付酬。</w:t>
      </w:r>
    </w:p>
    <w:p w14:paraId="5EE96AAA">
      <w:pPr>
        <w:pStyle w:val="115"/>
        <w:spacing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4.8.3</w:t>
      </w:r>
      <w:r>
        <w:rPr>
          <w:rFonts w:hint="eastAsia" w:ascii="宋体" w:hAnsi="宋体" w:eastAsia="宋体" w:cs="宋体"/>
          <w:color w:val="auto"/>
          <w:highlight w:val="none"/>
        </w:rPr>
        <w:t>承包人应为其雇佣人员提供必要的食宿条件，以及符合环境保护和卫生要求的生活环境，在远离城镇的施工场地，还应配备必要的伤病防治和急救的医务人员与医疗设施。</w:t>
      </w:r>
    </w:p>
    <w:p w14:paraId="5EE96AAB">
      <w:pPr>
        <w:pStyle w:val="115"/>
        <w:spacing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4.8.4</w:t>
      </w:r>
      <w:r>
        <w:rPr>
          <w:rFonts w:hint="eastAsia" w:ascii="宋体" w:hAnsi="宋体" w:eastAsia="宋体" w:cs="宋体"/>
          <w:color w:val="auto"/>
          <w:highlight w:val="none"/>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5EE96AAC">
      <w:pPr>
        <w:pStyle w:val="115"/>
        <w:spacing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4.8.5</w:t>
      </w:r>
      <w:r>
        <w:rPr>
          <w:rFonts w:hint="eastAsia" w:ascii="宋体" w:hAnsi="宋体" w:eastAsia="宋体" w:cs="宋体"/>
          <w:color w:val="auto"/>
          <w:highlight w:val="none"/>
        </w:rPr>
        <w:t>承包人应按有关法律规定和合同约定，为其雇佣人员办理保险。</w:t>
      </w:r>
    </w:p>
    <w:p w14:paraId="5EE96AAD">
      <w:pPr>
        <w:pStyle w:val="115"/>
        <w:spacing w:after="160"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4.8.6</w:t>
      </w:r>
      <w:r>
        <w:rPr>
          <w:rFonts w:hint="eastAsia" w:ascii="宋体" w:hAnsi="宋体" w:eastAsia="宋体" w:cs="宋体"/>
          <w:color w:val="auto"/>
          <w:highlight w:val="none"/>
        </w:rPr>
        <w:t>承包人应负责处理其雇佣人员因工伤亡事故的善后事宜。</w:t>
      </w:r>
    </w:p>
    <w:p w14:paraId="5EE96AAE">
      <w:pPr>
        <w:pStyle w:val="116"/>
        <w:spacing w:line="360" w:lineRule="exact"/>
        <w:rPr>
          <w:rFonts w:hint="eastAsia" w:ascii="宋体" w:hAnsi="宋体" w:eastAsia="宋体" w:cs="宋体"/>
          <w:color w:val="auto"/>
          <w:sz w:val="24"/>
          <w:szCs w:val="24"/>
          <w:highlight w:val="none"/>
          <w:lang w:eastAsia="zh-CN"/>
        </w:rPr>
      </w:pPr>
      <w:bookmarkStart w:id="514" w:name="_Toc199152872"/>
      <w:bookmarkStart w:id="515" w:name="_Toc1725"/>
      <w:bookmarkStart w:id="516" w:name="bookmark1031"/>
      <w:bookmarkStart w:id="517" w:name="_Toc14288"/>
      <w:bookmarkStart w:id="518" w:name="_Toc7851"/>
      <w:bookmarkStart w:id="519" w:name="_Toc32668"/>
      <w:bookmarkStart w:id="520" w:name="bookmark1032"/>
      <w:bookmarkStart w:id="521" w:name="_Toc948"/>
      <w:bookmarkStart w:id="522" w:name="_Toc3337"/>
      <w:bookmarkStart w:id="523" w:name="_Toc1836"/>
      <w:bookmarkStart w:id="524" w:name="bookmark1030"/>
      <w:r>
        <w:rPr>
          <w:rFonts w:hint="eastAsia" w:ascii="宋体" w:hAnsi="宋体" w:eastAsia="宋体" w:cs="宋体"/>
          <w:color w:val="auto"/>
          <w:sz w:val="24"/>
          <w:szCs w:val="24"/>
          <w:highlight w:val="none"/>
          <w:lang w:eastAsia="zh-CN"/>
        </w:rPr>
        <w:t>4.9工程价款应专款专用</w:t>
      </w:r>
      <w:bookmarkEnd w:id="514"/>
      <w:bookmarkEnd w:id="515"/>
      <w:bookmarkEnd w:id="516"/>
      <w:bookmarkEnd w:id="517"/>
      <w:bookmarkEnd w:id="518"/>
      <w:bookmarkEnd w:id="519"/>
      <w:bookmarkEnd w:id="520"/>
      <w:bookmarkEnd w:id="521"/>
      <w:bookmarkEnd w:id="522"/>
      <w:bookmarkEnd w:id="523"/>
      <w:bookmarkEnd w:id="524"/>
    </w:p>
    <w:p w14:paraId="5EE96AAF">
      <w:pPr>
        <w:pStyle w:val="115"/>
        <w:spacing w:after="160"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发包人按合同约定支付给承包人的各项价款应专用于合同工程。</w:t>
      </w:r>
    </w:p>
    <w:p w14:paraId="5EE96AB0">
      <w:pPr>
        <w:pStyle w:val="116"/>
        <w:spacing w:line="360" w:lineRule="exact"/>
        <w:rPr>
          <w:rFonts w:hint="eastAsia" w:ascii="宋体" w:hAnsi="宋体" w:eastAsia="宋体" w:cs="宋体"/>
          <w:color w:val="auto"/>
          <w:sz w:val="24"/>
          <w:szCs w:val="24"/>
          <w:highlight w:val="none"/>
          <w:lang w:eastAsia="zh-CN"/>
        </w:rPr>
      </w:pPr>
      <w:bookmarkStart w:id="525" w:name="bookmark1033"/>
      <w:bookmarkStart w:id="526" w:name="_Toc26654"/>
      <w:bookmarkStart w:id="527" w:name="_Toc199152873"/>
      <w:bookmarkStart w:id="528" w:name="bookmark1034"/>
      <w:bookmarkStart w:id="529" w:name="_Toc18201"/>
      <w:bookmarkStart w:id="530" w:name="_Toc4341"/>
      <w:bookmarkStart w:id="531" w:name="_Toc5606"/>
      <w:bookmarkStart w:id="532" w:name="_Toc1276"/>
      <w:bookmarkStart w:id="533" w:name="_Toc11934"/>
      <w:bookmarkStart w:id="534" w:name="_Toc30630"/>
      <w:bookmarkStart w:id="535" w:name="bookmark1035"/>
      <w:r>
        <w:rPr>
          <w:rFonts w:hint="eastAsia" w:ascii="宋体" w:hAnsi="宋体" w:eastAsia="宋体" w:cs="宋体"/>
          <w:color w:val="auto"/>
          <w:sz w:val="24"/>
          <w:szCs w:val="24"/>
          <w:highlight w:val="none"/>
          <w:lang w:eastAsia="zh-CN"/>
        </w:rPr>
        <w:t>4.10承包人现场查勘</w:t>
      </w:r>
      <w:bookmarkEnd w:id="525"/>
      <w:bookmarkEnd w:id="526"/>
      <w:bookmarkEnd w:id="527"/>
      <w:bookmarkEnd w:id="528"/>
      <w:bookmarkEnd w:id="529"/>
      <w:bookmarkEnd w:id="530"/>
      <w:bookmarkEnd w:id="531"/>
      <w:bookmarkEnd w:id="532"/>
      <w:bookmarkEnd w:id="533"/>
      <w:bookmarkEnd w:id="534"/>
      <w:bookmarkEnd w:id="535"/>
    </w:p>
    <w:p w14:paraId="5EE96AB1">
      <w:pPr>
        <w:pStyle w:val="115"/>
        <w:spacing w:line="362"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4.10.</w:t>
      </w:r>
      <w:r>
        <w:rPr>
          <w:rFonts w:hint="eastAsia" w:ascii="宋体" w:hAnsi="宋体" w:eastAsia="宋体" w:cs="宋体"/>
          <w:color w:val="auto"/>
          <w:highlight w:val="none"/>
        </w:rPr>
        <w:t>1发包人应将其持有的现场地质勘探资料、水文气象资料提供给承包人，并对其准确性负责。但承包人应对其阅读上述有关资料后所作出的解释和推断负责。</w:t>
      </w:r>
    </w:p>
    <w:p w14:paraId="5EE96AB2">
      <w:pPr>
        <w:pStyle w:val="115"/>
        <w:spacing w:after="240" w:line="362" w:lineRule="exact"/>
        <w:ind w:firstLine="420"/>
        <w:jc w:val="both"/>
        <w:rPr>
          <w:rFonts w:hint="eastAsia" w:ascii="宋体" w:hAnsi="宋体" w:eastAsia="宋体" w:cs="宋体"/>
          <w:color w:val="auto"/>
          <w:highlight w:val="none"/>
        </w:rPr>
      </w:pPr>
      <w:bookmarkStart w:id="536" w:name="bookmark1036"/>
      <w:bookmarkEnd w:id="536"/>
      <w:r>
        <w:rPr>
          <w:rFonts w:hint="eastAsia" w:ascii="宋体" w:hAnsi="宋体" w:eastAsia="宋体" w:cs="宋体"/>
          <w:color w:val="auto"/>
          <w:highlight w:val="none"/>
        </w:rPr>
        <w:t>4.10.2承包人应对施工场地和周围环境进行查勘，并收集有关地质、水文、气象条件、交通条件、风俗习惯以及其他为完成合同工作有关的当地资料。在全部合同工作中，应视为承包人已充分估计了应承担的责任和风险。</w:t>
      </w:r>
    </w:p>
    <w:p w14:paraId="5EE96AB3">
      <w:pPr>
        <w:pStyle w:val="116"/>
        <w:spacing w:line="360" w:lineRule="exact"/>
        <w:rPr>
          <w:rFonts w:hint="eastAsia" w:ascii="宋体" w:hAnsi="宋体" w:eastAsia="宋体" w:cs="宋体"/>
          <w:color w:val="auto"/>
          <w:sz w:val="24"/>
          <w:szCs w:val="24"/>
          <w:highlight w:val="none"/>
          <w:lang w:eastAsia="zh-CN"/>
        </w:rPr>
      </w:pPr>
      <w:bookmarkStart w:id="537" w:name="bookmark1037"/>
      <w:bookmarkStart w:id="538" w:name="_Toc4074"/>
      <w:bookmarkStart w:id="539" w:name="_Toc9893"/>
      <w:bookmarkStart w:id="540" w:name="_Toc18935"/>
      <w:bookmarkStart w:id="541" w:name="_Toc2993"/>
      <w:bookmarkStart w:id="542" w:name="_Toc13290"/>
      <w:bookmarkStart w:id="543" w:name="_Toc15670"/>
      <w:bookmarkStart w:id="544" w:name="bookmark1038"/>
      <w:bookmarkStart w:id="545" w:name="_Toc199152874"/>
      <w:bookmarkStart w:id="546" w:name="_Toc2080"/>
      <w:bookmarkStart w:id="547" w:name="bookmark1039"/>
      <w:r>
        <w:rPr>
          <w:rFonts w:hint="eastAsia" w:ascii="宋体" w:hAnsi="宋体" w:eastAsia="宋体" w:cs="宋体"/>
          <w:color w:val="auto"/>
          <w:sz w:val="24"/>
          <w:szCs w:val="24"/>
          <w:highlight w:val="none"/>
          <w:lang w:eastAsia="zh-CN"/>
        </w:rPr>
        <w:t>4.11不利物质条件</w:t>
      </w:r>
      <w:bookmarkEnd w:id="537"/>
      <w:bookmarkEnd w:id="538"/>
      <w:bookmarkEnd w:id="539"/>
      <w:bookmarkEnd w:id="540"/>
      <w:bookmarkEnd w:id="541"/>
      <w:bookmarkEnd w:id="542"/>
      <w:bookmarkEnd w:id="543"/>
      <w:bookmarkEnd w:id="544"/>
      <w:bookmarkEnd w:id="545"/>
      <w:bookmarkEnd w:id="546"/>
      <w:bookmarkEnd w:id="547"/>
    </w:p>
    <w:p w14:paraId="5EE96AB4">
      <w:pPr>
        <w:pStyle w:val="115"/>
        <w:spacing w:line="367"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4.11.1</w:t>
      </w:r>
      <w:r>
        <w:rPr>
          <w:rFonts w:hint="eastAsia" w:ascii="宋体" w:hAnsi="宋体" w:eastAsia="宋体" w:cs="宋体"/>
          <w:color w:val="auto"/>
          <w:highlight w:val="none"/>
        </w:rPr>
        <w:t>除专用合同条款另有约定外，不利的物质条件是指在施工中遭遇不可预见的外界障碍或自然条件造成施工受阻。</w:t>
      </w:r>
    </w:p>
    <w:p w14:paraId="5EE96AB5">
      <w:pPr>
        <w:pStyle w:val="115"/>
        <w:spacing w:line="367" w:lineRule="exact"/>
        <w:rPr>
          <w:rFonts w:hint="eastAsia" w:ascii="宋体" w:hAnsi="宋体" w:eastAsia="宋体" w:cs="宋体"/>
          <w:color w:val="auto"/>
          <w:highlight w:val="none"/>
        </w:rPr>
      </w:pPr>
      <w:r>
        <w:rPr>
          <w:rFonts w:hint="eastAsia" w:ascii="宋体" w:hAnsi="宋体" w:eastAsia="宋体" w:cs="宋体"/>
          <w:color w:val="auto"/>
          <w:highlight w:val="none"/>
          <w:lang w:val="en-US" w:bidi="en-US"/>
        </w:rPr>
        <w:t>4.11.2</w:t>
      </w:r>
      <w:r>
        <w:rPr>
          <w:rFonts w:hint="eastAsia" w:ascii="宋体" w:hAnsi="宋体" w:eastAsia="宋体" w:cs="宋体"/>
          <w:color w:val="auto"/>
          <w:highlight w:val="none"/>
        </w:rPr>
        <w:t>承包人遇到不利物质条件时，应采取适应不利物质条件的合理措施继续施工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并及时通知监理人。承包人应有权根据第</w:t>
      </w:r>
      <w:r>
        <w:rPr>
          <w:rFonts w:hint="eastAsia" w:ascii="宋体" w:hAnsi="宋体" w:eastAsia="宋体" w:cs="宋体"/>
          <w:color w:val="auto"/>
          <w:highlight w:val="none"/>
          <w:lang w:val="en-US" w:bidi="en-US"/>
        </w:rPr>
        <w:t>23.1</w:t>
      </w:r>
      <w:r>
        <w:rPr>
          <w:rFonts w:hint="eastAsia" w:ascii="宋体" w:hAnsi="宋体" w:eastAsia="宋体" w:cs="宋体"/>
          <w:color w:val="auto"/>
          <w:highlight w:val="none"/>
        </w:rPr>
        <w:t>款的约定，要求延长工期及增加费用。监理人收到此类要求后，应在分析上述外界障碍或自然条件是否不可预见及不可预见程度的基础上，按照通用合同条款第15条的约定办理。</w:t>
      </w:r>
    </w:p>
    <w:p w14:paraId="5EE96AB6">
      <w:pPr>
        <w:pStyle w:val="116"/>
        <w:spacing w:line="360" w:lineRule="exact"/>
        <w:rPr>
          <w:rFonts w:hint="eastAsia" w:ascii="宋体" w:hAnsi="宋体" w:eastAsia="宋体" w:cs="宋体"/>
          <w:color w:val="auto"/>
          <w:highlight w:val="none"/>
          <w:lang w:eastAsia="zh-CN"/>
        </w:rPr>
      </w:pPr>
      <w:bookmarkStart w:id="548" w:name="bookmark1042"/>
      <w:bookmarkEnd w:id="548"/>
      <w:bookmarkStart w:id="549" w:name="bookmark1041"/>
      <w:bookmarkStart w:id="550" w:name="_Toc15597"/>
      <w:bookmarkStart w:id="551" w:name="_Toc199152875"/>
      <w:bookmarkStart w:id="552" w:name="bookmark1040"/>
      <w:bookmarkStart w:id="553" w:name="_Toc9302"/>
      <w:bookmarkStart w:id="554" w:name="bookmark1043"/>
      <w:bookmarkStart w:id="555" w:name="_Toc8705"/>
      <w:bookmarkStart w:id="556" w:name="_Toc6145"/>
      <w:bookmarkStart w:id="557" w:name="_Toc13937"/>
      <w:bookmarkStart w:id="558" w:name="_Toc18314"/>
      <w:bookmarkStart w:id="559" w:name="_Toc25230"/>
      <w:r>
        <w:rPr>
          <w:rFonts w:hint="eastAsia" w:ascii="宋体" w:hAnsi="宋体" w:eastAsia="宋体" w:cs="宋体"/>
          <w:color w:val="auto"/>
          <w:highlight w:val="none"/>
          <w:lang w:eastAsia="zh-CN"/>
        </w:rPr>
        <w:t>5.材料和工程设备</w:t>
      </w:r>
      <w:bookmarkEnd w:id="549"/>
      <w:bookmarkEnd w:id="550"/>
      <w:bookmarkEnd w:id="551"/>
      <w:bookmarkEnd w:id="552"/>
      <w:bookmarkEnd w:id="553"/>
      <w:bookmarkEnd w:id="554"/>
      <w:bookmarkEnd w:id="555"/>
      <w:bookmarkEnd w:id="556"/>
      <w:bookmarkEnd w:id="557"/>
      <w:bookmarkEnd w:id="558"/>
      <w:bookmarkEnd w:id="559"/>
    </w:p>
    <w:p w14:paraId="5EE96AB7">
      <w:pPr>
        <w:pStyle w:val="116"/>
        <w:spacing w:line="360" w:lineRule="exact"/>
        <w:rPr>
          <w:rFonts w:hint="eastAsia" w:ascii="宋体" w:hAnsi="宋体" w:eastAsia="宋体" w:cs="宋体"/>
          <w:color w:val="auto"/>
          <w:sz w:val="24"/>
          <w:szCs w:val="24"/>
          <w:highlight w:val="none"/>
          <w:lang w:eastAsia="zh-CN"/>
        </w:rPr>
      </w:pPr>
      <w:bookmarkStart w:id="560" w:name="_Toc9121"/>
      <w:bookmarkStart w:id="561" w:name="bookmark1045"/>
      <w:bookmarkStart w:id="562" w:name="_Toc199152876"/>
      <w:bookmarkStart w:id="563" w:name="_Toc7904"/>
      <w:bookmarkStart w:id="564" w:name="_Toc1006"/>
      <w:bookmarkStart w:id="565" w:name="_Toc5421"/>
      <w:bookmarkStart w:id="566" w:name="bookmark1046"/>
      <w:bookmarkStart w:id="567" w:name="_Toc24739"/>
      <w:bookmarkStart w:id="568" w:name="_Toc12138"/>
      <w:bookmarkStart w:id="569" w:name="_Toc20253"/>
      <w:bookmarkStart w:id="570" w:name="bookmark1044"/>
      <w:r>
        <w:rPr>
          <w:rFonts w:hint="eastAsia" w:ascii="宋体" w:hAnsi="宋体" w:eastAsia="宋体" w:cs="宋体"/>
          <w:color w:val="auto"/>
          <w:sz w:val="24"/>
          <w:szCs w:val="24"/>
          <w:highlight w:val="none"/>
          <w:lang w:eastAsia="zh-CN"/>
        </w:rPr>
        <w:t>5.1承包人提供的材料和工程设备</w:t>
      </w:r>
      <w:bookmarkEnd w:id="560"/>
      <w:bookmarkEnd w:id="561"/>
      <w:bookmarkEnd w:id="562"/>
      <w:bookmarkEnd w:id="563"/>
      <w:bookmarkEnd w:id="564"/>
      <w:bookmarkEnd w:id="565"/>
      <w:bookmarkEnd w:id="566"/>
      <w:bookmarkEnd w:id="567"/>
      <w:bookmarkEnd w:id="568"/>
      <w:bookmarkEnd w:id="569"/>
      <w:bookmarkEnd w:id="570"/>
    </w:p>
    <w:p w14:paraId="5EE96AB8">
      <w:pPr>
        <w:pStyle w:val="115"/>
        <w:spacing w:after="280" w:line="354" w:lineRule="exact"/>
        <w:ind w:firstLine="420"/>
        <w:jc w:val="both"/>
        <w:rPr>
          <w:rFonts w:hint="eastAsia" w:ascii="宋体" w:hAnsi="宋体" w:eastAsia="宋体" w:cs="宋体"/>
          <w:color w:val="auto"/>
          <w:highlight w:val="none"/>
          <w:lang w:val="en-US" w:bidi="en-US"/>
        </w:rPr>
      </w:pPr>
      <w:bookmarkStart w:id="571" w:name="bookmark1047"/>
      <w:bookmarkEnd w:id="571"/>
      <w:r>
        <w:rPr>
          <w:rFonts w:hint="eastAsia" w:ascii="宋体" w:hAnsi="宋体" w:eastAsia="宋体" w:cs="宋体"/>
          <w:color w:val="auto"/>
          <w:highlight w:val="none"/>
          <w:lang w:val="en-US" w:bidi="en-US"/>
        </w:rPr>
        <w:t>5.1.1除第5.2款约定由发包人提供的材料和工程设备外，承包人负责采购、运输和保管完成本合同工作所需的材料和工程设备。承包人应对其采购的材料和工程设备负责。</w:t>
      </w:r>
    </w:p>
    <w:p w14:paraId="5EE96AB9">
      <w:pPr>
        <w:pStyle w:val="115"/>
        <w:spacing w:after="280" w:line="354" w:lineRule="exact"/>
        <w:ind w:firstLine="420"/>
        <w:jc w:val="both"/>
        <w:rPr>
          <w:rFonts w:hint="eastAsia" w:ascii="宋体" w:hAnsi="宋体" w:eastAsia="宋体" w:cs="宋体"/>
          <w:color w:val="auto"/>
          <w:highlight w:val="none"/>
          <w:lang w:val="en-US" w:bidi="en-US"/>
        </w:rPr>
      </w:pPr>
      <w:r>
        <w:rPr>
          <w:rFonts w:hint="eastAsia" w:ascii="宋体" w:hAnsi="宋体" w:eastAsia="宋体" w:cs="宋体"/>
          <w:color w:val="auto"/>
          <w:highlight w:val="none"/>
          <w:lang w:val="en-US" w:bidi="en-US"/>
        </w:rPr>
        <w:t>5.1.2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5EE96ABA">
      <w:pPr>
        <w:pStyle w:val="115"/>
        <w:spacing w:after="280" w:line="354" w:lineRule="exact"/>
        <w:ind w:firstLine="420"/>
        <w:jc w:val="both"/>
        <w:rPr>
          <w:rFonts w:hint="eastAsia" w:ascii="宋体" w:hAnsi="宋体" w:eastAsia="宋体" w:cs="宋体"/>
          <w:color w:val="auto"/>
          <w:highlight w:val="none"/>
          <w:lang w:val="en-US" w:bidi="en-US"/>
        </w:rPr>
      </w:pPr>
      <w:r>
        <w:rPr>
          <w:rFonts w:hint="eastAsia" w:ascii="宋体" w:hAnsi="宋体" w:eastAsia="宋体" w:cs="宋体"/>
          <w:color w:val="auto"/>
          <w:highlight w:val="none"/>
          <w:lang w:val="en-US" w:bidi="en-US"/>
        </w:rPr>
        <w:t>5.1.3对承包人提供的材料和工程设备，承包人应会同监理人进行检验和交货验收</w:t>
      </w:r>
      <w:r>
        <w:rPr>
          <w:rFonts w:hint="eastAsia" w:ascii="宋体" w:hAnsi="宋体" w:eastAsia="宋体" w:cs="宋体"/>
          <w:color w:val="auto"/>
          <w:highlight w:val="none"/>
          <w:lang w:val="en-US" w:eastAsia="zh-CN" w:bidi="en-US"/>
        </w:rPr>
        <w:t>，</w:t>
      </w:r>
      <w:r>
        <w:rPr>
          <w:rFonts w:hint="eastAsia" w:ascii="宋体" w:hAnsi="宋体" w:eastAsia="宋体" w:cs="宋体"/>
          <w:color w:val="auto"/>
          <w:highlight w:val="none"/>
          <w:lang w:val="en-US" w:bidi="en-US"/>
        </w:rPr>
        <w:t>查验材料合格证明和产品合格证书，并按合同约定和监理人指示，进行材料的抽样检验和工程设备的检验测试，检验和测试结果应提交监理人，所需费用由承包人承担。</w:t>
      </w:r>
    </w:p>
    <w:p w14:paraId="5EE96ABB">
      <w:pPr>
        <w:pStyle w:val="116"/>
        <w:spacing w:line="360" w:lineRule="exact"/>
        <w:rPr>
          <w:rFonts w:hint="eastAsia" w:ascii="宋体" w:hAnsi="宋体" w:eastAsia="宋体" w:cs="宋体"/>
          <w:color w:val="auto"/>
          <w:sz w:val="24"/>
          <w:szCs w:val="24"/>
          <w:highlight w:val="none"/>
          <w:lang w:eastAsia="zh-CN"/>
        </w:rPr>
      </w:pPr>
      <w:bookmarkStart w:id="572" w:name="bookmark1048"/>
      <w:bookmarkStart w:id="573" w:name="_Toc12737"/>
      <w:bookmarkStart w:id="574" w:name="_Toc18208"/>
      <w:bookmarkStart w:id="575" w:name="_Toc29378"/>
      <w:bookmarkStart w:id="576" w:name="_Toc199152877"/>
      <w:bookmarkStart w:id="577" w:name="_Toc17037"/>
      <w:bookmarkStart w:id="578" w:name="_Toc16936"/>
      <w:bookmarkStart w:id="579" w:name="bookmark1049"/>
      <w:bookmarkStart w:id="580" w:name="bookmark1050"/>
      <w:bookmarkStart w:id="581" w:name="_Toc2861"/>
      <w:bookmarkStart w:id="582" w:name="_Toc23920"/>
      <w:r>
        <w:rPr>
          <w:rFonts w:hint="eastAsia" w:ascii="宋体" w:hAnsi="宋体" w:eastAsia="宋体" w:cs="宋体"/>
          <w:color w:val="auto"/>
          <w:sz w:val="24"/>
          <w:szCs w:val="24"/>
          <w:highlight w:val="none"/>
          <w:lang w:eastAsia="zh-CN"/>
        </w:rPr>
        <w:t>5.2发包人提供的材料和工程设备</w:t>
      </w:r>
      <w:bookmarkEnd w:id="572"/>
      <w:bookmarkEnd w:id="573"/>
      <w:bookmarkEnd w:id="574"/>
      <w:bookmarkEnd w:id="575"/>
      <w:bookmarkEnd w:id="576"/>
      <w:bookmarkEnd w:id="577"/>
      <w:bookmarkEnd w:id="578"/>
      <w:bookmarkEnd w:id="579"/>
      <w:bookmarkEnd w:id="580"/>
      <w:bookmarkEnd w:id="581"/>
      <w:bookmarkEnd w:id="582"/>
    </w:p>
    <w:p w14:paraId="5EE96ABC">
      <w:pPr>
        <w:pStyle w:val="115"/>
        <w:spacing w:line="360" w:lineRule="exact"/>
        <w:ind w:firstLine="420"/>
        <w:jc w:val="both"/>
        <w:rPr>
          <w:rFonts w:hint="eastAsia" w:ascii="宋体" w:hAnsi="宋体" w:eastAsia="宋体" w:cs="宋体"/>
          <w:color w:val="auto"/>
          <w:highlight w:val="none"/>
        </w:rPr>
      </w:pPr>
      <w:bookmarkStart w:id="583" w:name="bookmark1051"/>
      <w:bookmarkEnd w:id="583"/>
      <w:r>
        <w:rPr>
          <w:rFonts w:hint="eastAsia" w:ascii="宋体" w:hAnsi="宋体" w:eastAsia="宋体" w:cs="宋体"/>
          <w:color w:val="auto"/>
          <w:highlight w:val="none"/>
        </w:rPr>
        <w:t>5.2.1发包人提供的材料和工程设备，应在专用合同条款中写明材料和工程设备的名称、规格、数量、价格、交货方式、交货地点和计划交货日期等。</w:t>
      </w:r>
    </w:p>
    <w:p w14:paraId="5EE96ABD">
      <w:pPr>
        <w:pStyle w:val="115"/>
        <w:spacing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5.2.2</w:t>
      </w:r>
      <w:r>
        <w:rPr>
          <w:rFonts w:hint="eastAsia" w:ascii="宋体" w:hAnsi="宋体" w:eastAsia="宋体" w:cs="宋体"/>
          <w:color w:val="auto"/>
          <w:highlight w:val="none"/>
        </w:rPr>
        <w:t>承包人应根据合同进度计划的安排，向监理人报送要求发包人交货的日期计划。发包人应按照监理人与合同双方当事人商定的交货日期，向承包人提交材料和工程设备。</w:t>
      </w:r>
    </w:p>
    <w:p w14:paraId="5EE96ABE">
      <w:pPr>
        <w:pStyle w:val="115"/>
        <w:spacing w:line="364"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5.2.3</w:t>
      </w:r>
      <w:r>
        <w:rPr>
          <w:rFonts w:hint="eastAsia" w:ascii="宋体" w:hAnsi="宋体" w:eastAsia="宋体" w:cs="宋体"/>
          <w:color w:val="auto"/>
          <w:highlight w:val="none"/>
        </w:rPr>
        <w:t>发包人应在材料和工程设备到货7天前通知承包人，承包人应会同监理人在约定的时间内，赴交货地点共同进行验收。发包人提供的材料和工程设备运至交货地点验收后，由承包人负责接收、卸货、运输和保管。</w:t>
      </w:r>
    </w:p>
    <w:p w14:paraId="5EE96ABF">
      <w:pPr>
        <w:pStyle w:val="115"/>
        <w:spacing w:line="365"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5.2.4</w:t>
      </w:r>
      <w:r>
        <w:rPr>
          <w:rFonts w:hint="eastAsia" w:ascii="宋体" w:hAnsi="宋体" w:eastAsia="宋体" w:cs="宋体"/>
          <w:color w:val="auto"/>
          <w:highlight w:val="none"/>
        </w:rPr>
        <w:t>发包人要求向承包人提前交货的，承包人不得拒绝，但发包人应承担承包人由此增加的费用。</w:t>
      </w:r>
    </w:p>
    <w:p w14:paraId="5EE96AC0">
      <w:pPr>
        <w:pStyle w:val="115"/>
        <w:spacing w:line="365"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5.2.5</w:t>
      </w:r>
      <w:r>
        <w:rPr>
          <w:rFonts w:hint="eastAsia" w:ascii="宋体" w:hAnsi="宋体" w:eastAsia="宋体" w:cs="宋体"/>
          <w:color w:val="auto"/>
          <w:highlight w:val="none"/>
        </w:rPr>
        <w:t>承包人要求更改交货日期或地点的，应事先报请监理人批准。由于承包人要求更改交货时间或地点所增加的费用和（或）工期延误由承包人承担。</w:t>
      </w:r>
    </w:p>
    <w:p w14:paraId="5EE96AC1">
      <w:pPr>
        <w:pStyle w:val="115"/>
        <w:spacing w:after="120" w:line="354"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5.2.6</w:t>
      </w:r>
      <w:r>
        <w:rPr>
          <w:rFonts w:hint="eastAsia" w:ascii="宋体" w:hAnsi="宋体" w:eastAsia="宋体" w:cs="宋体"/>
          <w:color w:val="auto"/>
          <w:highlight w:val="none"/>
        </w:rPr>
        <w:t>发包人提供的材料和工程设备的规格、数量或质量不符合合同要求，或由于发包人原因发生交货日期延误及交货地点变更等情况的，发包人应承担由此增加的费用和（或）工期延误，并向承包人支付合理利润。</w:t>
      </w:r>
    </w:p>
    <w:p w14:paraId="5EE96AC2">
      <w:pPr>
        <w:pStyle w:val="116"/>
        <w:spacing w:line="360" w:lineRule="exact"/>
        <w:rPr>
          <w:rFonts w:hint="eastAsia" w:ascii="宋体" w:hAnsi="宋体" w:eastAsia="宋体" w:cs="宋体"/>
          <w:color w:val="auto"/>
          <w:sz w:val="24"/>
          <w:szCs w:val="24"/>
          <w:highlight w:val="none"/>
          <w:lang w:eastAsia="zh-CN"/>
        </w:rPr>
      </w:pPr>
      <w:bookmarkStart w:id="584" w:name="_Toc20788"/>
      <w:bookmarkStart w:id="585" w:name="bookmark1053"/>
      <w:bookmarkStart w:id="586" w:name="_Toc30782"/>
      <w:bookmarkStart w:id="587" w:name="_Toc22044"/>
      <w:bookmarkStart w:id="588" w:name="_Toc199152878"/>
      <w:bookmarkStart w:id="589" w:name="_Toc18309"/>
      <w:bookmarkStart w:id="590" w:name="bookmark1054"/>
      <w:bookmarkStart w:id="591" w:name="_Toc2255"/>
      <w:bookmarkStart w:id="592" w:name="_Toc13449"/>
      <w:bookmarkStart w:id="593" w:name="bookmark1052"/>
      <w:bookmarkStart w:id="594" w:name="_Toc17795"/>
      <w:r>
        <w:rPr>
          <w:rFonts w:hint="eastAsia" w:ascii="宋体" w:hAnsi="宋体" w:eastAsia="宋体" w:cs="宋体"/>
          <w:color w:val="auto"/>
          <w:sz w:val="24"/>
          <w:szCs w:val="24"/>
          <w:highlight w:val="none"/>
          <w:lang w:eastAsia="zh-CN"/>
        </w:rPr>
        <w:t>5.3材料和工程设备专用于合同工程</w:t>
      </w:r>
      <w:bookmarkEnd w:id="584"/>
      <w:bookmarkEnd w:id="585"/>
      <w:bookmarkEnd w:id="586"/>
      <w:bookmarkEnd w:id="587"/>
      <w:bookmarkEnd w:id="588"/>
      <w:bookmarkEnd w:id="589"/>
      <w:bookmarkEnd w:id="590"/>
      <w:bookmarkEnd w:id="591"/>
      <w:bookmarkEnd w:id="592"/>
      <w:bookmarkEnd w:id="593"/>
      <w:bookmarkEnd w:id="594"/>
    </w:p>
    <w:p w14:paraId="5EE96AC3">
      <w:pPr>
        <w:pStyle w:val="115"/>
        <w:spacing w:line="355"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5.3.1</w:t>
      </w:r>
      <w:r>
        <w:rPr>
          <w:rFonts w:hint="eastAsia" w:ascii="宋体" w:hAnsi="宋体" w:eastAsia="宋体" w:cs="宋体"/>
          <w:color w:val="auto"/>
          <w:highlight w:val="none"/>
        </w:rPr>
        <w:t>运入施工场地的材料、工程设备，包括备品备件、安装专用工器具与随机资料，必须专用于合同工程，未经监理人同意，承包人不得运出施工场地或挪作他用。</w:t>
      </w:r>
    </w:p>
    <w:p w14:paraId="5EE96AC4">
      <w:pPr>
        <w:pStyle w:val="115"/>
        <w:spacing w:after="120" w:line="364"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5.3.2</w:t>
      </w:r>
      <w:r>
        <w:rPr>
          <w:rFonts w:hint="eastAsia" w:ascii="宋体" w:hAnsi="宋体" w:eastAsia="宋体" w:cs="宋体"/>
          <w:color w:val="auto"/>
          <w:highlight w:val="none"/>
        </w:rPr>
        <w:t>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5EE96AC5">
      <w:pPr>
        <w:pStyle w:val="116"/>
        <w:spacing w:line="360" w:lineRule="exact"/>
        <w:rPr>
          <w:rFonts w:hint="eastAsia" w:ascii="宋体" w:hAnsi="宋体" w:eastAsia="宋体" w:cs="宋体"/>
          <w:color w:val="auto"/>
          <w:sz w:val="24"/>
          <w:szCs w:val="24"/>
          <w:highlight w:val="none"/>
          <w:lang w:eastAsia="zh-CN"/>
        </w:rPr>
      </w:pPr>
      <w:bookmarkStart w:id="595" w:name="_Toc12312"/>
      <w:bookmarkStart w:id="596" w:name="_Toc24097"/>
      <w:bookmarkStart w:id="597" w:name="_Toc199152879"/>
      <w:bookmarkStart w:id="598" w:name="_Toc4943"/>
      <w:bookmarkStart w:id="599" w:name="_Toc3043"/>
      <w:bookmarkStart w:id="600" w:name="bookmark1057"/>
      <w:bookmarkStart w:id="601" w:name="bookmark1056"/>
      <w:bookmarkStart w:id="602" w:name="bookmark1055"/>
      <w:bookmarkStart w:id="603" w:name="_Toc23254"/>
      <w:bookmarkStart w:id="604" w:name="_Toc30864"/>
      <w:bookmarkStart w:id="605" w:name="_Toc15663"/>
      <w:r>
        <w:rPr>
          <w:rFonts w:hint="eastAsia" w:ascii="宋体" w:hAnsi="宋体" w:eastAsia="宋体" w:cs="宋体"/>
          <w:color w:val="auto"/>
          <w:sz w:val="24"/>
          <w:szCs w:val="24"/>
          <w:highlight w:val="none"/>
          <w:lang w:eastAsia="zh-CN"/>
        </w:rPr>
        <w:t>5.4禁止使用不合格的材料和工程设备</w:t>
      </w:r>
      <w:bookmarkEnd w:id="595"/>
      <w:bookmarkEnd w:id="596"/>
      <w:bookmarkEnd w:id="597"/>
      <w:bookmarkEnd w:id="598"/>
      <w:bookmarkEnd w:id="599"/>
      <w:bookmarkEnd w:id="600"/>
      <w:bookmarkEnd w:id="601"/>
      <w:bookmarkEnd w:id="602"/>
      <w:bookmarkEnd w:id="603"/>
      <w:bookmarkEnd w:id="604"/>
      <w:bookmarkEnd w:id="605"/>
    </w:p>
    <w:p w14:paraId="5EE96AC6">
      <w:pPr>
        <w:pStyle w:val="115"/>
        <w:spacing w:after="80" w:line="362" w:lineRule="exact"/>
        <w:ind w:firstLine="420"/>
        <w:jc w:val="both"/>
        <w:rPr>
          <w:rFonts w:hint="eastAsia" w:ascii="宋体" w:hAnsi="宋体" w:eastAsia="宋体" w:cs="宋体"/>
          <w:color w:val="auto"/>
          <w:highlight w:val="none"/>
        </w:rPr>
      </w:pPr>
      <w:bookmarkStart w:id="606" w:name="bookmark1058"/>
      <w:bookmarkEnd w:id="606"/>
      <w:r>
        <w:rPr>
          <w:rFonts w:hint="eastAsia" w:ascii="宋体" w:hAnsi="宋体" w:eastAsia="宋体" w:cs="宋体"/>
          <w:color w:val="auto"/>
          <w:highlight w:val="none"/>
        </w:rPr>
        <w:t>5.4.1监理人有权拒绝承包人提供的不合格材料或工程设备，并要求承包人立即进行更换。监理人应在更换后再次进行检查和检验，由此增加的费用和（或）工期延误由承包人承担。</w:t>
      </w:r>
    </w:p>
    <w:p w14:paraId="5EE96AC7">
      <w:pPr>
        <w:pStyle w:val="115"/>
        <w:spacing w:after="80" w:line="362" w:lineRule="exact"/>
        <w:ind w:firstLine="420"/>
        <w:jc w:val="both"/>
        <w:rPr>
          <w:rFonts w:hint="eastAsia" w:ascii="宋体" w:hAnsi="宋体" w:eastAsia="宋体" w:cs="宋体"/>
          <w:color w:val="auto"/>
          <w:highlight w:val="none"/>
        </w:rPr>
      </w:pPr>
      <w:bookmarkStart w:id="607" w:name="bookmark1059"/>
      <w:bookmarkEnd w:id="607"/>
      <w:r>
        <w:rPr>
          <w:rFonts w:hint="eastAsia" w:ascii="宋体" w:hAnsi="宋体" w:eastAsia="宋体" w:cs="宋体"/>
          <w:color w:val="auto"/>
          <w:highlight w:val="none"/>
        </w:rPr>
        <w:t>5.4.2监理人发现承包人使用了不合格的材料和工程设备，应即时发出指示要求承包人立即改正，并禁止在工程中继续使用不合格的材料和工程设备。</w:t>
      </w:r>
    </w:p>
    <w:p w14:paraId="5EE96AC8">
      <w:pPr>
        <w:pStyle w:val="115"/>
        <w:spacing w:line="362"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5.4.3</w:t>
      </w:r>
      <w:r>
        <w:rPr>
          <w:rFonts w:hint="eastAsia" w:ascii="宋体" w:hAnsi="宋体" w:eastAsia="宋体" w:cs="宋体"/>
          <w:color w:val="auto"/>
          <w:highlight w:val="none"/>
        </w:rPr>
        <w:t>发包人提供的材料或工程设备不符合合同要求的，承包人有权拒绝，并可要求发包人更换，由此增加的费用和（或）工期延误由发包人承担。</w:t>
      </w:r>
    </w:p>
    <w:p w14:paraId="5EE96AC9">
      <w:pPr>
        <w:pStyle w:val="116"/>
        <w:spacing w:line="360" w:lineRule="exact"/>
        <w:rPr>
          <w:rFonts w:hint="eastAsia" w:ascii="宋体" w:hAnsi="宋体" w:eastAsia="宋体" w:cs="宋体"/>
          <w:color w:val="auto"/>
          <w:highlight w:val="none"/>
          <w:lang w:eastAsia="zh-CN"/>
        </w:rPr>
      </w:pPr>
      <w:bookmarkStart w:id="608" w:name="bookmark1062"/>
      <w:bookmarkEnd w:id="608"/>
      <w:bookmarkStart w:id="609" w:name="_Toc199152880"/>
      <w:bookmarkStart w:id="610" w:name="_Toc3256"/>
      <w:bookmarkStart w:id="611" w:name="_Toc18620"/>
      <w:bookmarkStart w:id="612" w:name="_Toc19523"/>
      <w:bookmarkStart w:id="613" w:name="_Toc24323"/>
      <w:bookmarkStart w:id="614" w:name="_Toc4086"/>
      <w:bookmarkStart w:id="615" w:name="bookmark1061"/>
      <w:bookmarkStart w:id="616" w:name="_Toc11123"/>
      <w:bookmarkStart w:id="617" w:name="bookmark1063"/>
      <w:bookmarkStart w:id="618" w:name="_Toc21496"/>
      <w:bookmarkStart w:id="619" w:name="bookmark1060"/>
      <w:r>
        <w:rPr>
          <w:rFonts w:hint="eastAsia" w:ascii="宋体" w:hAnsi="宋体" w:eastAsia="宋体" w:cs="宋体"/>
          <w:color w:val="auto"/>
          <w:highlight w:val="none"/>
          <w:lang w:eastAsia="zh-CN"/>
        </w:rPr>
        <w:t>6.施工设备和临时设施</w:t>
      </w:r>
      <w:bookmarkEnd w:id="609"/>
      <w:bookmarkEnd w:id="610"/>
      <w:bookmarkEnd w:id="611"/>
      <w:bookmarkEnd w:id="612"/>
      <w:bookmarkEnd w:id="613"/>
      <w:bookmarkEnd w:id="614"/>
      <w:bookmarkEnd w:id="615"/>
      <w:bookmarkEnd w:id="616"/>
      <w:bookmarkEnd w:id="617"/>
      <w:bookmarkEnd w:id="618"/>
      <w:bookmarkEnd w:id="619"/>
    </w:p>
    <w:p w14:paraId="5EE96ACA">
      <w:pPr>
        <w:pStyle w:val="116"/>
        <w:spacing w:line="360" w:lineRule="exact"/>
        <w:rPr>
          <w:rFonts w:hint="eastAsia" w:ascii="宋体" w:hAnsi="宋体" w:eastAsia="宋体" w:cs="宋体"/>
          <w:color w:val="auto"/>
          <w:sz w:val="24"/>
          <w:szCs w:val="24"/>
          <w:highlight w:val="none"/>
          <w:lang w:eastAsia="zh-CN"/>
        </w:rPr>
      </w:pPr>
      <w:bookmarkStart w:id="620" w:name="_Toc31061"/>
      <w:bookmarkStart w:id="621" w:name="_Toc9863"/>
      <w:bookmarkStart w:id="622" w:name="bookmark1064"/>
      <w:bookmarkStart w:id="623" w:name="_Toc199152881"/>
      <w:bookmarkStart w:id="624" w:name="_Toc5508"/>
      <w:bookmarkStart w:id="625" w:name="_Toc29023"/>
      <w:bookmarkStart w:id="626" w:name="_Toc22344"/>
      <w:bookmarkStart w:id="627" w:name="bookmark1065"/>
      <w:bookmarkStart w:id="628" w:name="bookmark1066"/>
      <w:bookmarkStart w:id="629" w:name="_Toc30984"/>
      <w:bookmarkStart w:id="630" w:name="_Toc19936"/>
      <w:r>
        <w:rPr>
          <w:rFonts w:hint="eastAsia" w:ascii="宋体" w:hAnsi="宋体" w:eastAsia="宋体" w:cs="宋体"/>
          <w:color w:val="auto"/>
          <w:sz w:val="24"/>
          <w:szCs w:val="24"/>
          <w:highlight w:val="none"/>
          <w:lang w:eastAsia="zh-CN"/>
        </w:rPr>
        <w:t>6.1承包人提供的施工设备和临时设施</w:t>
      </w:r>
      <w:bookmarkEnd w:id="620"/>
      <w:bookmarkEnd w:id="621"/>
      <w:bookmarkEnd w:id="622"/>
      <w:bookmarkEnd w:id="623"/>
      <w:bookmarkEnd w:id="624"/>
      <w:bookmarkEnd w:id="625"/>
      <w:bookmarkEnd w:id="626"/>
      <w:bookmarkEnd w:id="627"/>
      <w:bookmarkEnd w:id="628"/>
      <w:bookmarkEnd w:id="629"/>
      <w:bookmarkEnd w:id="630"/>
    </w:p>
    <w:p w14:paraId="5EE96ACB">
      <w:pPr>
        <w:pStyle w:val="115"/>
        <w:spacing w:line="366"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6.1.1</w:t>
      </w:r>
      <w:r>
        <w:rPr>
          <w:rFonts w:hint="eastAsia" w:ascii="宋体" w:hAnsi="宋体" w:eastAsia="宋体" w:cs="宋体"/>
          <w:color w:val="auto"/>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5EE96ACC">
      <w:pPr>
        <w:pStyle w:val="115"/>
        <w:spacing w:after="140" w:line="374"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6.1.2</w:t>
      </w:r>
      <w:r>
        <w:rPr>
          <w:rFonts w:hint="eastAsia" w:ascii="宋体" w:hAnsi="宋体" w:eastAsia="宋体" w:cs="宋体"/>
          <w:color w:val="auto"/>
          <w:highlight w:val="none"/>
        </w:rPr>
        <w:t>除专用合同条款另有约定外，承包人应自行承担修建临时设施的费用，需要临时占地的，应由发包人办理申请手续并承担相应费用。</w:t>
      </w:r>
    </w:p>
    <w:p w14:paraId="5EE96ACD">
      <w:pPr>
        <w:pStyle w:val="116"/>
        <w:spacing w:line="360" w:lineRule="exact"/>
        <w:rPr>
          <w:rFonts w:hint="eastAsia" w:ascii="宋体" w:hAnsi="宋体" w:eastAsia="宋体" w:cs="宋体"/>
          <w:color w:val="auto"/>
          <w:sz w:val="24"/>
          <w:szCs w:val="24"/>
          <w:highlight w:val="none"/>
          <w:lang w:eastAsia="zh-CN"/>
        </w:rPr>
      </w:pPr>
      <w:bookmarkStart w:id="631" w:name="_Toc25469"/>
      <w:bookmarkStart w:id="632" w:name="_Toc27930"/>
      <w:bookmarkStart w:id="633" w:name="bookmark1068"/>
      <w:bookmarkStart w:id="634" w:name="_Toc31030"/>
      <w:bookmarkStart w:id="635" w:name="_Toc21357"/>
      <w:bookmarkStart w:id="636" w:name="bookmark1067"/>
      <w:bookmarkStart w:id="637" w:name="bookmark1069"/>
      <w:bookmarkStart w:id="638" w:name="_Toc25065"/>
      <w:bookmarkStart w:id="639" w:name="_Toc26040"/>
      <w:bookmarkStart w:id="640" w:name="_Toc15863"/>
      <w:bookmarkStart w:id="641" w:name="_Toc199152882"/>
      <w:r>
        <w:rPr>
          <w:rFonts w:hint="eastAsia" w:ascii="宋体" w:hAnsi="宋体" w:eastAsia="宋体" w:cs="宋体"/>
          <w:color w:val="auto"/>
          <w:sz w:val="24"/>
          <w:szCs w:val="24"/>
          <w:highlight w:val="none"/>
          <w:lang w:eastAsia="zh-CN"/>
        </w:rPr>
        <w:t>6.2发包人提供的施工设备和临时设施</w:t>
      </w:r>
      <w:bookmarkEnd w:id="631"/>
      <w:bookmarkEnd w:id="632"/>
      <w:bookmarkEnd w:id="633"/>
      <w:bookmarkEnd w:id="634"/>
      <w:bookmarkEnd w:id="635"/>
      <w:bookmarkEnd w:id="636"/>
      <w:bookmarkEnd w:id="637"/>
      <w:bookmarkEnd w:id="638"/>
      <w:bookmarkEnd w:id="639"/>
      <w:bookmarkEnd w:id="640"/>
      <w:bookmarkEnd w:id="641"/>
    </w:p>
    <w:p w14:paraId="5EE96ACE">
      <w:pPr>
        <w:pStyle w:val="115"/>
        <w:spacing w:after="140" w:line="37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发包人提供的施工设备或临时设施在专用合同条款中约定。</w:t>
      </w:r>
    </w:p>
    <w:p w14:paraId="5EE96ACF">
      <w:pPr>
        <w:pStyle w:val="116"/>
        <w:spacing w:line="360" w:lineRule="exact"/>
        <w:rPr>
          <w:rFonts w:hint="eastAsia" w:ascii="宋体" w:hAnsi="宋体" w:eastAsia="宋体" w:cs="宋体"/>
          <w:color w:val="auto"/>
          <w:sz w:val="24"/>
          <w:szCs w:val="24"/>
          <w:highlight w:val="none"/>
          <w:lang w:eastAsia="zh-CN"/>
        </w:rPr>
      </w:pPr>
      <w:bookmarkStart w:id="642" w:name="_Toc199152883"/>
      <w:bookmarkStart w:id="643" w:name="_Toc30722"/>
      <w:bookmarkStart w:id="644" w:name="bookmark1070"/>
      <w:bookmarkStart w:id="645" w:name="bookmark1072"/>
      <w:bookmarkStart w:id="646" w:name="_Toc13324"/>
      <w:bookmarkStart w:id="647" w:name="_Toc31532"/>
      <w:bookmarkStart w:id="648" w:name="_Toc737"/>
      <w:bookmarkStart w:id="649" w:name="_Toc22668"/>
      <w:bookmarkStart w:id="650" w:name="_Toc27576"/>
      <w:bookmarkStart w:id="651" w:name="_Toc27703"/>
      <w:bookmarkStart w:id="652" w:name="bookmark1071"/>
      <w:r>
        <w:rPr>
          <w:rFonts w:hint="eastAsia" w:ascii="宋体" w:hAnsi="宋体" w:eastAsia="宋体" w:cs="宋体"/>
          <w:color w:val="auto"/>
          <w:sz w:val="24"/>
          <w:szCs w:val="24"/>
          <w:highlight w:val="none"/>
          <w:lang w:eastAsia="zh-CN"/>
        </w:rPr>
        <w:t>6.3要求承包人增加或更换施工设备</w:t>
      </w:r>
      <w:bookmarkEnd w:id="642"/>
      <w:bookmarkEnd w:id="643"/>
      <w:bookmarkEnd w:id="644"/>
      <w:bookmarkEnd w:id="645"/>
      <w:bookmarkEnd w:id="646"/>
      <w:bookmarkEnd w:id="647"/>
      <w:bookmarkEnd w:id="648"/>
      <w:bookmarkEnd w:id="649"/>
      <w:bookmarkEnd w:id="650"/>
      <w:bookmarkEnd w:id="651"/>
      <w:bookmarkEnd w:id="652"/>
    </w:p>
    <w:p w14:paraId="5EE96AD0">
      <w:pPr>
        <w:pStyle w:val="115"/>
        <w:spacing w:after="140" w:line="365"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承包人使用的施工设备不能满足合同进度计划和（或）质量要求时，监理人有权要求承包人增加或更换施工设备，承包人应及时增加或更换，由此增加的费用和（或）工期延误由承包人承担。</w:t>
      </w:r>
    </w:p>
    <w:p w14:paraId="5EE96AD1">
      <w:pPr>
        <w:pStyle w:val="116"/>
        <w:spacing w:line="360" w:lineRule="exact"/>
        <w:rPr>
          <w:rFonts w:hint="eastAsia" w:ascii="宋体" w:hAnsi="宋体" w:eastAsia="宋体" w:cs="宋体"/>
          <w:color w:val="auto"/>
          <w:sz w:val="24"/>
          <w:szCs w:val="24"/>
          <w:highlight w:val="none"/>
          <w:lang w:eastAsia="zh-CN"/>
        </w:rPr>
      </w:pPr>
      <w:bookmarkStart w:id="653" w:name="bookmark1073"/>
      <w:bookmarkStart w:id="654" w:name="_Toc20425"/>
      <w:bookmarkStart w:id="655" w:name="_Toc23117"/>
      <w:bookmarkStart w:id="656" w:name="_Toc2465"/>
      <w:bookmarkStart w:id="657" w:name="_Toc3333"/>
      <w:bookmarkStart w:id="658" w:name="bookmark1074"/>
      <w:bookmarkStart w:id="659" w:name="_Toc6579"/>
      <w:bookmarkStart w:id="660" w:name="_Toc21826"/>
      <w:bookmarkStart w:id="661" w:name="bookmark1075"/>
      <w:bookmarkStart w:id="662" w:name="_Toc31647"/>
      <w:bookmarkStart w:id="663" w:name="_Toc199152884"/>
      <w:r>
        <w:rPr>
          <w:rFonts w:hint="eastAsia" w:ascii="宋体" w:hAnsi="宋体" w:eastAsia="宋体" w:cs="宋体"/>
          <w:color w:val="auto"/>
          <w:sz w:val="24"/>
          <w:szCs w:val="24"/>
          <w:highlight w:val="none"/>
          <w:lang w:eastAsia="zh-CN"/>
        </w:rPr>
        <w:t>6.4施工设备和临时设施专用于合同工程</w:t>
      </w:r>
      <w:bookmarkEnd w:id="653"/>
      <w:bookmarkEnd w:id="654"/>
      <w:bookmarkEnd w:id="655"/>
      <w:bookmarkEnd w:id="656"/>
      <w:bookmarkEnd w:id="657"/>
      <w:bookmarkEnd w:id="658"/>
      <w:bookmarkEnd w:id="659"/>
      <w:bookmarkEnd w:id="660"/>
      <w:bookmarkEnd w:id="661"/>
      <w:bookmarkEnd w:id="662"/>
      <w:bookmarkEnd w:id="663"/>
    </w:p>
    <w:p w14:paraId="5EE96AD2">
      <w:pPr>
        <w:pStyle w:val="115"/>
        <w:spacing w:after="140" w:line="365" w:lineRule="exact"/>
        <w:ind w:firstLine="420"/>
        <w:jc w:val="both"/>
        <w:rPr>
          <w:rFonts w:hint="eastAsia" w:ascii="宋体" w:hAnsi="宋体" w:eastAsia="宋体" w:cs="宋体"/>
          <w:color w:val="auto"/>
          <w:highlight w:val="none"/>
        </w:rPr>
      </w:pPr>
      <w:bookmarkStart w:id="664" w:name="bookmark1076"/>
      <w:bookmarkEnd w:id="664"/>
      <w:r>
        <w:rPr>
          <w:rFonts w:hint="eastAsia" w:ascii="宋体" w:hAnsi="宋体" w:eastAsia="宋体" w:cs="宋体"/>
          <w:color w:val="auto"/>
          <w:highlight w:val="none"/>
        </w:rPr>
        <w:t>6.4.1除合同另有约定外，运入施工场地的所有施工设备以及在施工场地建设的临时设施应专用于合同工程。未经监理人同意，不得将上述施工设备和临时设施中的任何部分运出施工场地或挪作他用。</w:t>
      </w:r>
    </w:p>
    <w:p w14:paraId="5EE96AD3">
      <w:pPr>
        <w:pStyle w:val="115"/>
        <w:tabs>
          <w:tab w:val="left" w:pos="754"/>
        </w:tabs>
        <w:spacing w:after="300" w:line="370" w:lineRule="exact"/>
        <w:ind w:left="420" w:firstLine="0"/>
        <w:rPr>
          <w:rFonts w:hint="eastAsia" w:ascii="宋体" w:hAnsi="宋体" w:eastAsia="宋体" w:cs="宋体"/>
          <w:color w:val="auto"/>
          <w:highlight w:val="none"/>
        </w:rPr>
      </w:pPr>
      <w:bookmarkStart w:id="665" w:name="bookmark1077"/>
      <w:bookmarkEnd w:id="665"/>
      <w:r>
        <w:rPr>
          <w:rFonts w:hint="eastAsia" w:ascii="宋体" w:hAnsi="宋体" w:eastAsia="宋体" w:cs="宋体"/>
          <w:color w:val="auto"/>
          <w:highlight w:val="none"/>
          <w:lang w:val="en-US" w:bidi="en-US"/>
        </w:rPr>
        <w:t>6.4.2</w:t>
      </w:r>
      <w:r>
        <w:rPr>
          <w:rFonts w:hint="eastAsia" w:ascii="宋体" w:hAnsi="宋体" w:eastAsia="宋体" w:cs="宋体"/>
          <w:color w:val="auto"/>
          <w:highlight w:val="none"/>
        </w:rPr>
        <w:t>经监理人同意，承包人可根据合同进度计划撤走闲置的施工设备。</w:t>
      </w:r>
    </w:p>
    <w:p w14:paraId="5EE96AD4">
      <w:pPr>
        <w:pStyle w:val="116"/>
        <w:spacing w:line="360" w:lineRule="exact"/>
        <w:rPr>
          <w:rFonts w:hint="eastAsia" w:ascii="宋体" w:hAnsi="宋体" w:eastAsia="宋体" w:cs="宋体"/>
          <w:color w:val="auto"/>
          <w:highlight w:val="none"/>
          <w:lang w:eastAsia="zh-CN"/>
        </w:rPr>
      </w:pPr>
      <w:bookmarkStart w:id="666" w:name="bookmark1080"/>
      <w:bookmarkEnd w:id="666"/>
      <w:bookmarkStart w:id="667" w:name="bookmark1079"/>
      <w:bookmarkStart w:id="668" w:name="_Toc199152885"/>
      <w:bookmarkStart w:id="669" w:name="_Toc13833"/>
      <w:bookmarkStart w:id="670" w:name="bookmark1081"/>
      <w:bookmarkStart w:id="671" w:name="_Toc26864"/>
      <w:bookmarkStart w:id="672" w:name="_Toc32372"/>
      <w:bookmarkStart w:id="673" w:name="bookmark1078"/>
      <w:bookmarkStart w:id="674" w:name="_Toc5657"/>
      <w:bookmarkStart w:id="675" w:name="_Toc29984"/>
      <w:bookmarkStart w:id="676" w:name="_Toc18104"/>
      <w:bookmarkStart w:id="677" w:name="_Toc23755"/>
      <w:r>
        <w:rPr>
          <w:rFonts w:hint="eastAsia" w:ascii="宋体" w:hAnsi="宋体" w:eastAsia="宋体" w:cs="宋体"/>
          <w:color w:val="auto"/>
          <w:highlight w:val="none"/>
          <w:lang w:eastAsia="zh-CN"/>
        </w:rPr>
        <w:t>7.交通运输</w:t>
      </w:r>
      <w:bookmarkEnd w:id="667"/>
      <w:bookmarkEnd w:id="668"/>
      <w:bookmarkEnd w:id="669"/>
      <w:bookmarkEnd w:id="670"/>
      <w:bookmarkEnd w:id="671"/>
      <w:bookmarkEnd w:id="672"/>
      <w:bookmarkEnd w:id="673"/>
      <w:bookmarkEnd w:id="674"/>
      <w:bookmarkEnd w:id="675"/>
      <w:bookmarkEnd w:id="676"/>
      <w:bookmarkEnd w:id="677"/>
    </w:p>
    <w:p w14:paraId="5EE96AD5">
      <w:pPr>
        <w:pStyle w:val="116"/>
        <w:spacing w:line="360" w:lineRule="exact"/>
        <w:rPr>
          <w:rFonts w:hint="eastAsia" w:ascii="宋体" w:hAnsi="宋体" w:eastAsia="宋体" w:cs="宋体"/>
          <w:color w:val="auto"/>
          <w:sz w:val="24"/>
          <w:szCs w:val="24"/>
          <w:highlight w:val="none"/>
          <w:lang w:eastAsia="zh-CN"/>
        </w:rPr>
      </w:pPr>
      <w:bookmarkStart w:id="678" w:name="_Toc199152886"/>
      <w:bookmarkStart w:id="679" w:name="bookmark1083"/>
      <w:bookmarkStart w:id="680" w:name="_Toc18589"/>
      <w:bookmarkStart w:id="681" w:name="_Toc14817"/>
      <w:bookmarkStart w:id="682" w:name="_Toc22987"/>
      <w:bookmarkStart w:id="683" w:name="_Toc15301"/>
      <w:bookmarkStart w:id="684" w:name="bookmark1082"/>
      <w:bookmarkStart w:id="685" w:name="_Toc29331"/>
      <w:bookmarkStart w:id="686" w:name="bookmark1084"/>
      <w:bookmarkStart w:id="687" w:name="_Toc26533"/>
      <w:bookmarkStart w:id="688" w:name="_Toc3349"/>
      <w:r>
        <w:rPr>
          <w:rFonts w:hint="eastAsia" w:ascii="宋体" w:hAnsi="宋体" w:eastAsia="宋体" w:cs="宋体"/>
          <w:color w:val="auto"/>
          <w:sz w:val="24"/>
          <w:szCs w:val="24"/>
          <w:highlight w:val="none"/>
          <w:lang w:eastAsia="zh-CN"/>
        </w:rPr>
        <w:t>7.1道路通行权和场外设施</w:t>
      </w:r>
      <w:bookmarkEnd w:id="678"/>
      <w:bookmarkEnd w:id="679"/>
      <w:bookmarkEnd w:id="680"/>
      <w:bookmarkEnd w:id="681"/>
      <w:bookmarkEnd w:id="682"/>
      <w:bookmarkEnd w:id="683"/>
      <w:bookmarkEnd w:id="684"/>
      <w:bookmarkEnd w:id="685"/>
      <w:bookmarkEnd w:id="686"/>
      <w:bookmarkEnd w:id="687"/>
      <w:bookmarkEnd w:id="688"/>
    </w:p>
    <w:p w14:paraId="5EE96AD6">
      <w:pPr>
        <w:pStyle w:val="115"/>
        <w:spacing w:after="140" w:line="359"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14:paraId="5EE96AD7">
      <w:pPr>
        <w:pStyle w:val="116"/>
        <w:spacing w:line="360" w:lineRule="exact"/>
        <w:rPr>
          <w:rFonts w:hint="eastAsia" w:ascii="宋体" w:hAnsi="宋体" w:eastAsia="宋体" w:cs="宋体"/>
          <w:color w:val="auto"/>
          <w:sz w:val="24"/>
          <w:szCs w:val="24"/>
          <w:highlight w:val="none"/>
          <w:lang w:eastAsia="zh-CN"/>
        </w:rPr>
      </w:pPr>
      <w:bookmarkStart w:id="689" w:name="_Toc9736"/>
      <w:bookmarkStart w:id="690" w:name="_Toc22721"/>
      <w:bookmarkStart w:id="691" w:name="_Toc17633"/>
      <w:bookmarkStart w:id="692" w:name="_Toc19760"/>
      <w:bookmarkStart w:id="693" w:name="_Toc7535"/>
      <w:bookmarkStart w:id="694" w:name="_Toc199152887"/>
      <w:bookmarkStart w:id="695" w:name="_Toc26620"/>
      <w:bookmarkStart w:id="696" w:name="bookmark1086"/>
      <w:bookmarkStart w:id="697" w:name="_Toc25046"/>
      <w:bookmarkStart w:id="698" w:name="bookmark1085"/>
      <w:bookmarkStart w:id="699" w:name="bookmark1087"/>
      <w:r>
        <w:rPr>
          <w:rFonts w:hint="eastAsia" w:ascii="宋体" w:hAnsi="宋体" w:eastAsia="宋体" w:cs="宋体"/>
          <w:color w:val="auto"/>
          <w:sz w:val="24"/>
          <w:szCs w:val="24"/>
          <w:highlight w:val="none"/>
          <w:lang w:eastAsia="zh-CN"/>
        </w:rPr>
        <w:t>7.2场内施工道路</w:t>
      </w:r>
      <w:bookmarkEnd w:id="689"/>
      <w:bookmarkEnd w:id="690"/>
      <w:bookmarkEnd w:id="691"/>
      <w:bookmarkEnd w:id="692"/>
      <w:bookmarkEnd w:id="693"/>
      <w:bookmarkEnd w:id="694"/>
      <w:bookmarkEnd w:id="695"/>
      <w:bookmarkEnd w:id="696"/>
      <w:bookmarkEnd w:id="697"/>
      <w:bookmarkEnd w:id="698"/>
      <w:bookmarkEnd w:id="699"/>
    </w:p>
    <w:p w14:paraId="5EE96AD8">
      <w:pPr>
        <w:pStyle w:val="115"/>
        <w:spacing w:line="37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7.2.1</w:t>
      </w:r>
      <w:r>
        <w:rPr>
          <w:rFonts w:hint="eastAsia" w:ascii="宋体" w:hAnsi="宋体" w:eastAsia="宋体" w:cs="宋体"/>
          <w:color w:val="auto"/>
          <w:highlight w:val="none"/>
        </w:rPr>
        <w:t>除本合同约定由发包人提供的部分道路和交通设施外，承包人应负责修建、维修、养护和管理其施工所需的全部临时道路和交通设施（包括合同约定由发包人提供的部分道路和交通设施维修、养护和管理），并承担相应费用。</w:t>
      </w:r>
    </w:p>
    <w:p w14:paraId="5EE96AD9">
      <w:pPr>
        <w:pStyle w:val="115"/>
        <w:spacing w:after="140" w:line="379"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7.2.2</w:t>
      </w:r>
      <w:r>
        <w:rPr>
          <w:rFonts w:hint="eastAsia" w:ascii="宋体" w:hAnsi="宋体" w:eastAsia="宋体" w:cs="宋体"/>
          <w:color w:val="auto"/>
          <w:highlight w:val="none"/>
        </w:rPr>
        <w:t>承包人修建的临时道路和交通设施，应免费提供发包人、监理人，以及与本合同有关的其他承包人使用。</w:t>
      </w:r>
    </w:p>
    <w:p w14:paraId="5EE96ADA">
      <w:pPr>
        <w:pStyle w:val="116"/>
        <w:spacing w:line="360" w:lineRule="exact"/>
        <w:rPr>
          <w:rFonts w:hint="eastAsia" w:ascii="宋体" w:hAnsi="宋体" w:eastAsia="宋体" w:cs="宋体"/>
          <w:color w:val="auto"/>
          <w:sz w:val="24"/>
          <w:szCs w:val="24"/>
          <w:highlight w:val="none"/>
          <w:lang w:eastAsia="zh-CN"/>
        </w:rPr>
      </w:pPr>
      <w:bookmarkStart w:id="700" w:name="_Toc1077"/>
      <w:bookmarkStart w:id="701" w:name="_Toc199152888"/>
      <w:bookmarkStart w:id="702" w:name="bookmark1088"/>
      <w:bookmarkStart w:id="703" w:name="_Toc3748"/>
      <w:bookmarkStart w:id="704" w:name="_Toc17568"/>
      <w:bookmarkStart w:id="705" w:name="_Toc23082"/>
      <w:bookmarkStart w:id="706" w:name="_Toc5303"/>
      <w:bookmarkStart w:id="707" w:name="bookmark1090"/>
      <w:bookmarkStart w:id="708" w:name="_Toc12355"/>
      <w:bookmarkStart w:id="709" w:name="_Toc9625"/>
      <w:bookmarkStart w:id="710" w:name="bookmark1089"/>
      <w:r>
        <w:rPr>
          <w:rFonts w:hint="eastAsia" w:ascii="宋体" w:hAnsi="宋体" w:eastAsia="宋体" w:cs="宋体"/>
          <w:color w:val="auto"/>
          <w:sz w:val="24"/>
          <w:szCs w:val="24"/>
          <w:highlight w:val="none"/>
          <w:lang w:eastAsia="zh-CN"/>
        </w:rPr>
        <w:t>7.3场外交通</w:t>
      </w:r>
      <w:bookmarkEnd w:id="700"/>
      <w:bookmarkEnd w:id="701"/>
      <w:bookmarkEnd w:id="702"/>
      <w:bookmarkEnd w:id="703"/>
      <w:bookmarkEnd w:id="704"/>
      <w:bookmarkEnd w:id="705"/>
      <w:bookmarkEnd w:id="706"/>
      <w:bookmarkEnd w:id="707"/>
      <w:bookmarkEnd w:id="708"/>
      <w:bookmarkEnd w:id="709"/>
      <w:bookmarkEnd w:id="710"/>
    </w:p>
    <w:p w14:paraId="5EE96ADB">
      <w:pPr>
        <w:pStyle w:val="115"/>
        <w:spacing w:line="379"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7.3.1</w:t>
      </w:r>
      <w:r>
        <w:rPr>
          <w:rFonts w:hint="eastAsia" w:ascii="宋体" w:hAnsi="宋体" w:eastAsia="宋体" w:cs="宋体"/>
          <w:color w:val="auto"/>
          <w:highlight w:val="none"/>
        </w:rPr>
        <w:t>承包人车辆外出行驶所需的场外公共道路的通行费、养路费和税款等由承包人承担。</w:t>
      </w:r>
    </w:p>
    <w:p w14:paraId="5EE96ADC">
      <w:pPr>
        <w:pStyle w:val="115"/>
        <w:spacing w:line="379"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rPr>
        <w:t>7.3.2</w:t>
      </w:r>
      <w:r>
        <w:rPr>
          <w:rFonts w:hint="eastAsia" w:ascii="宋体" w:hAnsi="宋体" w:eastAsia="宋体" w:cs="宋体"/>
          <w:color w:val="auto"/>
          <w:highlight w:val="none"/>
        </w:rPr>
        <w:t>承包人应遵守有关交通法规，严格按照道路和桥梁的限制荷重安全行驶，并服从交通管理部门的检查和监督</w:t>
      </w:r>
      <w:r>
        <w:rPr>
          <w:rFonts w:hint="eastAsia" w:ascii="宋体" w:hAnsi="宋体" w:eastAsia="宋体" w:cs="宋体"/>
          <w:color w:val="auto"/>
          <w:highlight w:val="none"/>
          <w:lang w:val="en-US"/>
        </w:rPr>
        <w:t>。</w:t>
      </w:r>
    </w:p>
    <w:p w14:paraId="5EE96ADD">
      <w:pPr>
        <w:pStyle w:val="116"/>
        <w:spacing w:line="360" w:lineRule="exact"/>
        <w:rPr>
          <w:rFonts w:hint="eastAsia" w:ascii="宋体" w:hAnsi="宋体" w:eastAsia="宋体" w:cs="宋体"/>
          <w:color w:val="auto"/>
          <w:sz w:val="24"/>
          <w:szCs w:val="24"/>
          <w:highlight w:val="none"/>
          <w:lang w:eastAsia="zh-CN"/>
        </w:rPr>
      </w:pPr>
      <w:bookmarkStart w:id="711" w:name="_Toc10137"/>
      <w:bookmarkStart w:id="712" w:name="bookmark1093"/>
      <w:bookmarkStart w:id="713" w:name="_Toc199152889"/>
      <w:bookmarkStart w:id="714" w:name="_Toc5823"/>
      <w:bookmarkStart w:id="715" w:name="_Toc18756"/>
      <w:bookmarkStart w:id="716" w:name="bookmark1092"/>
      <w:bookmarkStart w:id="717" w:name="_Toc18897"/>
      <w:bookmarkStart w:id="718" w:name="_Toc25306"/>
      <w:bookmarkStart w:id="719" w:name="bookmark1091"/>
      <w:bookmarkStart w:id="720" w:name="_Toc23711"/>
      <w:bookmarkStart w:id="721" w:name="_Toc25595"/>
      <w:r>
        <w:rPr>
          <w:rFonts w:hint="eastAsia" w:ascii="宋体" w:hAnsi="宋体" w:eastAsia="宋体" w:cs="宋体"/>
          <w:color w:val="auto"/>
          <w:sz w:val="24"/>
          <w:szCs w:val="24"/>
          <w:highlight w:val="none"/>
          <w:lang w:eastAsia="zh-CN"/>
        </w:rPr>
        <w:t>7.4超大件和超重件的运输</w:t>
      </w:r>
      <w:bookmarkEnd w:id="711"/>
      <w:bookmarkEnd w:id="712"/>
      <w:bookmarkEnd w:id="713"/>
      <w:bookmarkEnd w:id="714"/>
      <w:bookmarkEnd w:id="715"/>
      <w:bookmarkEnd w:id="716"/>
      <w:bookmarkEnd w:id="717"/>
      <w:bookmarkEnd w:id="718"/>
      <w:bookmarkEnd w:id="719"/>
      <w:bookmarkEnd w:id="720"/>
      <w:bookmarkEnd w:id="721"/>
    </w:p>
    <w:p w14:paraId="5EE96ADE">
      <w:pPr>
        <w:pStyle w:val="115"/>
        <w:spacing w:after="120" w:line="347"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由承包人负责运输的超大件或超重件，应由承包人负责向交通管理部门办理申请手续</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发包人给予协助。运输超大件或超重件所需的道路和桥梁临时加固改造费用和其他有关费用，由承包人承担，但专用合同条款另有约定除外。</w:t>
      </w:r>
    </w:p>
    <w:p w14:paraId="5EE96ADF">
      <w:pPr>
        <w:pStyle w:val="116"/>
        <w:spacing w:line="360" w:lineRule="exact"/>
        <w:rPr>
          <w:rFonts w:hint="eastAsia" w:ascii="宋体" w:hAnsi="宋体" w:eastAsia="宋体" w:cs="宋体"/>
          <w:color w:val="auto"/>
          <w:sz w:val="24"/>
          <w:szCs w:val="24"/>
          <w:highlight w:val="none"/>
          <w:lang w:eastAsia="zh-CN"/>
        </w:rPr>
      </w:pPr>
      <w:bookmarkStart w:id="722" w:name="_Toc31023"/>
      <w:bookmarkStart w:id="723" w:name="_Toc15880"/>
      <w:bookmarkStart w:id="724" w:name="_Toc12370"/>
      <w:bookmarkStart w:id="725" w:name="bookmark1095"/>
      <w:bookmarkStart w:id="726" w:name="_Toc5186"/>
      <w:bookmarkStart w:id="727" w:name="_Toc8878"/>
      <w:bookmarkStart w:id="728" w:name="_Toc19673"/>
      <w:bookmarkStart w:id="729" w:name="_Toc23194"/>
      <w:bookmarkStart w:id="730" w:name="bookmark1094"/>
      <w:bookmarkStart w:id="731" w:name="_Toc199152890"/>
      <w:bookmarkStart w:id="732" w:name="bookmark1096"/>
      <w:r>
        <w:rPr>
          <w:rFonts w:hint="eastAsia" w:ascii="宋体" w:hAnsi="宋体" w:eastAsia="宋体" w:cs="宋体"/>
          <w:color w:val="auto"/>
          <w:sz w:val="24"/>
          <w:szCs w:val="24"/>
          <w:highlight w:val="none"/>
          <w:lang w:eastAsia="zh-CN"/>
        </w:rPr>
        <w:t>7.5道路和桥梁的损坏责任</w:t>
      </w:r>
      <w:bookmarkEnd w:id="722"/>
      <w:bookmarkEnd w:id="723"/>
      <w:bookmarkEnd w:id="724"/>
      <w:bookmarkEnd w:id="725"/>
      <w:bookmarkEnd w:id="726"/>
      <w:bookmarkEnd w:id="727"/>
      <w:bookmarkEnd w:id="728"/>
      <w:bookmarkEnd w:id="729"/>
      <w:bookmarkEnd w:id="730"/>
      <w:bookmarkEnd w:id="731"/>
      <w:bookmarkEnd w:id="732"/>
    </w:p>
    <w:p w14:paraId="5EE96AE0">
      <w:pPr>
        <w:pStyle w:val="115"/>
        <w:spacing w:after="120" w:line="353"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因承包人运输造成施工场地内外公共道路和桥梁损坏的，由承包人承担修复损坏的全部费用和可能引起的赔偿。</w:t>
      </w:r>
    </w:p>
    <w:p w14:paraId="5EE96AE1">
      <w:pPr>
        <w:pStyle w:val="116"/>
        <w:spacing w:line="360" w:lineRule="exact"/>
        <w:rPr>
          <w:rFonts w:hint="eastAsia" w:ascii="宋体" w:hAnsi="宋体" w:eastAsia="宋体" w:cs="宋体"/>
          <w:color w:val="auto"/>
          <w:sz w:val="24"/>
          <w:szCs w:val="24"/>
          <w:highlight w:val="none"/>
          <w:lang w:eastAsia="zh-CN"/>
        </w:rPr>
      </w:pPr>
      <w:bookmarkStart w:id="733" w:name="bookmark1099"/>
      <w:bookmarkStart w:id="734" w:name="bookmark1097"/>
      <w:bookmarkStart w:id="735" w:name="bookmark1098"/>
      <w:bookmarkStart w:id="736" w:name="_Toc1890"/>
      <w:bookmarkStart w:id="737" w:name="_Toc30116"/>
      <w:bookmarkStart w:id="738" w:name="_Toc5447"/>
      <w:bookmarkStart w:id="739" w:name="_Toc20972"/>
      <w:bookmarkStart w:id="740" w:name="_Toc5839"/>
      <w:bookmarkStart w:id="741" w:name="_Toc32607"/>
      <w:bookmarkStart w:id="742" w:name="_Toc199152891"/>
      <w:bookmarkStart w:id="743" w:name="_Toc12760"/>
      <w:r>
        <w:rPr>
          <w:rFonts w:hint="eastAsia" w:ascii="宋体" w:hAnsi="宋体" w:eastAsia="宋体" w:cs="宋体"/>
          <w:color w:val="auto"/>
          <w:sz w:val="24"/>
          <w:szCs w:val="24"/>
          <w:highlight w:val="none"/>
          <w:lang w:eastAsia="zh-CN"/>
        </w:rPr>
        <w:t>7.6水路和航空运输</w:t>
      </w:r>
      <w:bookmarkEnd w:id="733"/>
      <w:bookmarkEnd w:id="734"/>
      <w:bookmarkEnd w:id="735"/>
      <w:bookmarkEnd w:id="736"/>
      <w:bookmarkEnd w:id="737"/>
      <w:bookmarkEnd w:id="738"/>
      <w:bookmarkEnd w:id="739"/>
      <w:bookmarkEnd w:id="740"/>
      <w:bookmarkEnd w:id="741"/>
      <w:bookmarkEnd w:id="742"/>
      <w:bookmarkEnd w:id="743"/>
    </w:p>
    <w:p w14:paraId="5EE96AE2">
      <w:pPr>
        <w:pStyle w:val="115"/>
        <w:spacing w:after="260" w:line="35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本条上述各款的内容适用于水路运输和航空运输，其中“道路”一词的涵义包括河道、航线、船闸、机场、码头、堤防以及水路或航空运输中其他相似结构物；“车辆”一词的涵义包括船舶和飞机等。</w:t>
      </w:r>
    </w:p>
    <w:p w14:paraId="5EE96AE3">
      <w:pPr>
        <w:pStyle w:val="116"/>
        <w:spacing w:line="360" w:lineRule="exact"/>
        <w:rPr>
          <w:rFonts w:hint="eastAsia" w:ascii="宋体" w:hAnsi="宋体" w:eastAsia="宋体" w:cs="宋体"/>
          <w:color w:val="auto"/>
          <w:highlight w:val="none"/>
          <w:lang w:eastAsia="zh-CN"/>
        </w:rPr>
      </w:pPr>
      <w:bookmarkStart w:id="744" w:name="bookmark1102"/>
      <w:bookmarkEnd w:id="744"/>
      <w:bookmarkStart w:id="745" w:name="_Toc16814"/>
      <w:bookmarkStart w:id="746" w:name="_Toc29522"/>
      <w:bookmarkStart w:id="747" w:name="_Toc6840"/>
      <w:bookmarkStart w:id="748" w:name="_Toc14055"/>
      <w:bookmarkStart w:id="749" w:name="bookmark1100"/>
      <w:bookmarkStart w:id="750" w:name="_Toc28596"/>
      <w:bookmarkStart w:id="751" w:name="bookmark1103"/>
      <w:bookmarkStart w:id="752" w:name="_Toc199152892"/>
      <w:bookmarkStart w:id="753" w:name="bookmark1101"/>
      <w:bookmarkStart w:id="754" w:name="_Toc2136"/>
      <w:bookmarkStart w:id="755" w:name="_Toc7491"/>
      <w:r>
        <w:rPr>
          <w:rFonts w:hint="eastAsia" w:ascii="宋体" w:hAnsi="宋体" w:eastAsia="宋体" w:cs="宋体"/>
          <w:color w:val="auto"/>
          <w:highlight w:val="none"/>
          <w:lang w:eastAsia="zh-CN"/>
        </w:rPr>
        <w:t>8.测量放线</w:t>
      </w:r>
      <w:bookmarkEnd w:id="745"/>
      <w:bookmarkEnd w:id="746"/>
      <w:bookmarkEnd w:id="747"/>
      <w:bookmarkEnd w:id="748"/>
      <w:bookmarkEnd w:id="749"/>
      <w:bookmarkEnd w:id="750"/>
      <w:bookmarkEnd w:id="751"/>
      <w:bookmarkEnd w:id="752"/>
      <w:bookmarkEnd w:id="753"/>
      <w:bookmarkEnd w:id="754"/>
      <w:bookmarkEnd w:id="755"/>
    </w:p>
    <w:p w14:paraId="5EE96AE4">
      <w:pPr>
        <w:pStyle w:val="116"/>
        <w:spacing w:line="360" w:lineRule="exact"/>
        <w:rPr>
          <w:rFonts w:hint="eastAsia" w:ascii="宋体" w:hAnsi="宋体" w:eastAsia="宋体" w:cs="宋体"/>
          <w:color w:val="auto"/>
          <w:sz w:val="24"/>
          <w:szCs w:val="24"/>
          <w:highlight w:val="none"/>
          <w:lang w:eastAsia="zh-CN"/>
        </w:rPr>
      </w:pPr>
      <w:bookmarkStart w:id="756" w:name="bookmark1106"/>
      <w:bookmarkStart w:id="757" w:name="_Toc24843"/>
      <w:bookmarkStart w:id="758" w:name="bookmark1105"/>
      <w:bookmarkStart w:id="759" w:name="_Toc16690"/>
      <w:bookmarkStart w:id="760" w:name="_Toc19328"/>
      <w:bookmarkStart w:id="761" w:name="_Toc199152893"/>
      <w:bookmarkStart w:id="762" w:name="_Toc7125"/>
      <w:bookmarkStart w:id="763" w:name="_Toc16594"/>
      <w:bookmarkStart w:id="764" w:name="_Toc3852"/>
      <w:bookmarkStart w:id="765" w:name="_Toc27846"/>
      <w:bookmarkStart w:id="766" w:name="bookmark1104"/>
      <w:r>
        <w:rPr>
          <w:rFonts w:hint="eastAsia" w:ascii="宋体" w:hAnsi="宋体" w:eastAsia="宋体" w:cs="宋体"/>
          <w:color w:val="auto"/>
          <w:sz w:val="24"/>
          <w:szCs w:val="24"/>
          <w:highlight w:val="none"/>
          <w:lang w:eastAsia="zh-CN"/>
        </w:rPr>
        <w:t>8.1施工控制网</w:t>
      </w:r>
      <w:bookmarkEnd w:id="756"/>
      <w:bookmarkEnd w:id="757"/>
      <w:bookmarkEnd w:id="758"/>
      <w:bookmarkEnd w:id="759"/>
      <w:bookmarkEnd w:id="760"/>
      <w:bookmarkEnd w:id="761"/>
      <w:bookmarkEnd w:id="762"/>
      <w:bookmarkEnd w:id="763"/>
      <w:bookmarkEnd w:id="764"/>
      <w:bookmarkEnd w:id="765"/>
      <w:bookmarkEnd w:id="766"/>
    </w:p>
    <w:p w14:paraId="5EE96AE5">
      <w:pPr>
        <w:pStyle w:val="115"/>
        <w:spacing w:line="35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8.1.1</w:t>
      </w:r>
      <w:r>
        <w:rPr>
          <w:rFonts w:hint="eastAsia" w:ascii="宋体" w:hAnsi="宋体" w:eastAsia="宋体" w:cs="宋体"/>
          <w:color w:val="auto"/>
          <w:highlight w:val="none"/>
        </w:rPr>
        <w:t>除专用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14:paraId="5EE96AE6">
      <w:pPr>
        <w:pStyle w:val="115"/>
        <w:spacing w:after="120" w:line="35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8.1.2</w:t>
      </w:r>
      <w:r>
        <w:rPr>
          <w:rFonts w:hint="eastAsia" w:ascii="宋体" w:hAnsi="宋体" w:eastAsia="宋体" w:cs="宋体"/>
          <w:color w:val="auto"/>
          <w:highlight w:val="none"/>
        </w:rPr>
        <w:t>承包人应负责管理施工控制网点。施工控制网点丢失或损坏的，承包人应及时修复。承包人应承担施工控制网点的管理与修复费用，并在工程竣工后将施工控制网点移交发包人。</w:t>
      </w:r>
    </w:p>
    <w:p w14:paraId="5EE96AE7">
      <w:pPr>
        <w:pStyle w:val="116"/>
        <w:spacing w:line="360" w:lineRule="exact"/>
        <w:rPr>
          <w:rFonts w:hint="eastAsia" w:ascii="宋体" w:hAnsi="宋体" w:eastAsia="宋体" w:cs="宋体"/>
          <w:color w:val="auto"/>
          <w:sz w:val="24"/>
          <w:szCs w:val="24"/>
          <w:highlight w:val="none"/>
          <w:lang w:eastAsia="zh-CN"/>
        </w:rPr>
      </w:pPr>
      <w:bookmarkStart w:id="767" w:name="_Toc15332"/>
      <w:bookmarkStart w:id="768" w:name="_Toc10169"/>
      <w:bookmarkStart w:id="769" w:name="bookmark1109"/>
      <w:bookmarkStart w:id="770" w:name="_Toc199152894"/>
      <w:bookmarkStart w:id="771" w:name="_Toc9726"/>
      <w:bookmarkStart w:id="772" w:name="bookmark1108"/>
      <w:bookmarkStart w:id="773" w:name="_Toc14011"/>
      <w:bookmarkStart w:id="774" w:name="bookmark1107"/>
      <w:bookmarkStart w:id="775" w:name="_Toc28033"/>
      <w:bookmarkStart w:id="776" w:name="_Toc8732"/>
      <w:bookmarkStart w:id="777" w:name="_Toc10111"/>
      <w:r>
        <w:rPr>
          <w:rFonts w:hint="eastAsia" w:ascii="宋体" w:hAnsi="宋体" w:eastAsia="宋体" w:cs="宋体"/>
          <w:color w:val="auto"/>
          <w:sz w:val="24"/>
          <w:szCs w:val="24"/>
          <w:highlight w:val="none"/>
          <w:lang w:eastAsia="zh-CN"/>
        </w:rPr>
        <w:t>8.2施工测量</w:t>
      </w:r>
      <w:bookmarkEnd w:id="767"/>
      <w:bookmarkEnd w:id="768"/>
      <w:bookmarkEnd w:id="769"/>
      <w:bookmarkEnd w:id="770"/>
      <w:bookmarkEnd w:id="771"/>
      <w:bookmarkEnd w:id="772"/>
      <w:bookmarkEnd w:id="773"/>
      <w:bookmarkEnd w:id="774"/>
      <w:bookmarkEnd w:id="775"/>
      <w:bookmarkEnd w:id="776"/>
      <w:bookmarkEnd w:id="777"/>
    </w:p>
    <w:p w14:paraId="5EE96AE8">
      <w:pPr>
        <w:pStyle w:val="115"/>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8.2.1</w:t>
      </w:r>
      <w:r>
        <w:rPr>
          <w:rFonts w:hint="eastAsia" w:ascii="宋体" w:hAnsi="宋体" w:eastAsia="宋体" w:cs="宋体"/>
          <w:color w:val="auto"/>
          <w:highlight w:val="none"/>
        </w:rPr>
        <w:t>承包人应负责施工过程中的全部施工测量放线工作，并配置合格的人员、仪器、设备和其他物品。</w:t>
      </w:r>
    </w:p>
    <w:p w14:paraId="5EE96AE9">
      <w:pPr>
        <w:pStyle w:val="115"/>
        <w:spacing w:after="120" w:line="365"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8.2.2</w:t>
      </w:r>
      <w:r>
        <w:rPr>
          <w:rFonts w:hint="eastAsia" w:ascii="宋体" w:hAnsi="宋体" w:eastAsia="宋体" w:cs="宋体"/>
          <w:color w:val="auto"/>
          <w:highlight w:val="none"/>
        </w:rPr>
        <w:t>监理人可以指示承包人进行抽样复测，当复测中发现错误或出现超过合同约定的误差时，承包人应按监理人指示进行修正或补测，并承担相应的复测费用。</w:t>
      </w:r>
    </w:p>
    <w:p w14:paraId="5EE96AEA">
      <w:pPr>
        <w:pStyle w:val="116"/>
        <w:spacing w:line="360" w:lineRule="exact"/>
        <w:rPr>
          <w:rFonts w:hint="eastAsia" w:ascii="宋体" w:hAnsi="宋体" w:eastAsia="宋体" w:cs="宋体"/>
          <w:color w:val="auto"/>
          <w:sz w:val="24"/>
          <w:szCs w:val="24"/>
          <w:highlight w:val="none"/>
          <w:lang w:eastAsia="zh-CN"/>
        </w:rPr>
      </w:pPr>
      <w:bookmarkStart w:id="778" w:name="_Toc14797"/>
      <w:bookmarkStart w:id="779" w:name="bookmark1110"/>
      <w:bookmarkStart w:id="780" w:name="bookmark1112"/>
      <w:bookmarkStart w:id="781" w:name="_Toc2222"/>
      <w:bookmarkStart w:id="782" w:name="_Toc199152895"/>
      <w:bookmarkStart w:id="783" w:name="_Toc5971"/>
      <w:bookmarkStart w:id="784" w:name="_Toc18249"/>
      <w:bookmarkStart w:id="785" w:name="_Toc5092"/>
      <w:bookmarkStart w:id="786" w:name="_Toc2169"/>
      <w:bookmarkStart w:id="787" w:name="_Toc508"/>
      <w:bookmarkStart w:id="788" w:name="bookmark1111"/>
      <w:r>
        <w:rPr>
          <w:rFonts w:hint="eastAsia" w:ascii="宋体" w:hAnsi="宋体" w:eastAsia="宋体" w:cs="宋体"/>
          <w:color w:val="auto"/>
          <w:sz w:val="24"/>
          <w:szCs w:val="24"/>
          <w:highlight w:val="none"/>
          <w:lang w:eastAsia="zh-CN"/>
        </w:rPr>
        <w:t>8.3基准资料错误的责任</w:t>
      </w:r>
      <w:bookmarkEnd w:id="778"/>
      <w:bookmarkEnd w:id="779"/>
      <w:bookmarkEnd w:id="780"/>
      <w:bookmarkEnd w:id="781"/>
      <w:bookmarkEnd w:id="782"/>
      <w:bookmarkEnd w:id="783"/>
      <w:bookmarkEnd w:id="784"/>
      <w:bookmarkEnd w:id="785"/>
      <w:bookmarkEnd w:id="786"/>
      <w:bookmarkEnd w:id="787"/>
      <w:bookmarkEnd w:id="788"/>
    </w:p>
    <w:p w14:paraId="5EE96AEB">
      <w:pPr>
        <w:pStyle w:val="115"/>
        <w:spacing w:after="120" w:line="349"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5EE96AEC">
      <w:pPr>
        <w:pStyle w:val="116"/>
        <w:spacing w:line="360" w:lineRule="exact"/>
        <w:rPr>
          <w:rFonts w:hint="eastAsia" w:ascii="宋体" w:hAnsi="宋体" w:eastAsia="宋体" w:cs="宋体"/>
          <w:color w:val="auto"/>
          <w:sz w:val="24"/>
          <w:szCs w:val="24"/>
          <w:highlight w:val="none"/>
          <w:lang w:eastAsia="zh-CN"/>
        </w:rPr>
      </w:pPr>
      <w:bookmarkStart w:id="789" w:name="bookmark1113"/>
      <w:bookmarkStart w:id="790" w:name="_Toc8662"/>
      <w:bookmarkStart w:id="791" w:name="_Toc20115"/>
      <w:bookmarkStart w:id="792" w:name="_Toc12604"/>
      <w:bookmarkStart w:id="793" w:name="_Toc24310"/>
      <w:bookmarkStart w:id="794" w:name="bookmark1115"/>
      <w:bookmarkStart w:id="795" w:name="_Toc16938"/>
      <w:bookmarkStart w:id="796" w:name="bookmark1114"/>
      <w:bookmarkStart w:id="797" w:name="_Toc26810"/>
      <w:bookmarkStart w:id="798" w:name="_Toc10182"/>
      <w:bookmarkStart w:id="799" w:name="_Toc199152896"/>
      <w:r>
        <w:rPr>
          <w:rFonts w:hint="eastAsia" w:ascii="宋体" w:hAnsi="宋体" w:eastAsia="宋体" w:cs="宋体"/>
          <w:color w:val="auto"/>
          <w:sz w:val="24"/>
          <w:szCs w:val="24"/>
          <w:highlight w:val="none"/>
          <w:lang w:eastAsia="zh-CN"/>
        </w:rPr>
        <w:t>8.4监理人使用施工控制网</w:t>
      </w:r>
      <w:bookmarkEnd w:id="789"/>
      <w:bookmarkEnd w:id="790"/>
      <w:bookmarkEnd w:id="791"/>
      <w:bookmarkEnd w:id="792"/>
      <w:bookmarkEnd w:id="793"/>
      <w:bookmarkEnd w:id="794"/>
      <w:bookmarkEnd w:id="795"/>
      <w:bookmarkEnd w:id="796"/>
      <w:bookmarkEnd w:id="797"/>
      <w:bookmarkEnd w:id="798"/>
      <w:bookmarkEnd w:id="799"/>
    </w:p>
    <w:p w14:paraId="5EE96AED">
      <w:pPr>
        <w:pStyle w:val="115"/>
        <w:spacing w:after="120" w:line="351"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监理人需要使用施工控制网的，承包人应提供必要的协助，发包人不再为此支付费用。</w:t>
      </w:r>
    </w:p>
    <w:p w14:paraId="5EE96AEE">
      <w:pPr>
        <w:pStyle w:val="116"/>
        <w:spacing w:line="360" w:lineRule="exact"/>
        <w:rPr>
          <w:rFonts w:hint="eastAsia" w:ascii="宋体" w:hAnsi="宋体" w:eastAsia="宋体" w:cs="宋体"/>
          <w:color w:val="auto"/>
          <w:sz w:val="24"/>
          <w:szCs w:val="24"/>
          <w:highlight w:val="none"/>
          <w:lang w:eastAsia="zh-CN"/>
        </w:rPr>
      </w:pPr>
      <w:bookmarkStart w:id="800" w:name="bookmark1118"/>
      <w:bookmarkStart w:id="801" w:name="_Toc13452"/>
      <w:bookmarkStart w:id="802" w:name="bookmark1117"/>
      <w:bookmarkStart w:id="803" w:name="_Toc3908"/>
      <w:bookmarkStart w:id="804" w:name="_Toc6681"/>
      <w:bookmarkStart w:id="805" w:name="_Toc3157"/>
      <w:bookmarkStart w:id="806" w:name="bookmark1116"/>
      <w:bookmarkStart w:id="807" w:name="_Toc2884"/>
      <w:bookmarkStart w:id="808" w:name="_Toc199152897"/>
      <w:bookmarkStart w:id="809" w:name="_Toc26237"/>
      <w:bookmarkStart w:id="810" w:name="_Toc16643"/>
      <w:r>
        <w:rPr>
          <w:rFonts w:hint="eastAsia" w:ascii="宋体" w:hAnsi="宋体" w:eastAsia="宋体" w:cs="宋体"/>
          <w:color w:val="auto"/>
          <w:sz w:val="24"/>
          <w:szCs w:val="24"/>
          <w:highlight w:val="none"/>
          <w:lang w:eastAsia="zh-CN"/>
        </w:rPr>
        <w:t>8.5补充地质勘探</w:t>
      </w:r>
      <w:bookmarkEnd w:id="800"/>
      <w:bookmarkEnd w:id="801"/>
      <w:bookmarkEnd w:id="802"/>
      <w:bookmarkEnd w:id="803"/>
      <w:bookmarkEnd w:id="804"/>
      <w:bookmarkEnd w:id="805"/>
      <w:bookmarkEnd w:id="806"/>
      <w:bookmarkEnd w:id="807"/>
      <w:bookmarkEnd w:id="808"/>
      <w:bookmarkEnd w:id="809"/>
      <w:bookmarkEnd w:id="810"/>
    </w:p>
    <w:p w14:paraId="5EE96AEF">
      <w:pPr>
        <w:pStyle w:val="115"/>
        <w:spacing w:after="300" w:line="349"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在合同实施期间，监理人可以指示承包人进行必要的补充地质勘探和提供有关资料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承包人为本合同永久工程施工的需要进行补充地质勘探时，须经监理人批准，并应向监理人提交有关资料，上述补充勘探的费用由发包人承担。承包人为其临时工程所需进行的补充地质勘探，其费用由承包人承担。</w:t>
      </w:r>
    </w:p>
    <w:p w14:paraId="5EE96AF0">
      <w:pPr>
        <w:pStyle w:val="116"/>
        <w:spacing w:line="360" w:lineRule="exact"/>
        <w:rPr>
          <w:rFonts w:hint="eastAsia" w:ascii="宋体" w:hAnsi="宋体" w:eastAsia="宋体" w:cs="宋体"/>
          <w:color w:val="auto"/>
          <w:highlight w:val="none"/>
          <w:lang w:eastAsia="zh-CN"/>
        </w:rPr>
      </w:pPr>
      <w:bookmarkStart w:id="811" w:name="bookmark1121"/>
      <w:bookmarkEnd w:id="811"/>
      <w:bookmarkStart w:id="812" w:name="_Toc6662"/>
      <w:bookmarkStart w:id="813" w:name="bookmark1119"/>
      <w:bookmarkStart w:id="814" w:name="_Toc26266"/>
      <w:bookmarkStart w:id="815" w:name="bookmark1120"/>
      <w:bookmarkStart w:id="816" w:name="_Toc19098"/>
      <w:bookmarkStart w:id="817" w:name="_Toc199152898"/>
      <w:bookmarkStart w:id="818" w:name="_Toc14954"/>
      <w:bookmarkStart w:id="819" w:name="_Toc21454"/>
      <w:bookmarkStart w:id="820" w:name="_Toc15267"/>
      <w:bookmarkStart w:id="821" w:name="_Toc18693"/>
      <w:bookmarkStart w:id="822" w:name="bookmark1122"/>
      <w:r>
        <w:rPr>
          <w:rFonts w:hint="eastAsia" w:ascii="宋体" w:hAnsi="宋体" w:eastAsia="宋体" w:cs="宋体"/>
          <w:color w:val="auto"/>
          <w:highlight w:val="none"/>
          <w:lang w:eastAsia="zh-CN"/>
        </w:rPr>
        <w:t>9.施工安全、治安保卫和环境保护</w:t>
      </w:r>
      <w:bookmarkEnd w:id="812"/>
      <w:bookmarkEnd w:id="813"/>
      <w:bookmarkEnd w:id="814"/>
      <w:bookmarkEnd w:id="815"/>
      <w:bookmarkEnd w:id="816"/>
      <w:bookmarkEnd w:id="817"/>
      <w:bookmarkEnd w:id="818"/>
      <w:bookmarkEnd w:id="819"/>
      <w:bookmarkEnd w:id="820"/>
      <w:bookmarkEnd w:id="821"/>
      <w:bookmarkEnd w:id="822"/>
    </w:p>
    <w:p w14:paraId="5EE96AF1">
      <w:pPr>
        <w:pStyle w:val="116"/>
        <w:spacing w:line="360" w:lineRule="exact"/>
        <w:rPr>
          <w:rFonts w:hint="eastAsia" w:ascii="宋体" w:hAnsi="宋体" w:eastAsia="宋体" w:cs="宋体"/>
          <w:color w:val="auto"/>
          <w:sz w:val="24"/>
          <w:szCs w:val="24"/>
          <w:highlight w:val="none"/>
          <w:lang w:eastAsia="zh-CN"/>
        </w:rPr>
      </w:pPr>
      <w:bookmarkStart w:id="823" w:name="_Toc13008"/>
      <w:bookmarkStart w:id="824" w:name="_Toc199152899"/>
      <w:bookmarkStart w:id="825" w:name="bookmark1125"/>
      <w:bookmarkStart w:id="826" w:name="_Toc25099"/>
      <w:bookmarkStart w:id="827" w:name="_Toc23846"/>
      <w:bookmarkStart w:id="828" w:name="_Toc16786"/>
      <w:bookmarkStart w:id="829" w:name="bookmark1124"/>
      <w:bookmarkStart w:id="830" w:name="bookmark1123"/>
      <w:bookmarkStart w:id="831" w:name="_Toc23200"/>
      <w:bookmarkStart w:id="832" w:name="_Toc21362"/>
      <w:bookmarkStart w:id="833" w:name="_Toc1087"/>
      <w:r>
        <w:rPr>
          <w:rFonts w:hint="eastAsia" w:ascii="宋体" w:hAnsi="宋体" w:eastAsia="宋体" w:cs="宋体"/>
          <w:color w:val="auto"/>
          <w:sz w:val="24"/>
          <w:szCs w:val="24"/>
          <w:highlight w:val="none"/>
          <w:lang w:eastAsia="zh-CN"/>
        </w:rPr>
        <w:t>9.1发包人的施工安全责任</w:t>
      </w:r>
      <w:bookmarkEnd w:id="823"/>
      <w:bookmarkEnd w:id="824"/>
      <w:bookmarkEnd w:id="825"/>
      <w:bookmarkEnd w:id="826"/>
      <w:bookmarkEnd w:id="827"/>
      <w:bookmarkEnd w:id="828"/>
      <w:bookmarkEnd w:id="829"/>
      <w:bookmarkEnd w:id="830"/>
      <w:bookmarkEnd w:id="831"/>
      <w:bookmarkEnd w:id="832"/>
      <w:bookmarkEnd w:id="833"/>
    </w:p>
    <w:p w14:paraId="5EE96AF2">
      <w:pPr>
        <w:pStyle w:val="115"/>
        <w:spacing w:line="359"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9.1.1</w:t>
      </w:r>
      <w:r>
        <w:rPr>
          <w:rFonts w:hint="eastAsia" w:ascii="宋体" w:hAnsi="宋体" w:eastAsia="宋体" w:cs="宋体"/>
          <w:color w:val="auto"/>
          <w:highlight w:val="none"/>
        </w:rPr>
        <w:t>发包人应按合同约定履行安全职责，发包人委托监理人根据国家有关安全的法律、法规、强制性标准以及部门规章，对承包人的安全责任履行情况进行监督和检查。监理人的监督检查不减轻承包人应负的安全责任。</w:t>
      </w:r>
    </w:p>
    <w:p w14:paraId="5EE96AF3">
      <w:pPr>
        <w:pStyle w:val="115"/>
        <w:spacing w:line="377"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9.1.2</w:t>
      </w:r>
      <w:r>
        <w:rPr>
          <w:rFonts w:hint="eastAsia" w:ascii="宋体" w:hAnsi="宋体" w:eastAsia="宋体" w:cs="宋体"/>
          <w:color w:val="auto"/>
          <w:highlight w:val="none"/>
        </w:rPr>
        <w:t>发包人应对其现场机构雇佣的全部人员的工伤事故承担责任，但由于承包人原因造成发包人人员工伤的，应由承包人承担责任。</w:t>
      </w:r>
    </w:p>
    <w:p w14:paraId="5EE96AF4">
      <w:pPr>
        <w:pStyle w:val="115"/>
        <w:spacing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9.1.</w:t>
      </w:r>
      <w:r>
        <w:rPr>
          <w:rFonts w:hint="eastAsia" w:ascii="宋体" w:hAnsi="宋体" w:eastAsia="宋体" w:cs="宋体"/>
          <w:color w:val="auto"/>
          <w:highlight w:val="none"/>
        </w:rPr>
        <w:t>3发包人应负责赔偿以下各种情况造成的第三者人身伤亡和财产损失：</w:t>
      </w:r>
    </w:p>
    <w:p w14:paraId="5EE96AF5">
      <w:pPr>
        <w:pStyle w:val="115"/>
        <w:numPr>
          <w:ilvl w:val="0"/>
          <w:numId w:val="6"/>
        </w:numPr>
        <w:tabs>
          <w:tab w:val="left" w:pos="898"/>
        </w:tabs>
        <w:spacing w:line="360" w:lineRule="exact"/>
        <w:ind w:firstLine="420"/>
        <w:jc w:val="both"/>
        <w:rPr>
          <w:rFonts w:hint="eastAsia" w:ascii="宋体" w:hAnsi="宋体" w:eastAsia="宋体" w:cs="宋体"/>
          <w:color w:val="auto"/>
          <w:highlight w:val="none"/>
        </w:rPr>
      </w:pPr>
      <w:bookmarkStart w:id="834" w:name="bookmark1126"/>
      <w:bookmarkEnd w:id="834"/>
      <w:r>
        <w:rPr>
          <w:rFonts w:hint="eastAsia" w:ascii="宋体" w:hAnsi="宋体" w:eastAsia="宋体" w:cs="宋体"/>
          <w:color w:val="auto"/>
          <w:highlight w:val="none"/>
        </w:rPr>
        <w:t>工程或工程的任何部分对土地的占用所造成的第三者财产损失；</w:t>
      </w:r>
    </w:p>
    <w:p w14:paraId="5EE96AF6">
      <w:pPr>
        <w:pStyle w:val="115"/>
        <w:numPr>
          <w:ilvl w:val="0"/>
          <w:numId w:val="6"/>
        </w:numPr>
        <w:tabs>
          <w:tab w:val="left" w:pos="898"/>
        </w:tabs>
        <w:spacing w:line="360" w:lineRule="exact"/>
        <w:ind w:firstLine="420"/>
        <w:jc w:val="both"/>
        <w:rPr>
          <w:rFonts w:hint="eastAsia" w:ascii="宋体" w:hAnsi="宋体" w:eastAsia="宋体" w:cs="宋体"/>
          <w:color w:val="auto"/>
          <w:highlight w:val="none"/>
        </w:rPr>
      </w:pPr>
      <w:bookmarkStart w:id="835" w:name="bookmark1127"/>
      <w:bookmarkEnd w:id="835"/>
      <w:r>
        <w:rPr>
          <w:rFonts w:hint="eastAsia" w:ascii="宋体" w:hAnsi="宋体" w:eastAsia="宋体" w:cs="宋体"/>
          <w:color w:val="auto"/>
          <w:highlight w:val="none"/>
        </w:rPr>
        <w:t>由于发包人原因在施工场地及其毗邻地带造成的第三者人身伤亡和财产损失。</w:t>
      </w:r>
    </w:p>
    <w:p w14:paraId="5EE96AF7">
      <w:pPr>
        <w:pStyle w:val="115"/>
        <w:spacing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9.1.4</w:t>
      </w:r>
      <w:r>
        <w:rPr>
          <w:rFonts w:hint="eastAsia" w:ascii="宋体" w:hAnsi="宋体" w:eastAsia="宋体" w:cs="宋体"/>
          <w:color w:val="auto"/>
          <w:highlight w:val="none"/>
        </w:rPr>
        <w:t>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14:paraId="5EE96AF8">
      <w:pPr>
        <w:pStyle w:val="115"/>
        <w:spacing w:line="37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9.1.5</w:t>
      </w:r>
      <w:r>
        <w:rPr>
          <w:rFonts w:hint="eastAsia" w:ascii="宋体" w:hAnsi="宋体" w:eastAsia="宋体" w:cs="宋体"/>
          <w:color w:val="auto"/>
          <w:highlight w:val="none"/>
        </w:rPr>
        <w:t>发包人按照已标价工程量清单所列金额和合同约定的计量支付规定，支付安全作业环境及安全施工措施所需费用。</w:t>
      </w:r>
    </w:p>
    <w:p w14:paraId="5EE96AF9">
      <w:pPr>
        <w:pStyle w:val="115"/>
        <w:spacing w:line="374"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9.1.6</w:t>
      </w:r>
      <w:r>
        <w:rPr>
          <w:rFonts w:hint="eastAsia" w:ascii="宋体" w:hAnsi="宋体" w:eastAsia="宋体" w:cs="宋体"/>
          <w:color w:val="auto"/>
          <w:highlight w:val="none"/>
        </w:rPr>
        <w:t>发包人负责组织工程参建单位编制保证安全生产的措施方案。工程开工前，就落实安全生产的措施进行全面系统的布置，进一步明确承包人的安全生产责任。</w:t>
      </w:r>
    </w:p>
    <w:p w14:paraId="5EE96AFA">
      <w:pPr>
        <w:pStyle w:val="115"/>
        <w:spacing w:after="160" w:line="379"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9.1.7</w:t>
      </w:r>
      <w:r>
        <w:rPr>
          <w:rFonts w:hint="eastAsia" w:ascii="宋体" w:hAnsi="宋体" w:eastAsia="宋体" w:cs="宋体"/>
          <w:color w:val="auto"/>
          <w:highlight w:val="none"/>
        </w:rPr>
        <w:t>发包人负责在拆除工程和爆破工程施工14天前向有关部门或机构报送相关备案资料。</w:t>
      </w:r>
    </w:p>
    <w:p w14:paraId="5EE96AFB">
      <w:pPr>
        <w:pStyle w:val="116"/>
        <w:spacing w:line="360" w:lineRule="exact"/>
        <w:rPr>
          <w:rFonts w:hint="eastAsia" w:ascii="宋体" w:hAnsi="宋体" w:eastAsia="宋体" w:cs="宋体"/>
          <w:color w:val="auto"/>
          <w:sz w:val="24"/>
          <w:szCs w:val="24"/>
          <w:highlight w:val="none"/>
          <w:lang w:eastAsia="zh-CN"/>
        </w:rPr>
      </w:pPr>
      <w:bookmarkStart w:id="836" w:name="_Toc920"/>
      <w:bookmarkStart w:id="837" w:name="_Toc199152900"/>
      <w:bookmarkStart w:id="838" w:name="_Toc18397"/>
      <w:bookmarkStart w:id="839" w:name="bookmark1130"/>
      <w:bookmarkStart w:id="840" w:name="_Toc867"/>
      <w:bookmarkStart w:id="841" w:name="_Toc32671"/>
      <w:bookmarkStart w:id="842" w:name="bookmark1128"/>
      <w:bookmarkStart w:id="843" w:name="_Toc14920"/>
      <w:bookmarkStart w:id="844" w:name="_Toc12676"/>
      <w:bookmarkStart w:id="845" w:name="bookmark1129"/>
      <w:bookmarkStart w:id="846" w:name="_Toc200"/>
      <w:r>
        <w:rPr>
          <w:rFonts w:hint="eastAsia" w:ascii="宋体" w:hAnsi="宋体" w:eastAsia="宋体" w:cs="宋体"/>
          <w:color w:val="auto"/>
          <w:sz w:val="24"/>
          <w:szCs w:val="24"/>
          <w:highlight w:val="none"/>
          <w:lang w:eastAsia="zh-CN"/>
        </w:rPr>
        <w:t>9.2承包人的施工安全责任</w:t>
      </w:r>
      <w:bookmarkEnd w:id="836"/>
      <w:bookmarkEnd w:id="837"/>
      <w:bookmarkEnd w:id="838"/>
      <w:bookmarkEnd w:id="839"/>
      <w:bookmarkEnd w:id="840"/>
      <w:bookmarkEnd w:id="841"/>
      <w:bookmarkEnd w:id="842"/>
      <w:bookmarkEnd w:id="843"/>
      <w:bookmarkEnd w:id="844"/>
      <w:bookmarkEnd w:id="845"/>
      <w:bookmarkEnd w:id="846"/>
    </w:p>
    <w:p w14:paraId="5EE96AFC">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9.2.1</w:t>
      </w:r>
      <w:r>
        <w:rPr>
          <w:rFonts w:hint="eastAsia" w:ascii="宋体" w:hAnsi="宋体" w:eastAsia="宋体" w:cs="宋体"/>
          <w:color w:val="auto"/>
          <w:highlight w:val="none"/>
        </w:rPr>
        <w:t>承包人应按合同约定履行安全职责，执行监理人有关安全工作的指示。承包人应按技术标准和要求(合同技术条款)约定的内容和期限，以及监理人的指示，编制施工安全技术措施提交监理人审批。监理人应技术标准和要求(合同技术条款)约定的期限内批复承包人。</w:t>
      </w:r>
    </w:p>
    <w:p w14:paraId="5EE96AFD">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9.2.2</w:t>
      </w:r>
      <w:r>
        <w:rPr>
          <w:rFonts w:hint="eastAsia" w:ascii="宋体" w:hAnsi="宋体" w:eastAsia="宋体" w:cs="宋体"/>
          <w:color w:val="auto"/>
          <w:highlight w:val="none"/>
        </w:rPr>
        <w:t>承包人应加强施工作业安全管理，特别应加强易燃、易爆材料、火工器材、有毒与腐蚀性材料和其他危险品的管理，以及对爆破作业和地下工程施工等危险作业的管理。</w:t>
      </w:r>
    </w:p>
    <w:p w14:paraId="5EE96AFE">
      <w:pPr>
        <w:pStyle w:val="115"/>
        <w:spacing w:line="36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9.2.3</w:t>
      </w:r>
      <w:r>
        <w:rPr>
          <w:rFonts w:hint="eastAsia" w:ascii="宋体" w:hAnsi="宋体" w:eastAsia="宋体" w:cs="宋体"/>
          <w:color w:val="auto"/>
          <w:highlight w:val="none"/>
        </w:rPr>
        <w:t>承包人应严格按照国家安全标准制定施工安全操作规程，配备必要的安全生产和劳动保护设施，加强对承包人人员的安全教育，并发放安全工作手册和劳动保护用具。</w:t>
      </w:r>
    </w:p>
    <w:p w14:paraId="5EE96AFF">
      <w:pPr>
        <w:pStyle w:val="115"/>
        <w:spacing w:line="367"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9.2.4</w:t>
      </w:r>
      <w:r>
        <w:rPr>
          <w:rFonts w:hint="eastAsia" w:ascii="宋体" w:hAnsi="宋体" w:eastAsia="宋体" w:cs="宋体"/>
          <w:color w:val="auto"/>
          <w:highlight w:val="none"/>
        </w:rPr>
        <w:t>承包人应按监理人的指示制定应对灾害的紧急预案，报送监理人审批。承包人还应按预案做好安全检查，配置必要的救助物资和器材，切实保护好有关人员的人身和财产安全。</w:t>
      </w:r>
    </w:p>
    <w:p w14:paraId="5EE96B00">
      <w:pPr>
        <w:pStyle w:val="115"/>
        <w:spacing w:line="356"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9.2.5</w:t>
      </w:r>
      <w:r>
        <w:rPr>
          <w:rFonts w:hint="eastAsia" w:ascii="宋体" w:hAnsi="宋体" w:eastAsia="宋体" w:cs="宋体"/>
          <w:color w:val="auto"/>
          <w:highlight w:val="none"/>
        </w:rPr>
        <w:t>合同约定的安全作业环境及安全施工措施所需费用应遵守有关规定，并包括在相关工作的合同价格中。因采取合同未约定的安全作业环境及安全施工措施增加的费用，由监理人按第</w:t>
      </w:r>
      <w:r>
        <w:rPr>
          <w:rFonts w:hint="eastAsia" w:ascii="宋体" w:hAnsi="宋体" w:eastAsia="宋体" w:cs="宋体"/>
          <w:color w:val="auto"/>
          <w:highlight w:val="none"/>
          <w:lang w:val="en-US" w:bidi="en-US"/>
        </w:rPr>
        <w:t>3.</w:t>
      </w:r>
      <w:r>
        <w:rPr>
          <w:rFonts w:hint="eastAsia" w:ascii="宋体" w:hAnsi="宋体" w:eastAsia="宋体" w:cs="宋体"/>
          <w:color w:val="auto"/>
          <w:highlight w:val="none"/>
        </w:rPr>
        <w:t>5款商定或确定。</w:t>
      </w:r>
    </w:p>
    <w:p w14:paraId="5EE96B01">
      <w:pPr>
        <w:pStyle w:val="115"/>
        <w:spacing w:line="356"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9.2.6</w:t>
      </w:r>
      <w:r>
        <w:rPr>
          <w:rFonts w:hint="eastAsia" w:ascii="宋体" w:hAnsi="宋体" w:eastAsia="宋体" w:cs="宋体"/>
          <w:color w:val="auto"/>
          <w:highlight w:val="none"/>
        </w:rPr>
        <w:t>承包人应对其履行合同所雇佣的全部人员，包括分包人人员的工伤事故承担责任，但由于发包人原因造成承包人人员工伤事故的，应由发包人承担责任。</w:t>
      </w:r>
    </w:p>
    <w:p w14:paraId="5EE96B02">
      <w:pPr>
        <w:pStyle w:val="115"/>
        <w:spacing w:line="377"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9.2.</w:t>
      </w:r>
      <w:r>
        <w:rPr>
          <w:rFonts w:hint="eastAsia" w:ascii="宋体" w:hAnsi="宋体" w:eastAsia="宋体" w:cs="宋体"/>
          <w:color w:val="auto"/>
          <w:highlight w:val="none"/>
        </w:rPr>
        <w:t>7由于承包人原因在施工场地内及其毗邻地带造成的第三者人员伤亡和财产损失，由承包人负责赔偿。</w:t>
      </w:r>
    </w:p>
    <w:p w14:paraId="5EE96B03">
      <w:pPr>
        <w:pStyle w:val="115"/>
        <w:spacing w:line="364"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9.2.</w:t>
      </w:r>
      <w:r>
        <w:rPr>
          <w:rFonts w:hint="eastAsia" w:ascii="宋体" w:hAnsi="宋体" w:eastAsia="宋体" w:cs="宋体"/>
          <w:color w:val="auto"/>
          <w:highlight w:val="none"/>
        </w:rPr>
        <w:t>8承包人已标价工程量清单应包含工程安全作业环境及安全施工措施所需费用。</w:t>
      </w:r>
    </w:p>
    <w:p w14:paraId="5EE96B04">
      <w:pPr>
        <w:pStyle w:val="115"/>
        <w:spacing w:line="364"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9.2.9</w:t>
      </w:r>
      <w:r>
        <w:rPr>
          <w:rFonts w:hint="eastAsia" w:ascii="宋体" w:hAnsi="宋体" w:eastAsia="宋体" w:cs="宋体"/>
          <w:color w:val="auto"/>
          <w:highlight w:val="none"/>
        </w:rPr>
        <w:t>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14:paraId="5EE96B05">
      <w:pPr>
        <w:pStyle w:val="115"/>
        <w:spacing w:line="37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9.2.</w:t>
      </w:r>
      <w:r>
        <w:rPr>
          <w:rFonts w:hint="eastAsia" w:ascii="宋体" w:hAnsi="宋体" w:eastAsia="宋体" w:cs="宋体"/>
          <w:color w:val="auto"/>
          <w:highlight w:val="none"/>
        </w:rPr>
        <w:t>10承包人应设立安全生产管理机构，施工现场应有专职安全生产管理人员。</w:t>
      </w:r>
    </w:p>
    <w:p w14:paraId="5EE96B06">
      <w:pPr>
        <w:pStyle w:val="115"/>
        <w:spacing w:line="37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9.2.11</w:t>
      </w:r>
      <w:r>
        <w:rPr>
          <w:rFonts w:hint="eastAsia" w:ascii="宋体" w:hAnsi="宋体" w:eastAsia="宋体" w:cs="宋体"/>
          <w:color w:val="auto"/>
          <w:highlight w:val="none"/>
        </w:rPr>
        <w:t>承包人应负责对特种作业人员进行专门的安全作业培训，并保证特种作业人员持证上岗。</w:t>
      </w:r>
    </w:p>
    <w:p w14:paraId="5EE96B07">
      <w:pPr>
        <w:pStyle w:val="115"/>
        <w:spacing w:line="365"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9.2.</w:t>
      </w:r>
      <w:r>
        <w:rPr>
          <w:rFonts w:hint="eastAsia" w:ascii="宋体" w:hAnsi="宋体" w:eastAsia="宋体" w:cs="宋体"/>
          <w:color w:val="auto"/>
          <w:highlight w:val="none"/>
        </w:rPr>
        <w:t>12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14:paraId="5EE96B08">
      <w:pPr>
        <w:pStyle w:val="115"/>
        <w:spacing w:after="140" w:line="365"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9.2.</w:t>
      </w:r>
      <w:r>
        <w:rPr>
          <w:rFonts w:hint="eastAsia" w:ascii="宋体" w:hAnsi="宋体" w:eastAsia="宋体" w:cs="宋体"/>
          <w:color w:val="auto"/>
          <w:highlight w:val="none"/>
        </w:rPr>
        <w:t>13承包人在使用施工起重机构和整体提升脚手架、模板等自升式架设设施前</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应组织有关单位进行验收。</w:t>
      </w:r>
    </w:p>
    <w:p w14:paraId="5EE96B09">
      <w:pPr>
        <w:pStyle w:val="116"/>
        <w:spacing w:line="360" w:lineRule="exact"/>
        <w:rPr>
          <w:rFonts w:hint="eastAsia" w:ascii="宋体" w:hAnsi="宋体" w:eastAsia="宋体" w:cs="宋体"/>
          <w:color w:val="auto"/>
          <w:sz w:val="24"/>
          <w:szCs w:val="24"/>
          <w:highlight w:val="none"/>
          <w:lang w:eastAsia="zh-CN"/>
        </w:rPr>
      </w:pPr>
      <w:bookmarkStart w:id="847" w:name="_Toc24079"/>
      <w:bookmarkStart w:id="848" w:name="bookmark1131"/>
      <w:bookmarkStart w:id="849" w:name="_Toc199152901"/>
      <w:bookmarkStart w:id="850" w:name="_Toc25679"/>
      <w:bookmarkStart w:id="851" w:name="_Toc20981"/>
      <w:bookmarkStart w:id="852" w:name="_Toc17239"/>
      <w:bookmarkStart w:id="853" w:name="_Toc20897"/>
      <w:bookmarkStart w:id="854" w:name="_Toc24520"/>
      <w:bookmarkStart w:id="855" w:name="_Toc17287"/>
      <w:bookmarkStart w:id="856" w:name="bookmark1132"/>
      <w:bookmarkStart w:id="857" w:name="bookmark1133"/>
      <w:r>
        <w:rPr>
          <w:rFonts w:hint="eastAsia" w:ascii="宋体" w:hAnsi="宋体" w:eastAsia="宋体" w:cs="宋体"/>
          <w:color w:val="auto"/>
          <w:sz w:val="24"/>
          <w:szCs w:val="24"/>
          <w:highlight w:val="none"/>
          <w:lang w:eastAsia="zh-CN"/>
        </w:rPr>
        <w:t>9.3治安保卫</w:t>
      </w:r>
      <w:bookmarkEnd w:id="847"/>
      <w:bookmarkEnd w:id="848"/>
      <w:bookmarkEnd w:id="849"/>
      <w:bookmarkEnd w:id="850"/>
      <w:bookmarkEnd w:id="851"/>
      <w:bookmarkEnd w:id="852"/>
      <w:bookmarkEnd w:id="853"/>
      <w:bookmarkEnd w:id="854"/>
      <w:bookmarkEnd w:id="855"/>
      <w:bookmarkEnd w:id="856"/>
      <w:bookmarkEnd w:id="857"/>
    </w:p>
    <w:p w14:paraId="5EE96B0A">
      <w:pPr>
        <w:pStyle w:val="115"/>
        <w:spacing w:line="367"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9.3.1</w:t>
      </w:r>
      <w:r>
        <w:rPr>
          <w:rFonts w:hint="eastAsia" w:ascii="宋体" w:hAnsi="宋体" w:eastAsia="宋体" w:cs="宋体"/>
          <w:color w:val="auto"/>
          <w:highlight w:val="none"/>
        </w:rPr>
        <w:t>除合同另有约定外，发包人应与当地公安部门协商，在现场建立治安管理机构或联防组织，统一管理施工场地的治安保卫事项，履行合同工程的治安保卫职责。</w:t>
      </w:r>
    </w:p>
    <w:p w14:paraId="5EE96B0B">
      <w:pPr>
        <w:pStyle w:val="115"/>
        <w:spacing w:line="362"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9.3.</w:t>
      </w:r>
      <w:r>
        <w:rPr>
          <w:rFonts w:hint="eastAsia" w:ascii="宋体" w:hAnsi="宋体" w:eastAsia="宋体" w:cs="宋体"/>
          <w:color w:val="auto"/>
          <w:highlight w:val="none"/>
        </w:rPr>
        <w:t>2发包人和承包人除应协助现场治安管理机构或联防组织维护施工场地的社会治安外，还应做好包括生活区在内的各自管辖区的治安保卫工作。</w:t>
      </w:r>
    </w:p>
    <w:p w14:paraId="5EE96B0C">
      <w:pPr>
        <w:pStyle w:val="115"/>
        <w:spacing w:after="140" w:line="362"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9.3.3</w:t>
      </w:r>
      <w:r>
        <w:rPr>
          <w:rFonts w:hint="eastAsia" w:ascii="宋体" w:hAnsi="宋体" w:eastAsia="宋体" w:cs="宋体"/>
          <w:color w:val="auto"/>
          <w:highlight w:val="none"/>
        </w:rPr>
        <w:t>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5EE96B0D">
      <w:pPr>
        <w:pStyle w:val="116"/>
        <w:spacing w:line="360" w:lineRule="exact"/>
        <w:rPr>
          <w:rFonts w:hint="eastAsia" w:ascii="宋体" w:hAnsi="宋体" w:eastAsia="宋体" w:cs="宋体"/>
          <w:color w:val="auto"/>
          <w:sz w:val="24"/>
          <w:szCs w:val="24"/>
          <w:highlight w:val="none"/>
          <w:lang w:eastAsia="zh-CN"/>
        </w:rPr>
      </w:pPr>
      <w:bookmarkStart w:id="858" w:name="_Toc6191"/>
      <w:bookmarkStart w:id="859" w:name="_Toc25266"/>
      <w:bookmarkStart w:id="860" w:name="_Toc31814"/>
      <w:bookmarkStart w:id="861" w:name="bookmark1135"/>
      <w:bookmarkStart w:id="862" w:name="_Toc7970"/>
      <w:bookmarkStart w:id="863" w:name="_Toc24945"/>
      <w:bookmarkStart w:id="864" w:name="bookmark1136"/>
      <w:bookmarkStart w:id="865" w:name="bookmark1134"/>
      <w:bookmarkStart w:id="866" w:name="_Toc199152902"/>
      <w:bookmarkStart w:id="867" w:name="_Toc19282"/>
      <w:bookmarkStart w:id="868" w:name="_Toc24105"/>
      <w:r>
        <w:rPr>
          <w:rFonts w:hint="eastAsia" w:ascii="宋体" w:hAnsi="宋体" w:eastAsia="宋体" w:cs="宋体"/>
          <w:color w:val="auto"/>
          <w:sz w:val="24"/>
          <w:szCs w:val="24"/>
          <w:highlight w:val="none"/>
          <w:lang w:eastAsia="zh-CN"/>
        </w:rPr>
        <w:t>9.4环境保护</w:t>
      </w:r>
      <w:bookmarkEnd w:id="858"/>
      <w:bookmarkEnd w:id="859"/>
      <w:bookmarkEnd w:id="860"/>
      <w:bookmarkEnd w:id="861"/>
      <w:bookmarkEnd w:id="862"/>
      <w:bookmarkEnd w:id="863"/>
      <w:bookmarkEnd w:id="864"/>
      <w:bookmarkEnd w:id="865"/>
      <w:bookmarkEnd w:id="866"/>
      <w:bookmarkEnd w:id="867"/>
      <w:bookmarkEnd w:id="868"/>
    </w:p>
    <w:p w14:paraId="5EE96B0E">
      <w:pPr>
        <w:pStyle w:val="115"/>
        <w:spacing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9.4.1</w:t>
      </w:r>
      <w:r>
        <w:rPr>
          <w:rFonts w:hint="eastAsia" w:ascii="宋体" w:hAnsi="宋体" w:eastAsia="宋体" w:cs="宋体"/>
          <w:color w:val="auto"/>
          <w:highlight w:val="none"/>
        </w:rPr>
        <w:t>承包人在施工过程中，应遵守有关环境保护的法律，履行合同约定的环境保护义务，并对违反法律和合同约定义务所造成的环境破坏、人身伤害和财产损失负责。</w:t>
      </w:r>
    </w:p>
    <w:p w14:paraId="5EE96B0F">
      <w:pPr>
        <w:pStyle w:val="115"/>
        <w:spacing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9.4.2</w:t>
      </w:r>
      <w:r>
        <w:rPr>
          <w:rFonts w:hint="eastAsia" w:ascii="宋体" w:hAnsi="宋体" w:eastAsia="宋体" w:cs="宋体"/>
          <w:color w:val="auto"/>
          <w:highlight w:val="none"/>
        </w:rPr>
        <w:t>承包人应按合同约定的环保工作内容，编制施工环保措施计划，报送监理人审批。</w:t>
      </w:r>
    </w:p>
    <w:p w14:paraId="5EE96B10">
      <w:pPr>
        <w:pStyle w:val="115"/>
        <w:spacing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9.4.3</w:t>
      </w:r>
      <w:r>
        <w:rPr>
          <w:rFonts w:hint="eastAsia" w:ascii="宋体" w:hAnsi="宋体" w:eastAsia="宋体" w:cs="宋体"/>
          <w:color w:val="auto"/>
          <w:highlight w:val="none"/>
        </w:rPr>
        <w:t>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5EE96B11">
      <w:pPr>
        <w:pStyle w:val="115"/>
        <w:spacing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9.4.4</w:t>
      </w:r>
      <w:r>
        <w:rPr>
          <w:rFonts w:hint="eastAsia" w:ascii="宋体" w:hAnsi="宋体" w:eastAsia="宋体" w:cs="宋体"/>
          <w:color w:val="auto"/>
          <w:highlight w:val="none"/>
        </w:rPr>
        <w:t>承包人应按合同约定采取有效措施，对施工开挖的边坡及时进行支护，维护排水设施，并进行水土保护，避免因施工造成的地质灾害。</w:t>
      </w:r>
    </w:p>
    <w:p w14:paraId="5EE96B12">
      <w:pPr>
        <w:pStyle w:val="115"/>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9.4.5</w:t>
      </w:r>
      <w:r>
        <w:rPr>
          <w:rFonts w:hint="eastAsia" w:ascii="宋体" w:hAnsi="宋体" w:eastAsia="宋体" w:cs="宋体"/>
          <w:color w:val="auto"/>
          <w:highlight w:val="none"/>
        </w:rPr>
        <w:t>承包人应按国家饮用水管理标准定期对饮用水源进行监测，防止施工活动污染饮用水源。</w:t>
      </w:r>
    </w:p>
    <w:p w14:paraId="5EE96B13">
      <w:pPr>
        <w:pStyle w:val="115"/>
        <w:spacing w:after="120"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9.4.6</w:t>
      </w:r>
      <w:r>
        <w:rPr>
          <w:rFonts w:hint="eastAsia" w:ascii="宋体" w:hAnsi="宋体" w:eastAsia="宋体" w:cs="宋体"/>
          <w:color w:val="auto"/>
          <w:highlight w:val="none"/>
        </w:rPr>
        <w:t>承包人应按合同约定，加强对噪声、粉尘、废气、废水和废油的控制，努力降低噪声，控制粉尘和废气浓度，做好废水和废油的治理和排放。</w:t>
      </w:r>
    </w:p>
    <w:p w14:paraId="5EE96B14">
      <w:pPr>
        <w:pStyle w:val="116"/>
        <w:spacing w:line="360" w:lineRule="exact"/>
        <w:rPr>
          <w:rFonts w:hint="eastAsia" w:ascii="宋体" w:hAnsi="宋体" w:eastAsia="宋体" w:cs="宋体"/>
          <w:color w:val="auto"/>
          <w:sz w:val="24"/>
          <w:szCs w:val="24"/>
          <w:highlight w:val="none"/>
          <w:lang w:eastAsia="zh-CN"/>
        </w:rPr>
      </w:pPr>
      <w:bookmarkStart w:id="869" w:name="bookmark1137"/>
      <w:bookmarkStart w:id="870" w:name="_Toc1363"/>
      <w:bookmarkStart w:id="871" w:name="bookmark1138"/>
      <w:bookmarkStart w:id="872" w:name="_Toc486"/>
      <w:bookmarkStart w:id="873" w:name="_Toc35"/>
      <w:bookmarkStart w:id="874" w:name="_Toc199152903"/>
      <w:bookmarkStart w:id="875" w:name="_Toc29714"/>
      <w:bookmarkStart w:id="876" w:name="_Toc22178"/>
      <w:bookmarkStart w:id="877" w:name="bookmark1139"/>
      <w:bookmarkStart w:id="878" w:name="_Toc19424"/>
      <w:bookmarkStart w:id="879" w:name="_Toc29872"/>
      <w:r>
        <w:rPr>
          <w:rFonts w:hint="eastAsia" w:ascii="宋体" w:hAnsi="宋体" w:eastAsia="宋体" w:cs="宋体"/>
          <w:color w:val="auto"/>
          <w:sz w:val="24"/>
          <w:szCs w:val="24"/>
          <w:highlight w:val="none"/>
          <w:lang w:eastAsia="zh-CN"/>
        </w:rPr>
        <w:t>9.5事故处理</w:t>
      </w:r>
      <w:bookmarkEnd w:id="869"/>
      <w:bookmarkEnd w:id="870"/>
      <w:bookmarkEnd w:id="871"/>
      <w:bookmarkEnd w:id="872"/>
      <w:bookmarkEnd w:id="873"/>
      <w:bookmarkEnd w:id="874"/>
      <w:bookmarkEnd w:id="875"/>
      <w:bookmarkEnd w:id="876"/>
      <w:bookmarkEnd w:id="877"/>
      <w:bookmarkEnd w:id="878"/>
      <w:bookmarkEnd w:id="879"/>
    </w:p>
    <w:p w14:paraId="5EE96B15">
      <w:pPr>
        <w:pStyle w:val="115"/>
        <w:spacing w:line="374"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9.5.1</w:t>
      </w:r>
      <w:r>
        <w:rPr>
          <w:rFonts w:hint="eastAsia" w:ascii="宋体" w:hAnsi="宋体" w:eastAsia="宋体" w:cs="宋体"/>
          <w:color w:val="auto"/>
          <w:highlight w:val="none"/>
        </w:rPr>
        <w:t>发包人负责组织参建单位制定本工程的质量与安全事故应急预案，建立质量与安全事故应急处置指挥部。</w:t>
      </w:r>
    </w:p>
    <w:p w14:paraId="5EE96B16">
      <w:pPr>
        <w:pStyle w:val="115"/>
        <w:spacing w:line="37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9.5.2</w:t>
      </w:r>
      <w:r>
        <w:rPr>
          <w:rFonts w:hint="eastAsia" w:ascii="宋体" w:hAnsi="宋体" w:eastAsia="宋体" w:cs="宋体"/>
          <w:color w:val="auto"/>
          <w:highlight w:val="none"/>
        </w:rPr>
        <w:t>承包人应对施工现场易发生重大事故的部位、环节的进行监控，配备救援器材、设备，并定期组织演练。</w:t>
      </w:r>
    </w:p>
    <w:p w14:paraId="5EE96B17">
      <w:pPr>
        <w:pStyle w:val="115"/>
        <w:spacing w:after="120" w:line="374"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9.5.3</w:t>
      </w:r>
      <w:r>
        <w:rPr>
          <w:rFonts w:hint="eastAsia" w:ascii="宋体" w:hAnsi="宋体" w:eastAsia="宋体" w:cs="宋体"/>
          <w:color w:val="auto"/>
          <w:highlight w:val="none"/>
        </w:rPr>
        <w:t>工程开工前，承包人应根据本工程特点制定施工现场施工质量与安全事故应急预案，并报发包人备案。</w:t>
      </w:r>
    </w:p>
    <w:p w14:paraId="5EE96B18">
      <w:pPr>
        <w:pStyle w:val="115"/>
        <w:spacing w:line="24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9.5.4</w:t>
      </w:r>
      <w:r>
        <w:rPr>
          <w:rFonts w:hint="eastAsia" w:ascii="宋体" w:hAnsi="宋体" w:eastAsia="宋体" w:cs="宋体"/>
          <w:color w:val="auto"/>
          <w:highlight w:val="none"/>
        </w:rPr>
        <w:t>施工过程中发生事故时，发包人、承包人应立即启动应急预案。</w:t>
      </w:r>
    </w:p>
    <w:p w14:paraId="5EE96B19">
      <w:pPr>
        <w:pStyle w:val="115"/>
        <w:spacing w:after="120" w:line="367" w:lineRule="exact"/>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9.5.5</w:t>
      </w:r>
      <w:r>
        <w:rPr>
          <w:rFonts w:hint="eastAsia" w:ascii="宋体" w:hAnsi="宋体" w:eastAsia="宋体" w:cs="宋体"/>
          <w:color w:val="auto"/>
          <w:highlight w:val="none"/>
        </w:rPr>
        <w:t>事故调查处理由发包人按相关规定履行手续，承包人应配合。</w:t>
      </w:r>
    </w:p>
    <w:p w14:paraId="5EE96B1A">
      <w:pPr>
        <w:pStyle w:val="116"/>
        <w:spacing w:line="360" w:lineRule="exact"/>
        <w:rPr>
          <w:rFonts w:hint="eastAsia" w:ascii="宋体" w:hAnsi="宋体" w:eastAsia="宋体" w:cs="宋体"/>
          <w:color w:val="auto"/>
          <w:sz w:val="24"/>
          <w:szCs w:val="24"/>
          <w:highlight w:val="none"/>
          <w:lang w:eastAsia="zh-CN"/>
        </w:rPr>
      </w:pPr>
      <w:bookmarkStart w:id="880" w:name="_Toc199152904"/>
      <w:bookmarkStart w:id="881" w:name="_Toc13839"/>
      <w:bookmarkStart w:id="882" w:name="_Toc1975"/>
      <w:bookmarkStart w:id="883" w:name="_Toc21641"/>
      <w:bookmarkStart w:id="884" w:name="_Toc17101"/>
      <w:bookmarkStart w:id="885" w:name="_Toc5762"/>
      <w:bookmarkStart w:id="886" w:name="bookmark1142"/>
      <w:bookmarkStart w:id="887" w:name="bookmark1140"/>
      <w:bookmarkStart w:id="888" w:name="bookmark1141"/>
      <w:bookmarkStart w:id="889" w:name="_Toc10912"/>
      <w:bookmarkStart w:id="890" w:name="_Toc31047"/>
      <w:r>
        <w:rPr>
          <w:rFonts w:hint="eastAsia" w:ascii="宋体" w:hAnsi="宋体" w:eastAsia="宋体" w:cs="宋体"/>
          <w:color w:val="auto"/>
          <w:sz w:val="24"/>
          <w:szCs w:val="24"/>
          <w:highlight w:val="none"/>
          <w:lang w:eastAsia="zh-CN"/>
        </w:rPr>
        <w:t>9.6水土保持</w:t>
      </w:r>
      <w:bookmarkEnd w:id="880"/>
      <w:bookmarkEnd w:id="881"/>
      <w:bookmarkEnd w:id="882"/>
      <w:bookmarkEnd w:id="883"/>
      <w:bookmarkEnd w:id="884"/>
      <w:bookmarkEnd w:id="885"/>
      <w:bookmarkEnd w:id="886"/>
      <w:bookmarkEnd w:id="887"/>
      <w:bookmarkEnd w:id="888"/>
      <w:bookmarkEnd w:id="889"/>
      <w:bookmarkEnd w:id="890"/>
    </w:p>
    <w:p w14:paraId="5EE96B1B">
      <w:pPr>
        <w:pStyle w:val="115"/>
        <w:spacing w:line="379"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9.6.</w:t>
      </w:r>
      <w:r>
        <w:rPr>
          <w:rFonts w:hint="eastAsia" w:ascii="宋体" w:hAnsi="宋体" w:eastAsia="宋体" w:cs="宋体"/>
          <w:color w:val="auto"/>
          <w:highlight w:val="none"/>
        </w:rPr>
        <w:t>1发包人应及时向承包人提供水土保持方案。</w:t>
      </w:r>
    </w:p>
    <w:p w14:paraId="5EE96B1C">
      <w:pPr>
        <w:pStyle w:val="115"/>
        <w:spacing w:line="362"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9.6.2</w:t>
      </w:r>
      <w:r>
        <w:rPr>
          <w:rFonts w:hint="eastAsia" w:ascii="宋体" w:hAnsi="宋体" w:eastAsia="宋体" w:cs="宋体"/>
          <w:color w:val="auto"/>
          <w:highlight w:val="none"/>
        </w:rPr>
        <w:t>承包人在施工过程中，应遵守有关水土保持的法律法规和规章，履行合同约定的水土保持义务，并对其违反法律和合同约定义务所造成的水土流失灾害、人身伤害和财产损失负责。</w:t>
      </w:r>
    </w:p>
    <w:p w14:paraId="5EE96B1D">
      <w:pPr>
        <w:pStyle w:val="115"/>
        <w:spacing w:after="120" w:line="367"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9.6.3</w:t>
      </w:r>
      <w:r>
        <w:rPr>
          <w:rFonts w:hint="eastAsia" w:ascii="宋体" w:hAnsi="宋体" w:eastAsia="宋体" w:cs="宋体"/>
          <w:color w:val="auto"/>
          <w:highlight w:val="none"/>
        </w:rPr>
        <w:t>承包人的水土保持措施计划，应满足技术标准和要求（合同技术条款）约定的要求。</w:t>
      </w:r>
    </w:p>
    <w:p w14:paraId="5EE96B1E">
      <w:pPr>
        <w:pStyle w:val="116"/>
        <w:spacing w:line="360" w:lineRule="exact"/>
        <w:rPr>
          <w:rFonts w:hint="eastAsia" w:ascii="宋体" w:hAnsi="宋体" w:eastAsia="宋体" w:cs="宋体"/>
          <w:color w:val="auto"/>
          <w:sz w:val="24"/>
          <w:szCs w:val="24"/>
          <w:highlight w:val="none"/>
          <w:lang w:eastAsia="zh-CN"/>
        </w:rPr>
      </w:pPr>
      <w:bookmarkStart w:id="891" w:name="_Toc16250"/>
      <w:bookmarkStart w:id="892" w:name="_Toc199152905"/>
      <w:bookmarkStart w:id="893" w:name="bookmark1144"/>
      <w:bookmarkStart w:id="894" w:name="_Toc32599"/>
      <w:bookmarkStart w:id="895" w:name="_Toc29131"/>
      <w:bookmarkStart w:id="896" w:name="bookmark1145"/>
      <w:bookmarkStart w:id="897" w:name="_Toc6176"/>
      <w:bookmarkStart w:id="898" w:name="_Toc1747"/>
      <w:bookmarkStart w:id="899" w:name="bookmark1143"/>
      <w:bookmarkStart w:id="900" w:name="_Toc9534"/>
      <w:bookmarkStart w:id="901" w:name="_Toc5166"/>
      <w:r>
        <w:rPr>
          <w:rFonts w:hint="eastAsia" w:ascii="宋体" w:hAnsi="宋体" w:eastAsia="宋体" w:cs="宋体"/>
          <w:color w:val="auto"/>
          <w:sz w:val="24"/>
          <w:szCs w:val="24"/>
          <w:highlight w:val="none"/>
          <w:lang w:eastAsia="zh-CN"/>
        </w:rPr>
        <w:t>9.7文明工地</w:t>
      </w:r>
      <w:bookmarkEnd w:id="891"/>
      <w:bookmarkEnd w:id="892"/>
      <w:bookmarkEnd w:id="893"/>
      <w:bookmarkEnd w:id="894"/>
      <w:bookmarkEnd w:id="895"/>
      <w:bookmarkEnd w:id="896"/>
      <w:bookmarkEnd w:id="897"/>
      <w:bookmarkEnd w:id="898"/>
      <w:bookmarkEnd w:id="899"/>
      <w:bookmarkEnd w:id="900"/>
      <w:bookmarkEnd w:id="901"/>
    </w:p>
    <w:p w14:paraId="5EE96B1F">
      <w:pPr>
        <w:pStyle w:val="115"/>
        <w:spacing w:line="372"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9.7.1</w:t>
      </w:r>
      <w:r>
        <w:rPr>
          <w:rFonts w:hint="eastAsia" w:ascii="宋体" w:hAnsi="宋体" w:eastAsia="宋体" w:cs="宋体"/>
          <w:color w:val="auto"/>
          <w:highlight w:val="none"/>
        </w:rPr>
        <w:t>发包人应按专用合同条款的约定，负责建立创建文明建设工地的组织机构，制定创建文明建设工地的规划和办法。</w:t>
      </w:r>
    </w:p>
    <w:p w14:paraId="5EE96B20">
      <w:pPr>
        <w:pStyle w:val="115"/>
        <w:spacing w:after="120" w:line="37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9.7.2</w:t>
      </w:r>
      <w:r>
        <w:rPr>
          <w:rFonts w:hint="eastAsia" w:ascii="宋体" w:hAnsi="宋体" w:eastAsia="宋体" w:cs="宋体"/>
          <w:color w:val="auto"/>
          <w:highlight w:val="none"/>
        </w:rPr>
        <w:t>承包人应按创建文明建设工地的规划和办法，履行职责，承担相应责任。所需费用应含在已标价工程量清单中。</w:t>
      </w:r>
    </w:p>
    <w:p w14:paraId="5EE96B21">
      <w:pPr>
        <w:pStyle w:val="116"/>
        <w:spacing w:line="360" w:lineRule="exact"/>
        <w:rPr>
          <w:rFonts w:hint="eastAsia" w:ascii="宋体" w:hAnsi="宋体" w:eastAsia="宋体" w:cs="宋体"/>
          <w:color w:val="auto"/>
          <w:sz w:val="24"/>
          <w:szCs w:val="24"/>
          <w:highlight w:val="none"/>
          <w:lang w:eastAsia="zh-CN"/>
        </w:rPr>
      </w:pPr>
      <w:bookmarkStart w:id="902" w:name="bookmark1148"/>
      <w:bookmarkStart w:id="903" w:name="bookmark1147"/>
      <w:bookmarkStart w:id="904" w:name="_Toc10413"/>
      <w:bookmarkStart w:id="905" w:name="_Toc199152906"/>
      <w:bookmarkStart w:id="906" w:name="_Toc2182"/>
      <w:bookmarkStart w:id="907" w:name="_Toc6670"/>
      <w:bookmarkStart w:id="908" w:name="_Toc16124"/>
      <w:bookmarkStart w:id="909" w:name="_Toc150"/>
      <w:bookmarkStart w:id="910" w:name="bookmark1146"/>
      <w:bookmarkStart w:id="911" w:name="_Toc7882"/>
      <w:bookmarkStart w:id="912" w:name="_Toc14303"/>
      <w:r>
        <w:rPr>
          <w:rFonts w:hint="eastAsia" w:ascii="宋体" w:hAnsi="宋体" w:eastAsia="宋体" w:cs="宋体"/>
          <w:color w:val="auto"/>
          <w:sz w:val="24"/>
          <w:szCs w:val="24"/>
          <w:highlight w:val="none"/>
          <w:lang w:eastAsia="zh-CN"/>
        </w:rPr>
        <w:t>9.8防汛度汛</w:t>
      </w:r>
      <w:bookmarkEnd w:id="902"/>
      <w:bookmarkEnd w:id="903"/>
      <w:bookmarkEnd w:id="904"/>
      <w:bookmarkEnd w:id="905"/>
      <w:bookmarkEnd w:id="906"/>
      <w:bookmarkEnd w:id="907"/>
      <w:bookmarkEnd w:id="908"/>
      <w:bookmarkEnd w:id="909"/>
      <w:bookmarkEnd w:id="910"/>
      <w:bookmarkEnd w:id="911"/>
      <w:bookmarkEnd w:id="912"/>
    </w:p>
    <w:p w14:paraId="5EE96B22">
      <w:pPr>
        <w:pStyle w:val="115"/>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9.8.</w:t>
      </w:r>
      <w:r>
        <w:rPr>
          <w:rFonts w:hint="eastAsia" w:ascii="宋体" w:hAnsi="宋体" w:eastAsia="宋体" w:cs="宋体"/>
          <w:color w:val="auto"/>
          <w:highlight w:val="none"/>
        </w:rPr>
        <w:t>1发包人负责组织工程参建单位编制本工程的度汛方案和措施。</w:t>
      </w:r>
    </w:p>
    <w:p w14:paraId="5EE96B23">
      <w:pPr>
        <w:pStyle w:val="115"/>
        <w:spacing w:after="280" w:line="3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9.8.2</w:t>
      </w:r>
      <w:r>
        <w:rPr>
          <w:rFonts w:hint="eastAsia" w:ascii="宋体" w:hAnsi="宋体" w:eastAsia="宋体" w:cs="宋体"/>
          <w:color w:val="auto"/>
          <w:highlight w:val="none"/>
        </w:rPr>
        <w:t>承包人应根据发包人编制的本工程度汛方案和措施，制定相应的度汛方案，报发包人批准后实施。</w:t>
      </w:r>
    </w:p>
    <w:p w14:paraId="5EE96B24">
      <w:pPr>
        <w:pStyle w:val="116"/>
        <w:spacing w:line="360" w:lineRule="exact"/>
        <w:rPr>
          <w:rFonts w:hint="eastAsia" w:ascii="宋体" w:hAnsi="宋体" w:eastAsia="宋体" w:cs="宋体"/>
          <w:color w:val="auto"/>
          <w:highlight w:val="none"/>
          <w:lang w:eastAsia="zh-CN"/>
        </w:rPr>
      </w:pPr>
      <w:bookmarkStart w:id="913" w:name="_Toc21441"/>
      <w:bookmarkStart w:id="914" w:name="bookmark1151"/>
      <w:bookmarkStart w:id="915" w:name="_Toc14784"/>
      <w:bookmarkStart w:id="916" w:name="_Toc27960"/>
      <w:bookmarkStart w:id="917" w:name="_Toc6560"/>
      <w:bookmarkStart w:id="918" w:name="_Toc199152907"/>
      <w:bookmarkStart w:id="919" w:name="bookmark1150"/>
      <w:bookmarkStart w:id="920" w:name="_Toc20298"/>
      <w:bookmarkStart w:id="921" w:name="_Toc10089"/>
      <w:bookmarkStart w:id="922" w:name="_Toc32341"/>
      <w:bookmarkStart w:id="923" w:name="bookmark1149"/>
      <w:r>
        <w:rPr>
          <w:rFonts w:hint="eastAsia" w:ascii="宋体" w:hAnsi="宋体" w:eastAsia="宋体" w:cs="宋体"/>
          <w:color w:val="auto"/>
          <w:highlight w:val="none"/>
          <w:lang w:eastAsia="zh-CN"/>
        </w:rPr>
        <w:t>10.进度计划</w:t>
      </w:r>
      <w:bookmarkEnd w:id="913"/>
      <w:bookmarkEnd w:id="914"/>
      <w:bookmarkEnd w:id="915"/>
      <w:bookmarkEnd w:id="916"/>
      <w:bookmarkEnd w:id="917"/>
      <w:bookmarkEnd w:id="918"/>
      <w:bookmarkEnd w:id="919"/>
      <w:bookmarkEnd w:id="920"/>
      <w:bookmarkEnd w:id="921"/>
      <w:bookmarkEnd w:id="922"/>
      <w:bookmarkEnd w:id="923"/>
    </w:p>
    <w:p w14:paraId="5EE96B25">
      <w:pPr>
        <w:pStyle w:val="116"/>
        <w:spacing w:line="360" w:lineRule="exact"/>
        <w:rPr>
          <w:rFonts w:hint="eastAsia" w:ascii="宋体" w:hAnsi="宋体" w:eastAsia="宋体" w:cs="宋体"/>
          <w:color w:val="auto"/>
          <w:sz w:val="24"/>
          <w:szCs w:val="24"/>
          <w:highlight w:val="none"/>
          <w:lang w:eastAsia="zh-CN"/>
        </w:rPr>
      </w:pPr>
      <w:bookmarkStart w:id="924" w:name="_Toc25430"/>
      <w:bookmarkStart w:id="925" w:name="_Toc854"/>
      <w:bookmarkStart w:id="926" w:name="_Toc20408"/>
      <w:bookmarkStart w:id="927" w:name="_Toc26167"/>
      <w:bookmarkStart w:id="928" w:name="_Toc11567"/>
      <w:bookmarkStart w:id="929" w:name="bookmark1154"/>
      <w:bookmarkStart w:id="930" w:name="_Toc15277"/>
      <w:bookmarkStart w:id="931" w:name="_Toc28440"/>
      <w:bookmarkStart w:id="932" w:name="_Toc199152908"/>
      <w:bookmarkStart w:id="933" w:name="bookmark1153"/>
      <w:bookmarkStart w:id="934" w:name="bookmark1152"/>
      <w:r>
        <w:rPr>
          <w:rFonts w:hint="eastAsia" w:ascii="宋体" w:hAnsi="宋体" w:eastAsia="宋体" w:cs="宋体"/>
          <w:color w:val="auto"/>
          <w:sz w:val="24"/>
          <w:szCs w:val="24"/>
          <w:highlight w:val="none"/>
          <w:lang w:eastAsia="zh-CN"/>
        </w:rPr>
        <w:t>10.1合同进度计划</w:t>
      </w:r>
      <w:bookmarkEnd w:id="924"/>
      <w:bookmarkEnd w:id="925"/>
      <w:bookmarkEnd w:id="926"/>
      <w:bookmarkEnd w:id="927"/>
      <w:bookmarkEnd w:id="928"/>
      <w:bookmarkEnd w:id="929"/>
      <w:bookmarkEnd w:id="930"/>
      <w:bookmarkEnd w:id="931"/>
      <w:bookmarkEnd w:id="932"/>
      <w:bookmarkEnd w:id="933"/>
      <w:bookmarkEnd w:id="934"/>
    </w:p>
    <w:p w14:paraId="5EE96B26">
      <w:pPr>
        <w:pStyle w:val="115"/>
        <w:spacing w:after="120" w:line="355"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承包人应按技术标准和要求（合同技术条款）约定的内容和期限以及监理人的指示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14:paraId="5EE96B27">
      <w:pPr>
        <w:pStyle w:val="116"/>
        <w:spacing w:line="360" w:lineRule="exact"/>
        <w:rPr>
          <w:rFonts w:hint="eastAsia" w:ascii="宋体" w:hAnsi="宋体" w:eastAsia="宋体" w:cs="宋体"/>
          <w:color w:val="auto"/>
          <w:sz w:val="24"/>
          <w:szCs w:val="24"/>
          <w:highlight w:val="none"/>
          <w:lang w:eastAsia="zh-CN"/>
        </w:rPr>
      </w:pPr>
      <w:bookmarkStart w:id="935" w:name="_Toc84"/>
      <w:bookmarkStart w:id="936" w:name="_Toc199152909"/>
      <w:bookmarkStart w:id="937" w:name="_Toc29598"/>
      <w:bookmarkStart w:id="938" w:name="bookmark1155"/>
      <w:bookmarkStart w:id="939" w:name="_Toc27886"/>
      <w:bookmarkStart w:id="940" w:name="_Toc11471"/>
      <w:bookmarkStart w:id="941" w:name="_Toc199"/>
      <w:bookmarkStart w:id="942" w:name="bookmark1157"/>
      <w:bookmarkStart w:id="943" w:name="bookmark1156"/>
      <w:bookmarkStart w:id="944" w:name="_Toc16392"/>
      <w:bookmarkStart w:id="945" w:name="_Toc8733"/>
      <w:r>
        <w:rPr>
          <w:rFonts w:hint="eastAsia" w:ascii="宋体" w:hAnsi="宋体" w:eastAsia="宋体" w:cs="宋体"/>
          <w:color w:val="auto"/>
          <w:sz w:val="24"/>
          <w:szCs w:val="24"/>
          <w:highlight w:val="none"/>
          <w:lang w:eastAsia="zh-CN"/>
        </w:rPr>
        <w:t>10.2合同进度计划的修订</w:t>
      </w:r>
      <w:bookmarkEnd w:id="935"/>
      <w:bookmarkEnd w:id="936"/>
      <w:bookmarkEnd w:id="937"/>
      <w:bookmarkEnd w:id="938"/>
      <w:bookmarkEnd w:id="939"/>
      <w:bookmarkEnd w:id="940"/>
      <w:bookmarkEnd w:id="941"/>
      <w:bookmarkEnd w:id="942"/>
      <w:bookmarkEnd w:id="943"/>
      <w:bookmarkEnd w:id="944"/>
      <w:bookmarkEnd w:id="945"/>
    </w:p>
    <w:p w14:paraId="5EE96B28">
      <w:pPr>
        <w:pStyle w:val="115"/>
        <w:spacing w:line="367"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不论何种原因造成工程的实际进度与第</w:t>
      </w:r>
      <w:r>
        <w:rPr>
          <w:rFonts w:hint="eastAsia" w:ascii="宋体" w:hAnsi="宋体" w:eastAsia="宋体" w:cs="宋体"/>
          <w:color w:val="auto"/>
          <w:highlight w:val="none"/>
          <w:lang w:val="en-US" w:bidi="en-US"/>
        </w:rPr>
        <w:t>10.</w:t>
      </w:r>
      <w:r>
        <w:rPr>
          <w:rFonts w:hint="eastAsia" w:ascii="宋体" w:hAnsi="宋体" w:eastAsia="宋体" w:cs="宋体"/>
          <w:color w:val="auto"/>
          <w:highlight w:val="none"/>
        </w:rPr>
        <w:t>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14:paraId="5EE96B29">
      <w:pPr>
        <w:pStyle w:val="115"/>
        <w:spacing w:after="160" w:line="35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w:t>
      </w:r>
      <w:r>
        <w:rPr>
          <w:rFonts w:hint="eastAsia" w:ascii="宋体" w:hAnsi="宋体" w:eastAsia="宋体" w:cs="宋体"/>
          <w:color w:val="auto"/>
          <w:highlight w:val="none"/>
          <w:lang w:val="en-US" w:bidi="en-US"/>
        </w:rPr>
        <w:t>11.</w:t>
      </w:r>
      <w:r>
        <w:rPr>
          <w:rFonts w:hint="eastAsia" w:ascii="宋体" w:hAnsi="宋体" w:eastAsia="宋体" w:cs="宋体"/>
          <w:color w:val="auto"/>
          <w:highlight w:val="none"/>
        </w:rPr>
        <w:t>3款的约定办理；由于承包人原因造成施工进度延迟，应按第</w:t>
      </w:r>
      <w:r>
        <w:rPr>
          <w:rFonts w:hint="eastAsia" w:ascii="宋体" w:hAnsi="宋体" w:eastAsia="宋体" w:cs="宋体"/>
          <w:color w:val="auto"/>
          <w:highlight w:val="none"/>
          <w:lang w:val="en-US" w:bidi="en-US"/>
        </w:rPr>
        <w:t>11.</w:t>
      </w:r>
      <w:r>
        <w:rPr>
          <w:rFonts w:hint="eastAsia" w:ascii="宋体" w:hAnsi="宋体" w:eastAsia="宋体" w:cs="宋体"/>
          <w:color w:val="auto"/>
          <w:highlight w:val="none"/>
        </w:rPr>
        <w:t>5款的约定办理。</w:t>
      </w:r>
    </w:p>
    <w:p w14:paraId="5EE96B2A">
      <w:pPr>
        <w:pStyle w:val="116"/>
        <w:spacing w:line="360" w:lineRule="exact"/>
        <w:rPr>
          <w:rFonts w:hint="eastAsia" w:ascii="宋体" w:hAnsi="宋体" w:eastAsia="宋体" w:cs="宋体"/>
          <w:color w:val="auto"/>
          <w:sz w:val="24"/>
          <w:szCs w:val="24"/>
          <w:highlight w:val="none"/>
          <w:lang w:eastAsia="zh-CN"/>
        </w:rPr>
      </w:pPr>
      <w:bookmarkStart w:id="946" w:name="_Toc199152910"/>
      <w:bookmarkStart w:id="947" w:name="bookmark1159"/>
      <w:bookmarkStart w:id="948" w:name="_Toc18183"/>
      <w:bookmarkStart w:id="949" w:name="bookmark1160"/>
      <w:bookmarkStart w:id="950" w:name="bookmark1158"/>
      <w:bookmarkStart w:id="951" w:name="_Toc32062"/>
      <w:bookmarkStart w:id="952" w:name="_Toc15383"/>
      <w:bookmarkStart w:id="953" w:name="_Toc25361"/>
      <w:bookmarkStart w:id="954" w:name="_Toc19677"/>
      <w:bookmarkStart w:id="955" w:name="_Toc9821"/>
      <w:bookmarkStart w:id="956" w:name="_Toc29411"/>
      <w:r>
        <w:rPr>
          <w:rFonts w:hint="eastAsia" w:ascii="宋体" w:hAnsi="宋体" w:eastAsia="宋体" w:cs="宋体"/>
          <w:color w:val="auto"/>
          <w:sz w:val="24"/>
          <w:szCs w:val="24"/>
          <w:highlight w:val="none"/>
          <w:lang w:eastAsia="zh-CN"/>
        </w:rPr>
        <w:t>10.3单位工程进度计划</w:t>
      </w:r>
      <w:bookmarkEnd w:id="946"/>
      <w:bookmarkEnd w:id="947"/>
      <w:bookmarkEnd w:id="948"/>
      <w:bookmarkEnd w:id="949"/>
      <w:bookmarkEnd w:id="950"/>
      <w:bookmarkEnd w:id="951"/>
      <w:bookmarkEnd w:id="952"/>
      <w:bookmarkEnd w:id="953"/>
      <w:bookmarkEnd w:id="954"/>
      <w:bookmarkEnd w:id="955"/>
      <w:bookmarkEnd w:id="956"/>
    </w:p>
    <w:p w14:paraId="5EE96B2B">
      <w:pPr>
        <w:pStyle w:val="115"/>
        <w:spacing w:after="160" w:line="35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监理人认为有必要时，承包人应按监理人指示的内容和期限，并根据合同进度计划的进度控制要求，编制单位工程进度计划，提交监理人审批。</w:t>
      </w:r>
    </w:p>
    <w:p w14:paraId="5EE96B2C">
      <w:pPr>
        <w:pStyle w:val="116"/>
        <w:spacing w:line="360" w:lineRule="exact"/>
        <w:rPr>
          <w:rFonts w:hint="eastAsia" w:ascii="宋体" w:hAnsi="宋体" w:eastAsia="宋体" w:cs="宋体"/>
          <w:color w:val="auto"/>
          <w:sz w:val="24"/>
          <w:szCs w:val="24"/>
          <w:highlight w:val="none"/>
          <w:lang w:eastAsia="zh-CN"/>
        </w:rPr>
      </w:pPr>
      <w:bookmarkStart w:id="957" w:name="_Toc199152911"/>
      <w:bookmarkStart w:id="958" w:name="_Toc16717"/>
      <w:bookmarkStart w:id="959" w:name="_Toc31671"/>
      <w:bookmarkStart w:id="960" w:name="bookmark1162"/>
      <w:bookmarkStart w:id="961" w:name="_Toc5993"/>
      <w:bookmarkStart w:id="962" w:name="bookmark1161"/>
      <w:bookmarkStart w:id="963" w:name="bookmark1163"/>
      <w:bookmarkStart w:id="964" w:name="_Toc2997"/>
      <w:bookmarkStart w:id="965" w:name="_Toc18009"/>
      <w:bookmarkStart w:id="966" w:name="_Toc14879"/>
      <w:bookmarkStart w:id="967" w:name="_Toc28715"/>
      <w:r>
        <w:rPr>
          <w:rFonts w:hint="eastAsia" w:ascii="宋体" w:hAnsi="宋体" w:eastAsia="宋体" w:cs="宋体"/>
          <w:color w:val="auto"/>
          <w:sz w:val="24"/>
          <w:szCs w:val="24"/>
          <w:highlight w:val="none"/>
          <w:lang w:eastAsia="zh-CN"/>
        </w:rPr>
        <w:t>10.4提交资金流估算表</w:t>
      </w:r>
      <w:bookmarkEnd w:id="957"/>
      <w:bookmarkEnd w:id="958"/>
      <w:bookmarkEnd w:id="959"/>
      <w:bookmarkEnd w:id="960"/>
      <w:bookmarkEnd w:id="961"/>
      <w:bookmarkEnd w:id="962"/>
      <w:bookmarkEnd w:id="963"/>
      <w:bookmarkEnd w:id="964"/>
      <w:bookmarkEnd w:id="965"/>
      <w:bookmarkEnd w:id="966"/>
      <w:bookmarkEnd w:id="967"/>
    </w:p>
    <w:p w14:paraId="5EE96B2D">
      <w:pPr>
        <w:pStyle w:val="115"/>
        <w:spacing w:after="340" w:line="35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承包人应在按第</w:t>
      </w:r>
      <w:r>
        <w:rPr>
          <w:rFonts w:hint="eastAsia" w:ascii="宋体" w:hAnsi="宋体" w:eastAsia="宋体" w:cs="宋体"/>
          <w:color w:val="auto"/>
          <w:highlight w:val="none"/>
          <w:lang w:val="en-US" w:bidi="en-US"/>
        </w:rPr>
        <w:t>10.</w:t>
      </w:r>
      <w:r>
        <w:rPr>
          <w:rFonts w:hint="eastAsia" w:ascii="宋体" w:hAnsi="宋体" w:eastAsia="宋体" w:cs="宋体"/>
          <w:color w:val="auto"/>
          <w:highlight w:val="none"/>
        </w:rPr>
        <w:t>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14:paraId="5EE96B2E">
      <w:pPr>
        <w:pStyle w:val="115"/>
        <w:tabs>
          <w:tab w:val="left" w:pos="3329"/>
        </w:tabs>
        <w:spacing w:after="100" w:line="350" w:lineRule="exact"/>
        <w:ind w:firstLine="0"/>
        <w:jc w:val="center"/>
        <w:rPr>
          <w:rFonts w:hint="eastAsia" w:ascii="宋体" w:hAnsi="宋体" w:eastAsia="宋体" w:cs="宋体"/>
          <w:color w:val="auto"/>
          <w:highlight w:val="none"/>
        </w:rPr>
      </w:pPr>
      <w:r>
        <w:rPr>
          <w:rFonts w:hint="eastAsia" w:ascii="宋体" w:hAnsi="宋体" w:eastAsia="宋体" w:cs="宋体"/>
          <w:color w:val="auto"/>
          <w:highlight w:val="none"/>
        </w:rPr>
        <w:t>资金流估算表（参考格式）金额单位：</w:t>
      </w:r>
    </w:p>
    <w:tbl>
      <w:tblPr>
        <w:tblStyle w:val="37"/>
        <w:tblW w:w="0" w:type="auto"/>
        <w:jc w:val="center"/>
        <w:tblLayout w:type="fixed"/>
        <w:tblCellMar>
          <w:top w:w="0" w:type="dxa"/>
          <w:left w:w="10" w:type="dxa"/>
          <w:bottom w:w="0" w:type="dxa"/>
          <w:right w:w="10" w:type="dxa"/>
        </w:tblCellMar>
      </w:tblPr>
      <w:tblGrid>
        <w:gridCol w:w="293"/>
        <w:gridCol w:w="283"/>
        <w:gridCol w:w="1022"/>
        <w:gridCol w:w="1416"/>
        <w:gridCol w:w="1022"/>
        <w:gridCol w:w="1018"/>
        <w:gridCol w:w="1022"/>
        <w:gridCol w:w="451"/>
        <w:gridCol w:w="682"/>
        <w:gridCol w:w="1142"/>
      </w:tblGrid>
      <w:tr w14:paraId="5EE96B39">
        <w:tblPrEx>
          <w:tblCellMar>
            <w:top w:w="0" w:type="dxa"/>
            <w:left w:w="10" w:type="dxa"/>
            <w:bottom w:w="0" w:type="dxa"/>
            <w:right w:w="10" w:type="dxa"/>
          </w:tblCellMar>
        </w:tblPrEx>
        <w:trPr>
          <w:trHeight w:val="456" w:hRule="exact"/>
          <w:jc w:val="center"/>
        </w:trPr>
        <w:tc>
          <w:tcPr>
            <w:tcW w:w="293" w:type="dxa"/>
            <w:tcBorders>
              <w:top w:val="single" w:color="auto" w:sz="4" w:space="0"/>
              <w:left w:val="single" w:color="auto" w:sz="4" w:space="0"/>
            </w:tcBorders>
            <w:shd w:val="clear" w:color="auto" w:fill="FFFFFF"/>
            <w:vAlign w:val="center"/>
          </w:tcPr>
          <w:p w14:paraId="5EE96B2F">
            <w:pPr>
              <w:pStyle w:val="118"/>
              <w:spacing w:line="240" w:lineRule="auto"/>
              <w:ind w:firstLine="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年</w:t>
            </w:r>
          </w:p>
        </w:tc>
        <w:tc>
          <w:tcPr>
            <w:tcW w:w="283" w:type="dxa"/>
            <w:tcBorders>
              <w:top w:val="single" w:color="auto" w:sz="4" w:space="0"/>
              <w:left w:val="single" w:color="auto" w:sz="4" w:space="0"/>
            </w:tcBorders>
            <w:shd w:val="clear" w:color="auto" w:fill="FFFFFF"/>
            <w:vAlign w:val="center"/>
          </w:tcPr>
          <w:p w14:paraId="5EE96B30">
            <w:pPr>
              <w:pStyle w:val="118"/>
              <w:spacing w:line="240" w:lineRule="auto"/>
              <w:ind w:firstLine="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1022" w:type="dxa"/>
            <w:tcBorders>
              <w:top w:val="single" w:color="auto" w:sz="4" w:space="0"/>
              <w:left w:val="single" w:color="auto" w:sz="4" w:space="0"/>
            </w:tcBorders>
            <w:shd w:val="clear" w:color="auto" w:fill="FFFFFF"/>
            <w:vAlign w:val="center"/>
          </w:tcPr>
          <w:p w14:paraId="5EE96B31">
            <w:pPr>
              <w:pStyle w:val="118"/>
              <w:spacing w:line="240" w:lineRule="auto"/>
              <w:ind w:firstLine="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工程预付款</w:t>
            </w:r>
          </w:p>
        </w:tc>
        <w:tc>
          <w:tcPr>
            <w:tcW w:w="1416" w:type="dxa"/>
            <w:tcBorders>
              <w:top w:val="single" w:color="auto" w:sz="4" w:space="0"/>
              <w:left w:val="single" w:color="auto" w:sz="4" w:space="0"/>
            </w:tcBorders>
            <w:shd w:val="clear" w:color="auto" w:fill="FFFFFF"/>
            <w:vAlign w:val="center"/>
          </w:tcPr>
          <w:p w14:paraId="5EE96B32">
            <w:pPr>
              <w:pStyle w:val="118"/>
              <w:spacing w:line="240" w:lineRule="auto"/>
              <w:ind w:firstLine="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完成工作量付款</w:t>
            </w:r>
          </w:p>
        </w:tc>
        <w:tc>
          <w:tcPr>
            <w:tcW w:w="1022" w:type="dxa"/>
            <w:tcBorders>
              <w:top w:val="single" w:color="auto" w:sz="4" w:space="0"/>
              <w:left w:val="single" w:color="auto" w:sz="4" w:space="0"/>
            </w:tcBorders>
            <w:shd w:val="clear" w:color="auto" w:fill="FFFFFF"/>
            <w:vAlign w:val="center"/>
          </w:tcPr>
          <w:p w14:paraId="5EE96B33">
            <w:pPr>
              <w:pStyle w:val="118"/>
              <w:spacing w:line="240" w:lineRule="auto"/>
              <w:ind w:firstLine="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保留金扣留</w:t>
            </w:r>
          </w:p>
        </w:tc>
        <w:tc>
          <w:tcPr>
            <w:tcW w:w="1018" w:type="dxa"/>
            <w:tcBorders>
              <w:top w:val="single" w:color="auto" w:sz="4" w:space="0"/>
              <w:left w:val="single" w:color="auto" w:sz="4" w:space="0"/>
            </w:tcBorders>
            <w:shd w:val="clear" w:color="auto" w:fill="FFFFFF"/>
            <w:vAlign w:val="center"/>
          </w:tcPr>
          <w:p w14:paraId="5EE96B34">
            <w:pPr>
              <w:pStyle w:val="118"/>
              <w:spacing w:line="240" w:lineRule="auto"/>
              <w:ind w:firstLine="0"/>
              <w:jc w:val="righ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材料款扣除</w:t>
            </w:r>
          </w:p>
        </w:tc>
        <w:tc>
          <w:tcPr>
            <w:tcW w:w="1022" w:type="dxa"/>
            <w:tcBorders>
              <w:top w:val="single" w:color="auto" w:sz="4" w:space="0"/>
              <w:left w:val="single" w:color="auto" w:sz="4" w:space="0"/>
            </w:tcBorders>
            <w:shd w:val="clear" w:color="auto" w:fill="FFFFFF"/>
            <w:vAlign w:val="center"/>
          </w:tcPr>
          <w:p w14:paraId="5EE96B35">
            <w:pPr>
              <w:pStyle w:val="118"/>
              <w:spacing w:line="240" w:lineRule="auto"/>
              <w:ind w:firstLine="0"/>
              <w:jc w:val="righ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预付款扣还</w:t>
            </w:r>
          </w:p>
        </w:tc>
        <w:tc>
          <w:tcPr>
            <w:tcW w:w="451" w:type="dxa"/>
            <w:tcBorders>
              <w:top w:val="single" w:color="auto" w:sz="4" w:space="0"/>
              <w:left w:val="single" w:color="auto" w:sz="4" w:space="0"/>
            </w:tcBorders>
            <w:shd w:val="clear" w:color="auto" w:fill="FFFFFF"/>
            <w:vAlign w:val="center"/>
          </w:tcPr>
          <w:p w14:paraId="5EE96B36">
            <w:pPr>
              <w:pStyle w:val="118"/>
              <w:spacing w:line="240" w:lineRule="auto"/>
              <w:ind w:firstLine="0"/>
              <w:jc w:val="righ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其他</w:t>
            </w:r>
          </w:p>
        </w:tc>
        <w:tc>
          <w:tcPr>
            <w:tcW w:w="682" w:type="dxa"/>
            <w:tcBorders>
              <w:top w:val="single" w:color="auto" w:sz="4" w:space="0"/>
              <w:left w:val="single" w:color="auto" w:sz="4" w:space="0"/>
            </w:tcBorders>
            <w:shd w:val="clear" w:color="auto" w:fill="FFFFFF"/>
            <w:vAlign w:val="center"/>
          </w:tcPr>
          <w:p w14:paraId="5EE96B37">
            <w:pPr>
              <w:pStyle w:val="118"/>
              <w:spacing w:line="240" w:lineRule="auto"/>
              <w:ind w:firstLine="0"/>
              <w:jc w:val="righ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应收款</w:t>
            </w:r>
          </w:p>
        </w:tc>
        <w:tc>
          <w:tcPr>
            <w:tcW w:w="1142" w:type="dxa"/>
            <w:tcBorders>
              <w:top w:val="single" w:color="auto" w:sz="4" w:space="0"/>
              <w:left w:val="single" w:color="auto" w:sz="4" w:space="0"/>
              <w:right w:val="single" w:color="auto" w:sz="4" w:space="0"/>
            </w:tcBorders>
            <w:shd w:val="clear" w:color="auto" w:fill="FFFFFF"/>
            <w:vAlign w:val="center"/>
          </w:tcPr>
          <w:p w14:paraId="5EE96B38">
            <w:pPr>
              <w:pStyle w:val="118"/>
              <w:spacing w:line="240" w:lineRule="auto"/>
              <w:ind w:firstLine="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累计应收款</w:t>
            </w:r>
          </w:p>
        </w:tc>
      </w:tr>
      <w:tr w14:paraId="5EE96B44">
        <w:tblPrEx>
          <w:tblCellMar>
            <w:top w:w="0" w:type="dxa"/>
            <w:left w:w="10" w:type="dxa"/>
            <w:bottom w:w="0" w:type="dxa"/>
            <w:right w:w="10" w:type="dxa"/>
          </w:tblCellMar>
        </w:tblPrEx>
        <w:trPr>
          <w:trHeight w:val="456" w:hRule="exact"/>
          <w:jc w:val="center"/>
        </w:trPr>
        <w:tc>
          <w:tcPr>
            <w:tcW w:w="293" w:type="dxa"/>
            <w:tcBorders>
              <w:top w:val="single" w:color="auto" w:sz="4" w:space="0"/>
              <w:left w:val="single" w:color="auto" w:sz="4" w:space="0"/>
            </w:tcBorders>
            <w:shd w:val="clear" w:color="auto" w:fill="FFFFFF"/>
          </w:tcPr>
          <w:p w14:paraId="5EE96B3A">
            <w:pPr>
              <w:pStyle w:val="47"/>
              <w:rPr>
                <w:rFonts w:hint="eastAsia" w:ascii="宋体" w:hAnsi="宋体" w:eastAsia="宋体" w:cs="宋体"/>
                <w:color w:val="auto"/>
                <w:sz w:val="18"/>
                <w:szCs w:val="18"/>
                <w:highlight w:val="none"/>
              </w:rPr>
            </w:pPr>
          </w:p>
        </w:tc>
        <w:tc>
          <w:tcPr>
            <w:tcW w:w="283" w:type="dxa"/>
            <w:tcBorders>
              <w:top w:val="single" w:color="auto" w:sz="4" w:space="0"/>
              <w:left w:val="single" w:color="auto" w:sz="4" w:space="0"/>
            </w:tcBorders>
            <w:shd w:val="clear" w:color="auto" w:fill="FFFFFF"/>
          </w:tcPr>
          <w:p w14:paraId="5EE96B3B">
            <w:pPr>
              <w:pStyle w:val="47"/>
              <w:rPr>
                <w:rFonts w:hint="eastAsia" w:ascii="宋体" w:hAnsi="宋体" w:eastAsia="宋体" w:cs="宋体"/>
                <w:color w:val="auto"/>
                <w:sz w:val="18"/>
                <w:szCs w:val="18"/>
                <w:highlight w:val="none"/>
              </w:rPr>
            </w:pPr>
          </w:p>
        </w:tc>
        <w:tc>
          <w:tcPr>
            <w:tcW w:w="1022" w:type="dxa"/>
            <w:tcBorders>
              <w:top w:val="single" w:color="auto" w:sz="4" w:space="0"/>
              <w:left w:val="single" w:color="auto" w:sz="4" w:space="0"/>
            </w:tcBorders>
            <w:shd w:val="clear" w:color="auto" w:fill="FFFFFF"/>
          </w:tcPr>
          <w:p w14:paraId="5EE96B3C">
            <w:pPr>
              <w:pStyle w:val="47"/>
              <w:rPr>
                <w:rFonts w:hint="eastAsia" w:ascii="宋体" w:hAnsi="宋体" w:eastAsia="宋体" w:cs="宋体"/>
                <w:color w:val="auto"/>
                <w:sz w:val="18"/>
                <w:szCs w:val="18"/>
                <w:highlight w:val="none"/>
              </w:rPr>
            </w:pPr>
          </w:p>
        </w:tc>
        <w:tc>
          <w:tcPr>
            <w:tcW w:w="1416" w:type="dxa"/>
            <w:tcBorders>
              <w:top w:val="single" w:color="auto" w:sz="4" w:space="0"/>
              <w:left w:val="single" w:color="auto" w:sz="4" w:space="0"/>
            </w:tcBorders>
            <w:shd w:val="clear" w:color="auto" w:fill="FFFFFF"/>
          </w:tcPr>
          <w:p w14:paraId="5EE96B3D">
            <w:pPr>
              <w:pStyle w:val="47"/>
              <w:rPr>
                <w:rFonts w:hint="eastAsia" w:ascii="宋体" w:hAnsi="宋体" w:eastAsia="宋体" w:cs="宋体"/>
                <w:color w:val="auto"/>
                <w:sz w:val="18"/>
                <w:szCs w:val="18"/>
                <w:highlight w:val="none"/>
              </w:rPr>
            </w:pPr>
          </w:p>
        </w:tc>
        <w:tc>
          <w:tcPr>
            <w:tcW w:w="1022" w:type="dxa"/>
            <w:tcBorders>
              <w:top w:val="single" w:color="auto" w:sz="4" w:space="0"/>
              <w:left w:val="single" w:color="auto" w:sz="4" w:space="0"/>
            </w:tcBorders>
            <w:shd w:val="clear" w:color="auto" w:fill="FFFFFF"/>
          </w:tcPr>
          <w:p w14:paraId="5EE96B3E">
            <w:pPr>
              <w:pStyle w:val="47"/>
              <w:rPr>
                <w:rFonts w:hint="eastAsia" w:ascii="宋体" w:hAnsi="宋体" w:eastAsia="宋体" w:cs="宋体"/>
                <w:color w:val="auto"/>
                <w:sz w:val="18"/>
                <w:szCs w:val="18"/>
                <w:highlight w:val="none"/>
              </w:rPr>
            </w:pPr>
          </w:p>
        </w:tc>
        <w:tc>
          <w:tcPr>
            <w:tcW w:w="1018" w:type="dxa"/>
            <w:tcBorders>
              <w:top w:val="single" w:color="auto" w:sz="4" w:space="0"/>
              <w:left w:val="single" w:color="auto" w:sz="4" w:space="0"/>
            </w:tcBorders>
            <w:shd w:val="clear" w:color="auto" w:fill="FFFFFF"/>
          </w:tcPr>
          <w:p w14:paraId="5EE96B3F">
            <w:pPr>
              <w:pStyle w:val="47"/>
              <w:rPr>
                <w:rFonts w:hint="eastAsia" w:ascii="宋体" w:hAnsi="宋体" w:eastAsia="宋体" w:cs="宋体"/>
                <w:color w:val="auto"/>
                <w:sz w:val="18"/>
                <w:szCs w:val="18"/>
                <w:highlight w:val="none"/>
              </w:rPr>
            </w:pPr>
          </w:p>
        </w:tc>
        <w:tc>
          <w:tcPr>
            <w:tcW w:w="1022" w:type="dxa"/>
            <w:tcBorders>
              <w:top w:val="single" w:color="auto" w:sz="4" w:space="0"/>
              <w:left w:val="single" w:color="auto" w:sz="4" w:space="0"/>
            </w:tcBorders>
            <w:shd w:val="clear" w:color="auto" w:fill="FFFFFF"/>
          </w:tcPr>
          <w:p w14:paraId="5EE96B40">
            <w:pPr>
              <w:pStyle w:val="47"/>
              <w:rPr>
                <w:rFonts w:hint="eastAsia" w:ascii="宋体" w:hAnsi="宋体" w:eastAsia="宋体" w:cs="宋体"/>
                <w:color w:val="auto"/>
                <w:sz w:val="18"/>
                <w:szCs w:val="18"/>
                <w:highlight w:val="none"/>
              </w:rPr>
            </w:pPr>
          </w:p>
        </w:tc>
        <w:tc>
          <w:tcPr>
            <w:tcW w:w="451" w:type="dxa"/>
            <w:tcBorders>
              <w:top w:val="single" w:color="auto" w:sz="4" w:space="0"/>
              <w:left w:val="single" w:color="auto" w:sz="4" w:space="0"/>
            </w:tcBorders>
            <w:shd w:val="clear" w:color="auto" w:fill="FFFFFF"/>
          </w:tcPr>
          <w:p w14:paraId="5EE96B41">
            <w:pPr>
              <w:pStyle w:val="47"/>
              <w:rPr>
                <w:rFonts w:hint="eastAsia" w:ascii="宋体" w:hAnsi="宋体" w:eastAsia="宋体" w:cs="宋体"/>
                <w:color w:val="auto"/>
                <w:sz w:val="18"/>
                <w:szCs w:val="18"/>
                <w:highlight w:val="none"/>
              </w:rPr>
            </w:pPr>
          </w:p>
        </w:tc>
        <w:tc>
          <w:tcPr>
            <w:tcW w:w="682" w:type="dxa"/>
            <w:tcBorders>
              <w:top w:val="single" w:color="auto" w:sz="4" w:space="0"/>
              <w:left w:val="single" w:color="auto" w:sz="4" w:space="0"/>
            </w:tcBorders>
            <w:shd w:val="clear" w:color="auto" w:fill="FFFFFF"/>
          </w:tcPr>
          <w:p w14:paraId="5EE96B42">
            <w:pPr>
              <w:pStyle w:val="47"/>
              <w:rPr>
                <w:rFonts w:hint="eastAsia" w:ascii="宋体" w:hAnsi="宋体" w:eastAsia="宋体" w:cs="宋体"/>
                <w:color w:val="auto"/>
                <w:sz w:val="18"/>
                <w:szCs w:val="18"/>
                <w:highlight w:val="none"/>
              </w:rPr>
            </w:pPr>
          </w:p>
        </w:tc>
        <w:tc>
          <w:tcPr>
            <w:tcW w:w="1142" w:type="dxa"/>
            <w:tcBorders>
              <w:top w:val="single" w:color="auto" w:sz="4" w:space="0"/>
              <w:left w:val="single" w:color="auto" w:sz="4" w:space="0"/>
              <w:right w:val="single" w:color="auto" w:sz="4" w:space="0"/>
            </w:tcBorders>
            <w:shd w:val="clear" w:color="auto" w:fill="FFFFFF"/>
          </w:tcPr>
          <w:p w14:paraId="5EE96B43">
            <w:pPr>
              <w:pStyle w:val="47"/>
              <w:rPr>
                <w:rFonts w:hint="eastAsia" w:ascii="宋体" w:hAnsi="宋体" w:eastAsia="宋体" w:cs="宋体"/>
                <w:color w:val="auto"/>
                <w:sz w:val="18"/>
                <w:szCs w:val="18"/>
                <w:highlight w:val="none"/>
              </w:rPr>
            </w:pPr>
          </w:p>
        </w:tc>
      </w:tr>
      <w:tr w14:paraId="5EE96B4F">
        <w:tblPrEx>
          <w:tblCellMar>
            <w:top w:w="0" w:type="dxa"/>
            <w:left w:w="10" w:type="dxa"/>
            <w:bottom w:w="0" w:type="dxa"/>
            <w:right w:w="10" w:type="dxa"/>
          </w:tblCellMar>
        </w:tblPrEx>
        <w:trPr>
          <w:trHeight w:val="456" w:hRule="exact"/>
          <w:jc w:val="center"/>
        </w:trPr>
        <w:tc>
          <w:tcPr>
            <w:tcW w:w="293" w:type="dxa"/>
            <w:tcBorders>
              <w:top w:val="single" w:color="auto" w:sz="4" w:space="0"/>
              <w:left w:val="single" w:color="auto" w:sz="4" w:space="0"/>
            </w:tcBorders>
            <w:shd w:val="clear" w:color="auto" w:fill="FFFFFF"/>
          </w:tcPr>
          <w:p w14:paraId="5EE96B45">
            <w:pPr>
              <w:pStyle w:val="47"/>
              <w:rPr>
                <w:rFonts w:hint="eastAsia" w:ascii="宋体" w:hAnsi="宋体" w:eastAsia="宋体" w:cs="宋体"/>
                <w:color w:val="auto"/>
                <w:sz w:val="18"/>
                <w:szCs w:val="18"/>
                <w:highlight w:val="none"/>
              </w:rPr>
            </w:pPr>
          </w:p>
        </w:tc>
        <w:tc>
          <w:tcPr>
            <w:tcW w:w="283" w:type="dxa"/>
            <w:tcBorders>
              <w:top w:val="single" w:color="auto" w:sz="4" w:space="0"/>
              <w:left w:val="single" w:color="auto" w:sz="4" w:space="0"/>
            </w:tcBorders>
            <w:shd w:val="clear" w:color="auto" w:fill="FFFFFF"/>
          </w:tcPr>
          <w:p w14:paraId="5EE96B46">
            <w:pPr>
              <w:pStyle w:val="47"/>
              <w:rPr>
                <w:rFonts w:hint="eastAsia" w:ascii="宋体" w:hAnsi="宋体" w:eastAsia="宋体" w:cs="宋体"/>
                <w:color w:val="auto"/>
                <w:sz w:val="18"/>
                <w:szCs w:val="18"/>
                <w:highlight w:val="none"/>
              </w:rPr>
            </w:pPr>
          </w:p>
        </w:tc>
        <w:tc>
          <w:tcPr>
            <w:tcW w:w="1022" w:type="dxa"/>
            <w:tcBorders>
              <w:top w:val="single" w:color="auto" w:sz="4" w:space="0"/>
              <w:left w:val="single" w:color="auto" w:sz="4" w:space="0"/>
            </w:tcBorders>
            <w:shd w:val="clear" w:color="auto" w:fill="FFFFFF"/>
          </w:tcPr>
          <w:p w14:paraId="5EE96B47">
            <w:pPr>
              <w:pStyle w:val="47"/>
              <w:rPr>
                <w:rFonts w:hint="eastAsia" w:ascii="宋体" w:hAnsi="宋体" w:eastAsia="宋体" w:cs="宋体"/>
                <w:color w:val="auto"/>
                <w:sz w:val="18"/>
                <w:szCs w:val="18"/>
                <w:highlight w:val="none"/>
              </w:rPr>
            </w:pPr>
          </w:p>
        </w:tc>
        <w:tc>
          <w:tcPr>
            <w:tcW w:w="1416" w:type="dxa"/>
            <w:tcBorders>
              <w:top w:val="single" w:color="auto" w:sz="4" w:space="0"/>
              <w:left w:val="single" w:color="auto" w:sz="4" w:space="0"/>
            </w:tcBorders>
            <w:shd w:val="clear" w:color="auto" w:fill="FFFFFF"/>
          </w:tcPr>
          <w:p w14:paraId="5EE96B48">
            <w:pPr>
              <w:pStyle w:val="47"/>
              <w:rPr>
                <w:rFonts w:hint="eastAsia" w:ascii="宋体" w:hAnsi="宋体" w:eastAsia="宋体" w:cs="宋体"/>
                <w:color w:val="auto"/>
                <w:sz w:val="18"/>
                <w:szCs w:val="18"/>
                <w:highlight w:val="none"/>
              </w:rPr>
            </w:pPr>
          </w:p>
        </w:tc>
        <w:tc>
          <w:tcPr>
            <w:tcW w:w="1022" w:type="dxa"/>
            <w:tcBorders>
              <w:top w:val="single" w:color="auto" w:sz="4" w:space="0"/>
              <w:left w:val="single" w:color="auto" w:sz="4" w:space="0"/>
            </w:tcBorders>
            <w:shd w:val="clear" w:color="auto" w:fill="FFFFFF"/>
          </w:tcPr>
          <w:p w14:paraId="5EE96B49">
            <w:pPr>
              <w:pStyle w:val="47"/>
              <w:rPr>
                <w:rFonts w:hint="eastAsia" w:ascii="宋体" w:hAnsi="宋体" w:eastAsia="宋体" w:cs="宋体"/>
                <w:color w:val="auto"/>
                <w:sz w:val="18"/>
                <w:szCs w:val="18"/>
                <w:highlight w:val="none"/>
              </w:rPr>
            </w:pPr>
          </w:p>
        </w:tc>
        <w:tc>
          <w:tcPr>
            <w:tcW w:w="1018" w:type="dxa"/>
            <w:tcBorders>
              <w:top w:val="single" w:color="auto" w:sz="4" w:space="0"/>
              <w:left w:val="single" w:color="auto" w:sz="4" w:space="0"/>
            </w:tcBorders>
            <w:shd w:val="clear" w:color="auto" w:fill="FFFFFF"/>
          </w:tcPr>
          <w:p w14:paraId="5EE96B4A">
            <w:pPr>
              <w:pStyle w:val="47"/>
              <w:rPr>
                <w:rFonts w:hint="eastAsia" w:ascii="宋体" w:hAnsi="宋体" w:eastAsia="宋体" w:cs="宋体"/>
                <w:color w:val="auto"/>
                <w:sz w:val="18"/>
                <w:szCs w:val="18"/>
                <w:highlight w:val="none"/>
              </w:rPr>
            </w:pPr>
          </w:p>
        </w:tc>
        <w:tc>
          <w:tcPr>
            <w:tcW w:w="1022" w:type="dxa"/>
            <w:tcBorders>
              <w:top w:val="single" w:color="auto" w:sz="4" w:space="0"/>
              <w:left w:val="single" w:color="auto" w:sz="4" w:space="0"/>
            </w:tcBorders>
            <w:shd w:val="clear" w:color="auto" w:fill="FFFFFF"/>
          </w:tcPr>
          <w:p w14:paraId="5EE96B4B">
            <w:pPr>
              <w:pStyle w:val="47"/>
              <w:rPr>
                <w:rFonts w:hint="eastAsia" w:ascii="宋体" w:hAnsi="宋体" w:eastAsia="宋体" w:cs="宋体"/>
                <w:color w:val="auto"/>
                <w:sz w:val="18"/>
                <w:szCs w:val="18"/>
                <w:highlight w:val="none"/>
              </w:rPr>
            </w:pPr>
          </w:p>
        </w:tc>
        <w:tc>
          <w:tcPr>
            <w:tcW w:w="451" w:type="dxa"/>
            <w:tcBorders>
              <w:top w:val="single" w:color="auto" w:sz="4" w:space="0"/>
              <w:left w:val="single" w:color="auto" w:sz="4" w:space="0"/>
            </w:tcBorders>
            <w:shd w:val="clear" w:color="auto" w:fill="FFFFFF"/>
          </w:tcPr>
          <w:p w14:paraId="5EE96B4C">
            <w:pPr>
              <w:pStyle w:val="47"/>
              <w:rPr>
                <w:rFonts w:hint="eastAsia" w:ascii="宋体" w:hAnsi="宋体" w:eastAsia="宋体" w:cs="宋体"/>
                <w:color w:val="auto"/>
                <w:sz w:val="18"/>
                <w:szCs w:val="18"/>
                <w:highlight w:val="none"/>
              </w:rPr>
            </w:pPr>
          </w:p>
        </w:tc>
        <w:tc>
          <w:tcPr>
            <w:tcW w:w="682" w:type="dxa"/>
            <w:tcBorders>
              <w:top w:val="single" w:color="auto" w:sz="4" w:space="0"/>
              <w:left w:val="single" w:color="auto" w:sz="4" w:space="0"/>
            </w:tcBorders>
            <w:shd w:val="clear" w:color="auto" w:fill="FFFFFF"/>
          </w:tcPr>
          <w:p w14:paraId="5EE96B4D">
            <w:pPr>
              <w:pStyle w:val="47"/>
              <w:rPr>
                <w:rFonts w:hint="eastAsia" w:ascii="宋体" w:hAnsi="宋体" w:eastAsia="宋体" w:cs="宋体"/>
                <w:color w:val="auto"/>
                <w:sz w:val="18"/>
                <w:szCs w:val="18"/>
                <w:highlight w:val="none"/>
              </w:rPr>
            </w:pPr>
          </w:p>
        </w:tc>
        <w:tc>
          <w:tcPr>
            <w:tcW w:w="1142" w:type="dxa"/>
            <w:tcBorders>
              <w:top w:val="single" w:color="auto" w:sz="4" w:space="0"/>
              <w:left w:val="single" w:color="auto" w:sz="4" w:space="0"/>
              <w:right w:val="single" w:color="auto" w:sz="4" w:space="0"/>
            </w:tcBorders>
            <w:shd w:val="clear" w:color="auto" w:fill="FFFFFF"/>
          </w:tcPr>
          <w:p w14:paraId="5EE96B4E">
            <w:pPr>
              <w:pStyle w:val="47"/>
              <w:rPr>
                <w:rFonts w:hint="eastAsia" w:ascii="宋体" w:hAnsi="宋体" w:eastAsia="宋体" w:cs="宋体"/>
                <w:color w:val="auto"/>
                <w:sz w:val="18"/>
                <w:szCs w:val="18"/>
                <w:highlight w:val="none"/>
              </w:rPr>
            </w:pPr>
          </w:p>
        </w:tc>
      </w:tr>
      <w:tr w14:paraId="5EE96B5A">
        <w:tblPrEx>
          <w:tblCellMar>
            <w:top w:w="0" w:type="dxa"/>
            <w:left w:w="10" w:type="dxa"/>
            <w:bottom w:w="0" w:type="dxa"/>
            <w:right w:w="10" w:type="dxa"/>
          </w:tblCellMar>
        </w:tblPrEx>
        <w:trPr>
          <w:trHeight w:val="461" w:hRule="exact"/>
          <w:jc w:val="center"/>
        </w:trPr>
        <w:tc>
          <w:tcPr>
            <w:tcW w:w="293" w:type="dxa"/>
            <w:tcBorders>
              <w:top w:val="single" w:color="auto" w:sz="4" w:space="0"/>
              <w:left w:val="single" w:color="auto" w:sz="4" w:space="0"/>
              <w:bottom w:val="single" w:color="auto" w:sz="4" w:space="0"/>
            </w:tcBorders>
            <w:shd w:val="clear" w:color="auto" w:fill="FFFFFF"/>
          </w:tcPr>
          <w:p w14:paraId="5EE96B50">
            <w:pPr>
              <w:pStyle w:val="47"/>
              <w:rPr>
                <w:rFonts w:hint="eastAsia" w:ascii="宋体" w:hAnsi="宋体" w:eastAsia="宋体" w:cs="宋体"/>
                <w:color w:val="auto"/>
                <w:sz w:val="18"/>
                <w:szCs w:val="18"/>
                <w:highlight w:val="none"/>
              </w:rPr>
            </w:pPr>
          </w:p>
        </w:tc>
        <w:tc>
          <w:tcPr>
            <w:tcW w:w="283" w:type="dxa"/>
            <w:tcBorders>
              <w:top w:val="single" w:color="auto" w:sz="4" w:space="0"/>
              <w:left w:val="single" w:color="auto" w:sz="4" w:space="0"/>
              <w:bottom w:val="single" w:color="auto" w:sz="4" w:space="0"/>
            </w:tcBorders>
            <w:shd w:val="clear" w:color="auto" w:fill="FFFFFF"/>
          </w:tcPr>
          <w:p w14:paraId="5EE96B51">
            <w:pPr>
              <w:pStyle w:val="47"/>
              <w:rPr>
                <w:rFonts w:hint="eastAsia" w:ascii="宋体" w:hAnsi="宋体" w:eastAsia="宋体" w:cs="宋体"/>
                <w:color w:val="auto"/>
                <w:sz w:val="18"/>
                <w:szCs w:val="18"/>
                <w:highlight w:val="none"/>
              </w:rPr>
            </w:pPr>
          </w:p>
        </w:tc>
        <w:tc>
          <w:tcPr>
            <w:tcW w:w="1022" w:type="dxa"/>
            <w:tcBorders>
              <w:top w:val="single" w:color="auto" w:sz="4" w:space="0"/>
              <w:left w:val="single" w:color="auto" w:sz="4" w:space="0"/>
              <w:bottom w:val="single" w:color="auto" w:sz="4" w:space="0"/>
            </w:tcBorders>
            <w:shd w:val="clear" w:color="auto" w:fill="FFFFFF"/>
          </w:tcPr>
          <w:p w14:paraId="5EE96B52">
            <w:pPr>
              <w:pStyle w:val="47"/>
              <w:rPr>
                <w:rFonts w:hint="eastAsia" w:ascii="宋体" w:hAnsi="宋体" w:eastAsia="宋体" w:cs="宋体"/>
                <w:color w:val="auto"/>
                <w:sz w:val="18"/>
                <w:szCs w:val="18"/>
                <w:highlight w:val="none"/>
              </w:rPr>
            </w:pPr>
          </w:p>
        </w:tc>
        <w:tc>
          <w:tcPr>
            <w:tcW w:w="1416" w:type="dxa"/>
            <w:tcBorders>
              <w:top w:val="single" w:color="auto" w:sz="4" w:space="0"/>
              <w:left w:val="single" w:color="auto" w:sz="4" w:space="0"/>
              <w:bottom w:val="single" w:color="auto" w:sz="4" w:space="0"/>
            </w:tcBorders>
            <w:shd w:val="clear" w:color="auto" w:fill="FFFFFF"/>
          </w:tcPr>
          <w:p w14:paraId="5EE96B53">
            <w:pPr>
              <w:pStyle w:val="47"/>
              <w:rPr>
                <w:rFonts w:hint="eastAsia" w:ascii="宋体" w:hAnsi="宋体" w:eastAsia="宋体" w:cs="宋体"/>
                <w:color w:val="auto"/>
                <w:sz w:val="18"/>
                <w:szCs w:val="18"/>
                <w:highlight w:val="none"/>
              </w:rPr>
            </w:pPr>
          </w:p>
        </w:tc>
        <w:tc>
          <w:tcPr>
            <w:tcW w:w="1022" w:type="dxa"/>
            <w:tcBorders>
              <w:top w:val="single" w:color="auto" w:sz="4" w:space="0"/>
              <w:left w:val="single" w:color="auto" w:sz="4" w:space="0"/>
              <w:bottom w:val="single" w:color="auto" w:sz="4" w:space="0"/>
            </w:tcBorders>
            <w:shd w:val="clear" w:color="auto" w:fill="FFFFFF"/>
          </w:tcPr>
          <w:p w14:paraId="5EE96B54">
            <w:pPr>
              <w:pStyle w:val="47"/>
              <w:rPr>
                <w:rFonts w:hint="eastAsia" w:ascii="宋体" w:hAnsi="宋体" w:eastAsia="宋体" w:cs="宋体"/>
                <w:color w:val="auto"/>
                <w:sz w:val="18"/>
                <w:szCs w:val="18"/>
                <w:highlight w:val="none"/>
              </w:rPr>
            </w:pPr>
          </w:p>
        </w:tc>
        <w:tc>
          <w:tcPr>
            <w:tcW w:w="1018" w:type="dxa"/>
            <w:tcBorders>
              <w:top w:val="single" w:color="auto" w:sz="4" w:space="0"/>
              <w:left w:val="single" w:color="auto" w:sz="4" w:space="0"/>
              <w:bottom w:val="single" w:color="auto" w:sz="4" w:space="0"/>
            </w:tcBorders>
            <w:shd w:val="clear" w:color="auto" w:fill="FFFFFF"/>
          </w:tcPr>
          <w:p w14:paraId="5EE96B55">
            <w:pPr>
              <w:pStyle w:val="47"/>
              <w:rPr>
                <w:rFonts w:hint="eastAsia" w:ascii="宋体" w:hAnsi="宋体" w:eastAsia="宋体" w:cs="宋体"/>
                <w:color w:val="auto"/>
                <w:sz w:val="18"/>
                <w:szCs w:val="18"/>
                <w:highlight w:val="none"/>
              </w:rPr>
            </w:pPr>
          </w:p>
        </w:tc>
        <w:tc>
          <w:tcPr>
            <w:tcW w:w="1022" w:type="dxa"/>
            <w:tcBorders>
              <w:top w:val="single" w:color="auto" w:sz="4" w:space="0"/>
              <w:left w:val="single" w:color="auto" w:sz="4" w:space="0"/>
              <w:bottom w:val="single" w:color="auto" w:sz="4" w:space="0"/>
            </w:tcBorders>
            <w:shd w:val="clear" w:color="auto" w:fill="FFFFFF"/>
          </w:tcPr>
          <w:p w14:paraId="5EE96B56">
            <w:pPr>
              <w:pStyle w:val="47"/>
              <w:rPr>
                <w:rFonts w:hint="eastAsia" w:ascii="宋体" w:hAnsi="宋体" w:eastAsia="宋体" w:cs="宋体"/>
                <w:color w:val="auto"/>
                <w:sz w:val="18"/>
                <w:szCs w:val="18"/>
                <w:highlight w:val="none"/>
              </w:rPr>
            </w:pPr>
          </w:p>
        </w:tc>
        <w:tc>
          <w:tcPr>
            <w:tcW w:w="451" w:type="dxa"/>
            <w:tcBorders>
              <w:top w:val="single" w:color="auto" w:sz="4" w:space="0"/>
              <w:left w:val="single" w:color="auto" w:sz="4" w:space="0"/>
              <w:bottom w:val="single" w:color="auto" w:sz="4" w:space="0"/>
            </w:tcBorders>
            <w:shd w:val="clear" w:color="auto" w:fill="FFFFFF"/>
          </w:tcPr>
          <w:p w14:paraId="5EE96B57">
            <w:pPr>
              <w:pStyle w:val="47"/>
              <w:rPr>
                <w:rFonts w:hint="eastAsia" w:ascii="宋体" w:hAnsi="宋体" w:eastAsia="宋体" w:cs="宋体"/>
                <w:color w:val="auto"/>
                <w:sz w:val="18"/>
                <w:szCs w:val="18"/>
                <w:highlight w:val="none"/>
              </w:rPr>
            </w:pPr>
          </w:p>
        </w:tc>
        <w:tc>
          <w:tcPr>
            <w:tcW w:w="682" w:type="dxa"/>
            <w:tcBorders>
              <w:top w:val="single" w:color="auto" w:sz="4" w:space="0"/>
              <w:left w:val="single" w:color="auto" w:sz="4" w:space="0"/>
              <w:bottom w:val="single" w:color="auto" w:sz="4" w:space="0"/>
            </w:tcBorders>
            <w:shd w:val="clear" w:color="auto" w:fill="FFFFFF"/>
          </w:tcPr>
          <w:p w14:paraId="5EE96B58">
            <w:pPr>
              <w:pStyle w:val="47"/>
              <w:rPr>
                <w:rFonts w:hint="eastAsia" w:ascii="宋体" w:hAnsi="宋体" w:eastAsia="宋体" w:cs="宋体"/>
                <w:color w:val="auto"/>
                <w:sz w:val="18"/>
                <w:szCs w:val="18"/>
                <w:highlight w:val="none"/>
              </w:rPr>
            </w:pPr>
          </w:p>
        </w:tc>
        <w:tc>
          <w:tcPr>
            <w:tcW w:w="1142" w:type="dxa"/>
            <w:tcBorders>
              <w:top w:val="single" w:color="auto" w:sz="4" w:space="0"/>
              <w:left w:val="single" w:color="auto" w:sz="4" w:space="0"/>
              <w:bottom w:val="single" w:color="auto" w:sz="4" w:space="0"/>
              <w:right w:val="single" w:color="auto" w:sz="4" w:space="0"/>
            </w:tcBorders>
            <w:shd w:val="clear" w:color="auto" w:fill="FFFFFF"/>
          </w:tcPr>
          <w:p w14:paraId="5EE96B59">
            <w:pPr>
              <w:pStyle w:val="47"/>
              <w:rPr>
                <w:rFonts w:hint="eastAsia" w:ascii="宋体" w:hAnsi="宋体" w:eastAsia="宋体" w:cs="宋体"/>
                <w:color w:val="auto"/>
                <w:sz w:val="18"/>
                <w:szCs w:val="18"/>
                <w:highlight w:val="none"/>
              </w:rPr>
            </w:pPr>
          </w:p>
        </w:tc>
      </w:tr>
    </w:tbl>
    <w:p w14:paraId="5EE96B5B">
      <w:pPr>
        <w:pStyle w:val="47"/>
        <w:spacing w:after="579" w:line="1" w:lineRule="exact"/>
        <w:rPr>
          <w:rFonts w:hint="eastAsia" w:ascii="宋体" w:hAnsi="宋体" w:eastAsia="宋体" w:cs="宋体"/>
          <w:color w:val="auto"/>
          <w:highlight w:val="none"/>
        </w:rPr>
      </w:pPr>
    </w:p>
    <w:p w14:paraId="5EE96B5C">
      <w:pPr>
        <w:pStyle w:val="116"/>
        <w:spacing w:line="360" w:lineRule="exact"/>
        <w:rPr>
          <w:rFonts w:hint="eastAsia" w:ascii="宋体" w:hAnsi="宋体" w:eastAsia="宋体" w:cs="宋体"/>
          <w:color w:val="auto"/>
          <w:highlight w:val="none"/>
          <w:lang w:eastAsia="zh-CN"/>
        </w:rPr>
      </w:pPr>
      <w:bookmarkStart w:id="968" w:name="bookmark1166"/>
      <w:bookmarkEnd w:id="968"/>
      <w:bookmarkStart w:id="969" w:name="_Toc9039"/>
      <w:bookmarkStart w:id="970" w:name="bookmark1165"/>
      <w:bookmarkStart w:id="971" w:name="_Toc199152912"/>
      <w:bookmarkStart w:id="972" w:name="_Toc14490"/>
      <w:bookmarkStart w:id="973" w:name="_Toc24903"/>
      <w:bookmarkStart w:id="974" w:name="_Toc27229"/>
      <w:bookmarkStart w:id="975" w:name="_Toc23848"/>
      <w:bookmarkStart w:id="976" w:name="bookmark1164"/>
      <w:bookmarkStart w:id="977" w:name="_Toc27821"/>
      <w:bookmarkStart w:id="978" w:name="bookmark1167"/>
      <w:bookmarkStart w:id="979" w:name="_Toc16134"/>
      <w:r>
        <w:rPr>
          <w:rFonts w:hint="eastAsia" w:ascii="宋体" w:hAnsi="宋体" w:eastAsia="宋体" w:cs="宋体"/>
          <w:color w:val="auto"/>
          <w:highlight w:val="none"/>
          <w:lang w:eastAsia="zh-CN"/>
        </w:rPr>
        <w:t>11.开工和竣工（完工）</w:t>
      </w:r>
      <w:bookmarkEnd w:id="969"/>
      <w:bookmarkEnd w:id="970"/>
      <w:bookmarkEnd w:id="971"/>
      <w:bookmarkEnd w:id="972"/>
      <w:bookmarkEnd w:id="973"/>
      <w:bookmarkEnd w:id="974"/>
      <w:bookmarkEnd w:id="975"/>
      <w:bookmarkEnd w:id="976"/>
      <w:bookmarkEnd w:id="977"/>
      <w:bookmarkEnd w:id="978"/>
      <w:bookmarkEnd w:id="979"/>
    </w:p>
    <w:p w14:paraId="5EE96B5D">
      <w:pPr>
        <w:pStyle w:val="116"/>
        <w:spacing w:line="360" w:lineRule="exact"/>
        <w:rPr>
          <w:rFonts w:hint="eastAsia" w:ascii="宋体" w:hAnsi="宋体" w:eastAsia="宋体" w:cs="宋体"/>
          <w:color w:val="auto"/>
          <w:sz w:val="24"/>
          <w:szCs w:val="24"/>
          <w:highlight w:val="none"/>
          <w:lang w:eastAsia="zh-CN"/>
        </w:rPr>
      </w:pPr>
      <w:bookmarkStart w:id="980" w:name="bookmark1169"/>
      <w:bookmarkStart w:id="981" w:name="_Toc29308"/>
      <w:bookmarkStart w:id="982" w:name="bookmark1168"/>
      <w:bookmarkStart w:id="983" w:name="_Toc199152913"/>
      <w:bookmarkStart w:id="984" w:name="_Toc28930"/>
      <w:bookmarkStart w:id="985" w:name="_Toc7946"/>
      <w:bookmarkStart w:id="986" w:name="_Toc28780"/>
      <w:bookmarkStart w:id="987" w:name="bookmark1170"/>
      <w:bookmarkStart w:id="988" w:name="_Toc21224"/>
      <w:bookmarkStart w:id="989" w:name="_Toc16827"/>
      <w:bookmarkStart w:id="990" w:name="_Toc23713"/>
      <w:r>
        <w:rPr>
          <w:rFonts w:hint="eastAsia" w:ascii="宋体" w:hAnsi="宋体" w:eastAsia="宋体" w:cs="宋体"/>
          <w:color w:val="auto"/>
          <w:sz w:val="24"/>
          <w:szCs w:val="24"/>
          <w:highlight w:val="none"/>
          <w:lang w:eastAsia="zh-CN"/>
        </w:rPr>
        <w:t>11.1开工</w:t>
      </w:r>
      <w:bookmarkEnd w:id="980"/>
      <w:bookmarkEnd w:id="981"/>
      <w:bookmarkEnd w:id="982"/>
      <w:bookmarkEnd w:id="983"/>
      <w:bookmarkEnd w:id="984"/>
      <w:bookmarkEnd w:id="985"/>
      <w:bookmarkEnd w:id="986"/>
      <w:bookmarkEnd w:id="987"/>
      <w:bookmarkEnd w:id="988"/>
      <w:bookmarkEnd w:id="989"/>
      <w:bookmarkEnd w:id="990"/>
    </w:p>
    <w:p w14:paraId="5EE96B5E">
      <w:pPr>
        <w:pStyle w:val="115"/>
        <w:spacing w:line="351"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11.1.1</w:t>
      </w:r>
      <w:r>
        <w:rPr>
          <w:rFonts w:hint="eastAsia" w:ascii="宋体" w:hAnsi="宋体" w:eastAsia="宋体" w:cs="宋体"/>
          <w:color w:val="auto"/>
          <w:highlight w:val="none"/>
        </w:rPr>
        <w:t>监理人应在开工日期7天前向承包人发出开工通知。监理人在发出开工通知前应获得发包人同意。工期自监理人发出的开工通知中载明的开工日期起计算。承包人应在开工日期后尽快施工。</w:t>
      </w:r>
    </w:p>
    <w:p w14:paraId="5EE96B5F">
      <w:pPr>
        <w:pStyle w:val="115"/>
        <w:spacing w:line="351"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11.1.</w:t>
      </w:r>
      <w:r>
        <w:rPr>
          <w:rFonts w:hint="eastAsia" w:ascii="宋体" w:hAnsi="宋体" w:eastAsia="宋体" w:cs="宋体"/>
          <w:color w:val="auto"/>
          <w:highlight w:val="none"/>
        </w:rPr>
        <w:t>2承包人应按第</w:t>
      </w:r>
      <w:r>
        <w:rPr>
          <w:rFonts w:hint="eastAsia" w:ascii="宋体" w:hAnsi="宋体" w:eastAsia="宋体" w:cs="宋体"/>
          <w:color w:val="auto"/>
          <w:highlight w:val="none"/>
          <w:lang w:val="en-US" w:bidi="en-US"/>
        </w:rPr>
        <w:t>10.</w:t>
      </w:r>
      <w:r>
        <w:rPr>
          <w:rFonts w:hint="eastAsia" w:ascii="宋体" w:hAnsi="宋体" w:eastAsia="宋体" w:cs="宋体"/>
          <w:color w:val="auto"/>
          <w:highlight w:val="none"/>
        </w:rPr>
        <w:t>1款约定的合同进度计划，向监理人提交工程开工报审表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经监理人审批后执行。开工报审表应详细说明按合同进度计划正常施工所需的施工道路、临时设施、材料设备、施工人员等施工组织措施的落实情况以及工程的进度安排。</w:t>
      </w:r>
    </w:p>
    <w:p w14:paraId="5EE96B60">
      <w:pPr>
        <w:pStyle w:val="115"/>
        <w:spacing w:line="351"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11.1.3</w:t>
      </w:r>
      <w:r>
        <w:rPr>
          <w:rFonts w:hint="eastAsia" w:ascii="宋体" w:hAnsi="宋体" w:eastAsia="宋体" w:cs="宋体"/>
          <w:color w:val="auto"/>
          <w:highlight w:val="none"/>
        </w:rPr>
        <w:t>若发包人未能按合同约定向承包人提供开工的必要条件，承包人有权要求延长工期。监理人应在收到承包人的书面要求后，按第</w:t>
      </w:r>
      <w:r>
        <w:rPr>
          <w:rFonts w:hint="eastAsia" w:ascii="宋体" w:hAnsi="宋体" w:eastAsia="宋体" w:cs="宋体"/>
          <w:color w:val="auto"/>
          <w:highlight w:val="none"/>
          <w:lang w:val="en-US" w:bidi="en-US"/>
        </w:rPr>
        <w:t>3.</w:t>
      </w:r>
      <w:r>
        <w:rPr>
          <w:rFonts w:hint="eastAsia" w:ascii="宋体" w:hAnsi="宋体" w:eastAsia="宋体" w:cs="宋体"/>
          <w:color w:val="auto"/>
          <w:highlight w:val="none"/>
        </w:rPr>
        <w:t>5款的约定，与合同双方商定或确定增加的费用和延长的工期。</w:t>
      </w:r>
    </w:p>
    <w:p w14:paraId="5EE96B61">
      <w:pPr>
        <w:pStyle w:val="115"/>
        <w:spacing w:after="140" w:line="351"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11.1.4</w:t>
      </w:r>
      <w:r>
        <w:rPr>
          <w:rFonts w:hint="eastAsia" w:ascii="宋体" w:hAnsi="宋体" w:eastAsia="宋体" w:cs="宋体"/>
          <w:color w:val="auto"/>
          <w:highlight w:val="none"/>
        </w:rPr>
        <w:t>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14:paraId="5EE96B62">
      <w:pPr>
        <w:pStyle w:val="116"/>
        <w:spacing w:line="360" w:lineRule="exact"/>
        <w:rPr>
          <w:rFonts w:hint="eastAsia" w:ascii="宋体" w:hAnsi="宋体" w:eastAsia="宋体" w:cs="宋体"/>
          <w:color w:val="auto"/>
          <w:sz w:val="24"/>
          <w:szCs w:val="24"/>
          <w:highlight w:val="none"/>
          <w:lang w:eastAsia="zh-CN"/>
        </w:rPr>
      </w:pPr>
      <w:bookmarkStart w:id="991" w:name="_Toc679"/>
      <w:bookmarkStart w:id="992" w:name="_Toc22792"/>
      <w:bookmarkStart w:id="993" w:name="_Toc14053"/>
      <w:bookmarkStart w:id="994" w:name="bookmark1173"/>
      <w:bookmarkStart w:id="995" w:name="_Toc29025"/>
      <w:bookmarkStart w:id="996" w:name="bookmark1171"/>
      <w:bookmarkStart w:id="997" w:name="_Toc199152914"/>
      <w:bookmarkStart w:id="998" w:name="_Toc19403"/>
      <w:bookmarkStart w:id="999" w:name="_Toc27862"/>
      <w:bookmarkStart w:id="1000" w:name="_Toc25694"/>
      <w:bookmarkStart w:id="1001" w:name="bookmark1172"/>
      <w:r>
        <w:rPr>
          <w:rFonts w:hint="eastAsia" w:ascii="宋体" w:hAnsi="宋体" w:eastAsia="宋体" w:cs="宋体"/>
          <w:color w:val="auto"/>
          <w:sz w:val="24"/>
          <w:szCs w:val="24"/>
          <w:highlight w:val="none"/>
          <w:lang w:eastAsia="zh-CN"/>
        </w:rPr>
        <w:t>11.2竣工(完工)</w:t>
      </w:r>
      <w:bookmarkEnd w:id="991"/>
      <w:bookmarkEnd w:id="992"/>
      <w:bookmarkEnd w:id="993"/>
      <w:bookmarkEnd w:id="994"/>
      <w:bookmarkEnd w:id="995"/>
      <w:bookmarkEnd w:id="996"/>
      <w:bookmarkEnd w:id="997"/>
      <w:bookmarkEnd w:id="998"/>
      <w:bookmarkEnd w:id="999"/>
      <w:bookmarkEnd w:id="1000"/>
      <w:bookmarkEnd w:id="1001"/>
    </w:p>
    <w:p w14:paraId="5EE96B63">
      <w:pPr>
        <w:pStyle w:val="115"/>
        <w:spacing w:after="140" w:line="366"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承包人应在第</w:t>
      </w:r>
      <w:r>
        <w:rPr>
          <w:rFonts w:hint="eastAsia" w:ascii="宋体" w:hAnsi="宋体" w:eastAsia="宋体" w:cs="宋体"/>
          <w:color w:val="auto"/>
          <w:highlight w:val="none"/>
          <w:lang w:val="en-US" w:bidi="en-US"/>
        </w:rPr>
        <w:t>1.1.4.</w:t>
      </w:r>
      <w:r>
        <w:rPr>
          <w:rFonts w:hint="eastAsia" w:ascii="宋体" w:hAnsi="宋体" w:eastAsia="宋体" w:cs="宋体"/>
          <w:color w:val="auto"/>
          <w:highlight w:val="none"/>
        </w:rPr>
        <w:t>3目约定的期限内完成合同工程。合同工程实际完工时间在合同工程完工证书中明确（以完工验收鉴定书或竣工验收鉴定书标明的验收日期为准，没有标明验收日期的则以印发鉴定书的日期为准）</w:t>
      </w:r>
      <w:r>
        <w:rPr>
          <w:rFonts w:hint="eastAsia" w:ascii="宋体" w:hAnsi="宋体" w:eastAsia="宋体" w:cs="宋体"/>
          <w:color w:val="auto"/>
          <w:highlight w:val="none"/>
          <w:lang w:val="en-US" w:bidi="en-US"/>
        </w:rPr>
        <w:t>。</w:t>
      </w:r>
    </w:p>
    <w:p w14:paraId="5EE96B64">
      <w:pPr>
        <w:pStyle w:val="116"/>
        <w:spacing w:line="360" w:lineRule="exact"/>
        <w:rPr>
          <w:rFonts w:hint="eastAsia" w:ascii="宋体" w:hAnsi="宋体" w:eastAsia="宋体" w:cs="宋体"/>
          <w:color w:val="auto"/>
          <w:sz w:val="24"/>
          <w:szCs w:val="24"/>
          <w:highlight w:val="none"/>
          <w:lang w:eastAsia="zh-CN"/>
        </w:rPr>
      </w:pPr>
      <w:bookmarkStart w:id="1002" w:name="_Toc32261"/>
      <w:bookmarkStart w:id="1003" w:name="_Toc31193"/>
      <w:bookmarkStart w:id="1004" w:name="bookmark1176"/>
      <w:bookmarkStart w:id="1005" w:name="_Toc22436"/>
      <w:bookmarkStart w:id="1006" w:name="_Toc1391"/>
      <w:bookmarkStart w:id="1007" w:name="_Toc20629"/>
      <w:bookmarkStart w:id="1008" w:name="_Toc3144"/>
      <w:bookmarkStart w:id="1009" w:name="_Toc7284"/>
      <w:bookmarkStart w:id="1010" w:name="_Toc199152915"/>
      <w:bookmarkStart w:id="1011" w:name="bookmark1174"/>
      <w:bookmarkStart w:id="1012" w:name="bookmark1175"/>
      <w:r>
        <w:rPr>
          <w:rFonts w:hint="eastAsia" w:ascii="宋体" w:hAnsi="宋体" w:eastAsia="宋体" w:cs="宋体"/>
          <w:color w:val="auto"/>
          <w:sz w:val="24"/>
          <w:szCs w:val="24"/>
          <w:highlight w:val="none"/>
          <w:lang w:eastAsia="zh-CN"/>
        </w:rPr>
        <w:t>11.3发包人的工期延误</w:t>
      </w:r>
      <w:bookmarkEnd w:id="1002"/>
      <w:bookmarkEnd w:id="1003"/>
      <w:bookmarkEnd w:id="1004"/>
      <w:bookmarkEnd w:id="1005"/>
      <w:bookmarkEnd w:id="1006"/>
      <w:bookmarkEnd w:id="1007"/>
      <w:bookmarkEnd w:id="1008"/>
      <w:bookmarkEnd w:id="1009"/>
      <w:bookmarkEnd w:id="1010"/>
      <w:bookmarkEnd w:id="1011"/>
      <w:bookmarkEnd w:id="1012"/>
    </w:p>
    <w:p w14:paraId="5EE96B65">
      <w:pPr>
        <w:pStyle w:val="115"/>
        <w:spacing w:after="140"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在履行合同过程中，由于发包人的下列原因造成工期延误的，承包人有权要求发包人延长工期和(或)增加费用，并支付合理利润。需要修订合同进度计划的，按照第</w:t>
      </w:r>
      <w:r>
        <w:rPr>
          <w:rFonts w:hint="eastAsia" w:ascii="宋体" w:hAnsi="宋体" w:eastAsia="宋体" w:cs="宋体"/>
          <w:color w:val="auto"/>
          <w:highlight w:val="none"/>
          <w:lang w:val="en-US" w:bidi="en-US"/>
        </w:rPr>
        <w:t>10.</w:t>
      </w:r>
      <w:r>
        <w:rPr>
          <w:rFonts w:hint="eastAsia" w:ascii="宋体" w:hAnsi="宋体" w:eastAsia="宋体" w:cs="宋体"/>
          <w:color w:val="auto"/>
          <w:highlight w:val="none"/>
        </w:rPr>
        <w:t>2款的约定办理。</w:t>
      </w:r>
    </w:p>
    <w:p w14:paraId="5EE96B66">
      <w:pPr>
        <w:pStyle w:val="115"/>
        <w:numPr>
          <w:ilvl w:val="0"/>
          <w:numId w:val="7"/>
        </w:numPr>
        <w:tabs>
          <w:tab w:val="left" w:pos="923"/>
        </w:tabs>
        <w:spacing w:line="360" w:lineRule="exact"/>
        <w:ind w:firstLine="440"/>
        <w:jc w:val="both"/>
        <w:rPr>
          <w:rFonts w:hint="eastAsia" w:ascii="宋体" w:hAnsi="宋体" w:eastAsia="宋体" w:cs="宋体"/>
          <w:color w:val="auto"/>
          <w:highlight w:val="none"/>
        </w:rPr>
      </w:pPr>
      <w:bookmarkStart w:id="1013" w:name="bookmark1177"/>
      <w:bookmarkEnd w:id="1013"/>
      <w:r>
        <w:rPr>
          <w:rFonts w:hint="eastAsia" w:ascii="宋体" w:hAnsi="宋体" w:eastAsia="宋体" w:cs="宋体"/>
          <w:color w:val="auto"/>
          <w:highlight w:val="none"/>
        </w:rPr>
        <w:t>增加合同工作内容；</w:t>
      </w:r>
    </w:p>
    <w:p w14:paraId="5EE96B67">
      <w:pPr>
        <w:pStyle w:val="115"/>
        <w:numPr>
          <w:ilvl w:val="0"/>
          <w:numId w:val="7"/>
        </w:numPr>
        <w:tabs>
          <w:tab w:val="left" w:pos="903"/>
        </w:tabs>
        <w:spacing w:line="360" w:lineRule="exact"/>
        <w:ind w:firstLine="420"/>
        <w:rPr>
          <w:rFonts w:hint="eastAsia" w:ascii="宋体" w:hAnsi="宋体" w:eastAsia="宋体" w:cs="宋体"/>
          <w:color w:val="auto"/>
          <w:highlight w:val="none"/>
        </w:rPr>
      </w:pPr>
      <w:bookmarkStart w:id="1014" w:name="bookmark1178"/>
      <w:bookmarkEnd w:id="1014"/>
      <w:r>
        <w:rPr>
          <w:rFonts w:hint="eastAsia" w:ascii="宋体" w:hAnsi="宋体" w:eastAsia="宋体" w:cs="宋体"/>
          <w:color w:val="auto"/>
          <w:highlight w:val="none"/>
        </w:rPr>
        <w:t>改变合同中任何一项工作的质量要求或其他特性；</w:t>
      </w:r>
    </w:p>
    <w:p w14:paraId="5EE96B68">
      <w:pPr>
        <w:pStyle w:val="115"/>
        <w:numPr>
          <w:ilvl w:val="0"/>
          <w:numId w:val="7"/>
        </w:numPr>
        <w:tabs>
          <w:tab w:val="left" w:pos="903"/>
        </w:tabs>
        <w:spacing w:line="360" w:lineRule="exact"/>
        <w:ind w:firstLine="420"/>
        <w:rPr>
          <w:rFonts w:hint="eastAsia" w:ascii="宋体" w:hAnsi="宋体" w:eastAsia="宋体" w:cs="宋体"/>
          <w:color w:val="auto"/>
          <w:highlight w:val="none"/>
        </w:rPr>
      </w:pPr>
      <w:bookmarkStart w:id="1015" w:name="bookmark1179"/>
      <w:bookmarkEnd w:id="1015"/>
      <w:r>
        <w:rPr>
          <w:rFonts w:hint="eastAsia" w:ascii="宋体" w:hAnsi="宋体" w:eastAsia="宋体" w:cs="宋体"/>
          <w:color w:val="auto"/>
          <w:highlight w:val="none"/>
        </w:rPr>
        <w:t>发包人迟延提供材料、工程设备或变更交货地点的；</w:t>
      </w:r>
    </w:p>
    <w:p w14:paraId="5EE96B69">
      <w:pPr>
        <w:pStyle w:val="115"/>
        <w:numPr>
          <w:ilvl w:val="0"/>
          <w:numId w:val="7"/>
        </w:numPr>
        <w:tabs>
          <w:tab w:val="left" w:pos="903"/>
        </w:tabs>
        <w:spacing w:line="360" w:lineRule="exact"/>
        <w:ind w:firstLine="420"/>
        <w:rPr>
          <w:rFonts w:hint="eastAsia" w:ascii="宋体" w:hAnsi="宋体" w:eastAsia="宋体" w:cs="宋体"/>
          <w:color w:val="auto"/>
          <w:highlight w:val="none"/>
        </w:rPr>
      </w:pPr>
      <w:bookmarkStart w:id="1016" w:name="bookmark1180"/>
      <w:bookmarkEnd w:id="1016"/>
      <w:r>
        <w:rPr>
          <w:rFonts w:hint="eastAsia" w:ascii="宋体" w:hAnsi="宋体" w:eastAsia="宋体" w:cs="宋体"/>
          <w:color w:val="auto"/>
          <w:highlight w:val="none"/>
        </w:rPr>
        <w:t>因发包人原因导致的暂停施工；</w:t>
      </w:r>
    </w:p>
    <w:p w14:paraId="5EE96B6A">
      <w:pPr>
        <w:pStyle w:val="115"/>
        <w:numPr>
          <w:ilvl w:val="0"/>
          <w:numId w:val="7"/>
        </w:numPr>
        <w:tabs>
          <w:tab w:val="left" w:pos="903"/>
        </w:tabs>
        <w:spacing w:line="360" w:lineRule="exact"/>
        <w:ind w:firstLine="420"/>
        <w:rPr>
          <w:rFonts w:hint="eastAsia" w:ascii="宋体" w:hAnsi="宋体" w:eastAsia="宋体" w:cs="宋体"/>
          <w:color w:val="auto"/>
          <w:highlight w:val="none"/>
        </w:rPr>
      </w:pPr>
      <w:bookmarkStart w:id="1017" w:name="bookmark1181"/>
      <w:bookmarkEnd w:id="1017"/>
      <w:r>
        <w:rPr>
          <w:rFonts w:hint="eastAsia" w:ascii="宋体" w:hAnsi="宋体" w:eastAsia="宋体" w:cs="宋体"/>
          <w:color w:val="auto"/>
          <w:highlight w:val="none"/>
        </w:rPr>
        <w:t>提供图纸延误；</w:t>
      </w:r>
    </w:p>
    <w:p w14:paraId="5EE96B6B">
      <w:pPr>
        <w:pStyle w:val="115"/>
        <w:numPr>
          <w:ilvl w:val="0"/>
          <w:numId w:val="7"/>
        </w:numPr>
        <w:tabs>
          <w:tab w:val="left" w:pos="903"/>
        </w:tabs>
        <w:spacing w:line="360" w:lineRule="exact"/>
        <w:ind w:firstLine="420"/>
        <w:rPr>
          <w:rFonts w:hint="eastAsia" w:ascii="宋体" w:hAnsi="宋体" w:eastAsia="宋体" w:cs="宋体"/>
          <w:color w:val="auto"/>
          <w:highlight w:val="none"/>
        </w:rPr>
      </w:pPr>
      <w:bookmarkStart w:id="1018" w:name="bookmark1182"/>
      <w:bookmarkEnd w:id="1018"/>
      <w:r>
        <w:rPr>
          <w:rFonts w:hint="eastAsia" w:ascii="宋体" w:hAnsi="宋体" w:eastAsia="宋体" w:cs="宋体"/>
          <w:color w:val="auto"/>
          <w:highlight w:val="none"/>
        </w:rPr>
        <w:t>未按合同约定及时支付预付款、进度款；</w:t>
      </w:r>
    </w:p>
    <w:p w14:paraId="5EE96B6C">
      <w:pPr>
        <w:pStyle w:val="115"/>
        <w:numPr>
          <w:ilvl w:val="0"/>
          <w:numId w:val="7"/>
        </w:numPr>
        <w:tabs>
          <w:tab w:val="left" w:pos="903"/>
        </w:tabs>
        <w:spacing w:line="360" w:lineRule="exact"/>
        <w:ind w:firstLine="420"/>
        <w:rPr>
          <w:rFonts w:hint="eastAsia" w:ascii="宋体" w:hAnsi="宋体" w:eastAsia="宋体" w:cs="宋体"/>
          <w:color w:val="auto"/>
          <w:highlight w:val="none"/>
        </w:rPr>
      </w:pPr>
      <w:bookmarkStart w:id="1019" w:name="bookmark1183"/>
      <w:bookmarkEnd w:id="1019"/>
      <w:r>
        <w:rPr>
          <w:rFonts w:hint="eastAsia" w:ascii="宋体" w:hAnsi="宋体" w:eastAsia="宋体" w:cs="宋体"/>
          <w:color w:val="auto"/>
          <w:highlight w:val="none"/>
        </w:rPr>
        <w:t>发包人造成工期延误的其他原因。</w:t>
      </w:r>
    </w:p>
    <w:p w14:paraId="5EE96B6D">
      <w:pPr>
        <w:pStyle w:val="116"/>
        <w:spacing w:line="360" w:lineRule="exact"/>
        <w:rPr>
          <w:rFonts w:hint="eastAsia" w:ascii="宋体" w:hAnsi="宋体" w:eastAsia="宋体" w:cs="宋体"/>
          <w:color w:val="auto"/>
          <w:sz w:val="24"/>
          <w:szCs w:val="24"/>
          <w:highlight w:val="none"/>
          <w:lang w:eastAsia="zh-CN"/>
        </w:rPr>
      </w:pPr>
      <w:bookmarkStart w:id="1020" w:name="_Toc16589"/>
      <w:bookmarkStart w:id="1021" w:name="bookmark1184"/>
      <w:bookmarkStart w:id="1022" w:name="_Toc25119"/>
      <w:bookmarkStart w:id="1023" w:name="_Toc26714"/>
      <w:bookmarkStart w:id="1024" w:name="bookmark1186"/>
      <w:bookmarkStart w:id="1025" w:name="_Toc17261"/>
      <w:bookmarkStart w:id="1026" w:name="_Toc23944"/>
      <w:bookmarkStart w:id="1027" w:name="_Toc10371"/>
      <w:bookmarkStart w:id="1028" w:name="_Toc199152916"/>
      <w:bookmarkStart w:id="1029" w:name="_Toc14471"/>
      <w:bookmarkStart w:id="1030" w:name="bookmark1185"/>
      <w:r>
        <w:rPr>
          <w:rFonts w:hint="eastAsia" w:ascii="宋体" w:hAnsi="宋体" w:eastAsia="宋体" w:cs="宋体"/>
          <w:color w:val="auto"/>
          <w:sz w:val="24"/>
          <w:szCs w:val="24"/>
          <w:highlight w:val="none"/>
          <w:lang w:eastAsia="zh-CN"/>
        </w:rPr>
        <w:t>11.4异常恶劣的气候条件</w:t>
      </w:r>
      <w:bookmarkEnd w:id="1020"/>
      <w:bookmarkEnd w:id="1021"/>
      <w:bookmarkEnd w:id="1022"/>
      <w:bookmarkEnd w:id="1023"/>
      <w:bookmarkEnd w:id="1024"/>
      <w:bookmarkEnd w:id="1025"/>
      <w:bookmarkEnd w:id="1026"/>
      <w:bookmarkEnd w:id="1027"/>
      <w:bookmarkEnd w:id="1028"/>
      <w:bookmarkEnd w:id="1029"/>
      <w:bookmarkEnd w:id="1030"/>
    </w:p>
    <w:p w14:paraId="5EE96B6E">
      <w:pPr>
        <w:pStyle w:val="115"/>
        <w:spacing w:line="368"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11.4.1</w:t>
      </w:r>
      <w:r>
        <w:rPr>
          <w:rFonts w:hint="eastAsia" w:ascii="宋体" w:hAnsi="宋体" w:eastAsia="宋体" w:cs="宋体"/>
          <w:color w:val="auto"/>
          <w:highlight w:val="none"/>
        </w:rPr>
        <w:t>当工程所在地发生危及施工安全的异常恶劣气候时，发包人和承包人应按本合同通用合同条款第12条的约定，及时采取暂停施工或部分暂停施工措施。异常恶劣气候条件解除后，承包人应及时安排复工。</w:t>
      </w:r>
    </w:p>
    <w:p w14:paraId="5EE96B6F">
      <w:pPr>
        <w:pStyle w:val="115"/>
        <w:spacing w:after="140"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11.4.2</w:t>
      </w:r>
      <w:r>
        <w:rPr>
          <w:rFonts w:hint="eastAsia" w:ascii="宋体" w:hAnsi="宋体" w:eastAsia="宋体" w:cs="宋体"/>
          <w:color w:val="auto"/>
          <w:highlight w:val="none"/>
        </w:rPr>
        <w:t>异常恶劣气候条件造成的工期延误和工程损坏，应由发包人与承包人参照本合同通用合同条款第</w:t>
      </w:r>
      <w:r>
        <w:rPr>
          <w:rFonts w:hint="eastAsia" w:ascii="宋体" w:hAnsi="宋体" w:eastAsia="宋体" w:cs="宋体"/>
          <w:color w:val="auto"/>
          <w:highlight w:val="none"/>
          <w:lang w:val="en-US" w:bidi="en-US"/>
        </w:rPr>
        <w:t>21.</w:t>
      </w:r>
      <w:r>
        <w:rPr>
          <w:rFonts w:hint="eastAsia" w:ascii="宋体" w:hAnsi="宋体" w:eastAsia="宋体" w:cs="宋体"/>
          <w:color w:val="auto"/>
          <w:highlight w:val="none"/>
        </w:rPr>
        <w:t>3款的约定共同协商处理。</w:t>
      </w:r>
    </w:p>
    <w:p w14:paraId="5EE96B70">
      <w:pPr>
        <w:pStyle w:val="115"/>
        <w:spacing w:line="377"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11.4.</w:t>
      </w:r>
      <w:r>
        <w:rPr>
          <w:rFonts w:hint="eastAsia" w:ascii="宋体" w:hAnsi="宋体" w:eastAsia="宋体" w:cs="宋体"/>
          <w:color w:val="auto"/>
          <w:highlight w:val="none"/>
        </w:rPr>
        <w:t>3本合同工程界定异常恶劣气候条件的范围在专用合同条款中约定。</w:t>
      </w:r>
    </w:p>
    <w:p w14:paraId="5EE96B71">
      <w:pPr>
        <w:pStyle w:val="116"/>
        <w:spacing w:line="360" w:lineRule="exact"/>
        <w:rPr>
          <w:rFonts w:hint="eastAsia" w:ascii="宋体" w:hAnsi="宋体" w:eastAsia="宋体" w:cs="宋体"/>
          <w:color w:val="auto"/>
          <w:sz w:val="24"/>
          <w:szCs w:val="24"/>
          <w:highlight w:val="none"/>
          <w:lang w:eastAsia="zh-CN"/>
        </w:rPr>
      </w:pPr>
      <w:bookmarkStart w:id="1031" w:name="_Toc16421"/>
      <w:bookmarkStart w:id="1032" w:name="_Toc22319"/>
      <w:bookmarkStart w:id="1033" w:name="_Toc16434"/>
      <w:bookmarkStart w:id="1034" w:name="bookmark1189"/>
      <w:bookmarkStart w:id="1035" w:name="_Toc1075"/>
      <w:bookmarkStart w:id="1036" w:name="bookmark1187"/>
      <w:bookmarkStart w:id="1037" w:name="_Toc22626"/>
      <w:bookmarkStart w:id="1038" w:name="_Toc11791"/>
      <w:bookmarkStart w:id="1039" w:name="_Toc28579"/>
      <w:bookmarkStart w:id="1040" w:name="_Toc199152917"/>
      <w:bookmarkStart w:id="1041" w:name="bookmark1188"/>
      <w:r>
        <w:rPr>
          <w:rFonts w:hint="eastAsia" w:ascii="宋体" w:hAnsi="宋体" w:eastAsia="宋体" w:cs="宋体"/>
          <w:color w:val="auto"/>
          <w:sz w:val="24"/>
          <w:szCs w:val="24"/>
          <w:highlight w:val="none"/>
          <w:lang w:eastAsia="zh-CN"/>
        </w:rPr>
        <w:t>11.5承包人工期延误</w:t>
      </w:r>
      <w:bookmarkEnd w:id="1031"/>
      <w:bookmarkEnd w:id="1032"/>
      <w:bookmarkEnd w:id="1033"/>
      <w:bookmarkEnd w:id="1034"/>
      <w:bookmarkEnd w:id="1035"/>
      <w:bookmarkEnd w:id="1036"/>
      <w:bookmarkEnd w:id="1037"/>
      <w:bookmarkEnd w:id="1038"/>
      <w:bookmarkEnd w:id="1039"/>
      <w:bookmarkEnd w:id="1040"/>
      <w:bookmarkEnd w:id="1041"/>
    </w:p>
    <w:p w14:paraId="5EE96B72">
      <w:pPr>
        <w:pStyle w:val="115"/>
        <w:spacing w:after="140" w:line="359"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5EE96B73">
      <w:pPr>
        <w:pStyle w:val="116"/>
        <w:spacing w:line="360" w:lineRule="exact"/>
        <w:rPr>
          <w:rFonts w:hint="eastAsia" w:ascii="宋体" w:hAnsi="宋体" w:eastAsia="宋体" w:cs="宋体"/>
          <w:color w:val="auto"/>
          <w:sz w:val="24"/>
          <w:szCs w:val="24"/>
          <w:highlight w:val="none"/>
          <w:lang w:eastAsia="zh-CN"/>
        </w:rPr>
      </w:pPr>
      <w:bookmarkStart w:id="1042" w:name="_Toc18539"/>
      <w:bookmarkStart w:id="1043" w:name="_Toc18783"/>
      <w:bookmarkStart w:id="1044" w:name="bookmark1190"/>
      <w:bookmarkStart w:id="1045" w:name="_Toc31320"/>
      <w:bookmarkStart w:id="1046" w:name="_Toc6246"/>
      <w:bookmarkStart w:id="1047" w:name="_Toc474"/>
      <w:bookmarkStart w:id="1048" w:name="_Toc199152918"/>
      <w:bookmarkStart w:id="1049" w:name="bookmark1191"/>
      <w:bookmarkStart w:id="1050" w:name="bookmark1192"/>
      <w:bookmarkStart w:id="1051" w:name="_Toc14969"/>
      <w:bookmarkStart w:id="1052" w:name="_Toc25589"/>
      <w:r>
        <w:rPr>
          <w:rFonts w:hint="eastAsia" w:ascii="宋体" w:hAnsi="宋体" w:eastAsia="宋体" w:cs="宋体"/>
          <w:color w:val="auto"/>
          <w:sz w:val="24"/>
          <w:szCs w:val="24"/>
          <w:highlight w:val="none"/>
          <w:lang w:eastAsia="zh-CN"/>
        </w:rPr>
        <w:t>11.6工期提前</w:t>
      </w:r>
      <w:bookmarkEnd w:id="1042"/>
      <w:bookmarkEnd w:id="1043"/>
      <w:bookmarkEnd w:id="1044"/>
      <w:bookmarkEnd w:id="1045"/>
      <w:bookmarkEnd w:id="1046"/>
      <w:bookmarkEnd w:id="1047"/>
      <w:bookmarkEnd w:id="1048"/>
      <w:bookmarkEnd w:id="1049"/>
      <w:bookmarkEnd w:id="1050"/>
      <w:bookmarkEnd w:id="1051"/>
      <w:bookmarkEnd w:id="1052"/>
    </w:p>
    <w:p w14:paraId="5EE96B74">
      <w:pPr>
        <w:pStyle w:val="115"/>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14:paraId="5EE96B75">
      <w:pPr>
        <w:pStyle w:val="115"/>
        <w:spacing w:after="140"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发包人要求提前完工的，双方协商一致后应签订提前完工协议，协议内容包括：</w:t>
      </w:r>
    </w:p>
    <w:p w14:paraId="5EE96B76">
      <w:pPr>
        <w:pStyle w:val="115"/>
        <w:numPr>
          <w:ilvl w:val="0"/>
          <w:numId w:val="8"/>
        </w:numPr>
        <w:tabs>
          <w:tab w:val="left" w:pos="903"/>
        </w:tabs>
        <w:spacing w:line="360" w:lineRule="exact"/>
        <w:ind w:firstLine="420"/>
        <w:rPr>
          <w:rFonts w:hint="eastAsia" w:ascii="宋体" w:hAnsi="宋体" w:eastAsia="宋体" w:cs="宋体"/>
          <w:color w:val="auto"/>
          <w:highlight w:val="none"/>
        </w:rPr>
      </w:pPr>
      <w:bookmarkStart w:id="1053" w:name="bookmark1193"/>
      <w:bookmarkEnd w:id="1053"/>
      <w:r>
        <w:rPr>
          <w:rFonts w:hint="eastAsia" w:ascii="宋体" w:hAnsi="宋体" w:eastAsia="宋体" w:cs="宋体"/>
          <w:color w:val="auto"/>
          <w:highlight w:val="none"/>
        </w:rPr>
        <w:t>提前的时间和修订后的进度计划。</w:t>
      </w:r>
    </w:p>
    <w:p w14:paraId="5EE96B77">
      <w:pPr>
        <w:pStyle w:val="115"/>
        <w:numPr>
          <w:ilvl w:val="0"/>
          <w:numId w:val="8"/>
        </w:numPr>
        <w:tabs>
          <w:tab w:val="left" w:pos="903"/>
        </w:tabs>
        <w:spacing w:line="360" w:lineRule="exact"/>
        <w:ind w:firstLine="420"/>
        <w:rPr>
          <w:rFonts w:hint="eastAsia" w:ascii="宋体" w:hAnsi="宋体" w:eastAsia="宋体" w:cs="宋体"/>
          <w:color w:val="auto"/>
          <w:highlight w:val="none"/>
        </w:rPr>
      </w:pPr>
      <w:bookmarkStart w:id="1054" w:name="bookmark1194"/>
      <w:bookmarkEnd w:id="1054"/>
      <w:r>
        <w:rPr>
          <w:rFonts w:hint="eastAsia" w:ascii="宋体" w:hAnsi="宋体" w:eastAsia="宋体" w:cs="宋体"/>
          <w:color w:val="auto"/>
          <w:highlight w:val="none"/>
        </w:rPr>
        <w:t>承包人的赶工措施。</w:t>
      </w:r>
    </w:p>
    <w:p w14:paraId="5EE96B78">
      <w:pPr>
        <w:pStyle w:val="115"/>
        <w:numPr>
          <w:ilvl w:val="0"/>
          <w:numId w:val="8"/>
        </w:numPr>
        <w:tabs>
          <w:tab w:val="left" w:pos="923"/>
        </w:tabs>
        <w:spacing w:line="360" w:lineRule="exact"/>
        <w:ind w:firstLine="440"/>
        <w:rPr>
          <w:rFonts w:hint="eastAsia" w:ascii="宋体" w:hAnsi="宋体" w:eastAsia="宋体" w:cs="宋体"/>
          <w:color w:val="auto"/>
          <w:highlight w:val="none"/>
        </w:rPr>
      </w:pPr>
      <w:r>
        <w:rPr>
          <w:rFonts w:hint="eastAsia" w:ascii="宋体" w:hAnsi="宋体" w:eastAsia="宋体" w:cs="宋体"/>
          <w:color w:val="auto"/>
          <w:highlight w:val="none"/>
        </w:rPr>
        <w:t>发包人为赶工提供的条件。</w:t>
      </w:r>
    </w:p>
    <w:p w14:paraId="5EE96B79">
      <w:pPr>
        <w:pStyle w:val="115"/>
        <w:numPr>
          <w:ilvl w:val="0"/>
          <w:numId w:val="8"/>
        </w:numPr>
        <w:tabs>
          <w:tab w:val="left" w:pos="923"/>
        </w:tabs>
        <w:spacing w:after="280" w:line="360" w:lineRule="exact"/>
        <w:ind w:firstLine="440"/>
        <w:rPr>
          <w:rFonts w:hint="eastAsia" w:ascii="宋体" w:hAnsi="宋体" w:eastAsia="宋体" w:cs="宋体"/>
          <w:color w:val="auto"/>
          <w:highlight w:val="none"/>
        </w:rPr>
      </w:pPr>
      <w:bookmarkStart w:id="1055" w:name="bookmark1196"/>
      <w:bookmarkEnd w:id="1055"/>
      <w:r>
        <w:rPr>
          <w:rFonts w:hint="eastAsia" w:ascii="宋体" w:hAnsi="宋体" w:eastAsia="宋体" w:cs="宋体"/>
          <w:color w:val="auto"/>
          <w:highlight w:val="none"/>
        </w:rPr>
        <w:t>赶工费用(包括利润和奖金)</w:t>
      </w:r>
    </w:p>
    <w:p w14:paraId="5EE96B7A">
      <w:pPr>
        <w:pStyle w:val="116"/>
        <w:spacing w:line="360" w:lineRule="exact"/>
        <w:rPr>
          <w:rFonts w:hint="eastAsia" w:ascii="宋体" w:hAnsi="宋体" w:eastAsia="宋体" w:cs="宋体"/>
          <w:color w:val="auto"/>
          <w:highlight w:val="none"/>
          <w:lang w:eastAsia="zh-CN"/>
        </w:rPr>
      </w:pPr>
      <w:bookmarkStart w:id="1056" w:name="bookmark1197"/>
      <w:bookmarkStart w:id="1057" w:name="_Toc3335"/>
      <w:bookmarkStart w:id="1058" w:name="_Toc28415"/>
      <w:bookmarkStart w:id="1059" w:name="_Toc11729"/>
      <w:bookmarkStart w:id="1060" w:name="bookmark1198"/>
      <w:bookmarkStart w:id="1061" w:name="_Toc199152919"/>
      <w:bookmarkStart w:id="1062" w:name="_Toc9683"/>
      <w:bookmarkStart w:id="1063" w:name="_Toc30931"/>
      <w:bookmarkStart w:id="1064" w:name="_Toc8400"/>
      <w:bookmarkStart w:id="1065" w:name="bookmark1199"/>
      <w:bookmarkStart w:id="1066" w:name="_Toc12465"/>
      <w:r>
        <w:rPr>
          <w:rFonts w:hint="eastAsia" w:ascii="宋体" w:hAnsi="宋体" w:eastAsia="宋体" w:cs="宋体"/>
          <w:color w:val="auto"/>
          <w:highlight w:val="none"/>
          <w:lang w:eastAsia="zh-CN"/>
        </w:rPr>
        <w:t>12.暂停施工</w:t>
      </w:r>
      <w:bookmarkEnd w:id="1056"/>
      <w:bookmarkEnd w:id="1057"/>
      <w:bookmarkEnd w:id="1058"/>
      <w:bookmarkEnd w:id="1059"/>
      <w:bookmarkEnd w:id="1060"/>
      <w:bookmarkEnd w:id="1061"/>
      <w:bookmarkEnd w:id="1062"/>
      <w:bookmarkEnd w:id="1063"/>
      <w:bookmarkEnd w:id="1064"/>
      <w:bookmarkEnd w:id="1065"/>
      <w:bookmarkEnd w:id="1066"/>
    </w:p>
    <w:p w14:paraId="5EE96B7B">
      <w:pPr>
        <w:pStyle w:val="116"/>
        <w:spacing w:line="360" w:lineRule="exact"/>
        <w:rPr>
          <w:rFonts w:hint="eastAsia" w:ascii="宋体" w:hAnsi="宋体" w:eastAsia="宋体" w:cs="宋体"/>
          <w:color w:val="auto"/>
          <w:sz w:val="24"/>
          <w:szCs w:val="24"/>
          <w:highlight w:val="none"/>
          <w:lang w:eastAsia="zh-CN"/>
        </w:rPr>
      </w:pPr>
      <w:bookmarkStart w:id="1067" w:name="_Toc28457"/>
      <w:bookmarkStart w:id="1068" w:name="_Toc11440"/>
      <w:bookmarkStart w:id="1069" w:name="_Toc26234"/>
      <w:bookmarkStart w:id="1070" w:name="bookmark1200"/>
      <w:bookmarkStart w:id="1071" w:name="bookmark1202"/>
      <w:bookmarkStart w:id="1072" w:name="bookmark1201"/>
      <w:bookmarkStart w:id="1073" w:name="_Toc25279"/>
      <w:bookmarkStart w:id="1074" w:name="_Toc9095"/>
      <w:bookmarkStart w:id="1075" w:name="_Toc32337"/>
      <w:bookmarkStart w:id="1076" w:name="_Toc30892"/>
      <w:bookmarkStart w:id="1077" w:name="_Toc199152920"/>
      <w:r>
        <w:rPr>
          <w:rFonts w:hint="eastAsia" w:ascii="宋体" w:hAnsi="宋体" w:eastAsia="宋体" w:cs="宋体"/>
          <w:color w:val="auto"/>
          <w:sz w:val="24"/>
          <w:szCs w:val="24"/>
          <w:highlight w:val="none"/>
          <w:lang w:eastAsia="zh-CN"/>
        </w:rPr>
        <w:t>12.1承包人暂停施工的责任</w:t>
      </w:r>
      <w:bookmarkEnd w:id="1067"/>
      <w:bookmarkEnd w:id="1068"/>
      <w:bookmarkEnd w:id="1069"/>
      <w:bookmarkEnd w:id="1070"/>
      <w:bookmarkEnd w:id="1071"/>
      <w:bookmarkEnd w:id="1072"/>
      <w:bookmarkEnd w:id="1073"/>
      <w:bookmarkEnd w:id="1074"/>
      <w:bookmarkEnd w:id="1075"/>
      <w:bookmarkEnd w:id="1076"/>
      <w:bookmarkEnd w:id="1077"/>
    </w:p>
    <w:p w14:paraId="5EE96B7C">
      <w:pPr>
        <w:pStyle w:val="115"/>
        <w:spacing w:line="360" w:lineRule="exact"/>
        <w:ind w:firstLine="442"/>
        <w:rPr>
          <w:rFonts w:hint="eastAsia" w:ascii="宋体" w:hAnsi="宋体" w:eastAsia="宋体" w:cs="宋体"/>
          <w:color w:val="auto"/>
          <w:highlight w:val="none"/>
        </w:rPr>
      </w:pPr>
      <w:r>
        <w:rPr>
          <w:rFonts w:hint="eastAsia" w:ascii="宋体" w:hAnsi="宋体" w:eastAsia="宋体" w:cs="宋体"/>
          <w:color w:val="auto"/>
          <w:highlight w:val="none"/>
        </w:rPr>
        <w:t>因下列暂停施工增加的费用和(或)工期延误由承包人承担：</w:t>
      </w:r>
    </w:p>
    <w:p w14:paraId="5EE96B7D">
      <w:pPr>
        <w:pStyle w:val="115"/>
        <w:numPr>
          <w:ilvl w:val="0"/>
          <w:numId w:val="9"/>
        </w:numPr>
        <w:tabs>
          <w:tab w:val="left" w:pos="923"/>
        </w:tabs>
        <w:spacing w:line="360" w:lineRule="exact"/>
        <w:ind w:firstLine="442"/>
        <w:rPr>
          <w:rFonts w:hint="eastAsia" w:ascii="宋体" w:hAnsi="宋体" w:eastAsia="宋体" w:cs="宋体"/>
          <w:color w:val="auto"/>
          <w:highlight w:val="none"/>
        </w:rPr>
      </w:pPr>
      <w:bookmarkStart w:id="1078" w:name="bookmark1203"/>
      <w:bookmarkEnd w:id="1078"/>
      <w:r>
        <w:rPr>
          <w:rFonts w:hint="eastAsia" w:ascii="宋体" w:hAnsi="宋体" w:eastAsia="宋体" w:cs="宋体"/>
          <w:color w:val="auto"/>
          <w:highlight w:val="none"/>
        </w:rPr>
        <w:t>承包人违约引起的暂停施工；</w:t>
      </w:r>
    </w:p>
    <w:p w14:paraId="5EE96B7E">
      <w:pPr>
        <w:pStyle w:val="115"/>
        <w:numPr>
          <w:ilvl w:val="0"/>
          <w:numId w:val="9"/>
        </w:numPr>
        <w:tabs>
          <w:tab w:val="left" w:pos="923"/>
        </w:tabs>
        <w:spacing w:line="360" w:lineRule="exact"/>
        <w:ind w:firstLine="442"/>
        <w:rPr>
          <w:rFonts w:hint="eastAsia" w:ascii="宋体" w:hAnsi="宋体" w:eastAsia="宋体" w:cs="宋体"/>
          <w:color w:val="auto"/>
          <w:highlight w:val="none"/>
        </w:rPr>
      </w:pPr>
      <w:bookmarkStart w:id="1079" w:name="bookmark1204"/>
      <w:bookmarkEnd w:id="1079"/>
      <w:r>
        <w:rPr>
          <w:rFonts w:hint="eastAsia" w:ascii="宋体" w:hAnsi="宋体" w:eastAsia="宋体" w:cs="宋体"/>
          <w:color w:val="auto"/>
          <w:highlight w:val="none"/>
        </w:rPr>
        <w:t>由于承包人原因为工程合理施工和安全保障所必需的暂停施工；</w:t>
      </w:r>
    </w:p>
    <w:p w14:paraId="5EE96B7F">
      <w:pPr>
        <w:pStyle w:val="115"/>
        <w:numPr>
          <w:ilvl w:val="0"/>
          <w:numId w:val="9"/>
        </w:numPr>
        <w:tabs>
          <w:tab w:val="left" w:pos="923"/>
        </w:tabs>
        <w:spacing w:line="360" w:lineRule="exact"/>
        <w:ind w:firstLine="442"/>
        <w:rPr>
          <w:rFonts w:hint="eastAsia" w:ascii="宋体" w:hAnsi="宋体" w:eastAsia="宋体" w:cs="宋体"/>
          <w:color w:val="auto"/>
          <w:highlight w:val="none"/>
        </w:rPr>
      </w:pPr>
      <w:bookmarkStart w:id="1080" w:name="bookmark1205"/>
      <w:bookmarkEnd w:id="1080"/>
      <w:r>
        <w:rPr>
          <w:rFonts w:hint="eastAsia" w:ascii="宋体" w:hAnsi="宋体" w:eastAsia="宋体" w:cs="宋体"/>
          <w:color w:val="auto"/>
          <w:highlight w:val="none"/>
        </w:rPr>
        <w:t>承包人擅自暂停施工；</w:t>
      </w:r>
    </w:p>
    <w:p w14:paraId="5EE96B80">
      <w:pPr>
        <w:pStyle w:val="115"/>
        <w:numPr>
          <w:ilvl w:val="0"/>
          <w:numId w:val="9"/>
        </w:numPr>
        <w:tabs>
          <w:tab w:val="left" w:pos="923"/>
        </w:tabs>
        <w:spacing w:line="360" w:lineRule="exact"/>
        <w:ind w:firstLine="442"/>
        <w:rPr>
          <w:rFonts w:hint="eastAsia" w:ascii="宋体" w:hAnsi="宋体" w:eastAsia="宋体" w:cs="宋体"/>
          <w:color w:val="auto"/>
          <w:highlight w:val="none"/>
        </w:rPr>
      </w:pPr>
      <w:bookmarkStart w:id="1081" w:name="bookmark1206"/>
      <w:bookmarkEnd w:id="1081"/>
      <w:r>
        <w:rPr>
          <w:rFonts w:hint="eastAsia" w:ascii="宋体" w:hAnsi="宋体" w:eastAsia="宋体" w:cs="宋体"/>
          <w:color w:val="auto"/>
          <w:highlight w:val="none"/>
        </w:rPr>
        <w:t>承包人其他原因引起的暂停施工；</w:t>
      </w:r>
    </w:p>
    <w:p w14:paraId="5EE96B81">
      <w:pPr>
        <w:pStyle w:val="115"/>
        <w:numPr>
          <w:ilvl w:val="0"/>
          <w:numId w:val="9"/>
        </w:numPr>
        <w:tabs>
          <w:tab w:val="left" w:pos="923"/>
        </w:tabs>
        <w:spacing w:after="120" w:line="360" w:lineRule="exact"/>
        <w:ind w:firstLine="442"/>
        <w:rPr>
          <w:rFonts w:hint="eastAsia" w:ascii="宋体" w:hAnsi="宋体" w:eastAsia="宋体" w:cs="宋体"/>
          <w:color w:val="auto"/>
          <w:highlight w:val="none"/>
        </w:rPr>
      </w:pPr>
      <w:bookmarkStart w:id="1082" w:name="bookmark1207"/>
      <w:bookmarkEnd w:id="1082"/>
      <w:r>
        <w:rPr>
          <w:rFonts w:hint="eastAsia" w:ascii="宋体" w:hAnsi="宋体" w:eastAsia="宋体" w:cs="宋体"/>
          <w:color w:val="auto"/>
          <w:highlight w:val="none"/>
        </w:rPr>
        <w:t>专用合同条款约定由承包人承担的其他暂停施工。</w:t>
      </w:r>
    </w:p>
    <w:p w14:paraId="5EE96B82">
      <w:pPr>
        <w:pStyle w:val="116"/>
        <w:spacing w:line="360" w:lineRule="exact"/>
        <w:rPr>
          <w:rFonts w:hint="eastAsia" w:ascii="宋体" w:hAnsi="宋体" w:eastAsia="宋体" w:cs="宋体"/>
          <w:color w:val="auto"/>
          <w:sz w:val="24"/>
          <w:szCs w:val="24"/>
          <w:highlight w:val="none"/>
          <w:lang w:eastAsia="zh-CN"/>
        </w:rPr>
      </w:pPr>
      <w:bookmarkStart w:id="1083" w:name="bookmark1209"/>
      <w:bookmarkStart w:id="1084" w:name="_Toc19655"/>
      <w:bookmarkStart w:id="1085" w:name="_Toc199152921"/>
      <w:bookmarkStart w:id="1086" w:name="bookmark1210"/>
      <w:bookmarkStart w:id="1087" w:name="_Toc18103"/>
      <w:bookmarkStart w:id="1088" w:name="bookmark1208"/>
      <w:bookmarkStart w:id="1089" w:name="_Toc3478"/>
      <w:bookmarkStart w:id="1090" w:name="_Toc1123"/>
      <w:bookmarkStart w:id="1091" w:name="_Toc5097"/>
      <w:bookmarkStart w:id="1092" w:name="_Toc7719"/>
      <w:bookmarkStart w:id="1093" w:name="_Toc16980"/>
      <w:r>
        <w:rPr>
          <w:rFonts w:hint="eastAsia" w:ascii="宋体" w:hAnsi="宋体" w:eastAsia="宋体" w:cs="宋体"/>
          <w:color w:val="auto"/>
          <w:sz w:val="24"/>
          <w:szCs w:val="24"/>
          <w:highlight w:val="none"/>
          <w:lang w:eastAsia="zh-CN"/>
        </w:rPr>
        <w:t>12.2发包人暂停施工的责任</w:t>
      </w:r>
      <w:bookmarkEnd w:id="1083"/>
      <w:bookmarkEnd w:id="1084"/>
      <w:bookmarkEnd w:id="1085"/>
      <w:bookmarkEnd w:id="1086"/>
      <w:bookmarkEnd w:id="1087"/>
      <w:bookmarkEnd w:id="1088"/>
      <w:bookmarkEnd w:id="1089"/>
      <w:bookmarkEnd w:id="1090"/>
      <w:bookmarkEnd w:id="1091"/>
      <w:bookmarkEnd w:id="1092"/>
      <w:bookmarkEnd w:id="1093"/>
    </w:p>
    <w:p w14:paraId="5EE96B83">
      <w:pPr>
        <w:pStyle w:val="115"/>
        <w:spacing w:line="360" w:lineRule="exact"/>
        <w:ind w:firstLine="442"/>
        <w:jc w:val="both"/>
        <w:rPr>
          <w:rFonts w:hint="eastAsia" w:ascii="宋体" w:hAnsi="宋体" w:eastAsia="宋体" w:cs="宋体"/>
          <w:color w:val="auto"/>
          <w:highlight w:val="none"/>
        </w:rPr>
      </w:pPr>
      <w:r>
        <w:rPr>
          <w:rFonts w:hint="eastAsia" w:ascii="宋体" w:hAnsi="宋体" w:eastAsia="宋体" w:cs="宋体"/>
          <w:color w:val="auto"/>
          <w:highlight w:val="none"/>
        </w:rPr>
        <w:t>由于发包人原因引起的暂停施工造成工期延误的，承包人有权要求发包人延长工期和(或)增加费用，并支付合理利润。属于下列任何一种情况引起的暂停施工，均为发包人的责任：</w:t>
      </w:r>
    </w:p>
    <w:p w14:paraId="5EE96B84">
      <w:pPr>
        <w:pStyle w:val="115"/>
        <w:numPr>
          <w:ilvl w:val="0"/>
          <w:numId w:val="10"/>
        </w:numPr>
        <w:tabs>
          <w:tab w:val="left" w:pos="923"/>
        </w:tabs>
        <w:spacing w:line="360" w:lineRule="exact"/>
        <w:ind w:firstLine="442"/>
        <w:jc w:val="both"/>
        <w:rPr>
          <w:rFonts w:hint="eastAsia" w:ascii="宋体" w:hAnsi="宋体" w:eastAsia="宋体" w:cs="宋体"/>
          <w:color w:val="auto"/>
          <w:highlight w:val="none"/>
        </w:rPr>
      </w:pPr>
      <w:bookmarkStart w:id="1094" w:name="bookmark1211"/>
      <w:bookmarkEnd w:id="1094"/>
      <w:r>
        <w:rPr>
          <w:rFonts w:hint="eastAsia" w:ascii="宋体" w:hAnsi="宋体" w:eastAsia="宋体" w:cs="宋体"/>
          <w:color w:val="auto"/>
          <w:highlight w:val="none"/>
        </w:rPr>
        <w:t>由于发包人违约引起的暂停施工。</w:t>
      </w:r>
    </w:p>
    <w:p w14:paraId="5EE96B85">
      <w:pPr>
        <w:pStyle w:val="115"/>
        <w:numPr>
          <w:ilvl w:val="0"/>
          <w:numId w:val="10"/>
        </w:numPr>
        <w:tabs>
          <w:tab w:val="left" w:pos="923"/>
        </w:tabs>
        <w:spacing w:line="360" w:lineRule="exact"/>
        <w:ind w:firstLine="442"/>
        <w:rPr>
          <w:rFonts w:hint="eastAsia" w:ascii="宋体" w:hAnsi="宋体" w:eastAsia="宋体" w:cs="宋体"/>
          <w:color w:val="auto"/>
          <w:highlight w:val="none"/>
        </w:rPr>
      </w:pPr>
      <w:bookmarkStart w:id="1095" w:name="bookmark1212"/>
      <w:bookmarkEnd w:id="1095"/>
      <w:r>
        <w:rPr>
          <w:rFonts w:hint="eastAsia" w:ascii="宋体" w:hAnsi="宋体" w:eastAsia="宋体" w:cs="宋体"/>
          <w:color w:val="auto"/>
          <w:highlight w:val="none"/>
        </w:rPr>
        <w:t>由于不可抗力的自然或社会因素引起的暂停施工。</w:t>
      </w:r>
    </w:p>
    <w:p w14:paraId="5EE96B86">
      <w:pPr>
        <w:pStyle w:val="115"/>
        <w:numPr>
          <w:ilvl w:val="0"/>
          <w:numId w:val="10"/>
        </w:numPr>
        <w:tabs>
          <w:tab w:val="left" w:pos="923"/>
        </w:tabs>
        <w:spacing w:after="120" w:line="360" w:lineRule="exact"/>
        <w:ind w:firstLine="442"/>
        <w:rPr>
          <w:rFonts w:hint="eastAsia" w:ascii="宋体" w:hAnsi="宋体" w:eastAsia="宋体" w:cs="宋体"/>
          <w:color w:val="auto"/>
          <w:highlight w:val="none"/>
        </w:rPr>
      </w:pPr>
      <w:bookmarkStart w:id="1096" w:name="bookmark1213"/>
      <w:bookmarkEnd w:id="1096"/>
      <w:r>
        <w:rPr>
          <w:rFonts w:hint="eastAsia" w:ascii="宋体" w:hAnsi="宋体" w:eastAsia="宋体" w:cs="宋体"/>
          <w:color w:val="auto"/>
          <w:highlight w:val="none"/>
        </w:rPr>
        <w:t>专用合同条款中约定的其它由于发包人原因引起的暂停施工。</w:t>
      </w:r>
    </w:p>
    <w:p w14:paraId="5EE96B87">
      <w:pPr>
        <w:pStyle w:val="116"/>
        <w:spacing w:line="360" w:lineRule="exact"/>
        <w:rPr>
          <w:rFonts w:hint="eastAsia" w:ascii="宋体" w:hAnsi="宋体" w:eastAsia="宋体" w:cs="宋体"/>
          <w:color w:val="auto"/>
          <w:sz w:val="24"/>
          <w:szCs w:val="24"/>
          <w:highlight w:val="none"/>
          <w:lang w:eastAsia="zh-CN"/>
        </w:rPr>
      </w:pPr>
      <w:bookmarkStart w:id="1097" w:name="bookmark1215"/>
      <w:bookmarkStart w:id="1098" w:name="bookmark1216"/>
      <w:bookmarkStart w:id="1099" w:name="_Toc25179"/>
      <w:bookmarkStart w:id="1100" w:name="_Toc3566"/>
      <w:bookmarkStart w:id="1101" w:name="_Toc199152922"/>
      <w:bookmarkStart w:id="1102" w:name="_Toc4901"/>
      <w:bookmarkStart w:id="1103" w:name="_Toc5536"/>
      <w:bookmarkStart w:id="1104" w:name="_Toc15099"/>
      <w:bookmarkStart w:id="1105" w:name="_Toc31503"/>
      <w:bookmarkStart w:id="1106" w:name="bookmark1214"/>
      <w:bookmarkStart w:id="1107" w:name="_Toc15086"/>
      <w:r>
        <w:rPr>
          <w:rFonts w:hint="eastAsia" w:ascii="宋体" w:hAnsi="宋体" w:eastAsia="宋体" w:cs="宋体"/>
          <w:color w:val="auto"/>
          <w:sz w:val="24"/>
          <w:szCs w:val="24"/>
          <w:highlight w:val="none"/>
          <w:lang w:eastAsia="zh-CN"/>
        </w:rPr>
        <w:t>12.3监理人暂停施工指示</w:t>
      </w:r>
      <w:bookmarkEnd w:id="1097"/>
      <w:bookmarkEnd w:id="1098"/>
      <w:bookmarkEnd w:id="1099"/>
      <w:bookmarkEnd w:id="1100"/>
      <w:bookmarkEnd w:id="1101"/>
      <w:bookmarkEnd w:id="1102"/>
      <w:bookmarkEnd w:id="1103"/>
      <w:bookmarkEnd w:id="1104"/>
      <w:bookmarkEnd w:id="1105"/>
      <w:bookmarkEnd w:id="1106"/>
      <w:bookmarkEnd w:id="1107"/>
    </w:p>
    <w:p w14:paraId="5EE96B88">
      <w:pPr>
        <w:pStyle w:val="115"/>
        <w:spacing w:line="359"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12.3.1</w:t>
      </w:r>
      <w:r>
        <w:rPr>
          <w:rFonts w:hint="eastAsia" w:ascii="宋体" w:hAnsi="宋体" w:eastAsia="宋体" w:cs="宋体"/>
          <w:color w:val="auto"/>
          <w:highlight w:val="none"/>
        </w:rPr>
        <w:t>监理人认为有必要时，可向承包人作出暂停施工的指示，承包人应按监理人指示暂停施工。不论由于何种原因引起的暂停施工，暂停施工期间承包人应负责妥善保护工程并提供安全保障。</w:t>
      </w:r>
    </w:p>
    <w:p w14:paraId="5EE96B89">
      <w:pPr>
        <w:pStyle w:val="115"/>
        <w:spacing w:after="120" w:line="359"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12.3.2</w:t>
      </w:r>
      <w:r>
        <w:rPr>
          <w:rFonts w:hint="eastAsia" w:ascii="宋体" w:hAnsi="宋体" w:eastAsia="宋体" w:cs="宋体"/>
          <w:color w:val="auto"/>
          <w:highlight w:val="none"/>
        </w:rPr>
        <w:t>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5EE96B8A">
      <w:pPr>
        <w:pStyle w:val="116"/>
        <w:spacing w:line="360" w:lineRule="exact"/>
        <w:rPr>
          <w:rFonts w:hint="eastAsia" w:ascii="宋体" w:hAnsi="宋体" w:eastAsia="宋体" w:cs="宋体"/>
          <w:color w:val="auto"/>
          <w:sz w:val="24"/>
          <w:szCs w:val="24"/>
          <w:highlight w:val="none"/>
          <w:lang w:eastAsia="zh-CN"/>
        </w:rPr>
      </w:pPr>
      <w:bookmarkStart w:id="1108" w:name="bookmark1219"/>
      <w:bookmarkStart w:id="1109" w:name="_Toc27786"/>
      <w:bookmarkStart w:id="1110" w:name="_Toc1283"/>
      <w:bookmarkStart w:id="1111" w:name="_Toc7679"/>
      <w:bookmarkStart w:id="1112" w:name="_Toc199152923"/>
      <w:bookmarkStart w:id="1113" w:name="_Toc164"/>
      <w:bookmarkStart w:id="1114" w:name="_Toc5658"/>
      <w:bookmarkStart w:id="1115" w:name="bookmark1218"/>
      <w:bookmarkStart w:id="1116" w:name="bookmark1217"/>
      <w:bookmarkStart w:id="1117" w:name="_Toc14048"/>
      <w:bookmarkStart w:id="1118" w:name="_Toc19848"/>
      <w:r>
        <w:rPr>
          <w:rFonts w:hint="eastAsia" w:ascii="宋体" w:hAnsi="宋体" w:eastAsia="宋体" w:cs="宋体"/>
          <w:color w:val="auto"/>
          <w:sz w:val="24"/>
          <w:szCs w:val="24"/>
          <w:highlight w:val="none"/>
          <w:lang w:eastAsia="zh-CN"/>
        </w:rPr>
        <w:t>12.4暂停施工后的复工</w:t>
      </w:r>
      <w:bookmarkEnd w:id="1108"/>
      <w:bookmarkEnd w:id="1109"/>
      <w:bookmarkEnd w:id="1110"/>
      <w:bookmarkEnd w:id="1111"/>
      <w:bookmarkEnd w:id="1112"/>
      <w:bookmarkEnd w:id="1113"/>
      <w:bookmarkEnd w:id="1114"/>
      <w:bookmarkEnd w:id="1115"/>
      <w:bookmarkEnd w:id="1116"/>
      <w:bookmarkEnd w:id="1117"/>
      <w:bookmarkEnd w:id="1118"/>
    </w:p>
    <w:p w14:paraId="5EE96B8B">
      <w:pPr>
        <w:pStyle w:val="115"/>
        <w:spacing w:after="120" w:line="359" w:lineRule="exact"/>
        <w:ind w:firstLine="440"/>
        <w:jc w:val="both"/>
        <w:rPr>
          <w:rFonts w:hint="eastAsia" w:ascii="宋体" w:hAnsi="宋体" w:eastAsia="宋体" w:cs="宋体"/>
          <w:color w:val="auto"/>
          <w:highlight w:val="none"/>
        </w:rPr>
      </w:pPr>
      <w:bookmarkStart w:id="1119" w:name="bookmark1220"/>
      <w:bookmarkEnd w:id="1119"/>
      <w:r>
        <w:rPr>
          <w:rFonts w:hint="eastAsia" w:ascii="宋体" w:hAnsi="宋体" w:eastAsia="宋体" w:cs="宋体"/>
          <w:color w:val="auto"/>
          <w:highlight w:val="none"/>
        </w:rPr>
        <w:t>12.4.1暂停施工后，监理人应与发包人和承包人协商，采取有效措施积极消除暂停施工的影响。当工程具备复工条件时，监理人应立即向承包人发出复工通知。承包人收到复工通知后，应在监理人指定的期限内复工。</w:t>
      </w:r>
    </w:p>
    <w:p w14:paraId="5EE96B8C">
      <w:pPr>
        <w:pStyle w:val="115"/>
        <w:spacing w:after="120" w:line="359" w:lineRule="exact"/>
        <w:ind w:firstLine="440"/>
        <w:jc w:val="both"/>
        <w:rPr>
          <w:rFonts w:hint="eastAsia" w:ascii="宋体" w:hAnsi="宋体" w:eastAsia="宋体" w:cs="宋体"/>
          <w:color w:val="auto"/>
          <w:highlight w:val="none"/>
        </w:rPr>
      </w:pPr>
      <w:bookmarkStart w:id="1120" w:name="bookmark1221"/>
      <w:bookmarkEnd w:id="1120"/>
      <w:r>
        <w:rPr>
          <w:rFonts w:hint="eastAsia" w:ascii="宋体" w:hAnsi="宋体" w:eastAsia="宋体" w:cs="宋体"/>
          <w:color w:val="auto"/>
          <w:highlight w:val="none"/>
        </w:rPr>
        <w:t>12</w:t>
      </w:r>
      <w:r>
        <w:rPr>
          <w:rFonts w:hint="eastAsia" w:ascii="宋体" w:hAnsi="宋体" w:eastAsia="宋体" w:cs="宋体"/>
          <w:color w:val="auto"/>
          <w:highlight w:val="none"/>
          <w:lang w:val="en-US"/>
        </w:rPr>
        <w:t>.4.</w:t>
      </w:r>
      <w:r>
        <w:rPr>
          <w:rFonts w:hint="eastAsia" w:ascii="宋体" w:hAnsi="宋体" w:eastAsia="宋体" w:cs="宋体"/>
          <w:color w:val="auto"/>
          <w:highlight w:val="none"/>
        </w:rPr>
        <w:t>2承包人无故拖延和拒绝复工的，由此增加的费用和工期延误由承包人承担；因发包人原因无法按时复工的，承包人有权要求发包人延长工期和(或)增加费用，并支付合理利润。</w:t>
      </w:r>
    </w:p>
    <w:p w14:paraId="5EE96B8D">
      <w:pPr>
        <w:pStyle w:val="116"/>
        <w:spacing w:line="360" w:lineRule="exact"/>
        <w:rPr>
          <w:rFonts w:hint="eastAsia" w:ascii="宋体" w:hAnsi="宋体" w:eastAsia="宋体" w:cs="宋体"/>
          <w:color w:val="auto"/>
          <w:sz w:val="24"/>
          <w:szCs w:val="24"/>
          <w:highlight w:val="none"/>
          <w:lang w:eastAsia="zh-CN"/>
        </w:rPr>
      </w:pPr>
      <w:bookmarkStart w:id="1121" w:name="bookmark1195"/>
      <w:bookmarkEnd w:id="1121"/>
      <w:bookmarkStart w:id="1122" w:name="_Toc23965"/>
      <w:bookmarkStart w:id="1123" w:name="_Toc31636"/>
      <w:bookmarkStart w:id="1124" w:name="_Toc6811"/>
      <w:bookmarkStart w:id="1125" w:name="_Toc24348"/>
      <w:bookmarkStart w:id="1126" w:name="_Toc199152924"/>
      <w:bookmarkStart w:id="1127" w:name="_Toc28754"/>
      <w:bookmarkStart w:id="1128" w:name="bookmark1224"/>
      <w:bookmarkStart w:id="1129" w:name="_Toc24826"/>
      <w:bookmarkStart w:id="1130" w:name="_Toc32767"/>
      <w:bookmarkStart w:id="1131" w:name="bookmark1223"/>
      <w:bookmarkStart w:id="1132" w:name="bookmark1222"/>
      <w:r>
        <w:rPr>
          <w:rFonts w:hint="eastAsia" w:ascii="宋体" w:hAnsi="宋体" w:eastAsia="宋体" w:cs="宋体"/>
          <w:color w:val="auto"/>
          <w:sz w:val="24"/>
          <w:szCs w:val="24"/>
          <w:highlight w:val="none"/>
          <w:lang w:eastAsia="zh-CN"/>
        </w:rPr>
        <w:t>12.5暂停施工持续56天以上</w:t>
      </w:r>
      <w:bookmarkEnd w:id="1122"/>
      <w:bookmarkEnd w:id="1123"/>
      <w:bookmarkEnd w:id="1124"/>
      <w:bookmarkEnd w:id="1125"/>
      <w:bookmarkEnd w:id="1126"/>
      <w:bookmarkEnd w:id="1127"/>
      <w:bookmarkEnd w:id="1128"/>
      <w:bookmarkEnd w:id="1129"/>
      <w:bookmarkEnd w:id="1130"/>
      <w:bookmarkEnd w:id="1131"/>
      <w:bookmarkEnd w:id="1132"/>
    </w:p>
    <w:p w14:paraId="5EE96B8E">
      <w:pPr>
        <w:pStyle w:val="115"/>
        <w:spacing w:line="365"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12.5.1</w:t>
      </w:r>
      <w:r>
        <w:rPr>
          <w:rFonts w:hint="eastAsia" w:ascii="宋体" w:hAnsi="宋体" w:eastAsia="宋体" w:cs="宋体"/>
          <w:color w:val="auto"/>
          <w:highlight w:val="none"/>
        </w:rPr>
        <w:t>监理人发出暂停施工指示后56天内未向承包人发出复工通知，除了该项停工属于第</w:t>
      </w:r>
      <w:r>
        <w:rPr>
          <w:rFonts w:hint="eastAsia" w:ascii="宋体" w:hAnsi="宋体" w:eastAsia="宋体" w:cs="宋体"/>
          <w:color w:val="auto"/>
          <w:highlight w:val="none"/>
          <w:lang w:val="en-US" w:bidi="en-US"/>
        </w:rPr>
        <w:t>12.1</w:t>
      </w:r>
      <w:r>
        <w:rPr>
          <w:rFonts w:hint="eastAsia" w:ascii="宋体" w:hAnsi="宋体" w:eastAsia="宋体" w:cs="宋体"/>
          <w:color w:val="auto"/>
          <w:highlight w:val="none"/>
        </w:rPr>
        <w:t>款的情况外，承包人可向监理人提交书面通知，要求监理人在收到书面通知后28天内准许已暂停施工的工程或其中一部分工程继续施工。如监理人逾期不予批准，则承包人可以通知监理人，将工程受影响的部分视为按第</w:t>
      </w:r>
      <w:r>
        <w:rPr>
          <w:rFonts w:hint="eastAsia" w:ascii="宋体" w:hAnsi="宋体" w:eastAsia="宋体" w:cs="宋体"/>
          <w:color w:val="auto"/>
          <w:highlight w:val="none"/>
          <w:lang w:val="en-US" w:bidi="en-US"/>
        </w:rPr>
        <w:t>15.1</w:t>
      </w:r>
      <w:r>
        <w:rPr>
          <w:rFonts w:hint="eastAsia" w:ascii="宋体" w:hAnsi="宋体" w:eastAsia="宋体" w:cs="宋体"/>
          <w:color w:val="auto"/>
          <w:highlight w:val="none"/>
        </w:rPr>
        <w:t>(1)项的可取消工作。如暂停施工影响到整个工程，可视为发包人违约，应按第</w:t>
      </w:r>
      <w:r>
        <w:rPr>
          <w:rFonts w:hint="eastAsia" w:ascii="宋体" w:hAnsi="宋体" w:eastAsia="宋体" w:cs="宋体"/>
          <w:color w:val="auto"/>
          <w:highlight w:val="none"/>
          <w:lang w:val="en-US" w:bidi="en-US"/>
        </w:rPr>
        <w:t>22.</w:t>
      </w:r>
      <w:r>
        <w:rPr>
          <w:rFonts w:hint="eastAsia" w:ascii="宋体" w:hAnsi="宋体" w:eastAsia="宋体" w:cs="宋体"/>
          <w:color w:val="auto"/>
          <w:highlight w:val="none"/>
        </w:rPr>
        <w:t>2款的约定办理。</w:t>
      </w:r>
    </w:p>
    <w:p w14:paraId="5EE96B8F">
      <w:pPr>
        <w:pStyle w:val="115"/>
        <w:spacing w:after="280" w:line="37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12.5.2</w:t>
      </w:r>
      <w:r>
        <w:rPr>
          <w:rFonts w:hint="eastAsia" w:ascii="宋体" w:hAnsi="宋体" w:eastAsia="宋体" w:cs="宋体"/>
          <w:color w:val="auto"/>
          <w:highlight w:val="none"/>
        </w:rPr>
        <w:t>由于承包人责任引起的暂停施工，如承包人在收到监理人暂停施工指示后56天内不认真采取有效的复工措施，造成工期延误，可视为承包人违约，应按第</w:t>
      </w:r>
      <w:r>
        <w:rPr>
          <w:rFonts w:hint="eastAsia" w:ascii="宋体" w:hAnsi="宋体" w:eastAsia="宋体" w:cs="宋体"/>
          <w:color w:val="auto"/>
          <w:highlight w:val="none"/>
          <w:lang w:val="en-US" w:bidi="en-US"/>
        </w:rPr>
        <w:t>22.1</w:t>
      </w:r>
      <w:r>
        <w:rPr>
          <w:rFonts w:hint="eastAsia" w:ascii="宋体" w:hAnsi="宋体" w:eastAsia="宋体" w:cs="宋体"/>
          <w:color w:val="auto"/>
          <w:highlight w:val="none"/>
        </w:rPr>
        <w:t>款的约定办理。</w:t>
      </w:r>
    </w:p>
    <w:p w14:paraId="5EE96B90">
      <w:pPr>
        <w:pStyle w:val="116"/>
        <w:spacing w:line="360" w:lineRule="exact"/>
        <w:rPr>
          <w:rFonts w:hint="eastAsia" w:ascii="宋体" w:hAnsi="宋体" w:eastAsia="宋体" w:cs="宋体"/>
          <w:color w:val="auto"/>
          <w:highlight w:val="none"/>
          <w:lang w:eastAsia="zh-CN"/>
        </w:rPr>
      </w:pPr>
      <w:bookmarkStart w:id="1133" w:name="bookmark1226"/>
      <w:bookmarkStart w:id="1134" w:name="_Toc6946"/>
      <w:bookmarkStart w:id="1135" w:name="_Toc18900"/>
      <w:bookmarkStart w:id="1136" w:name="_Toc26168"/>
      <w:bookmarkStart w:id="1137" w:name="_Toc199152925"/>
      <w:bookmarkStart w:id="1138" w:name="bookmark1225"/>
      <w:bookmarkStart w:id="1139" w:name="_Toc10322"/>
      <w:bookmarkStart w:id="1140" w:name="bookmark1227"/>
      <w:bookmarkStart w:id="1141" w:name="_Toc21375"/>
      <w:bookmarkStart w:id="1142" w:name="_Toc891"/>
      <w:bookmarkStart w:id="1143" w:name="_Toc32606"/>
      <w:r>
        <w:rPr>
          <w:rFonts w:hint="eastAsia" w:ascii="宋体" w:hAnsi="宋体" w:eastAsia="宋体" w:cs="宋体"/>
          <w:color w:val="auto"/>
          <w:highlight w:val="none"/>
          <w:lang w:eastAsia="zh-CN"/>
        </w:rPr>
        <w:t>13.工程质量</w:t>
      </w:r>
      <w:bookmarkEnd w:id="1133"/>
      <w:bookmarkEnd w:id="1134"/>
      <w:bookmarkEnd w:id="1135"/>
      <w:bookmarkEnd w:id="1136"/>
      <w:bookmarkEnd w:id="1137"/>
      <w:bookmarkEnd w:id="1138"/>
      <w:bookmarkEnd w:id="1139"/>
      <w:bookmarkEnd w:id="1140"/>
      <w:bookmarkEnd w:id="1141"/>
      <w:bookmarkEnd w:id="1142"/>
      <w:bookmarkEnd w:id="1143"/>
    </w:p>
    <w:p w14:paraId="5EE96B91">
      <w:pPr>
        <w:pStyle w:val="116"/>
        <w:spacing w:line="360" w:lineRule="exact"/>
        <w:rPr>
          <w:rFonts w:hint="eastAsia" w:ascii="宋体" w:hAnsi="宋体" w:eastAsia="宋体" w:cs="宋体"/>
          <w:color w:val="auto"/>
          <w:sz w:val="24"/>
          <w:szCs w:val="24"/>
          <w:highlight w:val="none"/>
          <w:lang w:eastAsia="zh-CN"/>
        </w:rPr>
      </w:pPr>
      <w:bookmarkStart w:id="1144" w:name="_Toc17065"/>
      <w:bookmarkStart w:id="1145" w:name="_Toc25521"/>
      <w:bookmarkStart w:id="1146" w:name="_Toc9402"/>
      <w:bookmarkStart w:id="1147" w:name="_Toc11707"/>
      <w:bookmarkStart w:id="1148" w:name="bookmark1228"/>
      <w:bookmarkStart w:id="1149" w:name="_Toc22625"/>
      <w:bookmarkStart w:id="1150" w:name="_Toc19924"/>
      <w:bookmarkStart w:id="1151" w:name="_Toc9064"/>
      <w:bookmarkStart w:id="1152" w:name="bookmark1229"/>
      <w:bookmarkStart w:id="1153" w:name="_Toc199152926"/>
      <w:bookmarkStart w:id="1154" w:name="bookmark1230"/>
      <w:r>
        <w:rPr>
          <w:rFonts w:hint="eastAsia" w:ascii="宋体" w:hAnsi="宋体" w:eastAsia="宋体" w:cs="宋体"/>
          <w:color w:val="auto"/>
          <w:sz w:val="24"/>
          <w:szCs w:val="24"/>
          <w:highlight w:val="none"/>
          <w:lang w:eastAsia="zh-CN"/>
        </w:rPr>
        <w:t>13.1工程质量要求</w:t>
      </w:r>
      <w:bookmarkEnd w:id="1144"/>
      <w:bookmarkEnd w:id="1145"/>
      <w:bookmarkEnd w:id="1146"/>
      <w:bookmarkEnd w:id="1147"/>
      <w:bookmarkEnd w:id="1148"/>
      <w:bookmarkEnd w:id="1149"/>
      <w:bookmarkEnd w:id="1150"/>
      <w:bookmarkEnd w:id="1151"/>
      <w:bookmarkEnd w:id="1152"/>
      <w:bookmarkEnd w:id="1153"/>
      <w:bookmarkEnd w:id="1154"/>
    </w:p>
    <w:p w14:paraId="5EE96B92">
      <w:pPr>
        <w:pStyle w:val="115"/>
        <w:tabs>
          <w:tab w:val="left" w:pos="820"/>
        </w:tabs>
        <w:spacing w:line="374" w:lineRule="exact"/>
        <w:ind w:left="420" w:firstLine="0"/>
        <w:jc w:val="both"/>
        <w:rPr>
          <w:rFonts w:hint="eastAsia" w:ascii="宋体" w:hAnsi="宋体" w:eastAsia="宋体" w:cs="宋体"/>
          <w:color w:val="auto"/>
          <w:highlight w:val="none"/>
        </w:rPr>
      </w:pPr>
      <w:bookmarkStart w:id="1155" w:name="bookmark1231"/>
      <w:bookmarkEnd w:id="1155"/>
      <w:r>
        <w:rPr>
          <w:rFonts w:hint="eastAsia" w:ascii="宋体" w:hAnsi="宋体" w:eastAsia="宋体" w:cs="宋体"/>
          <w:color w:val="auto"/>
          <w:highlight w:val="none"/>
          <w:lang w:val="en-US" w:bidi="en-US"/>
        </w:rPr>
        <w:t>13.1.</w:t>
      </w:r>
      <w:r>
        <w:rPr>
          <w:rFonts w:hint="eastAsia" w:ascii="宋体" w:hAnsi="宋体" w:eastAsia="宋体" w:cs="宋体"/>
          <w:color w:val="auto"/>
          <w:highlight w:val="none"/>
        </w:rPr>
        <w:t>1工程质量验收按合同约定验收标准执行。</w:t>
      </w:r>
    </w:p>
    <w:p w14:paraId="5EE96B93">
      <w:pPr>
        <w:pStyle w:val="115"/>
        <w:spacing w:line="374"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13.1.2</w:t>
      </w:r>
      <w:r>
        <w:rPr>
          <w:rFonts w:hint="eastAsia" w:ascii="宋体" w:hAnsi="宋体" w:eastAsia="宋体" w:cs="宋体"/>
          <w:color w:val="auto"/>
          <w:highlight w:val="none"/>
        </w:rPr>
        <w:t>因承包人原因造成工程质量达不到合同约定验收标准的，监理人有权要求承包人返工直至符合合同要求为止，由此造成的费用增加和（或）工期延误由承包人承担。</w:t>
      </w:r>
    </w:p>
    <w:p w14:paraId="5EE96B94">
      <w:pPr>
        <w:pStyle w:val="115"/>
        <w:spacing w:after="160" w:line="37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13.1.3</w:t>
      </w:r>
      <w:r>
        <w:rPr>
          <w:rFonts w:hint="eastAsia" w:ascii="宋体" w:hAnsi="宋体" w:eastAsia="宋体" w:cs="宋体"/>
          <w:color w:val="auto"/>
          <w:highlight w:val="none"/>
        </w:rPr>
        <w:t>因发包人原因造成工程质量达不到合同约定验收标准的，发包人应承担由于承包人返工造成的费用增加和（或）工期延误，并支付承包人合理利润。</w:t>
      </w:r>
    </w:p>
    <w:p w14:paraId="5EE96B95">
      <w:pPr>
        <w:pStyle w:val="116"/>
        <w:spacing w:line="360" w:lineRule="exact"/>
        <w:rPr>
          <w:rFonts w:hint="eastAsia" w:ascii="宋体" w:hAnsi="宋体" w:eastAsia="宋体" w:cs="宋体"/>
          <w:color w:val="auto"/>
          <w:sz w:val="24"/>
          <w:szCs w:val="24"/>
          <w:highlight w:val="none"/>
          <w:lang w:eastAsia="zh-CN"/>
        </w:rPr>
      </w:pPr>
      <w:bookmarkStart w:id="1156" w:name="_Toc30469"/>
      <w:bookmarkStart w:id="1157" w:name="_Toc27721"/>
      <w:bookmarkStart w:id="1158" w:name="_Toc9424"/>
      <w:bookmarkStart w:id="1159" w:name="bookmark1232"/>
      <w:bookmarkStart w:id="1160" w:name="_Toc11498"/>
      <w:bookmarkStart w:id="1161" w:name="_Toc31323"/>
      <w:bookmarkStart w:id="1162" w:name="_Toc4852"/>
      <w:bookmarkStart w:id="1163" w:name="bookmark1234"/>
      <w:bookmarkStart w:id="1164" w:name="_Toc199152927"/>
      <w:bookmarkStart w:id="1165" w:name="bookmark1233"/>
      <w:bookmarkStart w:id="1166" w:name="_Toc6308"/>
      <w:r>
        <w:rPr>
          <w:rFonts w:hint="eastAsia" w:ascii="宋体" w:hAnsi="宋体" w:eastAsia="宋体" w:cs="宋体"/>
          <w:color w:val="auto"/>
          <w:sz w:val="24"/>
          <w:szCs w:val="24"/>
          <w:highlight w:val="none"/>
          <w:lang w:eastAsia="zh-CN"/>
        </w:rPr>
        <w:t>13.2承包人的质量管理</w:t>
      </w:r>
      <w:bookmarkEnd w:id="1156"/>
      <w:bookmarkEnd w:id="1157"/>
      <w:bookmarkEnd w:id="1158"/>
      <w:bookmarkEnd w:id="1159"/>
      <w:bookmarkEnd w:id="1160"/>
      <w:bookmarkEnd w:id="1161"/>
      <w:bookmarkEnd w:id="1162"/>
      <w:bookmarkEnd w:id="1163"/>
      <w:bookmarkEnd w:id="1164"/>
      <w:bookmarkEnd w:id="1165"/>
      <w:bookmarkEnd w:id="1166"/>
    </w:p>
    <w:p w14:paraId="5EE96B96">
      <w:pPr>
        <w:pStyle w:val="115"/>
        <w:spacing w:line="361"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13.2.1</w:t>
      </w:r>
      <w:r>
        <w:rPr>
          <w:rFonts w:hint="eastAsia" w:ascii="宋体" w:hAnsi="宋体" w:eastAsia="宋体" w:cs="宋体"/>
          <w:color w:val="auto"/>
          <w:highlight w:val="none"/>
        </w:rPr>
        <w:t>承包人应在施工场地设置专门的质量检查机构，配备专职质量检查人员，建立完善的质量检查制度。承包人应按技术标准和要求（合同技术条款）约定的内容和期限</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编制工程质量保证措施文件，包括质量检查机构的组织和岗位责任、质量检查人员的组成、质量检查程序和实施细则等，提交监理人监批。监理人应在技术标准和要求（合同技术条款）约定期限内批复承包人。</w:t>
      </w:r>
    </w:p>
    <w:p w14:paraId="5EE96B97">
      <w:pPr>
        <w:pStyle w:val="115"/>
        <w:spacing w:after="240" w:line="361" w:lineRule="exact"/>
        <w:ind w:firstLine="440"/>
        <w:jc w:val="both"/>
        <w:rPr>
          <w:rFonts w:hint="eastAsia" w:ascii="宋体" w:hAnsi="宋体" w:eastAsia="宋体" w:cs="宋体"/>
          <w:color w:val="auto"/>
          <w:highlight w:val="none"/>
        </w:rPr>
      </w:pPr>
      <w:bookmarkStart w:id="1167" w:name="bookmark1235"/>
      <w:bookmarkEnd w:id="1167"/>
      <w:r>
        <w:rPr>
          <w:rFonts w:hint="eastAsia" w:ascii="宋体" w:hAnsi="宋体" w:eastAsia="宋体" w:cs="宋体"/>
          <w:color w:val="auto"/>
          <w:highlight w:val="none"/>
        </w:rPr>
        <w:t>13.2.2承包人应加强对施工人员的质量教育和技术培训，定期考核施工人员的劳动技能，严格执行规范和操作规程。</w:t>
      </w:r>
    </w:p>
    <w:p w14:paraId="5EE96B98">
      <w:pPr>
        <w:pStyle w:val="116"/>
        <w:spacing w:line="360" w:lineRule="exact"/>
        <w:rPr>
          <w:rFonts w:hint="eastAsia" w:ascii="宋体" w:hAnsi="宋体" w:eastAsia="宋体" w:cs="宋体"/>
          <w:color w:val="auto"/>
          <w:sz w:val="24"/>
          <w:szCs w:val="24"/>
          <w:highlight w:val="none"/>
          <w:lang w:eastAsia="zh-CN"/>
        </w:rPr>
      </w:pPr>
      <w:bookmarkStart w:id="1168" w:name="bookmark1237"/>
      <w:bookmarkStart w:id="1169" w:name="_Toc199152928"/>
      <w:bookmarkStart w:id="1170" w:name="_Toc27102"/>
      <w:bookmarkStart w:id="1171" w:name="_Toc30087"/>
      <w:bookmarkStart w:id="1172" w:name="_Toc1664"/>
      <w:bookmarkStart w:id="1173" w:name="_Toc27201"/>
      <w:bookmarkStart w:id="1174" w:name="_Toc19429"/>
      <w:bookmarkStart w:id="1175" w:name="_Toc25853"/>
      <w:bookmarkStart w:id="1176" w:name="bookmark1238"/>
      <w:bookmarkStart w:id="1177" w:name="_Toc17275"/>
      <w:bookmarkStart w:id="1178" w:name="bookmark1236"/>
      <w:r>
        <w:rPr>
          <w:rFonts w:hint="eastAsia" w:ascii="宋体" w:hAnsi="宋体" w:eastAsia="宋体" w:cs="宋体"/>
          <w:color w:val="auto"/>
          <w:sz w:val="24"/>
          <w:szCs w:val="24"/>
          <w:highlight w:val="none"/>
          <w:lang w:eastAsia="zh-CN"/>
        </w:rPr>
        <w:t>13.3承包人的质量检查</w:t>
      </w:r>
      <w:bookmarkEnd w:id="1168"/>
      <w:bookmarkEnd w:id="1169"/>
      <w:bookmarkEnd w:id="1170"/>
      <w:bookmarkEnd w:id="1171"/>
      <w:bookmarkEnd w:id="1172"/>
      <w:bookmarkEnd w:id="1173"/>
      <w:bookmarkEnd w:id="1174"/>
      <w:bookmarkEnd w:id="1175"/>
      <w:bookmarkEnd w:id="1176"/>
      <w:bookmarkEnd w:id="1177"/>
      <w:bookmarkEnd w:id="1178"/>
    </w:p>
    <w:p w14:paraId="5EE96B99">
      <w:pPr>
        <w:pStyle w:val="115"/>
        <w:spacing w:after="160" w:line="36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承包人应按合同约定对材料、工程设备以及工程的所有部位及其施工工艺进行全过程的质量检查和检验，并作详细记录，编制工程质量报表，报送监理人审查。</w:t>
      </w:r>
    </w:p>
    <w:p w14:paraId="5EE96B9A">
      <w:pPr>
        <w:pStyle w:val="116"/>
        <w:spacing w:line="360" w:lineRule="exact"/>
        <w:rPr>
          <w:rFonts w:hint="eastAsia" w:ascii="宋体" w:hAnsi="宋体" w:eastAsia="宋体" w:cs="宋体"/>
          <w:color w:val="auto"/>
          <w:sz w:val="24"/>
          <w:szCs w:val="24"/>
          <w:highlight w:val="none"/>
          <w:lang w:eastAsia="zh-CN"/>
        </w:rPr>
      </w:pPr>
      <w:bookmarkStart w:id="1179" w:name="bookmark1240"/>
      <w:bookmarkStart w:id="1180" w:name="_Toc30829"/>
      <w:bookmarkStart w:id="1181" w:name="_Toc26103"/>
      <w:bookmarkStart w:id="1182" w:name="_Toc14410"/>
      <w:bookmarkStart w:id="1183" w:name="_Toc27288"/>
      <w:bookmarkStart w:id="1184" w:name="_Toc2087"/>
      <w:bookmarkStart w:id="1185" w:name="_Toc199152929"/>
      <w:bookmarkStart w:id="1186" w:name="bookmark1241"/>
      <w:bookmarkStart w:id="1187" w:name="_Toc13648"/>
      <w:bookmarkStart w:id="1188" w:name="_Toc30720"/>
      <w:bookmarkStart w:id="1189" w:name="bookmark1239"/>
      <w:r>
        <w:rPr>
          <w:rFonts w:hint="eastAsia" w:ascii="宋体" w:hAnsi="宋体" w:eastAsia="宋体" w:cs="宋体"/>
          <w:color w:val="auto"/>
          <w:sz w:val="24"/>
          <w:szCs w:val="24"/>
          <w:highlight w:val="none"/>
          <w:lang w:eastAsia="zh-CN"/>
        </w:rPr>
        <w:t>13.4监理人的质量检查</w:t>
      </w:r>
      <w:bookmarkEnd w:id="1179"/>
      <w:bookmarkEnd w:id="1180"/>
      <w:bookmarkEnd w:id="1181"/>
      <w:bookmarkEnd w:id="1182"/>
      <w:bookmarkEnd w:id="1183"/>
      <w:bookmarkEnd w:id="1184"/>
      <w:bookmarkEnd w:id="1185"/>
      <w:bookmarkEnd w:id="1186"/>
      <w:bookmarkEnd w:id="1187"/>
      <w:bookmarkEnd w:id="1188"/>
      <w:bookmarkEnd w:id="1189"/>
    </w:p>
    <w:p w14:paraId="5EE96B9B">
      <w:pPr>
        <w:pStyle w:val="115"/>
        <w:spacing w:after="160" w:line="359"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5EE96B9C">
      <w:pPr>
        <w:pStyle w:val="116"/>
        <w:spacing w:line="360" w:lineRule="exact"/>
        <w:rPr>
          <w:rFonts w:hint="eastAsia" w:ascii="宋体" w:hAnsi="宋体" w:eastAsia="宋体" w:cs="宋体"/>
          <w:color w:val="auto"/>
          <w:sz w:val="24"/>
          <w:szCs w:val="24"/>
          <w:highlight w:val="none"/>
          <w:lang w:eastAsia="zh-CN"/>
        </w:rPr>
      </w:pPr>
      <w:bookmarkStart w:id="1190" w:name="bookmark1243"/>
      <w:bookmarkStart w:id="1191" w:name="_Toc16458"/>
      <w:bookmarkStart w:id="1192" w:name="_Toc26786"/>
      <w:bookmarkStart w:id="1193" w:name="_Toc28595"/>
      <w:bookmarkStart w:id="1194" w:name="bookmark1242"/>
      <w:bookmarkStart w:id="1195" w:name="_Toc3140"/>
      <w:bookmarkStart w:id="1196" w:name="bookmark1244"/>
      <w:bookmarkStart w:id="1197" w:name="_Toc9244"/>
      <w:bookmarkStart w:id="1198" w:name="_Toc4239"/>
      <w:bookmarkStart w:id="1199" w:name="_Toc199152930"/>
      <w:bookmarkStart w:id="1200" w:name="_Toc30255"/>
      <w:r>
        <w:rPr>
          <w:rFonts w:hint="eastAsia" w:ascii="宋体" w:hAnsi="宋体" w:eastAsia="宋体" w:cs="宋体"/>
          <w:color w:val="auto"/>
          <w:sz w:val="24"/>
          <w:szCs w:val="24"/>
          <w:highlight w:val="none"/>
          <w:lang w:eastAsia="zh-CN"/>
        </w:rPr>
        <w:t>13.5工程隐蔽部位覆盖前的检查</w:t>
      </w:r>
      <w:bookmarkEnd w:id="1190"/>
      <w:bookmarkEnd w:id="1191"/>
      <w:bookmarkEnd w:id="1192"/>
      <w:bookmarkEnd w:id="1193"/>
      <w:bookmarkEnd w:id="1194"/>
      <w:bookmarkEnd w:id="1195"/>
      <w:bookmarkEnd w:id="1196"/>
      <w:bookmarkEnd w:id="1197"/>
      <w:bookmarkEnd w:id="1198"/>
      <w:bookmarkEnd w:id="1199"/>
      <w:bookmarkEnd w:id="1200"/>
    </w:p>
    <w:p w14:paraId="5EE96B9D">
      <w:pPr>
        <w:pStyle w:val="115"/>
        <w:tabs>
          <w:tab w:val="left" w:pos="840"/>
        </w:tabs>
        <w:spacing w:line="360" w:lineRule="exact"/>
        <w:ind w:firstLineChars="200"/>
        <w:jc w:val="both"/>
        <w:rPr>
          <w:rFonts w:hint="eastAsia" w:ascii="宋体" w:hAnsi="宋体" w:eastAsia="宋体" w:cs="宋体"/>
          <w:color w:val="auto"/>
          <w:highlight w:val="none"/>
        </w:rPr>
      </w:pPr>
      <w:bookmarkStart w:id="1201" w:name="bookmark1245"/>
      <w:bookmarkEnd w:id="1201"/>
      <w:r>
        <w:rPr>
          <w:rFonts w:hint="eastAsia" w:ascii="宋体" w:hAnsi="宋体" w:eastAsia="宋体" w:cs="宋体"/>
          <w:color w:val="auto"/>
          <w:highlight w:val="none"/>
          <w:lang w:val="en-US" w:bidi="en-US"/>
        </w:rPr>
        <w:t>13.5.</w:t>
      </w:r>
      <w:r>
        <w:rPr>
          <w:rFonts w:hint="eastAsia" w:ascii="宋体" w:hAnsi="宋体" w:eastAsia="宋体" w:cs="宋体"/>
          <w:color w:val="auto"/>
          <w:highlight w:val="none"/>
        </w:rPr>
        <w:t>1通知监理人检查</w:t>
      </w:r>
    </w:p>
    <w:p w14:paraId="5EE96B9E">
      <w:pPr>
        <w:pStyle w:val="115"/>
        <w:spacing w:after="160"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5EE96B9F">
      <w:pPr>
        <w:pStyle w:val="115"/>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13.5.2</w:t>
      </w:r>
      <w:r>
        <w:rPr>
          <w:rFonts w:hint="eastAsia" w:ascii="宋体" w:hAnsi="宋体" w:eastAsia="宋体" w:cs="宋体"/>
          <w:color w:val="auto"/>
          <w:highlight w:val="none"/>
        </w:rPr>
        <w:t>监理人未到场检查</w:t>
      </w:r>
    </w:p>
    <w:p w14:paraId="5EE96BA0">
      <w:pPr>
        <w:pStyle w:val="115"/>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监理人未按第</w:t>
      </w:r>
      <w:r>
        <w:rPr>
          <w:rFonts w:hint="eastAsia" w:ascii="宋体" w:hAnsi="宋体" w:eastAsia="宋体" w:cs="宋体"/>
          <w:color w:val="auto"/>
          <w:highlight w:val="none"/>
          <w:lang w:val="en-US" w:bidi="en-US"/>
        </w:rPr>
        <w:t>13.5.1</w:t>
      </w:r>
      <w:r>
        <w:rPr>
          <w:rFonts w:hint="eastAsia" w:ascii="宋体" w:hAnsi="宋体" w:eastAsia="宋体" w:cs="宋体"/>
          <w:color w:val="auto"/>
          <w:highlight w:val="none"/>
        </w:rPr>
        <w:t>项约定的时间进行检查的，除监理人另有指示外，承包人可自行完成覆盖工作，并作相应记录报送监理人，监理人应签字确认。监理人事后对检查记录有疑问的，可按第</w:t>
      </w:r>
      <w:r>
        <w:rPr>
          <w:rFonts w:hint="eastAsia" w:ascii="宋体" w:hAnsi="宋体" w:eastAsia="宋体" w:cs="宋体"/>
          <w:color w:val="auto"/>
          <w:highlight w:val="none"/>
          <w:lang w:val="en-US" w:bidi="en-US"/>
        </w:rPr>
        <w:t>13.5.3</w:t>
      </w:r>
      <w:r>
        <w:rPr>
          <w:rFonts w:hint="eastAsia" w:ascii="宋体" w:hAnsi="宋体" w:eastAsia="宋体" w:cs="宋体"/>
          <w:color w:val="auto"/>
          <w:highlight w:val="none"/>
        </w:rPr>
        <w:t>项的约定重新检查。</w:t>
      </w:r>
    </w:p>
    <w:p w14:paraId="5EE96BA1">
      <w:pPr>
        <w:pStyle w:val="115"/>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13.5.3</w:t>
      </w:r>
      <w:r>
        <w:rPr>
          <w:rFonts w:hint="eastAsia" w:ascii="宋体" w:hAnsi="宋体" w:eastAsia="宋体" w:cs="宋体"/>
          <w:color w:val="auto"/>
          <w:highlight w:val="none"/>
        </w:rPr>
        <w:t>监理人重新检查</w:t>
      </w:r>
    </w:p>
    <w:p w14:paraId="5EE96BA2">
      <w:pPr>
        <w:pStyle w:val="115"/>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承包人按第</w:t>
      </w:r>
      <w:r>
        <w:rPr>
          <w:rFonts w:hint="eastAsia" w:ascii="宋体" w:hAnsi="宋体" w:eastAsia="宋体" w:cs="宋体"/>
          <w:color w:val="auto"/>
          <w:highlight w:val="none"/>
          <w:lang w:val="en-US" w:bidi="en-US"/>
        </w:rPr>
        <w:t>13.5.</w:t>
      </w:r>
      <w:r>
        <w:rPr>
          <w:rFonts w:hint="eastAsia" w:ascii="宋体" w:hAnsi="宋体" w:eastAsia="宋体" w:cs="宋体"/>
          <w:color w:val="auto"/>
          <w:highlight w:val="none"/>
        </w:rPr>
        <w:t>1项或第</w:t>
      </w:r>
      <w:r>
        <w:rPr>
          <w:rFonts w:hint="eastAsia" w:ascii="宋体" w:hAnsi="宋体" w:eastAsia="宋体" w:cs="宋体"/>
          <w:color w:val="auto"/>
          <w:highlight w:val="none"/>
          <w:lang w:val="en-US" w:bidi="en-US"/>
        </w:rPr>
        <w:t>13.5.</w:t>
      </w:r>
      <w:r>
        <w:rPr>
          <w:rFonts w:hint="eastAsia" w:ascii="宋体" w:hAnsi="宋体" w:eastAsia="宋体" w:cs="宋体"/>
          <w:color w:val="auto"/>
          <w:highlight w:val="none"/>
        </w:rPr>
        <w:t>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5EE96BA3">
      <w:pPr>
        <w:pStyle w:val="115"/>
        <w:spacing w:line="355"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13.5.4</w:t>
      </w:r>
      <w:r>
        <w:rPr>
          <w:rFonts w:hint="eastAsia" w:ascii="宋体" w:hAnsi="宋体" w:eastAsia="宋体" w:cs="宋体"/>
          <w:color w:val="auto"/>
          <w:highlight w:val="none"/>
        </w:rPr>
        <w:t>承包人私自覆盖</w:t>
      </w:r>
    </w:p>
    <w:p w14:paraId="5EE96BA4">
      <w:pPr>
        <w:pStyle w:val="115"/>
        <w:spacing w:after="120" w:line="355"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承包人未通知监理人到场检查，私自将工程隐蔽部位覆盖的，监理人有权指示承包人钻孔探测或揭开检查，由此增加的费用和（或）工期延误由承包人承担。</w:t>
      </w:r>
    </w:p>
    <w:p w14:paraId="5EE96BA5">
      <w:pPr>
        <w:pStyle w:val="116"/>
        <w:spacing w:line="360" w:lineRule="exact"/>
        <w:rPr>
          <w:rFonts w:hint="eastAsia" w:ascii="宋体" w:hAnsi="宋体" w:eastAsia="宋体" w:cs="宋体"/>
          <w:color w:val="auto"/>
          <w:sz w:val="24"/>
          <w:szCs w:val="24"/>
          <w:highlight w:val="none"/>
          <w:lang w:eastAsia="zh-CN"/>
        </w:rPr>
      </w:pPr>
      <w:bookmarkStart w:id="1202" w:name="bookmark1246"/>
      <w:bookmarkStart w:id="1203" w:name="bookmark1248"/>
      <w:bookmarkStart w:id="1204" w:name="_Toc7142"/>
      <w:bookmarkStart w:id="1205" w:name="_Toc25799"/>
      <w:bookmarkStart w:id="1206" w:name="_Toc21538"/>
      <w:bookmarkStart w:id="1207" w:name="_Toc30138"/>
      <w:bookmarkStart w:id="1208" w:name="_Toc199152931"/>
      <w:bookmarkStart w:id="1209" w:name="_Toc12807"/>
      <w:bookmarkStart w:id="1210" w:name="_Toc17861"/>
      <w:bookmarkStart w:id="1211" w:name="bookmark1247"/>
      <w:bookmarkStart w:id="1212" w:name="_Toc31851"/>
      <w:r>
        <w:rPr>
          <w:rFonts w:hint="eastAsia" w:ascii="宋体" w:hAnsi="宋体" w:eastAsia="宋体" w:cs="宋体"/>
          <w:color w:val="auto"/>
          <w:sz w:val="24"/>
          <w:szCs w:val="24"/>
          <w:highlight w:val="none"/>
          <w:lang w:eastAsia="zh-CN"/>
        </w:rPr>
        <w:t>13.6清除不合格工程</w:t>
      </w:r>
      <w:bookmarkEnd w:id="1202"/>
      <w:bookmarkEnd w:id="1203"/>
      <w:bookmarkEnd w:id="1204"/>
      <w:bookmarkEnd w:id="1205"/>
      <w:bookmarkEnd w:id="1206"/>
      <w:bookmarkEnd w:id="1207"/>
      <w:bookmarkEnd w:id="1208"/>
      <w:bookmarkEnd w:id="1209"/>
      <w:bookmarkEnd w:id="1210"/>
      <w:bookmarkEnd w:id="1211"/>
      <w:bookmarkEnd w:id="1212"/>
    </w:p>
    <w:p w14:paraId="5EE96BA6">
      <w:pPr>
        <w:pStyle w:val="115"/>
        <w:spacing w:line="36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13.6.1</w:t>
      </w:r>
      <w:r>
        <w:rPr>
          <w:rFonts w:hint="eastAsia" w:ascii="宋体" w:hAnsi="宋体" w:eastAsia="宋体" w:cs="宋体"/>
          <w:color w:val="auto"/>
          <w:highlight w:val="none"/>
        </w:rPr>
        <w:t>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5EE96BA7">
      <w:pPr>
        <w:pStyle w:val="115"/>
        <w:spacing w:line="383"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13.6.2</w:t>
      </w:r>
      <w:r>
        <w:rPr>
          <w:rFonts w:hint="eastAsia" w:ascii="宋体" w:hAnsi="宋体" w:eastAsia="宋体" w:cs="宋体"/>
          <w:color w:val="auto"/>
          <w:highlight w:val="none"/>
        </w:rPr>
        <w:t>由于发包人提供的材料或工程设备不合格造成的工程不合格，需要承包人采取措施补救的，发包人应承担由此增加的费用和（或）工期延误，并支付承包人合理利润。</w:t>
      </w:r>
    </w:p>
    <w:p w14:paraId="5EE96BA8">
      <w:pPr>
        <w:pStyle w:val="116"/>
        <w:spacing w:line="360" w:lineRule="exact"/>
        <w:rPr>
          <w:rFonts w:hint="eastAsia" w:ascii="宋体" w:hAnsi="宋体" w:eastAsia="宋体" w:cs="宋体"/>
          <w:color w:val="auto"/>
          <w:sz w:val="24"/>
          <w:szCs w:val="24"/>
          <w:highlight w:val="none"/>
          <w:lang w:eastAsia="zh-CN"/>
        </w:rPr>
      </w:pPr>
      <w:bookmarkStart w:id="1213" w:name="_Toc31279"/>
      <w:bookmarkStart w:id="1214" w:name="_Toc3708"/>
      <w:bookmarkStart w:id="1215" w:name="_Toc199152932"/>
      <w:bookmarkStart w:id="1216" w:name="_Toc14095"/>
      <w:bookmarkStart w:id="1217" w:name="_Toc29699"/>
      <w:bookmarkStart w:id="1218" w:name="_Toc23949"/>
      <w:bookmarkStart w:id="1219" w:name="_Toc8697"/>
      <w:bookmarkStart w:id="1220" w:name="_Toc13625"/>
      <w:r>
        <w:rPr>
          <w:rFonts w:hint="eastAsia" w:ascii="宋体" w:hAnsi="宋体" w:eastAsia="宋体" w:cs="宋体"/>
          <w:color w:val="auto"/>
          <w:sz w:val="24"/>
          <w:szCs w:val="24"/>
          <w:highlight w:val="none"/>
          <w:lang w:eastAsia="zh-CN"/>
        </w:rPr>
        <w:t>13.7质量评定</w:t>
      </w:r>
      <w:bookmarkEnd w:id="1213"/>
      <w:bookmarkEnd w:id="1214"/>
      <w:bookmarkEnd w:id="1215"/>
      <w:bookmarkEnd w:id="1216"/>
      <w:bookmarkEnd w:id="1217"/>
      <w:bookmarkEnd w:id="1218"/>
      <w:bookmarkEnd w:id="1219"/>
      <w:bookmarkEnd w:id="1220"/>
    </w:p>
    <w:p w14:paraId="5EE96BA9">
      <w:pPr>
        <w:pStyle w:val="115"/>
        <w:spacing w:line="37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13.7.1</w:t>
      </w:r>
      <w:r>
        <w:rPr>
          <w:rFonts w:hint="eastAsia" w:ascii="宋体" w:hAnsi="宋体" w:eastAsia="宋体" w:cs="宋体"/>
          <w:color w:val="auto"/>
          <w:highlight w:val="none"/>
        </w:rPr>
        <w:t>发包人应组织承包人进行工程项目划分，并确定单位工程、主要分部工程、重要隐蔽单元工程和关键部位单元工程。</w:t>
      </w:r>
    </w:p>
    <w:p w14:paraId="5EE96BAA">
      <w:pPr>
        <w:pStyle w:val="115"/>
        <w:spacing w:line="36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13.7.2</w:t>
      </w:r>
      <w:r>
        <w:rPr>
          <w:rFonts w:hint="eastAsia" w:ascii="宋体" w:hAnsi="宋体" w:eastAsia="宋体" w:cs="宋体"/>
          <w:color w:val="auto"/>
          <w:highlight w:val="none"/>
        </w:rPr>
        <w:t>工程实施过程中，单位工程、主要分部工程、重要隐蔽单元工程和关键部位单元工程的项目划分需要调整时，承包人应报发包人确认。</w:t>
      </w:r>
    </w:p>
    <w:p w14:paraId="5EE96BAB">
      <w:pPr>
        <w:pStyle w:val="115"/>
        <w:spacing w:line="365"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13.7.3</w:t>
      </w:r>
      <w:r>
        <w:rPr>
          <w:rFonts w:hint="eastAsia" w:ascii="宋体" w:hAnsi="宋体" w:eastAsia="宋体" w:cs="宋体"/>
          <w:color w:val="auto"/>
          <w:highlight w:val="none"/>
        </w:rPr>
        <w:t>承包人应在单元（工序）工程质量自评合格后，报监理人核定质量等级并签证认可。</w:t>
      </w:r>
    </w:p>
    <w:p w14:paraId="5EE96BAC">
      <w:pPr>
        <w:pStyle w:val="115"/>
        <w:spacing w:line="359"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13.7.4</w:t>
      </w:r>
      <w:r>
        <w:rPr>
          <w:rFonts w:hint="eastAsia" w:ascii="宋体" w:hAnsi="宋体" w:eastAsia="宋体" w:cs="宋体"/>
          <w:color w:val="auto"/>
          <w:highlight w:val="none"/>
        </w:rPr>
        <w:t>除专用合同条款另有约定外，承包人应在重要隐蔽单元工程和关键部位单元工程质量自评合格后以及监理人抽检后，由监理人组织承包人等单位组成的联合小组，共同检查核定其质量等级并填写签证表。发包人按有关规定完成质量结论报工程质量监督机构核备手续。</w:t>
      </w:r>
    </w:p>
    <w:p w14:paraId="5EE96BAD">
      <w:pPr>
        <w:pStyle w:val="115"/>
        <w:spacing w:line="374"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13.7.5</w:t>
      </w:r>
      <w:r>
        <w:rPr>
          <w:rFonts w:hint="eastAsia" w:ascii="宋体" w:hAnsi="宋体" w:eastAsia="宋体" w:cs="宋体"/>
          <w:color w:val="auto"/>
          <w:highlight w:val="none"/>
        </w:rPr>
        <w:t>承包人应在分部工程质量自评合格后，报监理人复核和发包人认定。发包人负责按有关规定完成分部工程质量结论报工程质量监督机构核备（核定）手续。</w:t>
      </w:r>
    </w:p>
    <w:p w14:paraId="5EE96BAE">
      <w:pPr>
        <w:pStyle w:val="115"/>
        <w:spacing w:line="374"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13.7.6</w:t>
      </w:r>
      <w:r>
        <w:rPr>
          <w:rFonts w:hint="eastAsia" w:ascii="宋体" w:hAnsi="宋体" w:eastAsia="宋体" w:cs="宋体"/>
          <w:color w:val="auto"/>
          <w:highlight w:val="none"/>
        </w:rPr>
        <w:t>承包人应在单位工程质量自评合格后，报监理人复核和发包人认定。发包人负责按有关规定完成单位工程质量结论报工程质量监督机构核定手续。</w:t>
      </w:r>
    </w:p>
    <w:p w14:paraId="5EE96BAF">
      <w:pPr>
        <w:pStyle w:val="115"/>
        <w:spacing w:after="120" w:line="365"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13.7.7</w:t>
      </w:r>
      <w:r>
        <w:rPr>
          <w:rFonts w:hint="eastAsia" w:ascii="宋体" w:hAnsi="宋体" w:eastAsia="宋体" w:cs="宋体"/>
          <w:color w:val="auto"/>
          <w:highlight w:val="none"/>
        </w:rPr>
        <w:t>除专用合同条款另有约定外，工程质量等级分为合格和优良，应分别达到约定的标准。</w:t>
      </w:r>
    </w:p>
    <w:p w14:paraId="5EE96BB0">
      <w:pPr>
        <w:pStyle w:val="116"/>
        <w:spacing w:line="360" w:lineRule="exact"/>
        <w:rPr>
          <w:rFonts w:hint="eastAsia" w:ascii="宋体" w:hAnsi="宋体" w:eastAsia="宋体" w:cs="宋体"/>
          <w:color w:val="auto"/>
          <w:sz w:val="24"/>
          <w:szCs w:val="24"/>
          <w:highlight w:val="none"/>
          <w:lang w:eastAsia="zh-CN"/>
        </w:rPr>
      </w:pPr>
      <w:bookmarkStart w:id="1221" w:name="_Toc21295"/>
      <w:bookmarkStart w:id="1222" w:name="_Toc199152933"/>
      <w:bookmarkStart w:id="1223" w:name="_Toc11291"/>
      <w:bookmarkStart w:id="1224" w:name="_Toc30730"/>
      <w:bookmarkStart w:id="1225" w:name="_Toc19883"/>
      <w:bookmarkStart w:id="1226" w:name="bookmark1251"/>
      <w:bookmarkStart w:id="1227" w:name="bookmark1249"/>
      <w:bookmarkStart w:id="1228" w:name="_Toc26803"/>
      <w:bookmarkStart w:id="1229" w:name="_Toc385"/>
      <w:bookmarkStart w:id="1230" w:name="_Toc10580"/>
      <w:bookmarkStart w:id="1231" w:name="bookmark1250"/>
      <w:r>
        <w:rPr>
          <w:rFonts w:hint="eastAsia" w:ascii="宋体" w:hAnsi="宋体" w:eastAsia="宋体" w:cs="宋体"/>
          <w:color w:val="auto"/>
          <w:sz w:val="24"/>
          <w:szCs w:val="24"/>
          <w:highlight w:val="none"/>
          <w:lang w:eastAsia="zh-CN"/>
        </w:rPr>
        <w:t>13.8质量事故处理</w:t>
      </w:r>
      <w:bookmarkEnd w:id="1221"/>
      <w:bookmarkEnd w:id="1222"/>
      <w:bookmarkEnd w:id="1223"/>
      <w:bookmarkEnd w:id="1224"/>
      <w:bookmarkEnd w:id="1225"/>
      <w:bookmarkEnd w:id="1226"/>
      <w:bookmarkEnd w:id="1227"/>
      <w:bookmarkEnd w:id="1228"/>
      <w:bookmarkEnd w:id="1229"/>
      <w:bookmarkEnd w:id="1230"/>
      <w:bookmarkEnd w:id="1231"/>
    </w:p>
    <w:p w14:paraId="5EE96BB1">
      <w:pPr>
        <w:pStyle w:val="115"/>
        <w:spacing w:line="362"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13.8.1</w:t>
      </w:r>
      <w:r>
        <w:rPr>
          <w:rFonts w:hint="eastAsia" w:ascii="宋体" w:hAnsi="宋体" w:eastAsia="宋体" w:cs="宋体"/>
          <w:color w:val="auto"/>
          <w:highlight w:val="none"/>
        </w:rPr>
        <w:t>发生质量事故时，承包人应及时向发包人和监理人报告。</w:t>
      </w:r>
    </w:p>
    <w:p w14:paraId="5EE96BB2">
      <w:pPr>
        <w:pStyle w:val="115"/>
        <w:spacing w:line="362"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13.8.2</w:t>
      </w:r>
      <w:r>
        <w:rPr>
          <w:rFonts w:hint="eastAsia" w:ascii="宋体" w:hAnsi="宋体" w:eastAsia="宋体" w:cs="宋体"/>
          <w:color w:val="auto"/>
          <w:highlight w:val="none"/>
        </w:rPr>
        <w:t>质量事故调查处理由发包人按相关规定履行手续，承包人应配合。</w:t>
      </w:r>
    </w:p>
    <w:p w14:paraId="5EE96BB3">
      <w:pPr>
        <w:pStyle w:val="115"/>
        <w:spacing w:line="36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13.8.3</w:t>
      </w:r>
      <w:r>
        <w:rPr>
          <w:rFonts w:hint="eastAsia" w:ascii="宋体" w:hAnsi="宋体" w:eastAsia="宋体" w:cs="宋体"/>
          <w:color w:val="auto"/>
          <w:highlight w:val="none"/>
        </w:rPr>
        <w:t>承包人应对质量缺陷进行备案。发包人委托监理人对质量缺陷备案情况进行监督检查并履行相关手续。</w:t>
      </w:r>
    </w:p>
    <w:p w14:paraId="5EE96BB4">
      <w:pPr>
        <w:pStyle w:val="115"/>
        <w:spacing w:after="240" w:line="358"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13.8.4</w:t>
      </w:r>
      <w:r>
        <w:rPr>
          <w:rFonts w:hint="eastAsia" w:ascii="宋体" w:hAnsi="宋体" w:eastAsia="宋体" w:cs="宋体"/>
          <w:color w:val="auto"/>
          <w:highlight w:val="none"/>
        </w:rPr>
        <w:t>除专用合同条款另有约定外，工程竣工验收时，发包人负责向竣工验收委员会汇报并提交历次质量缺陷处理的备案资料。</w:t>
      </w:r>
    </w:p>
    <w:p w14:paraId="5EE96BB5">
      <w:pPr>
        <w:pStyle w:val="116"/>
        <w:spacing w:line="360" w:lineRule="exact"/>
        <w:rPr>
          <w:rFonts w:hint="eastAsia" w:ascii="宋体" w:hAnsi="宋体" w:eastAsia="宋体" w:cs="宋体"/>
          <w:color w:val="auto"/>
          <w:highlight w:val="none"/>
          <w:lang w:eastAsia="zh-CN"/>
        </w:rPr>
      </w:pPr>
      <w:bookmarkStart w:id="1232" w:name="_Toc28565"/>
      <w:bookmarkStart w:id="1233" w:name="_Toc17645"/>
      <w:bookmarkStart w:id="1234" w:name="_Toc3911"/>
      <w:bookmarkStart w:id="1235" w:name="bookmark1252"/>
      <w:bookmarkStart w:id="1236" w:name="_Toc13569"/>
      <w:bookmarkStart w:id="1237" w:name="bookmark1253"/>
      <w:bookmarkStart w:id="1238" w:name="_Toc5378"/>
      <w:bookmarkStart w:id="1239" w:name="_Toc26479"/>
      <w:bookmarkStart w:id="1240" w:name="bookmark1254"/>
      <w:bookmarkStart w:id="1241" w:name="_Toc199152934"/>
      <w:bookmarkStart w:id="1242" w:name="_Toc5837"/>
      <w:r>
        <w:rPr>
          <w:rFonts w:hint="eastAsia" w:ascii="宋体" w:hAnsi="宋体" w:eastAsia="宋体" w:cs="宋体"/>
          <w:color w:val="auto"/>
          <w:highlight w:val="none"/>
          <w:lang w:eastAsia="zh-CN"/>
        </w:rPr>
        <w:t>14.试验和检验</w:t>
      </w:r>
      <w:bookmarkEnd w:id="1232"/>
      <w:bookmarkEnd w:id="1233"/>
      <w:bookmarkEnd w:id="1234"/>
      <w:bookmarkEnd w:id="1235"/>
      <w:bookmarkEnd w:id="1236"/>
      <w:bookmarkEnd w:id="1237"/>
      <w:bookmarkEnd w:id="1238"/>
      <w:bookmarkEnd w:id="1239"/>
      <w:bookmarkEnd w:id="1240"/>
      <w:bookmarkEnd w:id="1241"/>
      <w:bookmarkEnd w:id="1242"/>
    </w:p>
    <w:p w14:paraId="5EE96BB6">
      <w:pPr>
        <w:pStyle w:val="116"/>
        <w:spacing w:line="360" w:lineRule="exact"/>
        <w:rPr>
          <w:rFonts w:hint="eastAsia" w:ascii="宋体" w:hAnsi="宋体" w:eastAsia="宋体" w:cs="宋体"/>
          <w:color w:val="auto"/>
          <w:sz w:val="24"/>
          <w:szCs w:val="24"/>
          <w:highlight w:val="none"/>
          <w:lang w:eastAsia="zh-CN"/>
        </w:rPr>
      </w:pPr>
      <w:bookmarkStart w:id="1243" w:name="_Toc18503"/>
      <w:bookmarkStart w:id="1244" w:name="_Toc17325"/>
      <w:bookmarkStart w:id="1245" w:name="_Toc16875"/>
      <w:bookmarkStart w:id="1246" w:name="bookmark1257"/>
      <w:bookmarkStart w:id="1247" w:name="_Toc1316"/>
      <w:bookmarkStart w:id="1248" w:name="_Toc199152935"/>
      <w:bookmarkStart w:id="1249" w:name="_Toc20832"/>
      <w:bookmarkStart w:id="1250" w:name="bookmark1255"/>
      <w:bookmarkStart w:id="1251" w:name="_Toc20745"/>
      <w:bookmarkStart w:id="1252" w:name="bookmark1256"/>
      <w:bookmarkStart w:id="1253" w:name="_Toc20293"/>
      <w:r>
        <w:rPr>
          <w:rFonts w:hint="eastAsia" w:ascii="宋体" w:hAnsi="宋体" w:eastAsia="宋体" w:cs="宋体"/>
          <w:color w:val="auto"/>
          <w:sz w:val="24"/>
          <w:szCs w:val="24"/>
          <w:highlight w:val="none"/>
          <w:lang w:eastAsia="zh-CN"/>
        </w:rPr>
        <w:t>14.1材料、工程设备和工程的试验和检验</w:t>
      </w:r>
      <w:bookmarkEnd w:id="1243"/>
      <w:bookmarkEnd w:id="1244"/>
      <w:bookmarkEnd w:id="1245"/>
      <w:bookmarkEnd w:id="1246"/>
      <w:bookmarkEnd w:id="1247"/>
      <w:bookmarkEnd w:id="1248"/>
      <w:bookmarkEnd w:id="1249"/>
      <w:bookmarkEnd w:id="1250"/>
      <w:bookmarkEnd w:id="1251"/>
      <w:bookmarkEnd w:id="1252"/>
      <w:bookmarkEnd w:id="1253"/>
    </w:p>
    <w:p w14:paraId="5EE96BB7">
      <w:pPr>
        <w:pStyle w:val="115"/>
        <w:spacing w:line="356" w:lineRule="exact"/>
        <w:ind w:firstLine="440"/>
        <w:jc w:val="both"/>
        <w:rPr>
          <w:rFonts w:hint="eastAsia" w:ascii="宋体" w:hAnsi="宋体" w:eastAsia="宋体" w:cs="宋体"/>
          <w:color w:val="auto"/>
          <w:highlight w:val="none"/>
        </w:rPr>
      </w:pPr>
      <w:bookmarkStart w:id="1254" w:name="bookmark1258"/>
      <w:bookmarkEnd w:id="1254"/>
      <w:r>
        <w:rPr>
          <w:rFonts w:hint="eastAsia" w:ascii="宋体" w:hAnsi="宋体" w:eastAsia="宋体" w:cs="宋体"/>
          <w:color w:val="auto"/>
          <w:highlight w:val="none"/>
        </w:rPr>
        <w:t>14.1.1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5EE96BB8">
      <w:pPr>
        <w:pStyle w:val="115"/>
        <w:spacing w:line="356"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14.1.2</w:t>
      </w:r>
      <w:r>
        <w:rPr>
          <w:rFonts w:hint="eastAsia" w:ascii="宋体" w:hAnsi="宋体" w:eastAsia="宋体" w:cs="宋体"/>
          <w:color w:val="auto"/>
          <w:highlight w:val="none"/>
        </w:rPr>
        <w:t>监理人未按合同约定派员参加试验和检验的，除监理人另有指示外，承包人可自行试验和检验，并应立即将试验和检验结果报送监理人，监理人应签字确认。</w:t>
      </w:r>
    </w:p>
    <w:p w14:paraId="5EE96BB9">
      <w:pPr>
        <w:pStyle w:val="115"/>
        <w:spacing w:line="356"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14.1.3</w:t>
      </w:r>
      <w:r>
        <w:rPr>
          <w:rFonts w:hint="eastAsia" w:ascii="宋体" w:hAnsi="宋体" w:eastAsia="宋体" w:cs="宋体"/>
          <w:color w:val="auto"/>
          <w:highlight w:val="none"/>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5EE96BBA">
      <w:pPr>
        <w:pStyle w:val="115"/>
        <w:spacing w:line="356"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14.1.4</w:t>
      </w:r>
      <w:r>
        <w:rPr>
          <w:rFonts w:hint="eastAsia" w:ascii="宋体" w:hAnsi="宋体" w:eastAsia="宋体" w:cs="宋体"/>
          <w:color w:val="auto"/>
          <w:highlight w:val="none"/>
        </w:rPr>
        <w:t>承包人应按相关规定和标准对水泥、钢材等原材料与中间产品质量进行检验</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并报监理人复核。</w:t>
      </w:r>
    </w:p>
    <w:p w14:paraId="5EE96BBB">
      <w:pPr>
        <w:pStyle w:val="115"/>
        <w:spacing w:line="356"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14.1.5</w:t>
      </w:r>
      <w:r>
        <w:rPr>
          <w:rFonts w:hint="eastAsia" w:ascii="宋体" w:hAnsi="宋体" w:eastAsia="宋体" w:cs="宋体"/>
          <w:color w:val="auto"/>
          <w:highlight w:val="none"/>
        </w:rPr>
        <w:t>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14:paraId="5EE96BBC">
      <w:pPr>
        <w:pStyle w:val="115"/>
        <w:spacing w:after="120" w:line="356"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14.1.6</w:t>
      </w:r>
      <w:r>
        <w:rPr>
          <w:rFonts w:hint="eastAsia" w:ascii="宋体" w:hAnsi="宋体" w:eastAsia="宋体" w:cs="宋体"/>
          <w:color w:val="auto"/>
          <w:highlight w:val="none"/>
        </w:rPr>
        <w:t>对专用合同条款约定的试块、试件及有关材料，监理人实行见证取样。见证取样资料由承包人制备，记录应真实齐全，监理人、承包人等参与见证取样人员均应在相关文件上签字。</w:t>
      </w:r>
    </w:p>
    <w:p w14:paraId="5EE96BBD">
      <w:pPr>
        <w:pStyle w:val="116"/>
        <w:spacing w:line="360" w:lineRule="exact"/>
        <w:rPr>
          <w:rFonts w:hint="eastAsia" w:ascii="宋体" w:hAnsi="宋体" w:eastAsia="宋体" w:cs="宋体"/>
          <w:color w:val="auto"/>
          <w:sz w:val="24"/>
          <w:szCs w:val="24"/>
          <w:highlight w:val="none"/>
          <w:lang w:eastAsia="zh-CN"/>
        </w:rPr>
      </w:pPr>
      <w:bookmarkStart w:id="1255" w:name="_Toc24338"/>
      <w:bookmarkStart w:id="1256" w:name="bookmark1261"/>
      <w:bookmarkStart w:id="1257" w:name="_Toc26178"/>
      <w:bookmarkStart w:id="1258" w:name="_Toc1429"/>
      <w:bookmarkStart w:id="1259" w:name="_Toc14939"/>
      <w:bookmarkStart w:id="1260" w:name="_Toc3682"/>
      <w:bookmarkStart w:id="1261" w:name="_Toc199152936"/>
      <w:bookmarkStart w:id="1262" w:name="bookmark1259"/>
      <w:bookmarkStart w:id="1263" w:name="bookmark1260"/>
      <w:bookmarkStart w:id="1264" w:name="_Toc14685"/>
      <w:bookmarkStart w:id="1265" w:name="_Toc31218"/>
      <w:r>
        <w:rPr>
          <w:rFonts w:hint="eastAsia" w:ascii="宋体" w:hAnsi="宋体" w:eastAsia="宋体" w:cs="宋体"/>
          <w:color w:val="auto"/>
          <w:sz w:val="24"/>
          <w:szCs w:val="24"/>
          <w:highlight w:val="none"/>
          <w:lang w:eastAsia="zh-CN"/>
        </w:rPr>
        <w:t>14.2现场材料试验</w:t>
      </w:r>
      <w:bookmarkEnd w:id="1255"/>
      <w:bookmarkEnd w:id="1256"/>
      <w:bookmarkEnd w:id="1257"/>
      <w:bookmarkEnd w:id="1258"/>
      <w:bookmarkEnd w:id="1259"/>
      <w:bookmarkEnd w:id="1260"/>
      <w:bookmarkEnd w:id="1261"/>
      <w:bookmarkEnd w:id="1262"/>
      <w:bookmarkEnd w:id="1263"/>
      <w:bookmarkEnd w:id="1264"/>
      <w:bookmarkEnd w:id="1265"/>
    </w:p>
    <w:p w14:paraId="5EE96BBE">
      <w:pPr>
        <w:pStyle w:val="115"/>
        <w:spacing w:line="356" w:lineRule="exact"/>
        <w:ind w:firstLine="440"/>
        <w:jc w:val="both"/>
        <w:rPr>
          <w:rFonts w:hint="eastAsia" w:ascii="宋体" w:hAnsi="宋体" w:eastAsia="宋体" w:cs="宋体"/>
          <w:color w:val="auto"/>
          <w:highlight w:val="none"/>
        </w:rPr>
      </w:pPr>
      <w:bookmarkStart w:id="1266" w:name="bookmark1262"/>
      <w:bookmarkEnd w:id="1266"/>
      <w:r>
        <w:rPr>
          <w:rFonts w:hint="eastAsia" w:ascii="宋体" w:hAnsi="宋体" w:eastAsia="宋体" w:cs="宋体"/>
          <w:color w:val="auto"/>
          <w:highlight w:val="none"/>
          <w:lang w:val="en-US" w:bidi="en-US"/>
        </w:rPr>
        <w:t>14.2.</w:t>
      </w:r>
      <w:r>
        <w:rPr>
          <w:rFonts w:hint="eastAsia" w:ascii="宋体" w:hAnsi="宋体" w:eastAsia="宋体" w:cs="宋体"/>
          <w:color w:val="auto"/>
          <w:highlight w:val="none"/>
        </w:rPr>
        <w:t>1承包人根据合同约定或监理人指示进行的现场材料试验，应由承包人提供试验场所、试验人员、试验设备器材以及其他必要的试验条件。</w:t>
      </w:r>
    </w:p>
    <w:p w14:paraId="5EE96BBF">
      <w:pPr>
        <w:pStyle w:val="115"/>
        <w:spacing w:line="356" w:lineRule="exact"/>
        <w:ind w:firstLine="440"/>
        <w:jc w:val="both"/>
        <w:rPr>
          <w:rFonts w:hint="eastAsia" w:ascii="宋体" w:hAnsi="宋体" w:eastAsia="宋体" w:cs="宋体"/>
          <w:color w:val="auto"/>
          <w:highlight w:val="none"/>
        </w:rPr>
      </w:pPr>
      <w:bookmarkStart w:id="1267" w:name="bookmark1263"/>
      <w:bookmarkEnd w:id="1267"/>
      <w:r>
        <w:rPr>
          <w:rFonts w:hint="eastAsia" w:ascii="宋体" w:hAnsi="宋体" w:eastAsia="宋体" w:cs="宋体"/>
          <w:color w:val="auto"/>
          <w:highlight w:val="none"/>
          <w:lang w:val="en-US" w:bidi="en-US"/>
        </w:rPr>
        <w:t>14.2.</w:t>
      </w:r>
      <w:r>
        <w:rPr>
          <w:rFonts w:hint="eastAsia" w:ascii="宋体" w:hAnsi="宋体" w:eastAsia="宋体" w:cs="宋体"/>
          <w:color w:val="auto"/>
          <w:highlight w:val="none"/>
        </w:rPr>
        <w:t>2监理人在必要时可以使用承包人的试验场所、试验设备器材以及其他试验条件，进行以工程质量检查为目的的复核性材料试验，承包人应予以协助。</w:t>
      </w:r>
    </w:p>
    <w:p w14:paraId="5EE96BC0">
      <w:pPr>
        <w:pStyle w:val="116"/>
        <w:spacing w:line="360" w:lineRule="exact"/>
        <w:rPr>
          <w:rFonts w:hint="eastAsia" w:ascii="宋体" w:hAnsi="宋体" w:eastAsia="宋体" w:cs="宋体"/>
          <w:color w:val="auto"/>
          <w:sz w:val="24"/>
          <w:szCs w:val="24"/>
          <w:highlight w:val="none"/>
          <w:lang w:eastAsia="zh-CN"/>
        </w:rPr>
      </w:pPr>
      <w:bookmarkStart w:id="1268" w:name="bookmark1264"/>
      <w:bookmarkStart w:id="1269" w:name="_Toc21991"/>
      <w:bookmarkStart w:id="1270" w:name="_Toc6572"/>
      <w:bookmarkStart w:id="1271" w:name="bookmark1265"/>
      <w:bookmarkStart w:id="1272" w:name="_Toc31173"/>
      <w:bookmarkStart w:id="1273" w:name="bookmark1266"/>
      <w:bookmarkStart w:id="1274" w:name="_Toc9735"/>
      <w:bookmarkStart w:id="1275" w:name="_Toc24817"/>
      <w:bookmarkStart w:id="1276" w:name="_Toc23143"/>
      <w:bookmarkStart w:id="1277" w:name="_Toc199152937"/>
      <w:bookmarkStart w:id="1278" w:name="_Toc16192"/>
      <w:r>
        <w:rPr>
          <w:rFonts w:hint="eastAsia" w:ascii="宋体" w:hAnsi="宋体" w:eastAsia="宋体" w:cs="宋体"/>
          <w:color w:val="auto"/>
          <w:sz w:val="24"/>
          <w:szCs w:val="24"/>
          <w:highlight w:val="none"/>
          <w:lang w:eastAsia="zh-CN"/>
        </w:rPr>
        <w:t>14.3现场工艺试验</w:t>
      </w:r>
      <w:bookmarkEnd w:id="1268"/>
      <w:bookmarkEnd w:id="1269"/>
      <w:bookmarkEnd w:id="1270"/>
      <w:bookmarkEnd w:id="1271"/>
      <w:bookmarkEnd w:id="1272"/>
      <w:bookmarkEnd w:id="1273"/>
      <w:bookmarkEnd w:id="1274"/>
      <w:bookmarkEnd w:id="1275"/>
      <w:bookmarkEnd w:id="1276"/>
      <w:bookmarkEnd w:id="1277"/>
      <w:bookmarkEnd w:id="1278"/>
    </w:p>
    <w:p w14:paraId="5EE96BC1">
      <w:pPr>
        <w:pStyle w:val="115"/>
        <w:spacing w:after="120"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5EE96BC2">
      <w:pPr>
        <w:pStyle w:val="116"/>
        <w:spacing w:line="360" w:lineRule="exact"/>
        <w:rPr>
          <w:rFonts w:hint="eastAsia" w:ascii="宋体" w:hAnsi="宋体" w:eastAsia="宋体" w:cs="宋体"/>
          <w:color w:val="auto"/>
          <w:highlight w:val="none"/>
          <w:lang w:eastAsia="zh-CN"/>
        </w:rPr>
      </w:pPr>
      <w:bookmarkStart w:id="1279" w:name="_Toc9457"/>
      <w:bookmarkStart w:id="1280" w:name="_Toc9858"/>
      <w:bookmarkStart w:id="1281" w:name="_Toc5835"/>
      <w:bookmarkStart w:id="1282" w:name="_Toc199152938"/>
      <w:bookmarkStart w:id="1283" w:name="_Toc9323"/>
      <w:bookmarkStart w:id="1284" w:name="_Toc24893"/>
      <w:bookmarkStart w:id="1285" w:name="_Toc28735"/>
      <w:bookmarkStart w:id="1286" w:name="_Toc5435"/>
      <w:bookmarkStart w:id="1287" w:name="bookmark1269"/>
      <w:bookmarkStart w:id="1288" w:name="bookmark1268"/>
      <w:bookmarkStart w:id="1289" w:name="bookmark1267"/>
      <w:r>
        <w:rPr>
          <w:rFonts w:hint="eastAsia" w:ascii="宋体" w:hAnsi="宋体" w:eastAsia="宋体" w:cs="宋体"/>
          <w:color w:val="auto"/>
          <w:highlight w:val="none"/>
          <w:lang w:eastAsia="zh-CN"/>
        </w:rPr>
        <w:t>15.变更</w:t>
      </w:r>
      <w:bookmarkEnd w:id="1279"/>
      <w:bookmarkEnd w:id="1280"/>
      <w:bookmarkEnd w:id="1281"/>
      <w:bookmarkEnd w:id="1282"/>
      <w:bookmarkEnd w:id="1283"/>
      <w:bookmarkEnd w:id="1284"/>
      <w:bookmarkEnd w:id="1285"/>
      <w:bookmarkEnd w:id="1286"/>
      <w:bookmarkEnd w:id="1287"/>
    </w:p>
    <w:p w14:paraId="5EE96BC3">
      <w:pPr>
        <w:pStyle w:val="116"/>
        <w:spacing w:line="360" w:lineRule="exact"/>
        <w:rPr>
          <w:rFonts w:hint="eastAsia" w:ascii="宋体" w:hAnsi="宋体" w:eastAsia="宋体" w:cs="宋体"/>
          <w:color w:val="auto"/>
          <w:sz w:val="24"/>
          <w:szCs w:val="24"/>
          <w:highlight w:val="none"/>
          <w:lang w:eastAsia="zh-CN"/>
        </w:rPr>
      </w:pPr>
      <w:bookmarkStart w:id="1290" w:name="_Toc12295"/>
      <w:bookmarkStart w:id="1291" w:name="_Toc18303"/>
      <w:bookmarkStart w:id="1292" w:name="_Toc11187"/>
      <w:bookmarkStart w:id="1293" w:name="_Toc24745"/>
      <w:bookmarkStart w:id="1294" w:name="_Toc8153"/>
      <w:bookmarkStart w:id="1295" w:name="_Toc18451"/>
      <w:bookmarkStart w:id="1296" w:name="bookmark1270"/>
      <w:bookmarkStart w:id="1297" w:name="_Toc30097"/>
      <w:bookmarkStart w:id="1298" w:name="_Toc199152939"/>
      <w:r>
        <w:rPr>
          <w:rFonts w:hint="eastAsia" w:ascii="宋体" w:hAnsi="宋体" w:eastAsia="宋体" w:cs="宋体"/>
          <w:color w:val="auto"/>
          <w:sz w:val="24"/>
          <w:szCs w:val="24"/>
          <w:highlight w:val="none"/>
          <w:lang w:eastAsia="zh-CN"/>
        </w:rPr>
        <w:t>15.1变更的范围和内容</w:t>
      </w:r>
      <w:bookmarkEnd w:id="1288"/>
      <w:bookmarkEnd w:id="1289"/>
      <w:bookmarkEnd w:id="1290"/>
      <w:bookmarkEnd w:id="1291"/>
      <w:bookmarkEnd w:id="1292"/>
      <w:bookmarkEnd w:id="1293"/>
      <w:bookmarkEnd w:id="1294"/>
      <w:bookmarkEnd w:id="1295"/>
      <w:bookmarkEnd w:id="1296"/>
      <w:bookmarkEnd w:id="1297"/>
      <w:bookmarkEnd w:id="1298"/>
    </w:p>
    <w:p w14:paraId="5EE96BC4">
      <w:pPr>
        <w:pStyle w:val="115"/>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在履行合同中发生以下情形之一，应按照本条规定进行变更。</w:t>
      </w:r>
    </w:p>
    <w:p w14:paraId="5EE96BC5">
      <w:pPr>
        <w:pStyle w:val="115"/>
        <w:numPr>
          <w:ilvl w:val="0"/>
          <w:numId w:val="11"/>
        </w:numPr>
        <w:tabs>
          <w:tab w:val="left" w:pos="923"/>
        </w:tabs>
        <w:spacing w:line="360" w:lineRule="exact"/>
        <w:ind w:firstLine="440"/>
        <w:jc w:val="both"/>
        <w:rPr>
          <w:rFonts w:hint="eastAsia" w:ascii="宋体" w:hAnsi="宋体" w:eastAsia="宋体" w:cs="宋体"/>
          <w:color w:val="auto"/>
          <w:highlight w:val="none"/>
        </w:rPr>
      </w:pPr>
      <w:bookmarkStart w:id="1299" w:name="bookmark1271"/>
      <w:bookmarkEnd w:id="1299"/>
      <w:r>
        <w:rPr>
          <w:rFonts w:hint="eastAsia" w:ascii="宋体" w:hAnsi="宋体" w:eastAsia="宋体" w:cs="宋体"/>
          <w:color w:val="auto"/>
          <w:highlight w:val="none"/>
        </w:rPr>
        <w:t>取消合同中任何一项工作，但被取消的工作不能转由发包人或其它人实施；</w:t>
      </w:r>
    </w:p>
    <w:p w14:paraId="5EE96BC6">
      <w:pPr>
        <w:pStyle w:val="115"/>
        <w:numPr>
          <w:ilvl w:val="0"/>
          <w:numId w:val="11"/>
        </w:numPr>
        <w:tabs>
          <w:tab w:val="left" w:pos="923"/>
        </w:tabs>
        <w:spacing w:line="360" w:lineRule="exact"/>
        <w:ind w:firstLine="440"/>
        <w:jc w:val="both"/>
        <w:rPr>
          <w:rFonts w:hint="eastAsia" w:ascii="宋体" w:hAnsi="宋体" w:eastAsia="宋体" w:cs="宋体"/>
          <w:color w:val="auto"/>
          <w:highlight w:val="none"/>
        </w:rPr>
      </w:pPr>
      <w:bookmarkStart w:id="1300" w:name="bookmark1272"/>
      <w:bookmarkEnd w:id="1300"/>
      <w:r>
        <w:rPr>
          <w:rFonts w:hint="eastAsia" w:ascii="宋体" w:hAnsi="宋体" w:eastAsia="宋体" w:cs="宋体"/>
          <w:color w:val="auto"/>
          <w:highlight w:val="none"/>
        </w:rPr>
        <w:t>改变合同中任何一项工作的质量或其它特性；</w:t>
      </w:r>
    </w:p>
    <w:p w14:paraId="5EE96BC7">
      <w:pPr>
        <w:pStyle w:val="115"/>
        <w:numPr>
          <w:ilvl w:val="0"/>
          <w:numId w:val="11"/>
        </w:numPr>
        <w:tabs>
          <w:tab w:val="left" w:pos="923"/>
        </w:tabs>
        <w:spacing w:line="360" w:lineRule="exact"/>
        <w:ind w:firstLine="440"/>
        <w:jc w:val="both"/>
        <w:rPr>
          <w:rFonts w:hint="eastAsia" w:ascii="宋体" w:hAnsi="宋体" w:eastAsia="宋体" w:cs="宋体"/>
          <w:color w:val="auto"/>
          <w:highlight w:val="none"/>
        </w:rPr>
      </w:pPr>
      <w:bookmarkStart w:id="1301" w:name="bookmark1273"/>
      <w:bookmarkEnd w:id="1301"/>
      <w:r>
        <w:rPr>
          <w:rFonts w:hint="eastAsia" w:ascii="宋体" w:hAnsi="宋体" w:eastAsia="宋体" w:cs="宋体"/>
          <w:color w:val="auto"/>
          <w:highlight w:val="none"/>
        </w:rPr>
        <w:t>改变合同工程的基线、标高、位置或尺寸；</w:t>
      </w:r>
    </w:p>
    <w:p w14:paraId="5EE96BC8">
      <w:pPr>
        <w:pStyle w:val="115"/>
        <w:numPr>
          <w:ilvl w:val="0"/>
          <w:numId w:val="11"/>
        </w:numPr>
        <w:tabs>
          <w:tab w:val="left" w:pos="923"/>
        </w:tabs>
        <w:spacing w:line="365" w:lineRule="exact"/>
        <w:ind w:firstLine="440"/>
        <w:jc w:val="both"/>
        <w:rPr>
          <w:rFonts w:hint="eastAsia" w:ascii="宋体" w:hAnsi="宋体" w:eastAsia="宋体" w:cs="宋体"/>
          <w:color w:val="auto"/>
          <w:highlight w:val="none"/>
        </w:rPr>
      </w:pPr>
      <w:bookmarkStart w:id="1302" w:name="bookmark1274"/>
      <w:bookmarkEnd w:id="1302"/>
      <w:r>
        <w:rPr>
          <w:rFonts w:hint="eastAsia" w:ascii="宋体" w:hAnsi="宋体" w:eastAsia="宋体" w:cs="宋体"/>
          <w:color w:val="auto"/>
          <w:highlight w:val="none"/>
        </w:rPr>
        <w:t>改变合同中任何一项工作的施工时间或改变已批准的施工工艺或顺序；</w:t>
      </w:r>
    </w:p>
    <w:p w14:paraId="5EE96BC9">
      <w:pPr>
        <w:pStyle w:val="115"/>
        <w:numPr>
          <w:ilvl w:val="0"/>
          <w:numId w:val="11"/>
        </w:numPr>
        <w:tabs>
          <w:tab w:val="left" w:pos="923"/>
        </w:tabs>
        <w:spacing w:line="365" w:lineRule="exact"/>
        <w:ind w:firstLine="440"/>
        <w:jc w:val="both"/>
        <w:rPr>
          <w:rFonts w:hint="eastAsia" w:ascii="宋体" w:hAnsi="宋体" w:eastAsia="宋体" w:cs="宋体"/>
          <w:color w:val="auto"/>
          <w:highlight w:val="none"/>
        </w:rPr>
      </w:pPr>
      <w:bookmarkStart w:id="1303" w:name="bookmark1275"/>
      <w:bookmarkEnd w:id="1303"/>
      <w:r>
        <w:rPr>
          <w:rFonts w:hint="eastAsia" w:ascii="宋体" w:hAnsi="宋体" w:eastAsia="宋体" w:cs="宋体"/>
          <w:color w:val="auto"/>
          <w:highlight w:val="none"/>
        </w:rPr>
        <w:t>为完成工程需要追加的额外工作；</w:t>
      </w:r>
    </w:p>
    <w:p w14:paraId="5EE96BCA">
      <w:pPr>
        <w:pStyle w:val="115"/>
        <w:numPr>
          <w:ilvl w:val="0"/>
          <w:numId w:val="11"/>
        </w:numPr>
        <w:tabs>
          <w:tab w:val="left" w:pos="920"/>
        </w:tabs>
        <w:spacing w:line="365" w:lineRule="exact"/>
        <w:ind w:firstLine="440"/>
        <w:jc w:val="both"/>
        <w:rPr>
          <w:rFonts w:hint="eastAsia" w:ascii="宋体" w:hAnsi="宋体" w:eastAsia="宋体" w:cs="宋体"/>
          <w:color w:val="auto"/>
          <w:highlight w:val="none"/>
        </w:rPr>
      </w:pPr>
      <w:bookmarkStart w:id="1304" w:name="bookmark1276"/>
      <w:bookmarkEnd w:id="1304"/>
      <w:r>
        <w:rPr>
          <w:rFonts w:hint="eastAsia" w:ascii="宋体" w:hAnsi="宋体" w:eastAsia="宋体" w:cs="宋体"/>
          <w:color w:val="auto"/>
          <w:highlight w:val="none"/>
        </w:rPr>
        <w:t>增加或减少专用合同条款中约定的关键项目工程量超过其工程总量的一定数量的百分比。</w:t>
      </w:r>
    </w:p>
    <w:p w14:paraId="5EE96BCB">
      <w:pPr>
        <w:pStyle w:val="115"/>
        <w:spacing w:line="365"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上述第(1)~(6)目的变更内容引起工程施工组织和进度计划发生实质性变动和影响其原定的价格时，才予调整该项目的单价。第(6)目情形下单价调整方式在专用合同条款中约定。</w:t>
      </w:r>
    </w:p>
    <w:p w14:paraId="5EE96BCC">
      <w:pPr>
        <w:pStyle w:val="116"/>
        <w:spacing w:line="360" w:lineRule="exact"/>
        <w:rPr>
          <w:rFonts w:hint="eastAsia" w:ascii="宋体" w:hAnsi="宋体" w:eastAsia="宋体" w:cs="宋体"/>
          <w:color w:val="auto"/>
          <w:sz w:val="24"/>
          <w:szCs w:val="24"/>
          <w:highlight w:val="none"/>
          <w:lang w:eastAsia="zh-CN"/>
        </w:rPr>
      </w:pPr>
      <w:bookmarkStart w:id="1305" w:name="bookmark1279"/>
      <w:bookmarkStart w:id="1306" w:name="_Toc18017"/>
      <w:bookmarkStart w:id="1307" w:name="_Toc17873"/>
      <w:bookmarkStart w:id="1308" w:name="bookmark1277"/>
      <w:bookmarkStart w:id="1309" w:name="_Toc17812"/>
      <w:bookmarkStart w:id="1310" w:name="_Toc32233"/>
      <w:bookmarkStart w:id="1311" w:name="_Toc18173"/>
      <w:bookmarkStart w:id="1312" w:name="_Toc12120"/>
      <w:bookmarkStart w:id="1313" w:name="_Toc25903"/>
      <w:bookmarkStart w:id="1314" w:name="_Toc199152940"/>
      <w:bookmarkStart w:id="1315" w:name="bookmark1278"/>
      <w:r>
        <w:rPr>
          <w:rFonts w:hint="eastAsia" w:ascii="宋体" w:hAnsi="宋体" w:eastAsia="宋体" w:cs="宋体"/>
          <w:color w:val="auto"/>
          <w:sz w:val="24"/>
          <w:szCs w:val="24"/>
          <w:highlight w:val="none"/>
          <w:lang w:eastAsia="zh-CN"/>
        </w:rPr>
        <w:t>15.2变更权</w:t>
      </w:r>
      <w:bookmarkEnd w:id="1305"/>
      <w:bookmarkEnd w:id="1306"/>
      <w:bookmarkEnd w:id="1307"/>
      <w:bookmarkEnd w:id="1308"/>
      <w:bookmarkEnd w:id="1309"/>
      <w:bookmarkEnd w:id="1310"/>
      <w:bookmarkEnd w:id="1311"/>
      <w:bookmarkEnd w:id="1312"/>
      <w:bookmarkEnd w:id="1313"/>
      <w:bookmarkEnd w:id="1314"/>
      <w:bookmarkEnd w:id="1315"/>
    </w:p>
    <w:p w14:paraId="5EE96BCD">
      <w:pPr>
        <w:pStyle w:val="115"/>
        <w:spacing w:after="240" w:line="374"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在履行合同过程中，经发包人同意，监理人可按第</w:t>
      </w:r>
      <w:r>
        <w:rPr>
          <w:rFonts w:hint="eastAsia" w:ascii="宋体" w:hAnsi="宋体" w:eastAsia="宋体" w:cs="宋体"/>
          <w:color w:val="auto"/>
          <w:highlight w:val="none"/>
          <w:lang w:val="en-US" w:bidi="en-US"/>
        </w:rPr>
        <w:t>15.</w:t>
      </w:r>
      <w:r>
        <w:rPr>
          <w:rFonts w:hint="eastAsia" w:ascii="宋体" w:hAnsi="宋体" w:eastAsia="宋体" w:cs="宋体"/>
          <w:color w:val="auto"/>
          <w:highlight w:val="none"/>
        </w:rPr>
        <w:t>3款约定的变更程序向承包人作出变更指示，承包人应遵照执行。没有监理人的变更指示，承包人不得擅自变更。</w:t>
      </w:r>
    </w:p>
    <w:p w14:paraId="5EE96BCE">
      <w:pPr>
        <w:pStyle w:val="116"/>
        <w:spacing w:line="360" w:lineRule="exact"/>
        <w:rPr>
          <w:rFonts w:hint="eastAsia" w:ascii="宋体" w:hAnsi="宋体" w:eastAsia="宋体" w:cs="宋体"/>
          <w:color w:val="auto"/>
          <w:sz w:val="24"/>
          <w:szCs w:val="24"/>
          <w:highlight w:val="none"/>
          <w:lang w:eastAsia="zh-CN"/>
        </w:rPr>
      </w:pPr>
      <w:bookmarkStart w:id="1316" w:name="bookmark1280"/>
      <w:bookmarkStart w:id="1317" w:name="bookmark1281"/>
      <w:bookmarkStart w:id="1318" w:name="bookmark1282"/>
      <w:bookmarkStart w:id="1319" w:name="_Toc15151"/>
      <w:bookmarkStart w:id="1320" w:name="_Toc199152941"/>
      <w:bookmarkStart w:id="1321" w:name="_Toc24991"/>
      <w:bookmarkStart w:id="1322" w:name="_Toc32618"/>
      <w:bookmarkStart w:id="1323" w:name="_Toc6368"/>
      <w:bookmarkStart w:id="1324" w:name="_Toc15543"/>
      <w:bookmarkStart w:id="1325" w:name="_Toc12451"/>
      <w:bookmarkStart w:id="1326" w:name="_Toc5846"/>
      <w:r>
        <w:rPr>
          <w:rFonts w:hint="eastAsia" w:ascii="宋体" w:hAnsi="宋体" w:eastAsia="宋体" w:cs="宋体"/>
          <w:color w:val="auto"/>
          <w:sz w:val="24"/>
          <w:szCs w:val="24"/>
          <w:highlight w:val="none"/>
          <w:lang w:eastAsia="zh-CN"/>
        </w:rPr>
        <w:t>15.3变更程序</w:t>
      </w:r>
      <w:bookmarkEnd w:id="1316"/>
      <w:bookmarkEnd w:id="1317"/>
      <w:bookmarkEnd w:id="1318"/>
      <w:bookmarkEnd w:id="1319"/>
      <w:bookmarkEnd w:id="1320"/>
      <w:bookmarkEnd w:id="1321"/>
      <w:bookmarkEnd w:id="1322"/>
      <w:bookmarkEnd w:id="1323"/>
      <w:bookmarkEnd w:id="1324"/>
      <w:bookmarkEnd w:id="1325"/>
      <w:bookmarkEnd w:id="1326"/>
    </w:p>
    <w:p w14:paraId="5EE96BCF">
      <w:pPr>
        <w:pStyle w:val="115"/>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lang w:val="en-US" w:eastAsia="en-US" w:bidi="en-US"/>
        </w:rPr>
        <w:t>15.3.1</w:t>
      </w:r>
      <w:r>
        <w:rPr>
          <w:rFonts w:hint="eastAsia" w:ascii="宋体" w:hAnsi="宋体" w:eastAsia="宋体" w:cs="宋体"/>
          <w:color w:val="auto"/>
          <w:highlight w:val="none"/>
        </w:rPr>
        <w:t>变更的提出</w:t>
      </w:r>
    </w:p>
    <w:p w14:paraId="5EE96BD0">
      <w:pPr>
        <w:pStyle w:val="115"/>
        <w:numPr>
          <w:ilvl w:val="0"/>
          <w:numId w:val="12"/>
        </w:numPr>
        <w:tabs>
          <w:tab w:val="left" w:pos="918"/>
        </w:tabs>
        <w:spacing w:line="360" w:lineRule="exact"/>
        <w:ind w:firstLine="440"/>
        <w:jc w:val="both"/>
        <w:rPr>
          <w:rFonts w:hint="eastAsia" w:ascii="宋体" w:hAnsi="宋体" w:eastAsia="宋体" w:cs="宋体"/>
          <w:color w:val="auto"/>
          <w:highlight w:val="none"/>
        </w:rPr>
      </w:pPr>
      <w:bookmarkStart w:id="1327" w:name="bookmark1283"/>
      <w:bookmarkEnd w:id="1327"/>
      <w:r>
        <w:rPr>
          <w:rFonts w:hint="eastAsia" w:ascii="宋体" w:hAnsi="宋体" w:eastAsia="宋体" w:cs="宋体"/>
          <w:color w:val="auto"/>
          <w:highlight w:val="none"/>
        </w:rPr>
        <w:t>在合同履行过程中，可能发生第</w:t>
      </w:r>
      <w:r>
        <w:rPr>
          <w:rFonts w:hint="eastAsia" w:ascii="宋体" w:hAnsi="宋体" w:eastAsia="宋体" w:cs="宋体"/>
          <w:color w:val="auto"/>
          <w:highlight w:val="none"/>
          <w:lang w:val="en-US" w:bidi="en-US"/>
        </w:rPr>
        <w:t>15.1</w:t>
      </w:r>
      <w:r>
        <w:rPr>
          <w:rFonts w:hint="eastAsia" w:ascii="宋体" w:hAnsi="宋体" w:eastAsia="宋体" w:cs="宋体"/>
          <w:color w:val="auto"/>
          <w:highlight w:val="none"/>
        </w:rPr>
        <w:t>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w:t>
      </w:r>
      <w:r>
        <w:rPr>
          <w:rFonts w:hint="eastAsia" w:ascii="宋体" w:hAnsi="宋体" w:eastAsia="宋体" w:cs="宋体"/>
          <w:color w:val="auto"/>
          <w:highlight w:val="none"/>
          <w:lang w:val="en-US" w:bidi="en-US"/>
        </w:rPr>
        <w:t>15.3.</w:t>
      </w:r>
      <w:r>
        <w:rPr>
          <w:rFonts w:hint="eastAsia" w:ascii="宋体" w:hAnsi="宋体" w:eastAsia="宋体" w:cs="宋体"/>
          <w:color w:val="auto"/>
          <w:highlight w:val="none"/>
        </w:rPr>
        <w:t>3项约定发出变更指示。</w:t>
      </w:r>
    </w:p>
    <w:p w14:paraId="5EE96BD1">
      <w:pPr>
        <w:pStyle w:val="115"/>
        <w:numPr>
          <w:ilvl w:val="0"/>
          <w:numId w:val="12"/>
        </w:numPr>
        <w:tabs>
          <w:tab w:val="left" w:pos="901"/>
        </w:tabs>
        <w:spacing w:line="360" w:lineRule="exact"/>
        <w:ind w:firstLine="440"/>
        <w:jc w:val="both"/>
        <w:rPr>
          <w:rFonts w:hint="eastAsia" w:ascii="宋体" w:hAnsi="宋体" w:eastAsia="宋体" w:cs="宋体"/>
          <w:color w:val="auto"/>
          <w:highlight w:val="none"/>
        </w:rPr>
      </w:pPr>
      <w:bookmarkStart w:id="1328" w:name="bookmark1284"/>
      <w:bookmarkEnd w:id="1328"/>
      <w:r>
        <w:rPr>
          <w:rFonts w:hint="eastAsia" w:ascii="宋体" w:hAnsi="宋体" w:eastAsia="宋体" w:cs="宋体"/>
          <w:color w:val="auto"/>
          <w:highlight w:val="none"/>
        </w:rPr>
        <w:t>在合同履行过程中，发生第</w:t>
      </w:r>
      <w:r>
        <w:rPr>
          <w:rFonts w:hint="eastAsia" w:ascii="宋体" w:hAnsi="宋体" w:eastAsia="宋体" w:cs="宋体"/>
          <w:color w:val="auto"/>
          <w:highlight w:val="none"/>
          <w:lang w:val="en-US" w:bidi="en-US"/>
        </w:rPr>
        <w:t>15.</w:t>
      </w:r>
      <w:r>
        <w:rPr>
          <w:rFonts w:hint="eastAsia" w:ascii="宋体" w:hAnsi="宋体" w:eastAsia="宋体" w:cs="宋体"/>
          <w:color w:val="auto"/>
          <w:highlight w:val="none"/>
        </w:rPr>
        <w:t>1款约定情形的，监理人应按照第</w:t>
      </w:r>
      <w:r>
        <w:rPr>
          <w:rFonts w:hint="eastAsia" w:ascii="宋体" w:hAnsi="宋体" w:eastAsia="宋体" w:cs="宋体"/>
          <w:color w:val="auto"/>
          <w:highlight w:val="none"/>
          <w:lang w:val="en-US" w:bidi="en-US"/>
        </w:rPr>
        <w:t>15.3.</w:t>
      </w:r>
      <w:r>
        <w:rPr>
          <w:rFonts w:hint="eastAsia" w:ascii="宋体" w:hAnsi="宋体" w:eastAsia="宋体" w:cs="宋体"/>
          <w:color w:val="auto"/>
          <w:highlight w:val="none"/>
        </w:rPr>
        <w:t>3项约定向承包人发出变更指示。</w:t>
      </w:r>
    </w:p>
    <w:p w14:paraId="5EE96BD2">
      <w:pPr>
        <w:pStyle w:val="115"/>
        <w:numPr>
          <w:ilvl w:val="0"/>
          <w:numId w:val="12"/>
        </w:numPr>
        <w:tabs>
          <w:tab w:val="left" w:pos="922"/>
        </w:tabs>
        <w:spacing w:line="360" w:lineRule="exact"/>
        <w:ind w:firstLine="440"/>
        <w:jc w:val="both"/>
        <w:rPr>
          <w:rFonts w:hint="eastAsia" w:ascii="宋体" w:hAnsi="宋体" w:eastAsia="宋体" w:cs="宋体"/>
          <w:color w:val="auto"/>
          <w:highlight w:val="none"/>
        </w:rPr>
      </w:pPr>
      <w:bookmarkStart w:id="1329" w:name="bookmark1285"/>
      <w:bookmarkEnd w:id="1329"/>
      <w:r>
        <w:rPr>
          <w:rFonts w:hint="eastAsia" w:ascii="宋体" w:hAnsi="宋体" w:eastAsia="宋体" w:cs="宋体"/>
          <w:color w:val="auto"/>
          <w:highlight w:val="none"/>
        </w:rPr>
        <w:t>承包人收到监理人按合同约定发出的图纸和文件，经检查认为其中存在第</w:t>
      </w:r>
      <w:r>
        <w:rPr>
          <w:rFonts w:hint="eastAsia" w:ascii="宋体" w:hAnsi="宋体" w:eastAsia="宋体" w:cs="宋体"/>
          <w:color w:val="auto"/>
          <w:highlight w:val="none"/>
          <w:lang w:val="en-US" w:bidi="en-US"/>
        </w:rPr>
        <w:t>15.</w:t>
      </w:r>
      <w:r>
        <w:rPr>
          <w:rFonts w:hint="eastAsia" w:ascii="宋体" w:hAnsi="宋体" w:eastAsia="宋体" w:cs="宋体"/>
          <w:color w:val="auto"/>
          <w:highlight w:val="none"/>
        </w:rPr>
        <w:t>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5EE96BD3">
      <w:pPr>
        <w:pStyle w:val="115"/>
        <w:numPr>
          <w:ilvl w:val="0"/>
          <w:numId w:val="12"/>
        </w:numPr>
        <w:tabs>
          <w:tab w:val="left" w:pos="922"/>
        </w:tabs>
        <w:spacing w:after="80" w:line="360" w:lineRule="exact"/>
        <w:ind w:firstLine="440"/>
        <w:jc w:val="both"/>
        <w:rPr>
          <w:rFonts w:hint="eastAsia" w:ascii="宋体" w:hAnsi="宋体" w:eastAsia="宋体" w:cs="宋体"/>
          <w:color w:val="auto"/>
          <w:highlight w:val="none"/>
        </w:rPr>
      </w:pPr>
      <w:bookmarkStart w:id="1330" w:name="bookmark1286"/>
      <w:bookmarkEnd w:id="1330"/>
      <w:r>
        <w:rPr>
          <w:rFonts w:hint="eastAsia" w:ascii="宋体" w:hAnsi="宋体" w:eastAsia="宋体" w:cs="宋体"/>
          <w:color w:val="auto"/>
          <w:highlight w:val="none"/>
        </w:rPr>
        <w:t>若承包人收到监理人的变更意向书后认为难以实施此项变更，应立即通知监理人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说明原因并附详细依据。监理人与承包人和发包人协商后确定撤销、改变或不改变原变更意向书。</w:t>
      </w:r>
    </w:p>
    <w:p w14:paraId="5EE96BD4">
      <w:pPr>
        <w:pStyle w:val="117"/>
        <w:spacing w:after="0"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15.3.2</w:t>
      </w:r>
      <w:r>
        <w:rPr>
          <w:rFonts w:hint="eastAsia" w:ascii="宋体" w:hAnsi="宋体" w:eastAsia="宋体" w:cs="宋体"/>
          <w:color w:val="auto"/>
          <w:highlight w:val="none"/>
          <w:lang w:val="zh-CN" w:eastAsia="zh-CN" w:bidi="zh-CN"/>
        </w:rPr>
        <w:t>变更估价</w:t>
      </w:r>
    </w:p>
    <w:p w14:paraId="5EE96BD5">
      <w:pPr>
        <w:pStyle w:val="115"/>
        <w:numPr>
          <w:ilvl w:val="0"/>
          <w:numId w:val="13"/>
        </w:numPr>
        <w:spacing w:line="360" w:lineRule="exact"/>
        <w:ind w:firstLine="440"/>
        <w:jc w:val="both"/>
        <w:rPr>
          <w:rFonts w:hint="eastAsia" w:ascii="宋体" w:hAnsi="宋体" w:eastAsia="宋体" w:cs="宋体"/>
          <w:color w:val="auto"/>
          <w:highlight w:val="none"/>
        </w:rPr>
      </w:pPr>
      <w:bookmarkStart w:id="1331" w:name="bookmark1287"/>
      <w:bookmarkEnd w:id="1331"/>
      <w:r>
        <w:rPr>
          <w:rFonts w:hint="eastAsia" w:ascii="宋体" w:hAnsi="宋体" w:eastAsia="宋体" w:cs="宋体"/>
          <w:color w:val="auto"/>
          <w:highlight w:val="none"/>
        </w:rPr>
        <w:t>除专用合同条款对期限另有约定外，承包人应在收到变更指示或变更意向书后的14天内，向监理人提交变更报价书，报价内容应根据第</w:t>
      </w:r>
      <w:r>
        <w:rPr>
          <w:rFonts w:hint="eastAsia" w:ascii="宋体" w:hAnsi="宋体" w:eastAsia="宋体" w:cs="宋体"/>
          <w:color w:val="auto"/>
          <w:highlight w:val="none"/>
          <w:lang w:val="en-US" w:bidi="en-US"/>
        </w:rPr>
        <w:t>15.</w:t>
      </w:r>
      <w:r>
        <w:rPr>
          <w:rFonts w:hint="eastAsia" w:ascii="宋体" w:hAnsi="宋体" w:eastAsia="宋体" w:cs="宋体"/>
          <w:color w:val="auto"/>
          <w:highlight w:val="none"/>
        </w:rPr>
        <w:t>4款约定的估价原则，详细开列变更工作的价格组成及其依据，并附必要的施工方法说明和有关图纸。</w:t>
      </w:r>
    </w:p>
    <w:p w14:paraId="5EE96BD6">
      <w:pPr>
        <w:pStyle w:val="115"/>
        <w:numPr>
          <w:ilvl w:val="0"/>
          <w:numId w:val="13"/>
        </w:numPr>
        <w:tabs>
          <w:tab w:val="left" w:pos="915"/>
        </w:tabs>
        <w:spacing w:line="360" w:lineRule="exact"/>
        <w:ind w:firstLine="440"/>
        <w:jc w:val="both"/>
        <w:rPr>
          <w:rFonts w:hint="eastAsia" w:ascii="宋体" w:hAnsi="宋体" w:eastAsia="宋体" w:cs="宋体"/>
          <w:color w:val="auto"/>
          <w:highlight w:val="none"/>
        </w:rPr>
      </w:pPr>
      <w:bookmarkStart w:id="1332" w:name="bookmark1288"/>
      <w:bookmarkEnd w:id="1332"/>
      <w:r>
        <w:rPr>
          <w:rFonts w:hint="eastAsia" w:ascii="宋体" w:hAnsi="宋体" w:eastAsia="宋体" w:cs="宋体"/>
          <w:color w:val="auto"/>
          <w:highlight w:val="none"/>
        </w:rPr>
        <w:t>变更工作影响工期的，承包人应提出调整工期的具体细节。监理人认为有必要时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可要求承包人提交要求提前或延长工期的施工进度计划及相应施工措施等详细资料。</w:t>
      </w:r>
    </w:p>
    <w:p w14:paraId="5EE96BD7">
      <w:pPr>
        <w:pStyle w:val="115"/>
        <w:numPr>
          <w:ilvl w:val="0"/>
          <w:numId w:val="13"/>
        </w:numPr>
        <w:tabs>
          <w:tab w:val="left" w:pos="920"/>
        </w:tabs>
        <w:spacing w:after="120" w:line="360" w:lineRule="exact"/>
        <w:ind w:firstLine="440"/>
        <w:jc w:val="both"/>
        <w:rPr>
          <w:rFonts w:hint="eastAsia" w:ascii="宋体" w:hAnsi="宋体" w:eastAsia="宋体" w:cs="宋体"/>
          <w:color w:val="auto"/>
          <w:highlight w:val="none"/>
        </w:rPr>
      </w:pPr>
      <w:bookmarkStart w:id="1333" w:name="bookmark1289"/>
      <w:bookmarkEnd w:id="1333"/>
      <w:r>
        <w:rPr>
          <w:rFonts w:hint="eastAsia" w:ascii="宋体" w:hAnsi="宋体" w:eastAsia="宋体" w:cs="宋体"/>
          <w:color w:val="auto"/>
          <w:highlight w:val="none"/>
        </w:rPr>
        <w:t>除专用合同条款对期限另有约定外，监理人收到承包人变更报价书后的14天内，根据第</w:t>
      </w:r>
      <w:r>
        <w:rPr>
          <w:rFonts w:hint="eastAsia" w:ascii="宋体" w:hAnsi="宋体" w:eastAsia="宋体" w:cs="宋体"/>
          <w:color w:val="auto"/>
          <w:highlight w:val="none"/>
          <w:lang w:val="en-US" w:bidi="en-US"/>
        </w:rPr>
        <w:t>15.</w:t>
      </w:r>
      <w:r>
        <w:rPr>
          <w:rFonts w:hint="eastAsia" w:ascii="宋体" w:hAnsi="宋体" w:eastAsia="宋体" w:cs="宋体"/>
          <w:color w:val="auto"/>
          <w:highlight w:val="none"/>
        </w:rPr>
        <w:t>4款约定的估价原则，按照第</w:t>
      </w:r>
      <w:r>
        <w:rPr>
          <w:rFonts w:hint="eastAsia" w:ascii="宋体" w:hAnsi="宋体" w:eastAsia="宋体" w:cs="宋体"/>
          <w:color w:val="auto"/>
          <w:highlight w:val="none"/>
          <w:lang w:val="en-US" w:bidi="en-US"/>
        </w:rPr>
        <w:t>3.</w:t>
      </w:r>
      <w:r>
        <w:rPr>
          <w:rFonts w:hint="eastAsia" w:ascii="宋体" w:hAnsi="宋体" w:eastAsia="宋体" w:cs="宋体"/>
          <w:color w:val="auto"/>
          <w:highlight w:val="none"/>
        </w:rPr>
        <w:t>5款商定或确定变更价格。</w:t>
      </w:r>
    </w:p>
    <w:p w14:paraId="5EE96BD8">
      <w:pPr>
        <w:pStyle w:val="117"/>
        <w:spacing w:after="0"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15.3.3</w:t>
      </w:r>
      <w:r>
        <w:rPr>
          <w:rFonts w:hint="eastAsia" w:ascii="宋体" w:hAnsi="宋体" w:eastAsia="宋体" w:cs="宋体"/>
          <w:color w:val="auto"/>
          <w:highlight w:val="none"/>
          <w:lang w:val="zh-CN" w:eastAsia="zh-CN" w:bidi="zh-CN"/>
        </w:rPr>
        <w:t>变更指示</w:t>
      </w:r>
    </w:p>
    <w:p w14:paraId="5EE96BD9">
      <w:pPr>
        <w:pStyle w:val="115"/>
        <w:numPr>
          <w:ilvl w:val="0"/>
          <w:numId w:val="14"/>
        </w:numPr>
        <w:tabs>
          <w:tab w:val="left" w:pos="923"/>
        </w:tabs>
        <w:spacing w:line="360" w:lineRule="exact"/>
        <w:ind w:firstLine="440"/>
        <w:jc w:val="both"/>
        <w:rPr>
          <w:rFonts w:hint="eastAsia" w:ascii="宋体" w:hAnsi="宋体" w:eastAsia="宋体" w:cs="宋体"/>
          <w:color w:val="auto"/>
          <w:highlight w:val="none"/>
        </w:rPr>
      </w:pPr>
      <w:bookmarkStart w:id="1334" w:name="bookmark1290"/>
      <w:bookmarkEnd w:id="1334"/>
      <w:r>
        <w:rPr>
          <w:rFonts w:hint="eastAsia" w:ascii="宋体" w:hAnsi="宋体" w:eastAsia="宋体" w:cs="宋体"/>
          <w:color w:val="auto"/>
          <w:highlight w:val="none"/>
        </w:rPr>
        <w:t>变更指示只能由监理人发出。</w:t>
      </w:r>
    </w:p>
    <w:p w14:paraId="5EE96BDA">
      <w:pPr>
        <w:pStyle w:val="115"/>
        <w:numPr>
          <w:ilvl w:val="0"/>
          <w:numId w:val="14"/>
        </w:numPr>
        <w:tabs>
          <w:tab w:val="left" w:pos="922"/>
        </w:tabs>
        <w:spacing w:after="120" w:line="360" w:lineRule="exact"/>
        <w:ind w:firstLine="440"/>
        <w:jc w:val="both"/>
        <w:rPr>
          <w:rFonts w:hint="eastAsia" w:ascii="宋体" w:hAnsi="宋体" w:eastAsia="宋体" w:cs="宋体"/>
          <w:color w:val="auto"/>
          <w:highlight w:val="none"/>
        </w:rPr>
      </w:pPr>
      <w:bookmarkStart w:id="1335" w:name="bookmark1291"/>
      <w:bookmarkEnd w:id="1335"/>
      <w:r>
        <w:rPr>
          <w:rFonts w:hint="eastAsia" w:ascii="宋体" w:hAnsi="宋体" w:eastAsia="宋体" w:cs="宋体"/>
          <w:color w:val="auto"/>
          <w:highlight w:val="none"/>
        </w:rPr>
        <w:t>变更指示应说明变更的目的、范围、变更内容以及变更的工程量及其进度和技术要求，并附有关图纸和文件。承包人收到变更指示后，应按变更指示进行变更工作。</w:t>
      </w:r>
    </w:p>
    <w:p w14:paraId="5EE96BDB">
      <w:pPr>
        <w:pStyle w:val="116"/>
        <w:spacing w:line="360" w:lineRule="exact"/>
        <w:rPr>
          <w:rFonts w:hint="eastAsia" w:ascii="宋体" w:hAnsi="宋体" w:eastAsia="宋体" w:cs="宋体"/>
          <w:color w:val="auto"/>
          <w:sz w:val="24"/>
          <w:szCs w:val="24"/>
          <w:highlight w:val="none"/>
          <w:lang w:eastAsia="zh-CN"/>
        </w:rPr>
      </w:pPr>
      <w:bookmarkStart w:id="1336" w:name="bookmark1293"/>
      <w:bookmarkStart w:id="1337" w:name="bookmark1294"/>
      <w:bookmarkStart w:id="1338" w:name="_Toc26186"/>
      <w:bookmarkStart w:id="1339" w:name="_Toc23317"/>
      <w:bookmarkStart w:id="1340" w:name="_Toc27522"/>
      <w:bookmarkStart w:id="1341" w:name="_Toc7718"/>
      <w:bookmarkStart w:id="1342" w:name="bookmark1292"/>
      <w:bookmarkStart w:id="1343" w:name="_Toc14135"/>
      <w:bookmarkStart w:id="1344" w:name="_Toc9569"/>
      <w:bookmarkStart w:id="1345" w:name="_Toc199152942"/>
      <w:bookmarkStart w:id="1346" w:name="_Toc19837"/>
      <w:r>
        <w:rPr>
          <w:rFonts w:hint="eastAsia" w:ascii="宋体" w:hAnsi="宋体" w:eastAsia="宋体" w:cs="宋体"/>
          <w:color w:val="auto"/>
          <w:sz w:val="24"/>
          <w:szCs w:val="24"/>
          <w:highlight w:val="none"/>
          <w:lang w:eastAsia="zh-CN"/>
        </w:rPr>
        <w:t>15.4变更的估价原则</w:t>
      </w:r>
      <w:bookmarkEnd w:id="1336"/>
      <w:bookmarkEnd w:id="1337"/>
      <w:bookmarkEnd w:id="1338"/>
      <w:bookmarkEnd w:id="1339"/>
      <w:bookmarkEnd w:id="1340"/>
      <w:bookmarkEnd w:id="1341"/>
      <w:bookmarkEnd w:id="1342"/>
      <w:bookmarkEnd w:id="1343"/>
      <w:bookmarkEnd w:id="1344"/>
      <w:bookmarkEnd w:id="1345"/>
      <w:bookmarkEnd w:id="1346"/>
    </w:p>
    <w:p w14:paraId="5EE96BDC">
      <w:pPr>
        <w:pStyle w:val="115"/>
        <w:spacing w:after="120" w:line="358"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除专用合同条款另有约定外，因变更引起的价格调整按照本款约定处理。</w:t>
      </w:r>
    </w:p>
    <w:p w14:paraId="5EE96BDD">
      <w:pPr>
        <w:pStyle w:val="115"/>
        <w:spacing w:line="374"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15.4.1</w:t>
      </w:r>
      <w:r>
        <w:rPr>
          <w:rFonts w:hint="eastAsia" w:ascii="宋体" w:hAnsi="宋体" w:eastAsia="宋体" w:cs="宋体"/>
          <w:color w:val="auto"/>
          <w:highlight w:val="none"/>
        </w:rPr>
        <w:t>已标价工程量清单中有适用于变更工作的子目的，采用该子目的单价。</w:t>
      </w:r>
    </w:p>
    <w:p w14:paraId="5EE96BDE">
      <w:pPr>
        <w:pStyle w:val="115"/>
        <w:spacing w:line="358"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15.4.2</w:t>
      </w:r>
      <w:r>
        <w:rPr>
          <w:rFonts w:hint="eastAsia" w:ascii="宋体" w:hAnsi="宋体" w:eastAsia="宋体" w:cs="宋体"/>
          <w:color w:val="auto"/>
          <w:highlight w:val="none"/>
        </w:rPr>
        <w:t>已标价工程量清单中无适用于变更工作的子目，但有类似子目的，可在合理范围内参照类似子目的单价，由监理人按第</w:t>
      </w:r>
      <w:r>
        <w:rPr>
          <w:rFonts w:hint="eastAsia" w:ascii="宋体" w:hAnsi="宋体" w:eastAsia="宋体" w:cs="宋体"/>
          <w:color w:val="auto"/>
          <w:highlight w:val="none"/>
          <w:lang w:val="en-US" w:bidi="en-US"/>
        </w:rPr>
        <w:t>3.</w:t>
      </w:r>
      <w:r>
        <w:rPr>
          <w:rFonts w:hint="eastAsia" w:ascii="宋体" w:hAnsi="宋体" w:eastAsia="宋体" w:cs="宋体"/>
          <w:color w:val="auto"/>
          <w:highlight w:val="none"/>
        </w:rPr>
        <w:t>5款商定或确定变更工作的单价。</w:t>
      </w:r>
    </w:p>
    <w:p w14:paraId="5EE96BDF">
      <w:pPr>
        <w:pStyle w:val="115"/>
        <w:spacing w:after="120" w:line="358"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15.4.3</w:t>
      </w:r>
      <w:r>
        <w:rPr>
          <w:rFonts w:hint="eastAsia" w:ascii="宋体" w:hAnsi="宋体" w:eastAsia="宋体" w:cs="宋体"/>
          <w:color w:val="auto"/>
          <w:highlight w:val="none"/>
        </w:rPr>
        <w:t>已标价工程量清单中无适用或类似子目的单价，可按照成本加利润的原则，由监理人按第</w:t>
      </w:r>
      <w:r>
        <w:rPr>
          <w:rFonts w:hint="eastAsia" w:ascii="宋体" w:hAnsi="宋体" w:eastAsia="宋体" w:cs="宋体"/>
          <w:color w:val="auto"/>
          <w:highlight w:val="none"/>
          <w:lang w:val="en-US" w:bidi="en-US"/>
        </w:rPr>
        <w:t>3.</w:t>
      </w:r>
      <w:r>
        <w:rPr>
          <w:rFonts w:hint="eastAsia" w:ascii="宋体" w:hAnsi="宋体" w:eastAsia="宋体" w:cs="宋体"/>
          <w:color w:val="auto"/>
          <w:highlight w:val="none"/>
        </w:rPr>
        <w:t>5款商定或确定变更工作的单价。</w:t>
      </w:r>
    </w:p>
    <w:p w14:paraId="5EE96BE0">
      <w:pPr>
        <w:pStyle w:val="116"/>
        <w:spacing w:line="360" w:lineRule="exact"/>
        <w:rPr>
          <w:rFonts w:hint="eastAsia" w:ascii="宋体" w:hAnsi="宋体" w:eastAsia="宋体" w:cs="宋体"/>
          <w:color w:val="auto"/>
          <w:sz w:val="24"/>
          <w:szCs w:val="24"/>
          <w:highlight w:val="none"/>
          <w:lang w:eastAsia="zh-CN"/>
        </w:rPr>
      </w:pPr>
      <w:bookmarkStart w:id="1347" w:name="_Toc28730"/>
      <w:bookmarkStart w:id="1348" w:name="_Toc27162"/>
      <w:bookmarkStart w:id="1349" w:name="_Toc199152943"/>
      <w:bookmarkStart w:id="1350" w:name="bookmark1296"/>
      <w:bookmarkStart w:id="1351" w:name="_Toc18528"/>
      <w:bookmarkStart w:id="1352" w:name="_Toc14617"/>
      <w:bookmarkStart w:id="1353" w:name="_Toc19619"/>
      <w:bookmarkStart w:id="1354" w:name="bookmark1297"/>
      <w:bookmarkStart w:id="1355" w:name="_Toc3695"/>
      <w:bookmarkStart w:id="1356" w:name="bookmark1295"/>
      <w:r>
        <w:rPr>
          <w:rFonts w:hint="eastAsia" w:ascii="宋体" w:hAnsi="宋体" w:eastAsia="宋体" w:cs="宋体"/>
          <w:color w:val="auto"/>
          <w:sz w:val="24"/>
          <w:szCs w:val="24"/>
          <w:highlight w:val="none"/>
          <w:lang w:eastAsia="zh-CN"/>
        </w:rPr>
        <w:t>15.5承包人的合理化建议</w:t>
      </w:r>
      <w:bookmarkEnd w:id="1347"/>
      <w:bookmarkEnd w:id="1348"/>
      <w:bookmarkEnd w:id="1349"/>
      <w:bookmarkEnd w:id="1350"/>
      <w:bookmarkEnd w:id="1351"/>
      <w:bookmarkEnd w:id="1352"/>
      <w:bookmarkEnd w:id="1353"/>
      <w:bookmarkEnd w:id="1354"/>
      <w:bookmarkEnd w:id="1355"/>
      <w:bookmarkEnd w:id="1356"/>
    </w:p>
    <w:p w14:paraId="5EE96BE1">
      <w:pPr>
        <w:pStyle w:val="115"/>
        <w:tabs>
          <w:tab w:val="left" w:pos="854"/>
        </w:tabs>
        <w:spacing w:line="365" w:lineRule="exact"/>
        <w:ind w:left="440" w:firstLine="0"/>
        <w:jc w:val="both"/>
        <w:rPr>
          <w:rFonts w:hint="eastAsia" w:ascii="宋体" w:hAnsi="宋体" w:eastAsia="宋体" w:cs="宋体"/>
          <w:color w:val="auto"/>
          <w:highlight w:val="none"/>
        </w:rPr>
      </w:pPr>
      <w:bookmarkStart w:id="1357" w:name="bookmark1298"/>
      <w:bookmarkEnd w:id="1357"/>
      <w:r>
        <w:rPr>
          <w:rFonts w:hint="eastAsia" w:ascii="宋体" w:hAnsi="宋体" w:eastAsia="宋体" w:cs="宋体"/>
          <w:color w:val="auto"/>
          <w:highlight w:val="none"/>
          <w:lang w:val="en-US" w:bidi="en-US"/>
        </w:rPr>
        <w:t>15.5.</w:t>
      </w:r>
      <w:r>
        <w:rPr>
          <w:rFonts w:hint="eastAsia" w:ascii="宋体" w:hAnsi="宋体" w:eastAsia="宋体" w:cs="宋体"/>
          <w:color w:val="auto"/>
          <w:highlight w:val="none"/>
        </w:rPr>
        <w:t>1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Pr>
          <w:rFonts w:hint="eastAsia" w:ascii="宋体" w:hAnsi="宋体" w:eastAsia="宋体" w:cs="宋体"/>
          <w:color w:val="auto"/>
          <w:highlight w:val="none"/>
          <w:lang w:val="en-US" w:bidi="en-US"/>
        </w:rPr>
        <w:t>15.3.</w:t>
      </w:r>
      <w:r>
        <w:rPr>
          <w:rFonts w:hint="eastAsia" w:ascii="宋体" w:hAnsi="宋体" w:eastAsia="宋体" w:cs="宋体"/>
          <w:color w:val="auto"/>
          <w:highlight w:val="none"/>
        </w:rPr>
        <w:t>3项约定向承包人发出变更指示。</w:t>
      </w:r>
    </w:p>
    <w:p w14:paraId="5EE96BE2">
      <w:pPr>
        <w:pStyle w:val="115"/>
        <w:spacing w:after="120" w:line="379"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15.5.2</w:t>
      </w:r>
      <w:r>
        <w:rPr>
          <w:rFonts w:hint="eastAsia" w:ascii="宋体" w:hAnsi="宋体" w:eastAsia="宋体" w:cs="宋体"/>
          <w:color w:val="auto"/>
          <w:highlight w:val="none"/>
        </w:rPr>
        <w:t>承包人提出的合理化建议降低了合同价格、缩短了工期或者提高了工程经济效益的，发包人可按国家有关规定在专用合同条款中约定给予奖励。</w:t>
      </w:r>
    </w:p>
    <w:p w14:paraId="5EE96BE3">
      <w:pPr>
        <w:pStyle w:val="116"/>
        <w:spacing w:line="360" w:lineRule="exact"/>
        <w:rPr>
          <w:rFonts w:hint="eastAsia" w:ascii="宋体" w:hAnsi="宋体" w:eastAsia="宋体" w:cs="宋体"/>
          <w:color w:val="auto"/>
          <w:sz w:val="24"/>
          <w:szCs w:val="24"/>
          <w:highlight w:val="none"/>
          <w:lang w:eastAsia="zh-CN"/>
        </w:rPr>
      </w:pPr>
      <w:bookmarkStart w:id="1358" w:name="_Toc7702"/>
      <w:bookmarkStart w:id="1359" w:name="_Toc441"/>
      <w:bookmarkStart w:id="1360" w:name="_Toc26205"/>
      <w:bookmarkStart w:id="1361" w:name="bookmark1299"/>
      <w:bookmarkStart w:id="1362" w:name="_Toc199152944"/>
      <w:bookmarkStart w:id="1363" w:name="_Toc29165"/>
      <w:bookmarkStart w:id="1364" w:name="_Toc10362"/>
      <w:bookmarkStart w:id="1365" w:name="_Toc16534"/>
      <w:bookmarkStart w:id="1366" w:name="bookmark1300"/>
      <w:bookmarkStart w:id="1367" w:name="_Toc19763"/>
      <w:bookmarkStart w:id="1368" w:name="bookmark1301"/>
      <w:r>
        <w:rPr>
          <w:rFonts w:hint="eastAsia" w:ascii="宋体" w:hAnsi="宋体" w:eastAsia="宋体" w:cs="宋体"/>
          <w:color w:val="auto"/>
          <w:sz w:val="24"/>
          <w:szCs w:val="24"/>
          <w:highlight w:val="none"/>
          <w:lang w:eastAsia="zh-CN"/>
        </w:rPr>
        <w:t>15.6暂列金额</w:t>
      </w:r>
      <w:bookmarkEnd w:id="1358"/>
      <w:bookmarkEnd w:id="1359"/>
      <w:bookmarkEnd w:id="1360"/>
      <w:bookmarkEnd w:id="1361"/>
      <w:bookmarkEnd w:id="1362"/>
      <w:bookmarkEnd w:id="1363"/>
      <w:bookmarkEnd w:id="1364"/>
      <w:bookmarkEnd w:id="1365"/>
      <w:bookmarkEnd w:id="1366"/>
      <w:bookmarkEnd w:id="1367"/>
      <w:bookmarkEnd w:id="1368"/>
    </w:p>
    <w:p w14:paraId="5EE96BE4">
      <w:pPr>
        <w:pStyle w:val="115"/>
        <w:spacing w:after="120" w:line="365"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暂列金额只能按照监理人的指示使用，并对合同价格进行相应调整。</w:t>
      </w:r>
    </w:p>
    <w:p w14:paraId="5EE96BE5">
      <w:pPr>
        <w:pStyle w:val="116"/>
        <w:spacing w:line="360" w:lineRule="exact"/>
        <w:rPr>
          <w:rFonts w:hint="eastAsia" w:ascii="宋体" w:hAnsi="宋体" w:eastAsia="宋体" w:cs="宋体"/>
          <w:color w:val="auto"/>
          <w:sz w:val="24"/>
          <w:szCs w:val="24"/>
          <w:highlight w:val="none"/>
          <w:lang w:eastAsia="zh-CN"/>
        </w:rPr>
      </w:pPr>
      <w:bookmarkStart w:id="1369" w:name="_Toc16389"/>
      <w:bookmarkStart w:id="1370" w:name="_Toc28843"/>
      <w:bookmarkStart w:id="1371" w:name="_Toc199152945"/>
      <w:bookmarkStart w:id="1372" w:name="_Toc5469"/>
      <w:bookmarkStart w:id="1373" w:name="bookmark1302"/>
      <w:bookmarkStart w:id="1374" w:name="_Toc22894"/>
      <w:bookmarkStart w:id="1375" w:name="_Toc23161"/>
      <w:bookmarkStart w:id="1376" w:name="_Toc20667"/>
      <w:bookmarkStart w:id="1377" w:name="_Toc14275"/>
      <w:bookmarkStart w:id="1378" w:name="bookmark1304"/>
      <w:bookmarkStart w:id="1379" w:name="bookmark1303"/>
      <w:r>
        <w:rPr>
          <w:rFonts w:hint="eastAsia" w:ascii="宋体" w:hAnsi="宋体" w:eastAsia="宋体" w:cs="宋体"/>
          <w:color w:val="auto"/>
          <w:sz w:val="24"/>
          <w:szCs w:val="24"/>
          <w:highlight w:val="none"/>
          <w:lang w:eastAsia="zh-CN"/>
        </w:rPr>
        <w:t>15.7计日工</w:t>
      </w:r>
      <w:bookmarkEnd w:id="1369"/>
      <w:bookmarkEnd w:id="1370"/>
      <w:bookmarkEnd w:id="1371"/>
      <w:bookmarkEnd w:id="1372"/>
      <w:bookmarkEnd w:id="1373"/>
      <w:bookmarkEnd w:id="1374"/>
      <w:bookmarkEnd w:id="1375"/>
      <w:bookmarkEnd w:id="1376"/>
      <w:bookmarkEnd w:id="1377"/>
      <w:bookmarkEnd w:id="1378"/>
      <w:bookmarkEnd w:id="1379"/>
    </w:p>
    <w:p w14:paraId="5EE96BE6">
      <w:pPr>
        <w:pStyle w:val="115"/>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rPr>
        <w:t>15.7.1</w:t>
      </w:r>
      <w:r>
        <w:rPr>
          <w:rFonts w:hint="eastAsia" w:ascii="宋体" w:hAnsi="宋体" w:eastAsia="宋体" w:cs="宋体"/>
          <w:color w:val="auto"/>
          <w:highlight w:val="none"/>
        </w:rPr>
        <w:t>发包人认为有必要时，由监理人通知承包人以计日工方式实施变更的零星工作。其价款按列入已标价工程量清单中的计日工计价子目及其单价进行计算。</w:t>
      </w:r>
    </w:p>
    <w:p w14:paraId="5EE96BE7">
      <w:pPr>
        <w:pStyle w:val="115"/>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15.7.2</w:t>
      </w:r>
      <w:r>
        <w:rPr>
          <w:rFonts w:hint="eastAsia" w:ascii="宋体" w:hAnsi="宋体" w:eastAsia="宋体" w:cs="宋体"/>
          <w:color w:val="auto"/>
          <w:highlight w:val="none"/>
        </w:rPr>
        <w:t>采用计日工计价的任何一项变更工作，应从暂列金额中支付，承包人应在该项变更的实施过程中，每天提交以下报表和有关凭证报送监理人审批：</w:t>
      </w:r>
    </w:p>
    <w:p w14:paraId="5EE96BE8">
      <w:pPr>
        <w:pStyle w:val="115"/>
        <w:numPr>
          <w:ilvl w:val="0"/>
          <w:numId w:val="15"/>
        </w:numPr>
        <w:tabs>
          <w:tab w:val="left" w:pos="903"/>
        </w:tabs>
        <w:spacing w:line="360" w:lineRule="exact"/>
        <w:ind w:firstLine="420"/>
        <w:rPr>
          <w:rFonts w:hint="eastAsia" w:ascii="宋体" w:hAnsi="宋体" w:eastAsia="宋体" w:cs="宋体"/>
          <w:color w:val="auto"/>
          <w:highlight w:val="none"/>
        </w:rPr>
      </w:pPr>
      <w:bookmarkStart w:id="1380" w:name="bookmark1305"/>
      <w:bookmarkEnd w:id="1380"/>
      <w:r>
        <w:rPr>
          <w:rFonts w:hint="eastAsia" w:ascii="宋体" w:hAnsi="宋体" w:eastAsia="宋体" w:cs="宋体"/>
          <w:color w:val="auto"/>
          <w:highlight w:val="none"/>
        </w:rPr>
        <w:t>工作名称、内容和数量；</w:t>
      </w:r>
    </w:p>
    <w:p w14:paraId="5EE96BE9">
      <w:pPr>
        <w:pStyle w:val="115"/>
        <w:numPr>
          <w:ilvl w:val="0"/>
          <w:numId w:val="15"/>
        </w:numPr>
        <w:tabs>
          <w:tab w:val="left" w:pos="903"/>
        </w:tabs>
        <w:spacing w:line="360" w:lineRule="exact"/>
        <w:ind w:firstLine="420"/>
        <w:rPr>
          <w:rFonts w:hint="eastAsia" w:ascii="宋体" w:hAnsi="宋体" w:eastAsia="宋体" w:cs="宋体"/>
          <w:color w:val="auto"/>
          <w:highlight w:val="none"/>
        </w:rPr>
      </w:pPr>
      <w:bookmarkStart w:id="1381" w:name="bookmark1306"/>
      <w:bookmarkEnd w:id="1381"/>
      <w:r>
        <w:rPr>
          <w:rFonts w:hint="eastAsia" w:ascii="宋体" w:hAnsi="宋体" w:eastAsia="宋体" w:cs="宋体"/>
          <w:color w:val="auto"/>
          <w:highlight w:val="none"/>
        </w:rPr>
        <w:t>投入该工作所有人员的姓名、工种、级别和耗用工时；</w:t>
      </w:r>
    </w:p>
    <w:p w14:paraId="5EE96BEA">
      <w:pPr>
        <w:pStyle w:val="115"/>
        <w:numPr>
          <w:ilvl w:val="0"/>
          <w:numId w:val="15"/>
        </w:numPr>
        <w:tabs>
          <w:tab w:val="left" w:pos="903"/>
        </w:tabs>
        <w:spacing w:line="360" w:lineRule="exact"/>
        <w:ind w:firstLine="420"/>
        <w:rPr>
          <w:rFonts w:hint="eastAsia" w:ascii="宋体" w:hAnsi="宋体" w:eastAsia="宋体" w:cs="宋体"/>
          <w:color w:val="auto"/>
          <w:highlight w:val="none"/>
        </w:rPr>
      </w:pPr>
      <w:bookmarkStart w:id="1382" w:name="bookmark1307"/>
      <w:bookmarkEnd w:id="1382"/>
      <w:r>
        <w:rPr>
          <w:rFonts w:hint="eastAsia" w:ascii="宋体" w:hAnsi="宋体" w:eastAsia="宋体" w:cs="宋体"/>
          <w:color w:val="auto"/>
          <w:highlight w:val="none"/>
        </w:rPr>
        <w:t>投入该工作的材料类别和数量；</w:t>
      </w:r>
    </w:p>
    <w:p w14:paraId="5EE96BEB">
      <w:pPr>
        <w:pStyle w:val="115"/>
        <w:numPr>
          <w:ilvl w:val="0"/>
          <w:numId w:val="15"/>
        </w:numPr>
        <w:tabs>
          <w:tab w:val="left" w:pos="903"/>
        </w:tabs>
        <w:spacing w:line="360" w:lineRule="exact"/>
        <w:ind w:firstLine="420"/>
        <w:rPr>
          <w:rFonts w:hint="eastAsia" w:ascii="宋体" w:hAnsi="宋体" w:eastAsia="宋体" w:cs="宋体"/>
          <w:color w:val="auto"/>
          <w:highlight w:val="none"/>
        </w:rPr>
      </w:pPr>
      <w:bookmarkStart w:id="1383" w:name="bookmark1308"/>
      <w:bookmarkEnd w:id="1383"/>
      <w:r>
        <w:rPr>
          <w:rFonts w:hint="eastAsia" w:ascii="宋体" w:hAnsi="宋体" w:eastAsia="宋体" w:cs="宋体"/>
          <w:color w:val="auto"/>
          <w:highlight w:val="none"/>
        </w:rPr>
        <w:t>投入该工作的施工设备型号、台数和耗用台时；</w:t>
      </w:r>
    </w:p>
    <w:p w14:paraId="5EE96BEC">
      <w:pPr>
        <w:pStyle w:val="115"/>
        <w:numPr>
          <w:ilvl w:val="0"/>
          <w:numId w:val="15"/>
        </w:numPr>
        <w:tabs>
          <w:tab w:val="left" w:pos="903"/>
        </w:tabs>
        <w:spacing w:line="360" w:lineRule="exact"/>
        <w:ind w:firstLine="420"/>
        <w:rPr>
          <w:rFonts w:hint="eastAsia" w:ascii="宋体" w:hAnsi="宋体" w:eastAsia="宋体" w:cs="宋体"/>
          <w:color w:val="auto"/>
          <w:highlight w:val="none"/>
        </w:rPr>
      </w:pPr>
      <w:bookmarkStart w:id="1384" w:name="bookmark1309"/>
      <w:bookmarkEnd w:id="1384"/>
      <w:r>
        <w:rPr>
          <w:rFonts w:hint="eastAsia" w:ascii="宋体" w:hAnsi="宋体" w:eastAsia="宋体" w:cs="宋体"/>
          <w:color w:val="auto"/>
          <w:highlight w:val="none"/>
        </w:rPr>
        <w:t>监理人要求提交的其他资料和凭证。</w:t>
      </w:r>
    </w:p>
    <w:p w14:paraId="5EE96BED">
      <w:pPr>
        <w:pStyle w:val="115"/>
        <w:spacing w:after="80"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15.7.3</w:t>
      </w:r>
      <w:r>
        <w:rPr>
          <w:rFonts w:hint="eastAsia" w:ascii="宋体" w:hAnsi="宋体" w:eastAsia="宋体" w:cs="宋体"/>
          <w:color w:val="auto"/>
          <w:highlight w:val="none"/>
        </w:rPr>
        <w:t>计日工由承包人汇总后，按第</w:t>
      </w:r>
      <w:r>
        <w:rPr>
          <w:rFonts w:hint="eastAsia" w:ascii="宋体" w:hAnsi="宋体" w:eastAsia="宋体" w:cs="宋体"/>
          <w:color w:val="auto"/>
          <w:highlight w:val="none"/>
          <w:lang w:val="en-US" w:bidi="en-US"/>
        </w:rPr>
        <w:t>17.3.2</w:t>
      </w:r>
      <w:r>
        <w:rPr>
          <w:rFonts w:hint="eastAsia" w:ascii="宋体" w:hAnsi="宋体" w:eastAsia="宋体" w:cs="宋体"/>
          <w:color w:val="auto"/>
          <w:highlight w:val="none"/>
        </w:rPr>
        <w:t>项的约定列入进度付款申请单，由监理人复核并经发包人同意后列入进度付款。</w:t>
      </w:r>
    </w:p>
    <w:p w14:paraId="5EE96BEE">
      <w:pPr>
        <w:pStyle w:val="116"/>
        <w:spacing w:line="360" w:lineRule="exact"/>
        <w:rPr>
          <w:rFonts w:hint="eastAsia" w:ascii="宋体" w:hAnsi="宋体" w:eastAsia="宋体" w:cs="宋体"/>
          <w:color w:val="auto"/>
          <w:sz w:val="24"/>
          <w:szCs w:val="24"/>
          <w:highlight w:val="none"/>
          <w:lang w:eastAsia="zh-CN"/>
        </w:rPr>
      </w:pPr>
      <w:bookmarkStart w:id="1385" w:name="_Toc199152946"/>
      <w:bookmarkStart w:id="1386" w:name="bookmark1312"/>
      <w:bookmarkStart w:id="1387" w:name="_Toc21122"/>
      <w:bookmarkStart w:id="1388" w:name="_Toc31389"/>
      <w:bookmarkStart w:id="1389" w:name="bookmark1311"/>
      <w:bookmarkStart w:id="1390" w:name="_Toc28868"/>
      <w:bookmarkStart w:id="1391" w:name="bookmark1310"/>
      <w:bookmarkStart w:id="1392" w:name="_Toc23616"/>
      <w:bookmarkStart w:id="1393" w:name="_Toc24291"/>
      <w:bookmarkStart w:id="1394" w:name="_Toc21886"/>
      <w:bookmarkStart w:id="1395" w:name="_Toc6776"/>
      <w:r>
        <w:rPr>
          <w:rFonts w:hint="eastAsia" w:ascii="宋体" w:hAnsi="宋体" w:eastAsia="宋体" w:cs="宋体"/>
          <w:color w:val="auto"/>
          <w:sz w:val="24"/>
          <w:szCs w:val="24"/>
          <w:highlight w:val="none"/>
          <w:lang w:eastAsia="zh-CN"/>
        </w:rPr>
        <w:t>15.8暂估价</w:t>
      </w:r>
      <w:bookmarkEnd w:id="1385"/>
      <w:bookmarkEnd w:id="1386"/>
      <w:bookmarkEnd w:id="1387"/>
      <w:bookmarkEnd w:id="1388"/>
      <w:bookmarkEnd w:id="1389"/>
      <w:bookmarkEnd w:id="1390"/>
      <w:bookmarkEnd w:id="1391"/>
      <w:bookmarkEnd w:id="1392"/>
      <w:bookmarkEnd w:id="1393"/>
      <w:bookmarkEnd w:id="1394"/>
      <w:bookmarkEnd w:id="1395"/>
    </w:p>
    <w:p w14:paraId="5EE96BEF">
      <w:pPr>
        <w:pStyle w:val="115"/>
        <w:spacing w:after="80" w:line="374" w:lineRule="exact"/>
        <w:ind w:firstLine="440"/>
        <w:jc w:val="both"/>
        <w:rPr>
          <w:rFonts w:hint="eastAsia" w:ascii="宋体" w:hAnsi="宋体" w:eastAsia="宋体" w:cs="宋体"/>
          <w:color w:val="auto"/>
          <w:highlight w:val="none"/>
        </w:rPr>
      </w:pPr>
      <w:bookmarkStart w:id="1396" w:name="bookmark1313"/>
      <w:bookmarkEnd w:id="1396"/>
      <w:r>
        <w:rPr>
          <w:rFonts w:hint="eastAsia" w:ascii="宋体" w:hAnsi="宋体" w:eastAsia="宋体" w:cs="宋体"/>
          <w:color w:val="auto"/>
          <w:highlight w:val="none"/>
        </w:rPr>
        <w:t>15.8.1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他费用列入合同价格。必须招标的暂估价项目招标组织形式、发包人和承包人组织招标时双方的权利义务关系在专用合同条款中约定。</w:t>
      </w:r>
    </w:p>
    <w:p w14:paraId="5EE96BF0">
      <w:pPr>
        <w:pStyle w:val="115"/>
        <w:spacing w:after="80" w:line="374" w:lineRule="exact"/>
        <w:ind w:firstLine="440"/>
        <w:jc w:val="both"/>
        <w:rPr>
          <w:rFonts w:hint="eastAsia" w:ascii="宋体" w:hAnsi="宋体" w:eastAsia="宋体" w:cs="宋体"/>
          <w:color w:val="auto"/>
          <w:highlight w:val="none"/>
        </w:rPr>
      </w:pPr>
      <w:bookmarkStart w:id="1397" w:name="bookmark1314"/>
      <w:bookmarkEnd w:id="1397"/>
      <w:r>
        <w:rPr>
          <w:rFonts w:hint="eastAsia" w:ascii="宋体" w:hAnsi="宋体" w:eastAsia="宋体" w:cs="宋体"/>
          <w:color w:val="auto"/>
          <w:highlight w:val="none"/>
        </w:rPr>
        <w:t>15.8.2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5EE96BF1">
      <w:pPr>
        <w:pStyle w:val="115"/>
        <w:spacing w:after="80" w:line="374" w:lineRule="exact"/>
        <w:ind w:firstLine="440"/>
        <w:jc w:val="both"/>
        <w:rPr>
          <w:rFonts w:hint="eastAsia" w:ascii="宋体" w:hAnsi="宋体" w:eastAsia="宋体" w:cs="宋体"/>
          <w:color w:val="auto"/>
          <w:highlight w:val="none"/>
        </w:rPr>
      </w:pPr>
      <w:bookmarkStart w:id="1398" w:name="bookmark1315"/>
      <w:bookmarkEnd w:id="1398"/>
      <w:r>
        <w:rPr>
          <w:rFonts w:hint="eastAsia" w:ascii="宋体" w:hAnsi="宋体" w:eastAsia="宋体" w:cs="宋体"/>
          <w:color w:val="auto"/>
          <w:highlight w:val="none"/>
        </w:rPr>
        <w:t>15.8.3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5EE96BF2">
      <w:pPr>
        <w:pStyle w:val="116"/>
        <w:spacing w:line="360" w:lineRule="exact"/>
        <w:rPr>
          <w:rFonts w:hint="eastAsia" w:ascii="宋体" w:hAnsi="宋体" w:eastAsia="宋体" w:cs="宋体"/>
          <w:color w:val="auto"/>
          <w:highlight w:val="none"/>
          <w:lang w:eastAsia="zh-CN"/>
        </w:rPr>
      </w:pPr>
      <w:bookmarkStart w:id="1399" w:name="_Toc25220"/>
      <w:bookmarkStart w:id="1400" w:name="_Toc32383"/>
      <w:bookmarkStart w:id="1401" w:name="_Toc25393"/>
      <w:bookmarkStart w:id="1402" w:name="bookmark1318"/>
      <w:bookmarkStart w:id="1403" w:name="_Toc242"/>
      <w:bookmarkStart w:id="1404" w:name="_Toc4694"/>
      <w:bookmarkStart w:id="1405" w:name="_Toc31578"/>
      <w:bookmarkStart w:id="1406" w:name="_Toc28344"/>
      <w:bookmarkStart w:id="1407" w:name="_Toc199152947"/>
      <w:bookmarkStart w:id="1408" w:name="bookmark1316"/>
      <w:bookmarkStart w:id="1409" w:name="bookmark1317"/>
      <w:r>
        <w:rPr>
          <w:rFonts w:hint="eastAsia" w:ascii="宋体" w:hAnsi="宋体" w:eastAsia="宋体" w:cs="宋体"/>
          <w:color w:val="auto"/>
          <w:highlight w:val="none"/>
          <w:lang w:eastAsia="zh-CN"/>
        </w:rPr>
        <w:t>16.价格调整</w:t>
      </w:r>
      <w:bookmarkEnd w:id="1399"/>
      <w:bookmarkEnd w:id="1400"/>
      <w:bookmarkEnd w:id="1401"/>
      <w:bookmarkEnd w:id="1402"/>
      <w:bookmarkEnd w:id="1403"/>
      <w:bookmarkEnd w:id="1404"/>
      <w:bookmarkEnd w:id="1405"/>
      <w:bookmarkEnd w:id="1406"/>
      <w:bookmarkEnd w:id="1407"/>
      <w:bookmarkEnd w:id="1408"/>
      <w:bookmarkEnd w:id="1409"/>
    </w:p>
    <w:p w14:paraId="5EE96BF3">
      <w:pPr>
        <w:pStyle w:val="116"/>
        <w:spacing w:line="360" w:lineRule="exact"/>
        <w:rPr>
          <w:rFonts w:hint="eastAsia" w:ascii="宋体" w:hAnsi="宋体" w:eastAsia="宋体" w:cs="宋体"/>
          <w:color w:val="auto"/>
          <w:sz w:val="24"/>
          <w:szCs w:val="24"/>
          <w:highlight w:val="none"/>
          <w:lang w:eastAsia="zh-CN"/>
        </w:rPr>
      </w:pPr>
      <w:bookmarkStart w:id="1410" w:name="bookmark1321"/>
      <w:bookmarkStart w:id="1411" w:name="bookmark1319"/>
      <w:bookmarkStart w:id="1412" w:name="_Toc20370"/>
      <w:bookmarkStart w:id="1413" w:name="_Toc23512"/>
      <w:bookmarkStart w:id="1414" w:name="_Toc19377"/>
      <w:bookmarkStart w:id="1415" w:name="_Toc199152948"/>
      <w:bookmarkStart w:id="1416" w:name="_Toc28179"/>
      <w:bookmarkStart w:id="1417" w:name="_Toc2131"/>
      <w:bookmarkStart w:id="1418" w:name="_Toc3602"/>
      <w:bookmarkStart w:id="1419" w:name="_Toc11777"/>
      <w:bookmarkStart w:id="1420" w:name="bookmark1320"/>
      <w:r>
        <w:rPr>
          <w:rFonts w:hint="eastAsia" w:ascii="宋体" w:hAnsi="宋体" w:eastAsia="宋体" w:cs="宋体"/>
          <w:color w:val="auto"/>
          <w:sz w:val="24"/>
          <w:szCs w:val="24"/>
          <w:highlight w:val="none"/>
          <w:lang w:eastAsia="zh-CN"/>
        </w:rPr>
        <w:t>16.1物价波动引起的价格调整</w:t>
      </w:r>
      <w:bookmarkEnd w:id="1410"/>
      <w:bookmarkEnd w:id="1411"/>
      <w:bookmarkEnd w:id="1412"/>
      <w:bookmarkEnd w:id="1413"/>
      <w:bookmarkEnd w:id="1414"/>
      <w:bookmarkEnd w:id="1415"/>
      <w:bookmarkEnd w:id="1416"/>
      <w:bookmarkEnd w:id="1417"/>
      <w:bookmarkEnd w:id="1418"/>
      <w:bookmarkEnd w:id="1419"/>
      <w:bookmarkEnd w:id="1420"/>
    </w:p>
    <w:p w14:paraId="5EE96BF4">
      <w:pPr>
        <w:pStyle w:val="115"/>
        <w:spacing w:line="347"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由于物价波动原因引起合同价格需要调整的，其价格调整方式在专用合同条款中约定；除专用合同条款另有约定外，因物价波动引起的价格调整按照本款约定处理。</w:t>
      </w:r>
    </w:p>
    <w:p w14:paraId="5EE96BF5">
      <w:pPr>
        <w:pStyle w:val="115"/>
        <w:tabs>
          <w:tab w:val="left" w:pos="839"/>
        </w:tabs>
        <w:spacing w:line="347" w:lineRule="exact"/>
        <w:ind w:left="420" w:firstLine="0"/>
        <w:jc w:val="both"/>
        <w:rPr>
          <w:rFonts w:hint="eastAsia" w:ascii="宋体" w:hAnsi="宋体" w:eastAsia="宋体" w:cs="宋体"/>
          <w:color w:val="auto"/>
          <w:highlight w:val="none"/>
        </w:rPr>
      </w:pPr>
      <w:bookmarkStart w:id="1421" w:name="bookmark1322"/>
      <w:bookmarkEnd w:id="1421"/>
      <w:r>
        <w:rPr>
          <w:rFonts w:hint="eastAsia" w:ascii="宋体" w:hAnsi="宋体" w:eastAsia="宋体" w:cs="宋体"/>
          <w:color w:val="auto"/>
          <w:highlight w:val="none"/>
          <w:lang w:val="en-US" w:bidi="en-US"/>
        </w:rPr>
        <w:t>16.1.</w:t>
      </w:r>
      <w:r>
        <w:rPr>
          <w:rFonts w:hint="eastAsia" w:ascii="宋体" w:hAnsi="宋体" w:eastAsia="宋体" w:cs="宋体"/>
          <w:color w:val="auto"/>
          <w:highlight w:val="none"/>
        </w:rPr>
        <w:t>1采用价格指数调整价格差额</w:t>
      </w:r>
    </w:p>
    <w:p w14:paraId="5EE96BF6">
      <w:pPr>
        <w:pStyle w:val="117"/>
        <w:tabs>
          <w:tab w:val="left" w:pos="839"/>
        </w:tabs>
        <w:spacing w:after="0" w:line="347" w:lineRule="exact"/>
        <w:ind w:left="420" w:firstLine="0"/>
        <w:jc w:val="both"/>
        <w:rPr>
          <w:rFonts w:hint="eastAsia" w:ascii="宋体" w:hAnsi="宋体" w:eastAsia="宋体" w:cs="宋体"/>
          <w:color w:val="auto"/>
          <w:highlight w:val="none"/>
          <w:lang w:eastAsia="zh-CN"/>
        </w:rPr>
      </w:pPr>
      <w:bookmarkStart w:id="1422" w:name="bookmark1323"/>
      <w:bookmarkEnd w:id="1422"/>
      <w:r>
        <w:rPr>
          <w:rFonts w:hint="eastAsia" w:ascii="宋体" w:hAnsi="宋体" w:eastAsia="宋体" w:cs="宋体"/>
          <w:color w:val="auto"/>
          <w:highlight w:val="none"/>
          <w:lang w:eastAsia="zh-CN"/>
        </w:rPr>
        <w:t>16.1.1.</w:t>
      </w:r>
      <w:r>
        <w:rPr>
          <w:rFonts w:hint="eastAsia" w:ascii="宋体" w:hAnsi="宋体" w:eastAsia="宋体" w:cs="宋体"/>
          <w:color w:val="auto"/>
          <w:highlight w:val="none"/>
          <w:lang w:val="zh-CN" w:eastAsia="zh-CN" w:bidi="zh-CN"/>
        </w:rPr>
        <w:t>1价格调整公式</w:t>
      </w:r>
    </w:p>
    <w:p w14:paraId="5EE96BF7">
      <w:pPr>
        <w:pStyle w:val="115"/>
        <w:spacing w:after="140" w:line="347"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因人工、材料和设备等价格波动影响合同价格时，根据投标函附录中的价格指数和权重表约定的数据，按以下公式计算差额并调整合同价格。</w:t>
      </w:r>
    </w:p>
    <w:p w14:paraId="5EE96BF8">
      <w:pPr>
        <w:pStyle w:val="115"/>
        <w:spacing w:line="240" w:lineRule="auto"/>
        <w:ind w:firstLine="420"/>
        <w:rPr>
          <w:rFonts w:hint="eastAsia" w:ascii="宋体" w:hAnsi="宋体" w:eastAsia="宋体" w:cs="宋体"/>
          <w:color w:val="auto"/>
          <w:highlight w:val="none"/>
          <w:lang w:val="en-US"/>
        </w:rPr>
      </w:pPr>
      <w:r>
        <w:rPr>
          <w:rFonts w:hint="eastAsia" w:ascii="宋体" w:hAnsi="宋体" w:eastAsia="宋体" w:cs="宋体"/>
          <w:color w:val="auto"/>
          <w:position w:val="-34"/>
          <w:sz w:val="24"/>
          <w:highlight w:val="none"/>
        </w:rPr>
        <w:object>
          <v:shape id="_x0000_i1025" o:spt="75" type="#_x0000_t75" style="height:49.65pt;width:324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p>
    <w:p w14:paraId="5EE96BF9">
      <w:pPr>
        <w:pStyle w:val="115"/>
        <w:spacing w:line="374" w:lineRule="exact"/>
        <w:ind w:firstLine="420"/>
        <w:rPr>
          <w:rFonts w:hint="eastAsia" w:ascii="宋体" w:hAnsi="宋体" w:eastAsia="宋体" w:cs="宋体"/>
          <w:color w:val="auto"/>
          <w:highlight w:val="none"/>
          <w:lang w:val="en-US"/>
        </w:rPr>
      </w:pPr>
    </w:p>
    <w:p w14:paraId="5EE96BFA">
      <w:pPr>
        <w:pStyle w:val="115"/>
        <w:spacing w:line="374" w:lineRule="exact"/>
        <w:ind w:firstLine="420"/>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式中：△P--需调整的价格差额；</w:t>
      </w:r>
    </w:p>
    <w:p w14:paraId="5EE96BFB">
      <w:pPr>
        <w:pStyle w:val="115"/>
        <w:spacing w:line="374" w:lineRule="exact"/>
        <w:ind w:firstLine="420"/>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P0--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5EE96BFC">
      <w:pPr>
        <w:pStyle w:val="115"/>
        <w:spacing w:line="374" w:lineRule="exact"/>
        <w:ind w:firstLine="420"/>
        <w:rPr>
          <w:rFonts w:hint="eastAsia" w:ascii="宋体" w:hAnsi="宋体" w:eastAsia="宋体" w:cs="宋体"/>
          <w:color w:val="auto"/>
          <w:highlight w:val="none"/>
          <w:lang w:val="en-US"/>
        </w:rPr>
      </w:pPr>
      <w:bookmarkStart w:id="1423" w:name="_Toc144974686"/>
      <w:bookmarkStart w:id="1424" w:name="_Toc152042495"/>
      <w:r>
        <w:rPr>
          <w:rFonts w:hint="eastAsia" w:ascii="宋体" w:hAnsi="宋体" w:eastAsia="宋体" w:cs="宋体"/>
          <w:color w:val="auto"/>
          <w:highlight w:val="none"/>
          <w:lang w:val="en-US"/>
        </w:rPr>
        <w:t>A--定值权重(即不调部分的权重)；</w:t>
      </w:r>
      <w:bookmarkEnd w:id="1423"/>
      <w:bookmarkEnd w:id="1424"/>
    </w:p>
    <w:p w14:paraId="5EE96BFD">
      <w:pPr>
        <w:pStyle w:val="115"/>
        <w:spacing w:line="374" w:lineRule="exact"/>
        <w:ind w:firstLine="420"/>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B1；B2；B3·····Bn--各可调因子的变值权重(即可调部分的权重)为各可调因子在投标函投标总报价中所占的比例；</w:t>
      </w:r>
    </w:p>
    <w:p w14:paraId="5EE96BFE">
      <w:pPr>
        <w:pStyle w:val="115"/>
        <w:spacing w:line="374" w:lineRule="exact"/>
        <w:ind w:firstLine="420"/>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Ft1；Ft2；Ft3·····Ftn--各可调因子的现行价格指数，指第17.3.3项、第17.5.2项和第17.6.2项约定的付款证书相关周期最后一天的前42天的各可调因子的价格指数；</w:t>
      </w:r>
    </w:p>
    <w:p w14:paraId="5EE96BFF">
      <w:pPr>
        <w:pStyle w:val="115"/>
        <w:spacing w:line="374" w:lineRule="exact"/>
        <w:ind w:firstLine="420"/>
        <w:jc w:val="both"/>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Fo1；Fo2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val="en-US"/>
        </w:rPr>
        <w:t>Fo3·····Fon--各可调因子的基本价格指数，指基准日期的各可调因子的价格指数。</w:t>
      </w:r>
    </w:p>
    <w:p w14:paraId="5EE96C00">
      <w:pPr>
        <w:pStyle w:val="115"/>
        <w:spacing w:after="120" w:line="35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5EE96C01">
      <w:pPr>
        <w:pStyle w:val="115"/>
        <w:spacing w:line="379"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16.1.1.2</w:t>
      </w:r>
      <w:r>
        <w:rPr>
          <w:rFonts w:hint="eastAsia" w:ascii="宋体" w:hAnsi="宋体" w:eastAsia="宋体" w:cs="宋体"/>
          <w:color w:val="auto"/>
          <w:highlight w:val="none"/>
        </w:rPr>
        <w:t>暂时确定调整差额</w:t>
      </w:r>
    </w:p>
    <w:p w14:paraId="5EE96C02">
      <w:pPr>
        <w:pStyle w:val="115"/>
        <w:spacing w:after="120" w:line="36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在计算调整差额时得不到现行价格指数的，可暂用上一次价格指数计算，并在以后的付款中再按实际价格指数进行调整。</w:t>
      </w:r>
    </w:p>
    <w:p w14:paraId="5EE96C03">
      <w:pPr>
        <w:pStyle w:val="117"/>
        <w:spacing w:after="0" w:line="386" w:lineRule="auto"/>
        <w:ind w:firstLine="440"/>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16.1.1.3</w:t>
      </w:r>
      <w:r>
        <w:rPr>
          <w:rFonts w:hint="eastAsia" w:ascii="宋体" w:hAnsi="宋体" w:eastAsia="宋体" w:cs="宋体"/>
          <w:color w:val="auto"/>
          <w:highlight w:val="none"/>
          <w:lang w:val="zh-CN" w:eastAsia="zh-CN" w:bidi="zh-CN"/>
        </w:rPr>
        <w:t>权重的调整</w:t>
      </w:r>
    </w:p>
    <w:p w14:paraId="5EE96C04">
      <w:pPr>
        <w:pStyle w:val="115"/>
        <w:spacing w:after="120" w:line="37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按第</w:t>
      </w:r>
      <w:r>
        <w:rPr>
          <w:rFonts w:hint="eastAsia" w:ascii="宋体" w:hAnsi="宋体" w:eastAsia="宋体" w:cs="宋体"/>
          <w:color w:val="auto"/>
          <w:highlight w:val="none"/>
          <w:lang w:val="en-US" w:bidi="en-US"/>
        </w:rPr>
        <w:t>15.</w:t>
      </w:r>
      <w:r>
        <w:rPr>
          <w:rFonts w:hint="eastAsia" w:ascii="宋体" w:hAnsi="宋体" w:eastAsia="宋体" w:cs="宋体"/>
          <w:color w:val="auto"/>
          <w:highlight w:val="none"/>
        </w:rPr>
        <w:t>1款约定的变更导致原定合同中的权重不合理时，由监理人与承包人和发包人协商后进行调整。</w:t>
      </w:r>
    </w:p>
    <w:p w14:paraId="5EE96C05">
      <w:pPr>
        <w:pStyle w:val="115"/>
        <w:spacing w:line="374"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16.1.1.4</w:t>
      </w:r>
      <w:r>
        <w:rPr>
          <w:rFonts w:hint="eastAsia" w:ascii="宋体" w:hAnsi="宋体" w:eastAsia="宋体" w:cs="宋体"/>
          <w:color w:val="auto"/>
          <w:highlight w:val="none"/>
        </w:rPr>
        <w:t>承包人工期延误后的价格调整</w:t>
      </w:r>
    </w:p>
    <w:p w14:paraId="5EE96C06">
      <w:pPr>
        <w:pStyle w:val="115"/>
        <w:spacing w:after="120" w:line="356"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由于承包人原因未在约定的工期内竣工的，则对原约定竣工日期后继续施工的工程</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在使用第</w:t>
      </w:r>
      <w:r>
        <w:rPr>
          <w:rFonts w:hint="eastAsia" w:ascii="宋体" w:hAnsi="宋体" w:eastAsia="宋体" w:cs="宋体"/>
          <w:color w:val="auto"/>
          <w:highlight w:val="none"/>
          <w:lang w:val="en-US" w:bidi="en-US"/>
        </w:rPr>
        <w:t>16.1.1.</w:t>
      </w:r>
      <w:r>
        <w:rPr>
          <w:rFonts w:hint="eastAsia" w:ascii="宋体" w:hAnsi="宋体" w:eastAsia="宋体" w:cs="宋体"/>
          <w:color w:val="auto"/>
          <w:highlight w:val="none"/>
        </w:rPr>
        <w:t>1目价格调整公式时，应采用原约定竣工日期与实际竣工日期的两个价格指数中较低的一个作为现行价格指数。</w:t>
      </w:r>
    </w:p>
    <w:p w14:paraId="5EE96C07">
      <w:pPr>
        <w:pStyle w:val="115"/>
        <w:tabs>
          <w:tab w:val="left" w:pos="861"/>
        </w:tabs>
        <w:spacing w:line="374" w:lineRule="auto"/>
        <w:ind w:firstLine="0"/>
        <w:jc w:val="both"/>
        <w:rPr>
          <w:rFonts w:hint="eastAsia" w:ascii="宋体" w:hAnsi="宋体" w:eastAsia="宋体" w:cs="宋体"/>
          <w:color w:val="auto"/>
          <w:highlight w:val="none"/>
        </w:rPr>
      </w:pPr>
      <w:bookmarkStart w:id="1425" w:name="bookmark1325"/>
      <w:bookmarkEnd w:id="1425"/>
      <w:r>
        <w:rPr>
          <w:rFonts w:hint="eastAsia" w:ascii="宋体" w:hAnsi="宋体" w:eastAsia="宋体" w:cs="宋体"/>
          <w:color w:val="auto"/>
          <w:highlight w:val="none"/>
          <w:lang w:val="en-US" w:bidi="en-US"/>
        </w:rPr>
        <w:t>16.1.</w:t>
      </w:r>
      <w:r>
        <w:rPr>
          <w:rFonts w:hint="eastAsia" w:ascii="宋体" w:hAnsi="宋体" w:eastAsia="宋体" w:cs="宋体"/>
          <w:color w:val="auto"/>
          <w:highlight w:val="none"/>
        </w:rPr>
        <w:t>2采用造价信息调整价格差额</w:t>
      </w:r>
    </w:p>
    <w:p w14:paraId="5EE96C08">
      <w:pPr>
        <w:pStyle w:val="115"/>
        <w:spacing w:line="359"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5EE96C09">
      <w:pPr>
        <w:pStyle w:val="115"/>
        <w:spacing w:after="160" w:line="359"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工程造价信息的来源以及价格调整的项目和系数在专用合同条款中约定。</w:t>
      </w:r>
    </w:p>
    <w:p w14:paraId="5EE96C0A">
      <w:pPr>
        <w:pStyle w:val="116"/>
        <w:spacing w:line="360" w:lineRule="exact"/>
        <w:rPr>
          <w:rFonts w:hint="eastAsia" w:ascii="宋体" w:hAnsi="宋体" w:eastAsia="宋体" w:cs="宋体"/>
          <w:color w:val="auto"/>
          <w:sz w:val="24"/>
          <w:szCs w:val="24"/>
          <w:highlight w:val="none"/>
          <w:lang w:eastAsia="zh-CN"/>
        </w:rPr>
      </w:pPr>
      <w:bookmarkStart w:id="1426" w:name="bookmark1326"/>
      <w:bookmarkStart w:id="1427" w:name="_Toc199152949"/>
      <w:bookmarkStart w:id="1428" w:name="_Toc30076"/>
      <w:bookmarkStart w:id="1429" w:name="_Toc32307"/>
      <w:bookmarkStart w:id="1430" w:name="_Toc22317"/>
      <w:bookmarkStart w:id="1431" w:name="_Toc29681"/>
      <w:bookmarkStart w:id="1432" w:name="_Toc30516"/>
      <w:bookmarkStart w:id="1433" w:name="_Toc19456"/>
      <w:bookmarkStart w:id="1434" w:name="_Toc5978"/>
      <w:bookmarkStart w:id="1435" w:name="bookmark1328"/>
      <w:bookmarkStart w:id="1436" w:name="bookmark1327"/>
      <w:r>
        <w:rPr>
          <w:rFonts w:hint="eastAsia" w:ascii="宋体" w:hAnsi="宋体" w:eastAsia="宋体" w:cs="宋体"/>
          <w:color w:val="auto"/>
          <w:sz w:val="24"/>
          <w:szCs w:val="24"/>
          <w:highlight w:val="none"/>
          <w:lang w:eastAsia="zh-CN"/>
        </w:rPr>
        <w:t>16.2法律变化引起的价格调整</w:t>
      </w:r>
      <w:bookmarkEnd w:id="1426"/>
      <w:bookmarkEnd w:id="1427"/>
      <w:bookmarkEnd w:id="1428"/>
      <w:bookmarkEnd w:id="1429"/>
      <w:bookmarkEnd w:id="1430"/>
      <w:bookmarkEnd w:id="1431"/>
      <w:bookmarkEnd w:id="1432"/>
      <w:bookmarkEnd w:id="1433"/>
      <w:bookmarkEnd w:id="1434"/>
      <w:bookmarkEnd w:id="1435"/>
      <w:bookmarkEnd w:id="1436"/>
    </w:p>
    <w:p w14:paraId="5EE96C0B">
      <w:pPr>
        <w:pStyle w:val="115"/>
        <w:spacing w:after="300" w:line="348"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在基准日后，因法律变化导致承包人在合同履行中所需要的工程费用发生除第</w:t>
      </w:r>
      <w:r>
        <w:rPr>
          <w:rFonts w:hint="eastAsia" w:ascii="宋体" w:hAnsi="宋体" w:eastAsia="宋体" w:cs="宋体"/>
          <w:color w:val="auto"/>
          <w:highlight w:val="none"/>
          <w:lang w:val="en-US" w:bidi="en-US"/>
        </w:rPr>
        <w:t>16.</w:t>
      </w:r>
      <w:r>
        <w:rPr>
          <w:rFonts w:hint="eastAsia" w:ascii="宋体" w:hAnsi="宋体" w:eastAsia="宋体" w:cs="宋体"/>
          <w:color w:val="auto"/>
          <w:highlight w:val="none"/>
        </w:rPr>
        <w:t>1款约定以外的增减时，监理人应根据法律、国家或省、自治区、直辖市有关部门的规定，按第</w:t>
      </w:r>
      <w:r>
        <w:rPr>
          <w:rFonts w:hint="eastAsia" w:ascii="宋体" w:hAnsi="宋体" w:eastAsia="宋体" w:cs="宋体"/>
          <w:color w:val="auto"/>
          <w:highlight w:val="none"/>
          <w:lang w:val="en-US" w:bidi="en-US"/>
        </w:rPr>
        <w:t>3.</w:t>
      </w:r>
      <w:r>
        <w:rPr>
          <w:rFonts w:hint="eastAsia" w:ascii="宋体" w:hAnsi="宋体" w:eastAsia="宋体" w:cs="宋体"/>
          <w:color w:val="auto"/>
          <w:highlight w:val="none"/>
        </w:rPr>
        <w:t>5款商定或确定需调整的合同价款。</w:t>
      </w:r>
    </w:p>
    <w:p w14:paraId="5EE96C0C">
      <w:pPr>
        <w:pStyle w:val="116"/>
        <w:spacing w:line="360" w:lineRule="exact"/>
        <w:rPr>
          <w:rFonts w:hint="eastAsia" w:ascii="宋体" w:hAnsi="宋体" w:eastAsia="宋体" w:cs="宋体"/>
          <w:color w:val="auto"/>
          <w:highlight w:val="none"/>
          <w:lang w:eastAsia="zh-CN"/>
        </w:rPr>
      </w:pPr>
      <w:bookmarkStart w:id="1437" w:name="_Toc13855"/>
      <w:bookmarkStart w:id="1438" w:name="_Toc15158"/>
      <w:bookmarkStart w:id="1439" w:name="_Toc997"/>
      <w:bookmarkStart w:id="1440" w:name="_Toc26355"/>
      <w:bookmarkStart w:id="1441" w:name="_Toc21152"/>
      <w:bookmarkStart w:id="1442" w:name="_Toc9391"/>
      <w:bookmarkStart w:id="1443" w:name="_Toc18376"/>
      <w:bookmarkStart w:id="1444" w:name="bookmark1330"/>
      <w:bookmarkStart w:id="1445" w:name="bookmark1329"/>
      <w:bookmarkStart w:id="1446" w:name="_Toc199152950"/>
      <w:bookmarkStart w:id="1447" w:name="bookmark1331"/>
      <w:r>
        <w:rPr>
          <w:rFonts w:hint="eastAsia" w:ascii="宋体" w:hAnsi="宋体" w:eastAsia="宋体" w:cs="宋体"/>
          <w:color w:val="auto"/>
          <w:highlight w:val="none"/>
          <w:lang w:eastAsia="zh-CN"/>
        </w:rPr>
        <w:t>17.计量与支付</w:t>
      </w:r>
      <w:bookmarkEnd w:id="1437"/>
      <w:bookmarkEnd w:id="1438"/>
      <w:bookmarkEnd w:id="1439"/>
      <w:bookmarkEnd w:id="1440"/>
      <w:bookmarkEnd w:id="1441"/>
      <w:bookmarkEnd w:id="1442"/>
      <w:bookmarkEnd w:id="1443"/>
      <w:bookmarkEnd w:id="1444"/>
      <w:bookmarkEnd w:id="1445"/>
      <w:bookmarkEnd w:id="1446"/>
      <w:bookmarkEnd w:id="1447"/>
    </w:p>
    <w:p w14:paraId="5EE96C0D">
      <w:pPr>
        <w:pStyle w:val="116"/>
        <w:spacing w:line="360" w:lineRule="exact"/>
        <w:rPr>
          <w:rFonts w:hint="eastAsia" w:ascii="宋体" w:hAnsi="宋体" w:eastAsia="宋体" w:cs="宋体"/>
          <w:color w:val="auto"/>
          <w:sz w:val="24"/>
          <w:szCs w:val="24"/>
          <w:highlight w:val="none"/>
          <w:lang w:eastAsia="zh-CN"/>
        </w:rPr>
      </w:pPr>
      <w:bookmarkStart w:id="1448" w:name="_Toc26705"/>
      <w:bookmarkStart w:id="1449" w:name="_Toc18909"/>
      <w:bookmarkStart w:id="1450" w:name="_Toc20931"/>
      <w:bookmarkStart w:id="1451" w:name="_Toc29361"/>
      <w:bookmarkStart w:id="1452" w:name="bookmark1333"/>
      <w:bookmarkStart w:id="1453" w:name="_Toc7733"/>
      <w:bookmarkStart w:id="1454" w:name="bookmark1332"/>
      <w:bookmarkStart w:id="1455" w:name="_Toc19169"/>
      <w:bookmarkStart w:id="1456" w:name="_Toc199152951"/>
      <w:bookmarkStart w:id="1457" w:name="bookmark1334"/>
      <w:bookmarkStart w:id="1458" w:name="_Toc2006"/>
      <w:r>
        <w:rPr>
          <w:rFonts w:hint="eastAsia" w:ascii="宋体" w:hAnsi="宋体" w:eastAsia="宋体" w:cs="宋体"/>
          <w:color w:val="auto"/>
          <w:sz w:val="24"/>
          <w:szCs w:val="24"/>
          <w:highlight w:val="none"/>
          <w:lang w:eastAsia="zh-CN"/>
        </w:rPr>
        <w:t>17.1计量</w:t>
      </w:r>
      <w:bookmarkEnd w:id="1448"/>
      <w:bookmarkEnd w:id="1449"/>
      <w:bookmarkEnd w:id="1450"/>
      <w:bookmarkEnd w:id="1451"/>
      <w:bookmarkEnd w:id="1452"/>
      <w:bookmarkEnd w:id="1453"/>
      <w:bookmarkEnd w:id="1454"/>
      <w:bookmarkEnd w:id="1455"/>
      <w:bookmarkEnd w:id="1456"/>
      <w:bookmarkEnd w:id="1457"/>
      <w:bookmarkEnd w:id="1458"/>
    </w:p>
    <w:p w14:paraId="5EE96C0E">
      <w:pPr>
        <w:pStyle w:val="117"/>
        <w:tabs>
          <w:tab w:val="left" w:pos="841"/>
        </w:tabs>
        <w:spacing w:after="0" w:line="360" w:lineRule="exact"/>
        <w:ind w:firstLine="0"/>
        <w:rPr>
          <w:rFonts w:hint="eastAsia" w:ascii="宋体" w:hAnsi="宋体" w:eastAsia="宋体" w:cs="宋体"/>
          <w:color w:val="auto"/>
          <w:highlight w:val="none"/>
          <w:lang w:eastAsia="zh-CN"/>
        </w:rPr>
      </w:pPr>
      <w:bookmarkStart w:id="1459" w:name="bookmark1335"/>
      <w:bookmarkEnd w:id="1459"/>
      <w:r>
        <w:rPr>
          <w:rFonts w:hint="eastAsia" w:ascii="宋体" w:hAnsi="宋体" w:eastAsia="宋体" w:cs="宋体"/>
          <w:color w:val="auto"/>
          <w:highlight w:val="none"/>
          <w:lang w:eastAsia="zh-CN"/>
        </w:rPr>
        <w:t>17.1.</w:t>
      </w:r>
      <w:r>
        <w:rPr>
          <w:rFonts w:hint="eastAsia" w:ascii="宋体" w:hAnsi="宋体" w:eastAsia="宋体" w:cs="宋体"/>
          <w:color w:val="auto"/>
          <w:highlight w:val="none"/>
          <w:lang w:val="zh-CN" w:eastAsia="zh-CN" w:bidi="zh-CN"/>
        </w:rPr>
        <w:t>1计量单位</w:t>
      </w:r>
    </w:p>
    <w:p w14:paraId="5EE96C0F">
      <w:pPr>
        <w:pStyle w:val="115"/>
        <w:spacing w:after="120"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计量采用国家法定的计量单位。</w:t>
      </w:r>
    </w:p>
    <w:p w14:paraId="5EE96C10">
      <w:pPr>
        <w:pStyle w:val="115"/>
        <w:tabs>
          <w:tab w:val="left" w:pos="841"/>
        </w:tabs>
        <w:spacing w:line="360" w:lineRule="exact"/>
        <w:ind w:left="420" w:firstLine="0"/>
        <w:rPr>
          <w:rFonts w:hint="eastAsia" w:ascii="宋体" w:hAnsi="宋体" w:eastAsia="宋体" w:cs="宋体"/>
          <w:color w:val="auto"/>
          <w:highlight w:val="none"/>
        </w:rPr>
      </w:pPr>
      <w:bookmarkStart w:id="1460" w:name="bookmark1336"/>
      <w:bookmarkEnd w:id="1460"/>
      <w:r>
        <w:rPr>
          <w:rFonts w:hint="eastAsia" w:ascii="宋体" w:hAnsi="宋体" w:eastAsia="宋体" w:cs="宋体"/>
          <w:color w:val="auto"/>
          <w:highlight w:val="none"/>
          <w:lang w:val="en-US" w:bidi="en-US"/>
        </w:rPr>
        <w:t>17.1.</w:t>
      </w:r>
      <w:r>
        <w:rPr>
          <w:rFonts w:hint="eastAsia" w:ascii="宋体" w:hAnsi="宋体" w:eastAsia="宋体" w:cs="宋体"/>
          <w:color w:val="auto"/>
          <w:highlight w:val="none"/>
        </w:rPr>
        <w:t>2计量方法</w:t>
      </w:r>
    </w:p>
    <w:p w14:paraId="5EE96C11">
      <w:pPr>
        <w:pStyle w:val="115"/>
        <w:spacing w:after="120"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结算工程量应按工程量清单中约定的方法计算。</w:t>
      </w:r>
    </w:p>
    <w:p w14:paraId="5EE96C12">
      <w:pPr>
        <w:pStyle w:val="117"/>
        <w:spacing w:after="0" w:line="36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17.1.</w:t>
      </w:r>
      <w:r>
        <w:rPr>
          <w:rFonts w:hint="eastAsia" w:ascii="宋体" w:hAnsi="宋体" w:eastAsia="宋体" w:cs="宋体"/>
          <w:color w:val="auto"/>
          <w:highlight w:val="none"/>
          <w:lang w:val="zh-CN" w:eastAsia="zh-CN" w:bidi="zh-CN"/>
        </w:rPr>
        <w:t>3计量周期</w:t>
      </w:r>
    </w:p>
    <w:p w14:paraId="5EE96C13">
      <w:pPr>
        <w:pStyle w:val="115"/>
        <w:spacing w:after="120"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除专用合同条款另有约定外，单价子目已完成工程量按月计量，总价子目的计量周期按批准的支付分解报告确定。</w:t>
      </w:r>
    </w:p>
    <w:p w14:paraId="5EE96C14">
      <w:pPr>
        <w:pStyle w:val="115"/>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en-US" w:bidi="en-US"/>
        </w:rPr>
        <w:t>17.1.4</w:t>
      </w:r>
      <w:r>
        <w:rPr>
          <w:rFonts w:hint="eastAsia" w:ascii="宋体" w:hAnsi="宋体" w:eastAsia="宋体" w:cs="宋体"/>
          <w:color w:val="auto"/>
          <w:highlight w:val="none"/>
        </w:rPr>
        <w:t>单价子目的计量</w:t>
      </w:r>
    </w:p>
    <w:p w14:paraId="5EE96C15">
      <w:pPr>
        <w:pStyle w:val="115"/>
        <w:numPr>
          <w:ilvl w:val="0"/>
          <w:numId w:val="16"/>
        </w:numPr>
        <w:tabs>
          <w:tab w:val="left" w:pos="920"/>
        </w:tabs>
        <w:spacing w:line="360" w:lineRule="exact"/>
        <w:ind w:firstLine="440"/>
        <w:jc w:val="both"/>
        <w:rPr>
          <w:rFonts w:hint="eastAsia" w:ascii="宋体" w:hAnsi="宋体" w:eastAsia="宋体" w:cs="宋体"/>
          <w:color w:val="auto"/>
          <w:highlight w:val="none"/>
        </w:rPr>
      </w:pPr>
      <w:bookmarkStart w:id="1461" w:name="bookmark1337"/>
      <w:bookmarkEnd w:id="1461"/>
      <w:r>
        <w:rPr>
          <w:rFonts w:hint="eastAsia" w:ascii="宋体" w:hAnsi="宋体" w:eastAsia="宋体" w:cs="宋体"/>
          <w:color w:val="auto"/>
          <w:highlight w:val="none"/>
        </w:rPr>
        <w:t>已标价工程量清单中的单价子目工程量为估算工程量。结算工程量是承包人实际完成的，并按合同约定的计量方法进行计量的工程量。</w:t>
      </w:r>
    </w:p>
    <w:p w14:paraId="5EE96C16">
      <w:pPr>
        <w:pStyle w:val="115"/>
        <w:numPr>
          <w:ilvl w:val="0"/>
          <w:numId w:val="16"/>
        </w:numPr>
        <w:tabs>
          <w:tab w:val="left" w:pos="920"/>
        </w:tabs>
        <w:spacing w:line="360" w:lineRule="exact"/>
        <w:ind w:firstLine="440"/>
        <w:jc w:val="both"/>
        <w:rPr>
          <w:rFonts w:hint="eastAsia" w:ascii="宋体" w:hAnsi="宋体" w:eastAsia="宋体" w:cs="宋体"/>
          <w:color w:val="auto"/>
          <w:highlight w:val="none"/>
        </w:rPr>
      </w:pPr>
      <w:bookmarkStart w:id="1462" w:name="bookmark1338"/>
      <w:bookmarkEnd w:id="1462"/>
      <w:r>
        <w:rPr>
          <w:rFonts w:hint="eastAsia" w:ascii="宋体" w:hAnsi="宋体" w:eastAsia="宋体" w:cs="宋体"/>
          <w:color w:val="auto"/>
          <w:highlight w:val="none"/>
        </w:rPr>
        <w:t>承包人对已完成的工程进行计量，向监理人提交进度付款申请单、已完成工程量报表和有关计量资料。</w:t>
      </w:r>
    </w:p>
    <w:p w14:paraId="5EE96C17">
      <w:pPr>
        <w:pStyle w:val="115"/>
        <w:numPr>
          <w:ilvl w:val="0"/>
          <w:numId w:val="16"/>
        </w:numPr>
        <w:tabs>
          <w:tab w:val="left" w:pos="483"/>
        </w:tabs>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监理人对承包人提交的工程量报表进行复核，以确定实际完成的工程量。对数量</w:t>
      </w:r>
      <w:bookmarkStart w:id="1463" w:name="bookmark1339"/>
      <w:bookmarkEnd w:id="1463"/>
      <w:r>
        <w:rPr>
          <w:rFonts w:hint="eastAsia" w:ascii="宋体" w:hAnsi="宋体" w:eastAsia="宋体" w:cs="宋体"/>
          <w:color w:val="auto"/>
          <w:highlight w:val="none"/>
        </w:rPr>
        <w:t>有异议的，可要求承包人按第</w:t>
      </w:r>
      <w:r>
        <w:rPr>
          <w:rFonts w:hint="eastAsia" w:ascii="宋体" w:hAnsi="宋体" w:eastAsia="宋体" w:cs="宋体"/>
          <w:color w:val="auto"/>
          <w:highlight w:val="none"/>
          <w:lang w:val="en-US" w:bidi="en-US"/>
        </w:rPr>
        <w:t>8.</w:t>
      </w:r>
      <w:r>
        <w:rPr>
          <w:rFonts w:hint="eastAsia" w:ascii="宋体" w:hAnsi="宋体" w:eastAsia="宋体" w:cs="宋体"/>
          <w:color w:val="auto"/>
          <w:highlight w:val="none"/>
        </w:rPr>
        <w:t>2款约定进行共同复核和抽样复测。承包人应协助监理人进行复核并按监理人要求提供补充计量资料。承包人未按监理人要求参加复核，监理人复核或修正的工程量视为承包人实际完成的工程量。</w:t>
      </w:r>
    </w:p>
    <w:p w14:paraId="5EE96C18">
      <w:pPr>
        <w:pStyle w:val="115"/>
        <w:numPr>
          <w:ilvl w:val="0"/>
          <w:numId w:val="16"/>
        </w:numPr>
        <w:tabs>
          <w:tab w:val="left" w:pos="899"/>
        </w:tabs>
        <w:spacing w:line="360" w:lineRule="exact"/>
        <w:ind w:firstLine="440"/>
        <w:jc w:val="both"/>
        <w:rPr>
          <w:rFonts w:hint="eastAsia" w:ascii="宋体" w:hAnsi="宋体" w:eastAsia="宋体" w:cs="宋体"/>
          <w:color w:val="auto"/>
          <w:highlight w:val="none"/>
        </w:rPr>
      </w:pPr>
      <w:bookmarkStart w:id="1464" w:name="bookmark1340"/>
      <w:bookmarkEnd w:id="1464"/>
      <w:r>
        <w:rPr>
          <w:rFonts w:hint="eastAsia" w:ascii="宋体" w:hAnsi="宋体" w:eastAsia="宋体" w:cs="宋体"/>
          <w:color w:val="auto"/>
          <w:highlight w:val="none"/>
        </w:rPr>
        <w:t>监理人认为有必要时，可通知承包人共同进行联合测量、计量，承包人应遵照执行。</w:t>
      </w:r>
    </w:p>
    <w:p w14:paraId="5EE96C19">
      <w:pPr>
        <w:pStyle w:val="115"/>
        <w:numPr>
          <w:ilvl w:val="0"/>
          <w:numId w:val="16"/>
        </w:numPr>
        <w:tabs>
          <w:tab w:val="left" w:pos="902"/>
        </w:tabs>
        <w:spacing w:line="360" w:lineRule="exact"/>
        <w:ind w:firstLine="440"/>
        <w:jc w:val="both"/>
        <w:rPr>
          <w:rFonts w:hint="eastAsia" w:ascii="宋体" w:hAnsi="宋体" w:eastAsia="宋体" w:cs="宋体"/>
          <w:color w:val="auto"/>
          <w:highlight w:val="none"/>
        </w:rPr>
      </w:pPr>
      <w:bookmarkStart w:id="1465" w:name="bookmark1341"/>
      <w:bookmarkEnd w:id="1465"/>
      <w:r>
        <w:rPr>
          <w:rFonts w:hint="eastAsia" w:ascii="宋体" w:hAnsi="宋体" w:eastAsia="宋体" w:cs="宋体"/>
          <w:color w:val="auto"/>
          <w:highlight w:val="none"/>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5EE96C1A">
      <w:pPr>
        <w:pStyle w:val="115"/>
        <w:numPr>
          <w:ilvl w:val="0"/>
          <w:numId w:val="16"/>
        </w:numPr>
        <w:tabs>
          <w:tab w:val="left" w:pos="902"/>
        </w:tabs>
        <w:spacing w:line="360" w:lineRule="exact"/>
        <w:ind w:firstLine="440"/>
        <w:jc w:val="both"/>
        <w:rPr>
          <w:rFonts w:hint="eastAsia" w:ascii="宋体" w:hAnsi="宋体" w:eastAsia="宋体" w:cs="宋体"/>
          <w:color w:val="auto"/>
          <w:highlight w:val="none"/>
        </w:rPr>
      </w:pPr>
      <w:bookmarkStart w:id="1466" w:name="bookmark1342"/>
      <w:bookmarkEnd w:id="1466"/>
      <w:r>
        <w:rPr>
          <w:rFonts w:hint="eastAsia" w:ascii="宋体" w:hAnsi="宋体" w:eastAsia="宋体" w:cs="宋体"/>
          <w:color w:val="auto"/>
          <w:highlight w:val="none"/>
        </w:rPr>
        <w:t>监理人应在收到承包人提交的工程量报表后的7天内进行复核，监理人未在约定时间内复核的，承包人提交的工程量报表中的工程量视为承包人实际完成的工程量，据此计算工程价款。</w:t>
      </w:r>
    </w:p>
    <w:p w14:paraId="5EE96C1B">
      <w:pPr>
        <w:pStyle w:val="115"/>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17.1.5</w:t>
      </w:r>
      <w:r>
        <w:rPr>
          <w:rFonts w:hint="eastAsia" w:ascii="宋体" w:hAnsi="宋体" w:eastAsia="宋体" w:cs="宋体"/>
          <w:color w:val="auto"/>
          <w:highlight w:val="none"/>
        </w:rPr>
        <w:t>总价子目的计量</w:t>
      </w:r>
    </w:p>
    <w:p w14:paraId="5EE96C1C">
      <w:pPr>
        <w:pStyle w:val="115"/>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总价子目的分解和计量按照下述约定进行。</w:t>
      </w:r>
    </w:p>
    <w:p w14:paraId="5EE96C1D">
      <w:pPr>
        <w:pStyle w:val="115"/>
        <w:numPr>
          <w:ilvl w:val="0"/>
          <w:numId w:val="17"/>
        </w:numPr>
        <w:tabs>
          <w:tab w:val="left" w:pos="899"/>
        </w:tabs>
        <w:spacing w:line="360" w:lineRule="exact"/>
        <w:ind w:firstLine="440"/>
        <w:jc w:val="both"/>
        <w:rPr>
          <w:rFonts w:hint="eastAsia" w:ascii="宋体" w:hAnsi="宋体" w:eastAsia="宋体" w:cs="宋体"/>
          <w:color w:val="auto"/>
          <w:highlight w:val="none"/>
        </w:rPr>
      </w:pPr>
      <w:bookmarkStart w:id="1467" w:name="bookmark1343"/>
      <w:bookmarkEnd w:id="1467"/>
      <w:r>
        <w:rPr>
          <w:rFonts w:hint="eastAsia" w:ascii="宋体" w:hAnsi="宋体" w:eastAsia="宋体" w:cs="宋体"/>
          <w:color w:val="auto"/>
          <w:highlight w:val="none"/>
        </w:rPr>
        <w:t>总价子目的计量和支付应以总价为基础，不因第</w:t>
      </w:r>
      <w:r>
        <w:rPr>
          <w:rFonts w:hint="eastAsia" w:ascii="宋体" w:hAnsi="宋体" w:eastAsia="宋体" w:cs="宋体"/>
          <w:color w:val="auto"/>
          <w:highlight w:val="none"/>
          <w:lang w:val="en-US" w:bidi="en-US"/>
        </w:rPr>
        <w:t>16.1</w:t>
      </w:r>
      <w:r>
        <w:rPr>
          <w:rFonts w:hint="eastAsia" w:ascii="宋体" w:hAnsi="宋体" w:eastAsia="宋体" w:cs="宋体"/>
          <w:color w:val="auto"/>
          <w:highlight w:val="none"/>
        </w:rPr>
        <w:t>款中的因素而进行调整。承包人实际完成的工程量，是进行工程目标管理和控制进度支付的依据。</w:t>
      </w:r>
    </w:p>
    <w:p w14:paraId="5EE96C1E">
      <w:pPr>
        <w:pStyle w:val="115"/>
        <w:numPr>
          <w:ilvl w:val="0"/>
          <w:numId w:val="17"/>
        </w:numPr>
        <w:tabs>
          <w:tab w:val="left" w:pos="899"/>
        </w:tabs>
        <w:spacing w:line="360" w:lineRule="exact"/>
        <w:ind w:firstLine="440"/>
        <w:jc w:val="both"/>
        <w:rPr>
          <w:rFonts w:hint="eastAsia" w:ascii="宋体" w:hAnsi="宋体" w:eastAsia="宋体" w:cs="宋体"/>
          <w:color w:val="auto"/>
          <w:highlight w:val="none"/>
        </w:rPr>
      </w:pPr>
      <w:bookmarkStart w:id="1468" w:name="bookmark1344"/>
      <w:bookmarkEnd w:id="1468"/>
      <w:r>
        <w:rPr>
          <w:rFonts w:hint="eastAsia" w:ascii="宋体" w:hAnsi="宋体" w:eastAsia="宋体" w:cs="宋体"/>
          <w:color w:val="auto"/>
          <w:highlight w:val="none"/>
        </w:rPr>
        <w:t>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14:paraId="5EE96C1F">
      <w:pPr>
        <w:pStyle w:val="115"/>
        <w:numPr>
          <w:ilvl w:val="0"/>
          <w:numId w:val="17"/>
        </w:numPr>
        <w:tabs>
          <w:tab w:val="left" w:pos="899"/>
        </w:tabs>
        <w:spacing w:line="360" w:lineRule="exact"/>
        <w:ind w:firstLine="440"/>
        <w:jc w:val="both"/>
        <w:rPr>
          <w:rFonts w:hint="eastAsia" w:ascii="宋体" w:hAnsi="宋体" w:eastAsia="宋体" w:cs="宋体"/>
          <w:color w:val="auto"/>
          <w:highlight w:val="none"/>
        </w:rPr>
      </w:pPr>
      <w:bookmarkStart w:id="1469" w:name="bookmark1345"/>
      <w:bookmarkEnd w:id="1469"/>
      <w:r>
        <w:rPr>
          <w:rFonts w:hint="eastAsia" w:ascii="宋体" w:hAnsi="宋体" w:eastAsia="宋体" w:cs="宋体"/>
          <w:color w:val="auto"/>
          <w:highlight w:val="none"/>
        </w:rPr>
        <w:t>监理人对承包人提交的上述资料进行复核，以确定分阶段实际完成的工程量和工程形象目标。对其有异议的，可要求承包人按第</w:t>
      </w:r>
      <w:r>
        <w:rPr>
          <w:rFonts w:hint="eastAsia" w:ascii="宋体" w:hAnsi="宋体" w:eastAsia="宋体" w:cs="宋体"/>
          <w:color w:val="auto"/>
          <w:highlight w:val="none"/>
          <w:lang w:val="en-US" w:bidi="en-US"/>
        </w:rPr>
        <w:t>8.</w:t>
      </w:r>
      <w:r>
        <w:rPr>
          <w:rFonts w:hint="eastAsia" w:ascii="宋体" w:hAnsi="宋体" w:eastAsia="宋体" w:cs="宋体"/>
          <w:color w:val="auto"/>
          <w:highlight w:val="none"/>
        </w:rPr>
        <w:t>2款约定进行共同复核和抽样复测。</w:t>
      </w:r>
    </w:p>
    <w:p w14:paraId="5EE96C20">
      <w:pPr>
        <w:pStyle w:val="115"/>
        <w:numPr>
          <w:ilvl w:val="0"/>
          <w:numId w:val="17"/>
        </w:numPr>
        <w:tabs>
          <w:tab w:val="left" w:pos="899"/>
        </w:tabs>
        <w:spacing w:after="140" w:line="360" w:lineRule="exact"/>
        <w:ind w:firstLine="440"/>
        <w:jc w:val="both"/>
        <w:rPr>
          <w:rFonts w:hint="eastAsia" w:ascii="宋体" w:hAnsi="宋体" w:eastAsia="宋体" w:cs="宋体"/>
          <w:color w:val="auto"/>
          <w:highlight w:val="none"/>
        </w:rPr>
      </w:pPr>
      <w:bookmarkStart w:id="1470" w:name="bookmark1346"/>
      <w:bookmarkEnd w:id="1470"/>
      <w:r>
        <w:rPr>
          <w:rFonts w:hint="eastAsia" w:ascii="宋体" w:hAnsi="宋体" w:eastAsia="宋体" w:cs="宋体"/>
          <w:color w:val="auto"/>
          <w:highlight w:val="none"/>
        </w:rPr>
        <w:t>除按照第15条约定的变更外，总价子目的工程量是承包人用于结算的最终工程量。</w:t>
      </w:r>
    </w:p>
    <w:p w14:paraId="5EE96C21">
      <w:pPr>
        <w:pStyle w:val="116"/>
        <w:spacing w:line="360" w:lineRule="exact"/>
        <w:rPr>
          <w:rFonts w:hint="eastAsia" w:ascii="宋体" w:hAnsi="宋体" w:eastAsia="宋体" w:cs="宋体"/>
          <w:color w:val="auto"/>
          <w:sz w:val="24"/>
          <w:szCs w:val="24"/>
          <w:highlight w:val="none"/>
          <w:lang w:eastAsia="zh-CN"/>
        </w:rPr>
      </w:pPr>
      <w:bookmarkStart w:id="1471" w:name="_Toc199152952"/>
      <w:bookmarkStart w:id="1472" w:name="_Toc16419"/>
      <w:bookmarkStart w:id="1473" w:name="_Toc1366"/>
      <w:bookmarkStart w:id="1474" w:name="_Toc24411"/>
      <w:bookmarkStart w:id="1475" w:name="_Toc19864"/>
      <w:bookmarkStart w:id="1476" w:name="bookmark1347"/>
      <w:bookmarkStart w:id="1477" w:name="_Toc19531"/>
      <w:bookmarkStart w:id="1478" w:name="_Toc261"/>
      <w:bookmarkStart w:id="1479" w:name="bookmark1349"/>
      <w:bookmarkStart w:id="1480" w:name="_Toc12913"/>
      <w:bookmarkStart w:id="1481" w:name="bookmark1348"/>
      <w:r>
        <w:rPr>
          <w:rFonts w:hint="eastAsia" w:ascii="宋体" w:hAnsi="宋体" w:eastAsia="宋体" w:cs="宋体"/>
          <w:color w:val="auto"/>
          <w:sz w:val="24"/>
          <w:szCs w:val="24"/>
          <w:highlight w:val="none"/>
          <w:lang w:eastAsia="zh-CN"/>
        </w:rPr>
        <w:t>17.2预付款</w:t>
      </w:r>
      <w:bookmarkEnd w:id="1471"/>
      <w:bookmarkEnd w:id="1472"/>
      <w:bookmarkEnd w:id="1473"/>
      <w:bookmarkEnd w:id="1474"/>
      <w:bookmarkEnd w:id="1475"/>
      <w:bookmarkEnd w:id="1476"/>
      <w:bookmarkEnd w:id="1477"/>
      <w:bookmarkEnd w:id="1478"/>
      <w:bookmarkEnd w:id="1479"/>
      <w:bookmarkEnd w:id="1480"/>
      <w:bookmarkEnd w:id="1481"/>
    </w:p>
    <w:p w14:paraId="5EE96C22">
      <w:pPr>
        <w:pStyle w:val="117"/>
        <w:spacing w:after="0" w:line="394" w:lineRule="auto"/>
        <w:ind w:firstLine="440"/>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17.2.1</w:t>
      </w:r>
      <w:r>
        <w:rPr>
          <w:rFonts w:hint="eastAsia" w:ascii="宋体" w:hAnsi="宋体" w:eastAsia="宋体" w:cs="宋体"/>
          <w:color w:val="auto"/>
          <w:highlight w:val="none"/>
          <w:lang w:val="zh-CN" w:eastAsia="zh-CN" w:bidi="zh-CN"/>
        </w:rPr>
        <w:t>预付款</w:t>
      </w:r>
    </w:p>
    <w:p w14:paraId="5EE96C23">
      <w:pPr>
        <w:pStyle w:val="115"/>
        <w:spacing w:line="349"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5EE96C24">
      <w:pPr>
        <w:pStyle w:val="115"/>
        <w:spacing w:line="354"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en-US" w:bidi="en-US"/>
        </w:rPr>
        <w:t>17.2.2</w:t>
      </w:r>
      <w:r>
        <w:rPr>
          <w:rFonts w:hint="eastAsia" w:ascii="宋体" w:hAnsi="宋体" w:eastAsia="宋体" w:cs="宋体"/>
          <w:color w:val="auto"/>
          <w:highlight w:val="none"/>
        </w:rPr>
        <w:t>预付款保函(担保)</w:t>
      </w:r>
    </w:p>
    <w:p w14:paraId="5EE96C25">
      <w:pPr>
        <w:pStyle w:val="115"/>
        <w:numPr>
          <w:ilvl w:val="0"/>
          <w:numId w:val="18"/>
        </w:numPr>
        <w:tabs>
          <w:tab w:val="left" w:pos="899"/>
        </w:tabs>
        <w:spacing w:line="352" w:lineRule="exact"/>
        <w:ind w:firstLine="440"/>
        <w:jc w:val="both"/>
        <w:rPr>
          <w:rFonts w:hint="eastAsia" w:ascii="宋体" w:hAnsi="宋体" w:eastAsia="宋体" w:cs="宋体"/>
          <w:color w:val="auto"/>
          <w:highlight w:val="none"/>
        </w:rPr>
      </w:pPr>
      <w:bookmarkStart w:id="1482" w:name="bookmark1350"/>
      <w:bookmarkEnd w:id="1482"/>
      <w:r>
        <w:rPr>
          <w:rFonts w:hint="eastAsia" w:ascii="宋体" w:hAnsi="宋体" w:eastAsia="宋体" w:cs="宋体"/>
          <w:color w:val="auto"/>
          <w:highlight w:val="none"/>
        </w:rPr>
        <w:t>承包人应在收到第一次工程预付款的同时向发包人提交工程预付款担保，担保金额应与第一次工程预付款金额相同，工程预付款担保在第一次工程预付款被发包人扣回前一直有效。</w:t>
      </w:r>
    </w:p>
    <w:p w14:paraId="5EE96C26">
      <w:pPr>
        <w:pStyle w:val="115"/>
        <w:numPr>
          <w:ilvl w:val="0"/>
          <w:numId w:val="18"/>
        </w:numPr>
        <w:tabs>
          <w:tab w:val="left" w:pos="903"/>
        </w:tabs>
        <w:spacing w:line="352" w:lineRule="exact"/>
        <w:ind w:firstLine="440"/>
        <w:jc w:val="both"/>
        <w:rPr>
          <w:rFonts w:hint="eastAsia" w:ascii="宋体" w:hAnsi="宋体" w:eastAsia="宋体" w:cs="宋体"/>
          <w:color w:val="auto"/>
          <w:highlight w:val="none"/>
        </w:rPr>
      </w:pPr>
      <w:bookmarkStart w:id="1483" w:name="bookmark1351"/>
      <w:bookmarkEnd w:id="1483"/>
      <w:r>
        <w:rPr>
          <w:rFonts w:hint="eastAsia" w:ascii="宋体" w:hAnsi="宋体" w:eastAsia="宋体" w:cs="宋体"/>
          <w:color w:val="auto"/>
          <w:highlight w:val="none"/>
        </w:rPr>
        <w:t>工程材料预付款的担保在专用合同条款中约定。</w:t>
      </w:r>
    </w:p>
    <w:p w14:paraId="5EE96C27">
      <w:pPr>
        <w:pStyle w:val="115"/>
        <w:numPr>
          <w:ilvl w:val="0"/>
          <w:numId w:val="18"/>
        </w:numPr>
        <w:tabs>
          <w:tab w:val="left" w:pos="883"/>
        </w:tabs>
        <w:spacing w:line="352" w:lineRule="exact"/>
        <w:ind w:firstLine="420"/>
        <w:rPr>
          <w:rFonts w:hint="eastAsia" w:ascii="宋体" w:hAnsi="宋体" w:eastAsia="宋体" w:cs="宋体"/>
          <w:color w:val="auto"/>
          <w:highlight w:val="none"/>
        </w:rPr>
      </w:pPr>
      <w:bookmarkStart w:id="1484" w:name="bookmark1352"/>
      <w:bookmarkEnd w:id="1484"/>
      <w:r>
        <w:rPr>
          <w:rFonts w:hint="eastAsia" w:ascii="宋体" w:hAnsi="宋体" w:eastAsia="宋体" w:cs="宋体"/>
          <w:color w:val="auto"/>
          <w:highlight w:val="none"/>
        </w:rPr>
        <w:t>预付款担保的担保金额可根据预付款扣回的金额相应递减。</w:t>
      </w:r>
    </w:p>
    <w:p w14:paraId="5EE96C28">
      <w:pPr>
        <w:pStyle w:val="115"/>
        <w:spacing w:line="35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17.2.3</w:t>
      </w:r>
      <w:r>
        <w:rPr>
          <w:rFonts w:hint="eastAsia" w:ascii="宋体" w:hAnsi="宋体" w:eastAsia="宋体" w:cs="宋体"/>
          <w:color w:val="auto"/>
          <w:highlight w:val="none"/>
        </w:rPr>
        <w:t>预付款的扣回与还清</w:t>
      </w:r>
    </w:p>
    <w:p w14:paraId="5EE96C29">
      <w:pPr>
        <w:pStyle w:val="115"/>
        <w:spacing w:after="240" w:line="35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预付款在进度付款中扣回，扣回与还清办法在专用合同条款中约定。在颁发合同工程完工证书前，由于不可抗力或其它原因解除合同时，预付款尚未扣清的，尚未扣清的预付款余额应作为承包人的到期应付款。</w:t>
      </w:r>
    </w:p>
    <w:p w14:paraId="5EE96C2A">
      <w:pPr>
        <w:pStyle w:val="116"/>
        <w:spacing w:line="360" w:lineRule="exact"/>
        <w:rPr>
          <w:rFonts w:hint="eastAsia" w:ascii="宋体" w:hAnsi="宋体" w:eastAsia="宋体" w:cs="宋体"/>
          <w:color w:val="auto"/>
          <w:sz w:val="24"/>
          <w:szCs w:val="24"/>
          <w:highlight w:val="none"/>
          <w:lang w:eastAsia="zh-CN"/>
        </w:rPr>
      </w:pPr>
      <w:bookmarkStart w:id="1485" w:name="_Toc16580"/>
      <w:bookmarkStart w:id="1486" w:name="_Toc20674"/>
      <w:bookmarkStart w:id="1487" w:name="_Toc199152953"/>
      <w:bookmarkStart w:id="1488" w:name="bookmark1355"/>
      <w:bookmarkStart w:id="1489" w:name="_Toc14140"/>
      <w:bookmarkStart w:id="1490" w:name="bookmark1354"/>
      <w:bookmarkStart w:id="1491" w:name="_Toc13772"/>
      <w:bookmarkStart w:id="1492" w:name="bookmark1353"/>
      <w:bookmarkStart w:id="1493" w:name="_Toc12699"/>
      <w:bookmarkStart w:id="1494" w:name="_Toc2053"/>
      <w:bookmarkStart w:id="1495" w:name="_Toc19696"/>
      <w:r>
        <w:rPr>
          <w:rFonts w:hint="eastAsia" w:ascii="宋体" w:hAnsi="宋体" w:eastAsia="宋体" w:cs="宋体"/>
          <w:color w:val="auto"/>
          <w:sz w:val="24"/>
          <w:szCs w:val="24"/>
          <w:highlight w:val="none"/>
          <w:lang w:eastAsia="zh-CN"/>
        </w:rPr>
        <w:t>17.3工程进度付款</w:t>
      </w:r>
      <w:bookmarkEnd w:id="1485"/>
      <w:bookmarkEnd w:id="1486"/>
      <w:bookmarkEnd w:id="1487"/>
      <w:bookmarkEnd w:id="1488"/>
      <w:bookmarkEnd w:id="1489"/>
      <w:bookmarkEnd w:id="1490"/>
      <w:bookmarkEnd w:id="1491"/>
      <w:bookmarkEnd w:id="1492"/>
      <w:bookmarkEnd w:id="1493"/>
      <w:bookmarkEnd w:id="1494"/>
      <w:bookmarkEnd w:id="1495"/>
    </w:p>
    <w:p w14:paraId="5EE96C2B">
      <w:pPr>
        <w:pStyle w:val="117"/>
        <w:spacing w:after="0" w:line="377"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17.3.1</w:t>
      </w:r>
      <w:r>
        <w:rPr>
          <w:rFonts w:hint="eastAsia" w:ascii="宋体" w:hAnsi="宋体" w:eastAsia="宋体" w:cs="宋体"/>
          <w:color w:val="auto"/>
          <w:highlight w:val="none"/>
          <w:lang w:val="zh-CN" w:eastAsia="zh-CN" w:bidi="zh-CN"/>
        </w:rPr>
        <w:t>付款周期</w:t>
      </w:r>
    </w:p>
    <w:p w14:paraId="5EE96C2C">
      <w:pPr>
        <w:pStyle w:val="115"/>
        <w:spacing w:line="24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付款周期同计量周期。</w:t>
      </w:r>
    </w:p>
    <w:p w14:paraId="5EE96C2D">
      <w:pPr>
        <w:pStyle w:val="115"/>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17.3.2</w:t>
      </w:r>
      <w:r>
        <w:rPr>
          <w:rFonts w:hint="eastAsia" w:ascii="宋体" w:hAnsi="宋体" w:eastAsia="宋体" w:cs="宋体"/>
          <w:color w:val="auto"/>
          <w:highlight w:val="none"/>
        </w:rPr>
        <w:t>进度付款申请单</w:t>
      </w:r>
    </w:p>
    <w:p w14:paraId="5EE96C2E">
      <w:pPr>
        <w:pStyle w:val="115"/>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5EE96C2F">
      <w:pPr>
        <w:pStyle w:val="115"/>
        <w:numPr>
          <w:ilvl w:val="0"/>
          <w:numId w:val="19"/>
        </w:numPr>
        <w:tabs>
          <w:tab w:val="left" w:pos="903"/>
        </w:tabs>
        <w:spacing w:line="360" w:lineRule="exact"/>
        <w:ind w:firstLine="420"/>
        <w:rPr>
          <w:rFonts w:hint="eastAsia" w:ascii="宋体" w:hAnsi="宋体" w:eastAsia="宋体" w:cs="宋体"/>
          <w:color w:val="auto"/>
          <w:highlight w:val="none"/>
        </w:rPr>
      </w:pPr>
      <w:bookmarkStart w:id="1496" w:name="bookmark1356"/>
      <w:bookmarkEnd w:id="1496"/>
      <w:r>
        <w:rPr>
          <w:rFonts w:hint="eastAsia" w:ascii="宋体" w:hAnsi="宋体" w:eastAsia="宋体" w:cs="宋体"/>
          <w:color w:val="auto"/>
          <w:highlight w:val="none"/>
        </w:rPr>
        <w:t>截至本次付款周期末已实施工程的价款；</w:t>
      </w:r>
    </w:p>
    <w:p w14:paraId="5EE96C30">
      <w:pPr>
        <w:pStyle w:val="115"/>
        <w:numPr>
          <w:ilvl w:val="0"/>
          <w:numId w:val="19"/>
        </w:numPr>
        <w:tabs>
          <w:tab w:val="left" w:pos="903"/>
        </w:tabs>
        <w:spacing w:line="358" w:lineRule="exact"/>
        <w:ind w:firstLine="420"/>
        <w:rPr>
          <w:rFonts w:hint="eastAsia" w:ascii="宋体" w:hAnsi="宋体" w:eastAsia="宋体" w:cs="宋体"/>
          <w:color w:val="auto"/>
          <w:highlight w:val="none"/>
        </w:rPr>
      </w:pPr>
      <w:bookmarkStart w:id="1497" w:name="bookmark1357"/>
      <w:bookmarkEnd w:id="1497"/>
      <w:r>
        <w:rPr>
          <w:rFonts w:hint="eastAsia" w:ascii="宋体" w:hAnsi="宋体" w:eastAsia="宋体" w:cs="宋体"/>
          <w:color w:val="auto"/>
          <w:highlight w:val="none"/>
        </w:rPr>
        <w:t>根据第15条应增加和扣减的变更金额；</w:t>
      </w:r>
    </w:p>
    <w:p w14:paraId="5EE96C31">
      <w:pPr>
        <w:pStyle w:val="115"/>
        <w:numPr>
          <w:ilvl w:val="0"/>
          <w:numId w:val="19"/>
        </w:numPr>
        <w:tabs>
          <w:tab w:val="left" w:pos="903"/>
        </w:tabs>
        <w:spacing w:line="358" w:lineRule="exact"/>
        <w:ind w:firstLine="420"/>
        <w:rPr>
          <w:rFonts w:hint="eastAsia" w:ascii="宋体" w:hAnsi="宋体" w:eastAsia="宋体" w:cs="宋体"/>
          <w:color w:val="auto"/>
          <w:highlight w:val="none"/>
        </w:rPr>
      </w:pPr>
      <w:bookmarkStart w:id="1498" w:name="bookmark1358"/>
      <w:bookmarkEnd w:id="1498"/>
      <w:r>
        <w:rPr>
          <w:rFonts w:hint="eastAsia" w:ascii="宋体" w:hAnsi="宋体" w:eastAsia="宋体" w:cs="宋体"/>
          <w:color w:val="auto"/>
          <w:highlight w:val="none"/>
        </w:rPr>
        <w:t>根据第23条应增加和扣减的索赔金额；</w:t>
      </w:r>
    </w:p>
    <w:p w14:paraId="5EE96C32">
      <w:pPr>
        <w:pStyle w:val="115"/>
        <w:numPr>
          <w:ilvl w:val="0"/>
          <w:numId w:val="19"/>
        </w:numPr>
        <w:tabs>
          <w:tab w:val="left" w:pos="903"/>
        </w:tabs>
        <w:spacing w:line="358" w:lineRule="exact"/>
        <w:ind w:firstLine="420"/>
        <w:rPr>
          <w:rFonts w:hint="eastAsia" w:ascii="宋体" w:hAnsi="宋体" w:eastAsia="宋体" w:cs="宋体"/>
          <w:color w:val="auto"/>
          <w:highlight w:val="none"/>
        </w:rPr>
      </w:pPr>
      <w:bookmarkStart w:id="1499" w:name="bookmark1359"/>
      <w:bookmarkEnd w:id="1499"/>
      <w:r>
        <w:rPr>
          <w:rFonts w:hint="eastAsia" w:ascii="宋体" w:hAnsi="宋体" w:eastAsia="宋体" w:cs="宋体"/>
          <w:color w:val="auto"/>
          <w:highlight w:val="none"/>
        </w:rPr>
        <w:t>根据第</w:t>
      </w:r>
      <w:r>
        <w:rPr>
          <w:rFonts w:hint="eastAsia" w:ascii="宋体" w:hAnsi="宋体" w:eastAsia="宋体" w:cs="宋体"/>
          <w:color w:val="auto"/>
          <w:highlight w:val="none"/>
          <w:lang w:val="en-US" w:bidi="en-US"/>
        </w:rPr>
        <w:t>17.</w:t>
      </w:r>
      <w:r>
        <w:rPr>
          <w:rFonts w:hint="eastAsia" w:ascii="宋体" w:hAnsi="宋体" w:eastAsia="宋体" w:cs="宋体"/>
          <w:color w:val="auto"/>
          <w:highlight w:val="none"/>
        </w:rPr>
        <w:t>2款约定应支付的预付款和扣减的返还预付款；</w:t>
      </w:r>
    </w:p>
    <w:p w14:paraId="5EE96C33">
      <w:pPr>
        <w:pStyle w:val="115"/>
        <w:numPr>
          <w:ilvl w:val="0"/>
          <w:numId w:val="19"/>
        </w:numPr>
        <w:tabs>
          <w:tab w:val="left" w:pos="903"/>
        </w:tabs>
        <w:spacing w:line="358" w:lineRule="exact"/>
        <w:ind w:firstLine="420"/>
        <w:rPr>
          <w:rFonts w:hint="eastAsia" w:ascii="宋体" w:hAnsi="宋体" w:eastAsia="宋体" w:cs="宋体"/>
          <w:color w:val="auto"/>
          <w:highlight w:val="none"/>
        </w:rPr>
      </w:pPr>
      <w:bookmarkStart w:id="1500" w:name="bookmark1360"/>
      <w:bookmarkEnd w:id="1500"/>
      <w:r>
        <w:rPr>
          <w:rFonts w:hint="eastAsia" w:ascii="宋体" w:hAnsi="宋体" w:eastAsia="宋体" w:cs="宋体"/>
          <w:color w:val="auto"/>
          <w:highlight w:val="none"/>
        </w:rPr>
        <w:t>根据第</w:t>
      </w:r>
      <w:r>
        <w:rPr>
          <w:rFonts w:hint="eastAsia" w:ascii="宋体" w:hAnsi="宋体" w:eastAsia="宋体" w:cs="宋体"/>
          <w:color w:val="auto"/>
          <w:highlight w:val="none"/>
          <w:lang w:val="en-US" w:bidi="en-US"/>
        </w:rPr>
        <w:t>17.4.</w:t>
      </w:r>
      <w:r>
        <w:rPr>
          <w:rFonts w:hint="eastAsia" w:ascii="宋体" w:hAnsi="宋体" w:eastAsia="宋体" w:cs="宋体"/>
          <w:color w:val="auto"/>
          <w:highlight w:val="none"/>
        </w:rPr>
        <w:t>1项约定应扣减的质量保证金；</w:t>
      </w:r>
    </w:p>
    <w:p w14:paraId="5EE96C34">
      <w:pPr>
        <w:pStyle w:val="115"/>
        <w:numPr>
          <w:ilvl w:val="0"/>
          <w:numId w:val="19"/>
        </w:numPr>
        <w:tabs>
          <w:tab w:val="left" w:pos="903"/>
        </w:tabs>
        <w:spacing w:line="358" w:lineRule="exact"/>
        <w:ind w:firstLine="420"/>
        <w:rPr>
          <w:rFonts w:hint="eastAsia" w:ascii="宋体" w:hAnsi="宋体" w:eastAsia="宋体" w:cs="宋体"/>
          <w:color w:val="auto"/>
          <w:highlight w:val="none"/>
        </w:rPr>
      </w:pPr>
      <w:bookmarkStart w:id="1501" w:name="bookmark1361"/>
      <w:bookmarkEnd w:id="1501"/>
      <w:r>
        <w:rPr>
          <w:rFonts w:hint="eastAsia" w:ascii="宋体" w:hAnsi="宋体" w:eastAsia="宋体" w:cs="宋体"/>
          <w:color w:val="auto"/>
          <w:highlight w:val="none"/>
        </w:rPr>
        <w:t>根据合同应增加和扣减的其他金额。</w:t>
      </w:r>
    </w:p>
    <w:p w14:paraId="5EE96C35">
      <w:pPr>
        <w:pStyle w:val="115"/>
        <w:spacing w:line="358" w:lineRule="exact"/>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17.3.3</w:t>
      </w:r>
      <w:r>
        <w:rPr>
          <w:rFonts w:hint="eastAsia" w:ascii="宋体" w:hAnsi="宋体" w:eastAsia="宋体" w:cs="宋体"/>
          <w:color w:val="auto"/>
          <w:highlight w:val="none"/>
        </w:rPr>
        <w:t>进度付款证书和支付时间</w:t>
      </w:r>
    </w:p>
    <w:p w14:paraId="5EE96C36">
      <w:pPr>
        <w:pStyle w:val="115"/>
        <w:numPr>
          <w:ilvl w:val="0"/>
          <w:numId w:val="20"/>
        </w:numPr>
        <w:tabs>
          <w:tab w:val="left" w:pos="920"/>
        </w:tabs>
        <w:spacing w:line="358" w:lineRule="exact"/>
        <w:ind w:firstLine="440"/>
        <w:jc w:val="both"/>
        <w:rPr>
          <w:rFonts w:hint="eastAsia" w:ascii="宋体" w:hAnsi="宋体" w:eastAsia="宋体" w:cs="宋体"/>
          <w:color w:val="auto"/>
          <w:highlight w:val="none"/>
        </w:rPr>
      </w:pPr>
      <w:bookmarkStart w:id="1502" w:name="bookmark1362"/>
      <w:bookmarkEnd w:id="1502"/>
      <w:r>
        <w:rPr>
          <w:rFonts w:hint="eastAsia" w:ascii="宋体" w:hAnsi="宋体" w:eastAsia="宋体" w:cs="宋体"/>
          <w:color w:val="auto"/>
          <w:highlight w:val="none"/>
        </w:rPr>
        <w:t>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5EE96C37">
      <w:pPr>
        <w:pStyle w:val="115"/>
        <w:numPr>
          <w:ilvl w:val="0"/>
          <w:numId w:val="20"/>
        </w:numPr>
        <w:tabs>
          <w:tab w:val="left" w:pos="922"/>
        </w:tabs>
        <w:spacing w:line="367" w:lineRule="exact"/>
        <w:ind w:firstLine="440"/>
        <w:jc w:val="both"/>
        <w:rPr>
          <w:rFonts w:hint="eastAsia" w:ascii="宋体" w:hAnsi="宋体" w:eastAsia="宋体" w:cs="宋体"/>
          <w:color w:val="auto"/>
          <w:highlight w:val="none"/>
        </w:rPr>
      </w:pPr>
      <w:bookmarkStart w:id="1503" w:name="bookmark1363"/>
      <w:bookmarkEnd w:id="1503"/>
      <w:r>
        <w:rPr>
          <w:rFonts w:hint="eastAsia" w:ascii="宋体" w:hAnsi="宋体" w:eastAsia="宋体" w:cs="宋体"/>
          <w:color w:val="auto"/>
          <w:highlight w:val="none"/>
        </w:rPr>
        <w:t>发包人应在监理人收到进度付款申请单后的28天内，将进度应付款支付给承包人。发包人不按期支付的，按专用合同条款的约定支付逾期付款违约金。</w:t>
      </w:r>
    </w:p>
    <w:p w14:paraId="5EE96C38">
      <w:pPr>
        <w:pStyle w:val="115"/>
        <w:numPr>
          <w:ilvl w:val="0"/>
          <w:numId w:val="20"/>
        </w:numPr>
        <w:tabs>
          <w:tab w:val="left" w:pos="922"/>
        </w:tabs>
        <w:spacing w:line="367" w:lineRule="exact"/>
        <w:ind w:firstLine="440"/>
        <w:jc w:val="both"/>
        <w:rPr>
          <w:rFonts w:hint="eastAsia" w:ascii="宋体" w:hAnsi="宋体" w:eastAsia="宋体" w:cs="宋体"/>
          <w:color w:val="auto"/>
          <w:highlight w:val="none"/>
        </w:rPr>
      </w:pPr>
      <w:bookmarkStart w:id="1504" w:name="bookmark1364"/>
      <w:bookmarkEnd w:id="1504"/>
      <w:r>
        <w:rPr>
          <w:rFonts w:hint="eastAsia" w:ascii="宋体" w:hAnsi="宋体" w:eastAsia="宋体" w:cs="宋体"/>
          <w:color w:val="auto"/>
          <w:highlight w:val="none"/>
        </w:rPr>
        <w:t>监理人出具进度付款证书，不应视为监理人已同意、批准或接受了承包人完成的该部分工作。</w:t>
      </w:r>
    </w:p>
    <w:p w14:paraId="5EE96C39">
      <w:pPr>
        <w:pStyle w:val="115"/>
        <w:numPr>
          <w:ilvl w:val="0"/>
          <w:numId w:val="20"/>
        </w:numPr>
        <w:tabs>
          <w:tab w:val="left" w:pos="918"/>
        </w:tabs>
        <w:spacing w:line="367" w:lineRule="exact"/>
        <w:ind w:firstLine="440"/>
        <w:jc w:val="both"/>
        <w:rPr>
          <w:rFonts w:hint="eastAsia" w:ascii="宋体" w:hAnsi="宋体" w:eastAsia="宋体" w:cs="宋体"/>
          <w:color w:val="auto"/>
          <w:highlight w:val="none"/>
        </w:rPr>
      </w:pPr>
      <w:bookmarkStart w:id="1505" w:name="bookmark1365"/>
      <w:bookmarkEnd w:id="1505"/>
      <w:r>
        <w:rPr>
          <w:rFonts w:hint="eastAsia" w:ascii="宋体" w:hAnsi="宋体" w:eastAsia="宋体" w:cs="宋体"/>
          <w:color w:val="auto"/>
          <w:highlight w:val="none"/>
        </w:rPr>
        <w:t>进度付款涉及政府投资资金的，按照国库集中支付等国家相关规定和专用合同条款的约定办理。</w:t>
      </w:r>
    </w:p>
    <w:p w14:paraId="5EE96C3A">
      <w:pPr>
        <w:pStyle w:val="115"/>
        <w:spacing w:line="361"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17.3.4</w:t>
      </w:r>
      <w:r>
        <w:rPr>
          <w:rFonts w:hint="eastAsia" w:ascii="宋体" w:hAnsi="宋体" w:eastAsia="宋体" w:cs="宋体"/>
          <w:color w:val="auto"/>
          <w:highlight w:val="none"/>
        </w:rPr>
        <w:t>工程进度付款的修正</w:t>
      </w:r>
    </w:p>
    <w:p w14:paraId="5EE96C3B">
      <w:pPr>
        <w:pStyle w:val="115"/>
        <w:spacing w:after="120" w:line="361"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在对以往历次已签发的进度付款证书进行汇总和复核中发现错、漏或重复的，监理人有权予以修正，承包人也有权提出修正申请。经双方复核同意的修正，应在本次进度付款中支付或扣除。</w:t>
      </w:r>
    </w:p>
    <w:p w14:paraId="5EE96C3C">
      <w:pPr>
        <w:pStyle w:val="116"/>
        <w:spacing w:line="360" w:lineRule="exact"/>
        <w:rPr>
          <w:rFonts w:hint="eastAsia" w:ascii="宋体" w:hAnsi="宋体" w:eastAsia="宋体" w:cs="宋体"/>
          <w:color w:val="auto"/>
          <w:sz w:val="24"/>
          <w:szCs w:val="24"/>
          <w:highlight w:val="none"/>
          <w:lang w:eastAsia="zh-CN"/>
        </w:rPr>
      </w:pPr>
      <w:bookmarkStart w:id="1506" w:name="_Toc16981"/>
      <w:bookmarkStart w:id="1507" w:name="_Toc16349"/>
      <w:bookmarkStart w:id="1508" w:name="_Toc24179"/>
      <w:bookmarkStart w:id="1509" w:name="_Toc27343"/>
      <w:bookmarkStart w:id="1510" w:name="_Toc1809"/>
      <w:bookmarkStart w:id="1511" w:name="bookmark1366"/>
      <w:bookmarkStart w:id="1512" w:name="_Toc14740"/>
      <w:bookmarkStart w:id="1513" w:name="_Toc7659"/>
      <w:bookmarkStart w:id="1514" w:name="bookmark1368"/>
      <w:bookmarkStart w:id="1515" w:name="bookmark1367"/>
      <w:bookmarkStart w:id="1516" w:name="_Toc199152954"/>
      <w:r>
        <w:rPr>
          <w:rFonts w:hint="eastAsia" w:ascii="宋体" w:hAnsi="宋体" w:eastAsia="宋体" w:cs="宋体"/>
          <w:color w:val="auto"/>
          <w:sz w:val="24"/>
          <w:szCs w:val="24"/>
          <w:highlight w:val="none"/>
          <w:lang w:eastAsia="zh-CN"/>
        </w:rPr>
        <w:t>17.4质量保证金</w:t>
      </w:r>
      <w:bookmarkEnd w:id="1506"/>
      <w:bookmarkEnd w:id="1507"/>
      <w:bookmarkEnd w:id="1508"/>
      <w:bookmarkEnd w:id="1509"/>
      <w:bookmarkEnd w:id="1510"/>
      <w:bookmarkEnd w:id="1511"/>
      <w:bookmarkEnd w:id="1512"/>
      <w:bookmarkEnd w:id="1513"/>
      <w:bookmarkEnd w:id="1514"/>
      <w:bookmarkEnd w:id="1515"/>
      <w:bookmarkEnd w:id="1516"/>
    </w:p>
    <w:p w14:paraId="5EE96C3D">
      <w:pPr>
        <w:pStyle w:val="115"/>
        <w:spacing w:line="364"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17.4.1</w:t>
      </w:r>
      <w:r>
        <w:rPr>
          <w:rFonts w:hint="eastAsia" w:ascii="宋体" w:hAnsi="宋体" w:eastAsia="宋体" w:cs="宋体"/>
          <w:color w:val="auto"/>
          <w:highlight w:val="none"/>
        </w:rPr>
        <w:t>监理人应从第一个工程进度付款周期开始，在发包人的进度付款中，按专用合同条款约定扣留质量保证金，直至扣留的工程质量保证金总额达到专用合同条款约定的金额或比例为止。质量保证金的计算额度不包括预付款的支付与扣回金额。</w:t>
      </w:r>
    </w:p>
    <w:p w14:paraId="5EE96C3E">
      <w:pPr>
        <w:pStyle w:val="115"/>
        <w:spacing w:line="366"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17.4.2</w:t>
      </w:r>
      <w:r>
        <w:rPr>
          <w:rFonts w:hint="eastAsia" w:ascii="宋体" w:hAnsi="宋体" w:eastAsia="宋体" w:cs="宋体"/>
          <w:color w:val="auto"/>
          <w:highlight w:val="none"/>
        </w:rPr>
        <w:t>竣工验收鉴定书签署后14天内，发包人将质量保证金总额的一半支付给承包人。在第</w:t>
      </w:r>
      <w:r>
        <w:rPr>
          <w:rFonts w:hint="eastAsia" w:ascii="宋体" w:hAnsi="宋体" w:eastAsia="宋体" w:cs="宋体"/>
          <w:color w:val="auto"/>
          <w:highlight w:val="none"/>
          <w:lang w:val="en-US" w:bidi="en-US"/>
        </w:rPr>
        <w:t>1.1.4.</w:t>
      </w:r>
      <w:r>
        <w:rPr>
          <w:rFonts w:hint="eastAsia" w:ascii="宋体" w:hAnsi="宋体" w:eastAsia="宋体" w:cs="宋体"/>
          <w:color w:val="auto"/>
          <w:highlight w:val="none"/>
        </w:rPr>
        <w:t>5目约定的缺陷责任期(工程质量保修期)满时，发包人将在30个工作日内会同承包人按照合同约定的内容核实承包人是否完成保修责任。如无异议，发包人应当在核实后将剩余的质量保证金支付给承包人。</w:t>
      </w:r>
    </w:p>
    <w:p w14:paraId="5EE96C3F">
      <w:pPr>
        <w:pStyle w:val="115"/>
        <w:spacing w:after="120" w:line="37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17.4.3</w:t>
      </w:r>
      <w:r>
        <w:rPr>
          <w:rFonts w:hint="eastAsia" w:ascii="宋体" w:hAnsi="宋体" w:eastAsia="宋体" w:cs="宋体"/>
          <w:color w:val="auto"/>
          <w:highlight w:val="none"/>
        </w:rPr>
        <w:t>在第</w:t>
      </w:r>
      <w:r>
        <w:rPr>
          <w:rFonts w:hint="eastAsia" w:ascii="宋体" w:hAnsi="宋体" w:eastAsia="宋体" w:cs="宋体"/>
          <w:color w:val="auto"/>
          <w:highlight w:val="none"/>
          <w:lang w:val="en-US" w:bidi="en-US"/>
        </w:rPr>
        <w:t>1.1.4.</w:t>
      </w:r>
      <w:r>
        <w:rPr>
          <w:rFonts w:hint="eastAsia" w:ascii="宋体" w:hAnsi="宋体" w:eastAsia="宋体" w:cs="宋体"/>
          <w:color w:val="auto"/>
          <w:highlight w:val="none"/>
        </w:rPr>
        <w:t>5目约定的缺陷责任期满时，承包人没有完成缺陷责任的，发包人有权扣留与未履行责任剩余工作所需金额相应的质量保证金余额，并有权根据第</w:t>
      </w:r>
      <w:r>
        <w:rPr>
          <w:rFonts w:hint="eastAsia" w:ascii="宋体" w:hAnsi="宋体" w:eastAsia="宋体" w:cs="宋体"/>
          <w:color w:val="auto"/>
          <w:highlight w:val="none"/>
          <w:lang w:val="en-US" w:bidi="en-US"/>
        </w:rPr>
        <w:t>19.</w:t>
      </w:r>
      <w:r>
        <w:rPr>
          <w:rFonts w:hint="eastAsia" w:ascii="宋体" w:hAnsi="宋体" w:eastAsia="宋体" w:cs="宋体"/>
          <w:color w:val="auto"/>
          <w:highlight w:val="none"/>
        </w:rPr>
        <w:t>3款约定要求延长缺陷责任期，直至完成剩余工作为止。</w:t>
      </w:r>
    </w:p>
    <w:p w14:paraId="5EE96C40">
      <w:pPr>
        <w:pStyle w:val="116"/>
        <w:spacing w:line="360" w:lineRule="exact"/>
        <w:rPr>
          <w:rFonts w:hint="eastAsia" w:ascii="宋体" w:hAnsi="宋体" w:eastAsia="宋体" w:cs="宋体"/>
          <w:color w:val="auto"/>
          <w:sz w:val="24"/>
          <w:szCs w:val="24"/>
          <w:highlight w:val="none"/>
          <w:lang w:eastAsia="zh-CN"/>
        </w:rPr>
      </w:pPr>
      <w:bookmarkStart w:id="1517" w:name="bookmark1371"/>
      <w:bookmarkStart w:id="1518" w:name="_Toc23362"/>
      <w:bookmarkStart w:id="1519" w:name="_Toc27561"/>
      <w:bookmarkStart w:id="1520" w:name="_Toc23113"/>
      <w:bookmarkStart w:id="1521" w:name="bookmark1369"/>
      <w:bookmarkStart w:id="1522" w:name="bookmark1370"/>
      <w:bookmarkStart w:id="1523" w:name="_Toc17676"/>
      <w:bookmarkStart w:id="1524" w:name="_Toc12268"/>
      <w:bookmarkStart w:id="1525" w:name="_Toc2225"/>
      <w:bookmarkStart w:id="1526" w:name="_Toc17622"/>
      <w:bookmarkStart w:id="1527" w:name="_Toc199152955"/>
      <w:r>
        <w:rPr>
          <w:rFonts w:hint="eastAsia" w:ascii="宋体" w:hAnsi="宋体" w:eastAsia="宋体" w:cs="宋体"/>
          <w:color w:val="auto"/>
          <w:sz w:val="24"/>
          <w:szCs w:val="24"/>
          <w:highlight w:val="none"/>
          <w:lang w:eastAsia="zh-CN"/>
        </w:rPr>
        <w:t>17.5竣工结算(完工结算)</w:t>
      </w:r>
      <w:bookmarkEnd w:id="1517"/>
      <w:bookmarkEnd w:id="1518"/>
      <w:bookmarkEnd w:id="1519"/>
      <w:bookmarkEnd w:id="1520"/>
      <w:bookmarkEnd w:id="1521"/>
      <w:bookmarkEnd w:id="1522"/>
      <w:bookmarkEnd w:id="1523"/>
      <w:bookmarkEnd w:id="1524"/>
      <w:bookmarkEnd w:id="1525"/>
      <w:bookmarkEnd w:id="1526"/>
      <w:bookmarkEnd w:id="1527"/>
    </w:p>
    <w:p w14:paraId="5EE96C41">
      <w:pPr>
        <w:pStyle w:val="115"/>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17.5.1</w:t>
      </w:r>
      <w:r>
        <w:rPr>
          <w:rFonts w:hint="eastAsia" w:ascii="宋体" w:hAnsi="宋体" w:eastAsia="宋体" w:cs="宋体"/>
          <w:color w:val="auto"/>
          <w:highlight w:val="none"/>
        </w:rPr>
        <w:t>竣工(完工)付款申请单</w:t>
      </w:r>
    </w:p>
    <w:p w14:paraId="5EE96C42">
      <w:pPr>
        <w:pStyle w:val="115"/>
        <w:numPr>
          <w:ilvl w:val="0"/>
          <w:numId w:val="21"/>
        </w:numPr>
        <w:tabs>
          <w:tab w:val="left" w:pos="918"/>
        </w:tabs>
        <w:spacing w:line="352" w:lineRule="exact"/>
        <w:ind w:firstLine="440"/>
        <w:jc w:val="both"/>
        <w:rPr>
          <w:rFonts w:hint="eastAsia" w:ascii="宋体" w:hAnsi="宋体" w:eastAsia="宋体" w:cs="宋体"/>
          <w:color w:val="auto"/>
          <w:highlight w:val="none"/>
        </w:rPr>
      </w:pPr>
      <w:bookmarkStart w:id="1528" w:name="bookmark1372"/>
      <w:bookmarkEnd w:id="1528"/>
      <w:r>
        <w:rPr>
          <w:rFonts w:hint="eastAsia" w:ascii="宋体" w:hAnsi="宋体" w:eastAsia="宋体" w:cs="宋体"/>
          <w:color w:val="auto"/>
          <w:highlight w:val="none"/>
        </w:rPr>
        <w:t>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14:paraId="5EE96C43">
      <w:pPr>
        <w:pStyle w:val="115"/>
        <w:numPr>
          <w:ilvl w:val="0"/>
          <w:numId w:val="21"/>
        </w:numPr>
        <w:tabs>
          <w:tab w:val="left" w:pos="916"/>
        </w:tabs>
        <w:spacing w:after="120" w:line="352" w:lineRule="exact"/>
        <w:ind w:firstLine="440"/>
        <w:jc w:val="both"/>
        <w:rPr>
          <w:rFonts w:hint="eastAsia" w:ascii="宋体" w:hAnsi="宋体" w:eastAsia="宋体" w:cs="宋体"/>
          <w:color w:val="auto"/>
          <w:highlight w:val="none"/>
        </w:rPr>
      </w:pPr>
      <w:bookmarkStart w:id="1529" w:name="bookmark1373"/>
      <w:bookmarkEnd w:id="1529"/>
      <w:r>
        <w:rPr>
          <w:rFonts w:hint="eastAsia" w:ascii="宋体" w:hAnsi="宋体" w:eastAsia="宋体" w:cs="宋体"/>
          <w:color w:val="auto"/>
          <w:highlight w:val="none"/>
        </w:rPr>
        <w:t>监理人对完工付款申请单有异议的，有权要求承包人进行修正和提供补充资料。经监理人和承包人协商后，由承包人向监理人提交修正后的完工付款申请单。</w:t>
      </w:r>
    </w:p>
    <w:p w14:paraId="5EE96C44">
      <w:pPr>
        <w:pStyle w:val="115"/>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17.5.2</w:t>
      </w:r>
      <w:r>
        <w:rPr>
          <w:rFonts w:hint="eastAsia" w:ascii="宋体" w:hAnsi="宋体" w:eastAsia="宋体" w:cs="宋体"/>
          <w:color w:val="auto"/>
          <w:highlight w:val="none"/>
        </w:rPr>
        <w:t>竣工(完工)付款证书及支付时间</w:t>
      </w:r>
    </w:p>
    <w:p w14:paraId="5EE96C45">
      <w:pPr>
        <w:pStyle w:val="115"/>
        <w:numPr>
          <w:ilvl w:val="0"/>
          <w:numId w:val="22"/>
        </w:numPr>
        <w:tabs>
          <w:tab w:val="left" w:pos="918"/>
        </w:tabs>
        <w:spacing w:line="360" w:lineRule="exact"/>
        <w:ind w:firstLine="440"/>
        <w:jc w:val="both"/>
        <w:rPr>
          <w:rFonts w:hint="eastAsia" w:ascii="宋体" w:hAnsi="宋体" w:eastAsia="宋体" w:cs="宋体"/>
          <w:color w:val="auto"/>
          <w:highlight w:val="none"/>
        </w:rPr>
      </w:pPr>
      <w:bookmarkStart w:id="1530" w:name="bookmark1374"/>
      <w:bookmarkEnd w:id="1530"/>
      <w:r>
        <w:rPr>
          <w:rFonts w:hint="eastAsia" w:ascii="宋体" w:hAnsi="宋体" w:eastAsia="宋体" w:cs="宋体"/>
          <w:color w:val="auto"/>
          <w:highlight w:val="none"/>
        </w:rPr>
        <w:t>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又未提出具体意见的，视为承包人提交的完工付款申请单已经监理人核查同意。发包人未在约定时间内审核又未提出具体意见的，监理人提出发包人到期应支付给承包人的价款视为已经发包人同意。</w:t>
      </w:r>
    </w:p>
    <w:p w14:paraId="5EE96C46">
      <w:pPr>
        <w:pStyle w:val="115"/>
        <w:numPr>
          <w:ilvl w:val="0"/>
          <w:numId w:val="22"/>
        </w:numPr>
        <w:tabs>
          <w:tab w:val="left" w:pos="918"/>
        </w:tabs>
        <w:spacing w:line="360" w:lineRule="exact"/>
        <w:ind w:firstLine="440"/>
        <w:jc w:val="both"/>
        <w:rPr>
          <w:rFonts w:hint="eastAsia" w:ascii="宋体" w:hAnsi="宋体" w:eastAsia="宋体" w:cs="宋体"/>
          <w:color w:val="auto"/>
          <w:highlight w:val="none"/>
        </w:rPr>
      </w:pPr>
      <w:bookmarkStart w:id="1531" w:name="bookmark1375"/>
      <w:bookmarkEnd w:id="1531"/>
      <w:r>
        <w:rPr>
          <w:rFonts w:hint="eastAsia" w:ascii="宋体" w:hAnsi="宋体" w:eastAsia="宋体" w:cs="宋体"/>
          <w:color w:val="auto"/>
          <w:highlight w:val="none"/>
        </w:rPr>
        <w:t>发包人应在监理人出具完工付款证书后的14天内，将应支付款支付给承包人。发包人不按期支付的，按第</w:t>
      </w:r>
      <w:r>
        <w:rPr>
          <w:rFonts w:hint="eastAsia" w:ascii="宋体" w:hAnsi="宋体" w:eastAsia="宋体" w:cs="宋体"/>
          <w:color w:val="auto"/>
          <w:highlight w:val="none"/>
          <w:lang w:val="en-US" w:bidi="en-US"/>
        </w:rPr>
        <w:t>17.3.3</w:t>
      </w:r>
      <w:r>
        <w:rPr>
          <w:rFonts w:hint="eastAsia" w:ascii="宋体" w:hAnsi="宋体" w:eastAsia="宋体" w:cs="宋体"/>
          <w:color w:val="auto"/>
          <w:highlight w:val="none"/>
        </w:rPr>
        <w:t>(2)目的约定，将逾期付款违约金支付给承包人。</w:t>
      </w:r>
    </w:p>
    <w:p w14:paraId="5EE96C47">
      <w:pPr>
        <w:pStyle w:val="115"/>
        <w:numPr>
          <w:ilvl w:val="0"/>
          <w:numId w:val="22"/>
        </w:numPr>
        <w:tabs>
          <w:tab w:val="left" w:pos="914"/>
        </w:tabs>
        <w:spacing w:after="120" w:line="360" w:lineRule="exact"/>
        <w:ind w:firstLine="440"/>
        <w:jc w:val="both"/>
        <w:rPr>
          <w:rFonts w:hint="eastAsia" w:ascii="宋体" w:hAnsi="宋体" w:eastAsia="宋体" w:cs="宋体"/>
          <w:color w:val="auto"/>
          <w:highlight w:val="none"/>
        </w:rPr>
      </w:pPr>
      <w:bookmarkStart w:id="1532" w:name="bookmark1376"/>
      <w:bookmarkEnd w:id="1532"/>
      <w:r>
        <w:rPr>
          <w:rFonts w:hint="eastAsia" w:ascii="宋体" w:hAnsi="宋体" w:eastAsia="宋体" w:cs="宋体"/>
          <w:color w:val="auto"/>
          <w:highlight w:val="none"/>
        </w:rPr>
        <w:t>承包人对发包人签认的完工付款证书有异议的，发包人可出具完工付款申请单中承包人已同意部分的临时付款证书。存在争议的部分，按第24条的约定办理。</w:t>
      </w:r>
    </w:p>
    <w:p w14:paraId="5EE96C48">
      <w:pPr>
        <w:pStyle w:val="115"/>
        <w:numPr>
          <w:ilvl w:val="0"/>
          <w:numId w:val="22"/>
        </w:numPr>
        <w:tabs>
          <w:tab w:val="left" w:pos="922"/>
        </w:tabs>
        <w:spacing w:line="360" w:lineRule="exact"/>
        <w:ind w:firstLine="440"/>
        <w:jc w:val="both"/>
        <w:rPr>
          <w:rFonts w:hint="eastAsia" w:ascii="宋体" w:hAnsi="宋体" w:eastAsia="宋体" w:cs="宋体"/>
          <w:color w:val="auto"/>
          <w:highlight w:val="none"/>
        </w:rPr>
      </w:pPr>
      <w:bookmarkStart w:id="1533" w:name="bookmark1377"/>
      <w:bookmarkEnd w:id="1533"/>
      <w:r>
        <w:rPr>
          <w:rFonts w:hint="eastAsia" w:ascii="宋体" w:hAnsi="宋体" w:eastAsia="宋体" w:cs="宋体"/>
          <w:color w:val="auto"/>
          <w:highlight w:val="none"/>
        </w:rPr>
        <w:t>完工付款涉及政府投资资金的，按第</w:t>
      </w:r>
      <w:r>
        <w:rPr>
          <w:rFonts w:hint="eastAsia" w:ascii="宋体" w:hAnsi="宋体" w:eastAsia="宋体" w:cs="宋体"/>
          <w:color w:val="auto"/>
          <w:highlight w:val="none"/>
          <w:lang w:val="en-US" w:bidi="en-US"/>
        </w:rPr>
        <w:t>17.3.3</w:t>
      </w:r>
      <w:r>
        <w:rPr>
          <w:rFonts w:hint="eastAsia" w:ascii="宋体" w:hAnsi="宋体" w:eastAsia="宋体" w:cs="宋体"/>
          <w:color w:val="auto"/>
          <w:highlight w:val="none"/>
        </w:rPr>
        <w:t>(4)目的约定办理。</w:t>
      </w:r>
    </w:p>
    <w:p w14:paraId="5EE96C49">
      <w:pPr>
        <w:pStyle w:val="116"/>
        <w:spacing w:line="360" w:lineRule="exact"/>
        <w:rPr>
          <w:rFonts w:hint="eastAsia" w:ascii="宋体" w:hAnsi="宋体" w:eastAsia="宋体" w:cs="宋体"/>
          <w:color w:val="auto"/>
          <w:sz w:val="24"/>
          <w:szCs w:val="24"/>
          <w:highlight w:val="none"/>
          <w:lang w:eastAsia="zh-CN"/>
        </w:rPr>
      </w:pPr>
      <w:bookmarkStart w:id="1534" w:name="_Toc20149"/>
      <w:bookmarkStart w:id="1535" w:name="_Toc27598"/>
      <w:bookmarkStart w:id="1536" w:name="_Toc16927"/>
      <w:bookmarkStart w:id="1537" w:name="_Toc10410"/>
      <w:bookmarkStart w:id="1538" w:name="_Toc20411"/>
      <w:bookmarkStart w:id="1539" w:name="bookmark1379"/>
      <w:bookmarkStart w:id="1540" w:name="_Toc12143"/>
      <w:bookmarkStart w:id="1541" w:name="bookmark1380"/>
      <w:bookmarkStart w:id="1542" w:name="_Toc7329"/>
      <w:bookmarkStart w:id="1543" w:name="_Toc199152956"/>
      <w:bookmarkStart w:id="1544" w:name="bookmark1378"/>
      <w:r>
        <w:rPr>
          <w:rFonts w:hint="eastAsia" w:ascii="宋体" w:hAnsi="宋体" w:eastAsia="宋体" w:cs="宋体"/>
          <w:color w:val="auto"/>
          <w:sz w:val="24"/>
          <w:szCs w:val="24"/>
          <w:highlight w:val="none"/>
          <w:lang w:eastAsia="zh-CN"/>
        </w:rPr>
        <w:t>17.6最终结清</w:t>
      </w:r>
      <w:bookmarkEnd w:id="1534"/>
      <w:bookmarkEnd w:id="1535"/>
      <w:bookmarkEnd w:id="1536"/>
      <w:bookmarkEnd w:id="1537"/>
      <w:bookmarkEnd w:id="1538"/>
      <w:bookmarkEnd w:id="1539"/>
      <w:bookmarkEnd w:id="1540"/>
      <w:bookmarkEnd w:id="1541"/>
      <w:bookmarkEnd w:id="1542"/>
      <w:bookmarkEnd w:id="1543"/>
      <w:bookmarkEnd w:id="1544"/>
    </w:p>
    <w:p w14:paraId="5EE96C4A">
      <w:pPr>
        <w:pStyle w:val="115"/>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17.6.1</w:t>
      </w:r>
      <w:r>
        <w:rPr>
          <w:rFonts w:hint="eastAsia" w:ascii="宋体" w:hAnsi="宋体" w:eastAsia="宋体" w:cs="宋体"/>
          <w:color w:val="auto"/>
          <w:highlight w:val="none"/>
        </w:rPr>
        <w:t>最终结清申请单</w:t>
      </w:r>
    </w:p>
    <w:p w14:paraId="5EE96C4B">
      <w:pPr>
        <w:pStyle w:val="115"/>
        <w:numPr>
          <w:ilvl w:val="0"/>
          <w:numId w:val="23"/>
        </w:numPr>
        <w:tabs>
          <w:tab w:val="left" w:pos="894"/>
        </w:tabs>
        <w:spacing w:line="346" w:lineRule="exact"/>
        <w:ind w:firstLine="440"/>
        <w:jc w:val="both"/>
        <w:rPr>
          <w:rFonts w:hint="eastAsia" w:ascii="宋体" w:hAnsi="宋体" w:eastAsia="宋体" w:cs="宋体"/>
          <w:color w:val="auto"/>
          <w:highlight w:val="none"/>
        </w:rPr>
      </w:pPr>
      <w:bookmarkStart w:id="1545" w:name="bookmark1381"/>
      <w:bookmarkEnd w:id="1545"/>
      <w:r>
        <w:rPr>
          <w:rFonts w:hint="eastAsia" w:ascii="宋体" w:hAnsi="宋体" w:eastAsia="宋体" w:cs="宋体"/>
          <w:color w:val="auto"/>
          <w:highlight w:val="none"/>
        </w:rPr>
        <w:t>工程质量保修责任终止证书签发后，承包人应按监理人批准的格式提交最终结清申请单。提交最终结清申请单的份数在专用合同条款中约定。</w:t>
      </w:r>
    </w:p>
    <w:p w14:paraId="5EE96C4C">
      <w:pPr>
        <w:pStyle w:val="115"/>
        <w:numPr>
          <w:ilvl w:val="0"/>
          <w:numId w:val="23"/>
        </w:numPr>
        <w:tabs>
          <w:tab w:val="left" w:pos="918"/>
        </w:tabs>
        <w:spacing w:after="120" w:line="346" w:lineRule="exact"/>
        <w:ind w:firstLine="440"/>
        <w:jc w:val="both"/>
        <w:rPr>
          <w:rFonts w:hint="eastAsia" w:ascii="宋体" w:hAnsi="宋体" w:eastAsia="宋体" w:cs="宋体"/>
          <w:color w:val="auto"/>
          <w:highlight w:val="none"/>
        </w:rPr>
      </w:pPr>
      <w:bookmarkStart w:id="1546" w:name="bookmark1382"/>
      <w:bookmarkEnd w:id="1546"/>
      <w:r>
        <w:rPr>
          <w:rFonts w:hint="eastAsia" w:ascii="宋体" w:hAnsi="宋体" w:eastAsia="宋体" w:cs="宋体"/>
          <w:color w:val="auto"/>
          <w:highlight w:val="none"/>
        </w:rPr>
        <w:t>发包人对最终结清申请单内容有异议的，有权要求承包人进行修正和提供补充资料，由承包人向监理人提交修正后的最终结清申请单。</w:t>
      </w:r>
    </w:p>
    <w:p w14:paraId="5EE96C4D">
      <w:pPr>
        <w:pStyle w:val="115"/>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17.6.2</w:t>
      </w:r>
      <w:r>
        <w:rPr>
          <w:rFonts w:hint="eastAsia" w:ascii="宋体" w:hAnsi="宋体" w:eastAsia="宋体" w:cs="宋体"/>
          <w:color w:val="auto"/>
          <w:highlight w:val="none"/>
        </w:rPr>
        <w:t>最终结清证书和支付时间</w:t>
      </w:r>
    </w:p>
    <w:p w14:paraId="5EE96C4E">
      <w:pPr>
        <w:pStyle w:val="115"/>
        <w:numPr>
          <w:ilvl w:val="0"/>
          <w:numId w:val="24"/>
        </w:numPr>
        <w:tabs>
          <w:tab w:val="left" w:pos="918"/>
        </w:tabs>
        <w:spacing w:line="346" w:lineRule="exact"/>
        <w:ind w:firstLine="440"/>
        <w:jc w:val="both"/>
        <w:rPr>
          <w:rFonts w:hint="eastAsia" w:ascii="宋体" w:hAnsi="宋体" w:eastAsia="宋体" w:cs="宋体"/>
          <w:color w:val="auto"/>
          <w:highlight w:val="none"/>
        </w:rPr>
      </w:pPr>
      <w:bookmarkStart w:id="1547" w:name="bookmark1383"/>
      <w:bookmarkEnd w:id="1547"/>
      <w:r>
        <w:rPr>
          <w:rFonts w:hint="eastAsia" w:ascii="宋体" w:hAnsi="宋体" w:eastAsia="宋体" w:cs="宋体"/>
          <w:color w:val="auto"/>
          <w:highlight w:val="none"/>
        </w:rPr>
        <w:t>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5EE96C4F">
      <w:pPr>
        <w:pStyle w:val="115"/>
        <w:numPr>
          <w:ilvl w:val="0"/>
          <w:numId w:val="24"/>
        </w:numPr>
        <w:tabs>
          <w:tab w:val="left" w:pos="918"/>
        </w:tabs>
        <w:spacing w:line="346" w:lineRule="exact"/>
        <w:ind w:firstLine="440"/>
        <w:jc w:val="both"/>
        <w:rPr>
          <w:rFonts w:hint="eastAsia" w:ascii="宋体" w:hAnsi="宋体" w:eastAsia="宋体" w:cs="宋体"/>
          <w:color w:val="auto"/>
          <w:highlight w:val="none"/>
        </w:rPr>
      </w:pPr>
      <w:bookmarkStart w:id="1548" w:name="bookmark1384"/>
      <w:bookmarkEnd w:id="1548"/>
      <w:r>
        <w:rPr>
          <w:rFonts w:hint="eastAsia" w:ascii="宋体" w:hAnsi="宋体" w:eastAsia="宋体" w:cs="宋体"/>
          <w:color w:val="auto"/>
          <w:highlight w:val="none"/>
        </w:rPr>
        <w:t>发包人应在监理人出具最终结清证书后的14天内，将应支付款支付给承包人。发包人不按期支付的，按第</w:t>
      </w:r>
      <w:r>
        <w:rPr>
          <w:rFonts w:hint="eastAsia" w:ascii="宋体" w:hAnsi="宋体" w:eastAsia="宋体" w:cs="宋体"/>
          <w:color w:val="auto"/>
          <w:highlight w:val="none"/>
          <w:lang w:val="en-US" w:bidi="en-US"/>
        </w:rPr>
        <w:t>17.3.3</w:t>
      </w:r>
      <w:r>
        <w:rPr>
          <w:rFonts w:hint="eastAsia" w:ascii="宋体" w:hAnsi="宋体" w:eastAsia="宋体" w:cs="宋体"/>
          <w:color w:val="auto"/>
          <w:highlight w:val="none"/>
        </w:rPr>
        <w:t>(2)目的约定，将逾期付款违约金支付给承包人。</w:t>
      </w:r>
    </w:p>
    <w:p w14:paraId="5EE96C50">
      <w:pPr>
        <w:pStyle w:val="115"/>
        <w:numPr>
          <w:ilvl w:val="0"/>
          <w:numId w:val="24"/>
        </w:numPr>
        <w:tabs>
          <w:tab w:val="left" w:pos="922"/>
        </w:tabs>
        <w:spacing w:line="346" w:lineRule="exact"/>
        <w:ind w:firstLine="440"/>
        <w:jc w:val="both"/>
        <w:rPr>
          <w:rFonts w:hint="eastAsia" w:ascii="宋体" w:hAnsi="宋体" w:eastAsia="宋体" w:cs="宋体"/>
          <w:color w:val="auto"/>
          <w:highlight w:val="none"/>
        </w:rPr>
      </w:pPr>
      <w:bookmarkStart w:id="1549" w:name="bookmark1385"/>
      <w:bookmarkEnd w:id="1549"/>
      <w:r>
        <w:rPr>
          <w:rFonts w:hint="eastAsia" w:ascii="宋体" w:hAnsi="宋体" w:eastAsia="宋体" w:cs="宋体"/>
          <w:color w:val="auto"/>
          <w:highlight w:val="none"/>
        </w:rPr>
        <w:t>承包人对发包人签认的最终结清证书有异议的，按第24条的约定办理。</w:t>
      </w:r>
    </w:p>
    <w:p w14:paraId="5EE96C51">
      <w:pPr>
        <w:pStyle w:val="115"/>
        <w:numPr>
          <w:ilvl w:val="0"/>
          <w:numId w:val="24"/>
        </w:numPr>
        <w:tabs>
          <w:tab w:val="left" w:pos="922"/>
        </w:tabs>
        <w:spacing w:after="120" w:line="346" w:lineRule="exact"/>
        <w:ind w:firstLine="440"/>
        <w:jc w:val="both"/>
        <w:rPr>
          <w:rFonts w:hint="eastAsia" w:ascii="宋体" w:hAnsi="宋体" w:eastAsia="宋体" w:cs="宋体"/>
          <w:color w:val="auto"/>
          <w:highlight w:val="none"/>
        </w:rPr>
      </w:pPr>
      <w:bookmarkStart w:id="1550" w:name="bookmark1386"/>
      <w:bookmarkEnd w:id="1550"/>
      <w:r>
        <w:rPr>
          <w:rFonts w:hint="eastAsia" w:ascii="宋体" w:hAnsi="宋体" w:eastAsia="宋体" w:cs="宋体"/>
          <w:color w:val="auto"/>
          <w:highlight w:val="none"/>
        </w:rPr>
        <w:t>最终结清付款涉及政府投资资金的，按第</w:t>
      </w:r>
      <w:r>
        <w:rPr>
          <w:rFonts w:hint="eastAsia" w:ascii="宋体" w:hAnsi="宋体" w:eastAsia="宋体" w:cs="宋体"/>
          <w:color w:val="auto"/>
          <w:highlight w:val="none"/>
          <w:lang w:val="en-US" w:bidi="en-US"/>
        </w:rPr>
        <w:t>17.3.3</w:t>
      </w:r>
      <w:r>
        <w:rPr>
          <w:rFonts w:hint="eastAsia" w:ascii="宋体" w:hAnsi="宋体" w:eastAsia="宋体" w:cs="宋体"/>
          <w:color w:val="auto"/>
          <w:highlight w:val="none"/>
        </w:rPr>
        <w:t>(4)目的约定办理。</w:t>
      </w:r>
    </w:p>
    <w:p w14:paraId="5EE96C52">
      <w:pPr>
        <w:pStyle w:val="116"/>
        <w:spacing w:line="360" w:lineRule="exact"/>
        <w:rPr>
          <w:rFonts w:hint="eastAsia" w:ascii="宋体" w:hAnsi="宋体" w:eastAsia="宋体" w:cs="宋体"/>
          <w:color w:val="auto"/>
          <w:sz w:val="24"/>
          <w:szCs w:val="24"/>
          <w:highlight w:val="none"/>
          <w:lang w:eastAsia="zh-CN"/>
        </w:rPr>
      </w:pPr>
      <w:bookmarkStart w:id="1551" w:name="_Toc199152957"/>
      <w:bookmarkStart w:id="1552" w:name="_Toc30455"/>
      <w:bookmarkStart w:id="1553" w:name="_Toc1643"/>
      <w:bookmarkStart w:id="1554" w:name="bookmark1389"/>
      <w:bookmarkStart w:id="1555" w:name="_Toc7524"/>
      <w:bookmarkStart w:id="1556" w:name="bookmark1387"/>
      <w:bookmarkStart w:id="1557" w:name="_Toc4415"/>
      <w:bookmarkStart w:id="1558" w:name="_Toc4347"/>
      <w:bookmarkStart w:id="1559" w:name="bookmark1388"/>
      <w:bookmarkStart w:id="1560" w:name="_Toc1639"/>
      <w:bookmarkStart w:id="1561" w:name="_Toc14387"/>
      <w:r>
        <w:rPr>
          <w:rFonts w:hint="eastAsia" w:ascii="宋体" w:hAnsi="宋体" w:eastAsia="宋体" w:cs="宋体"/>
          <w:color w:val="auto"/>
          <w:sz w:val="24"/>
          <w:szCs w:val="24"/>
          <w:highlight w:val="none"/>
          <w:lang w:eastAsia="zh-CN"/>
        </w:rPr>
        <w:t>17.7竣工财务决算</w:t>
      </w:r>
      <w:bookmarkEnd w:id="1551"/>
      <w:bookmarkEnd w:id="1552"/>
      <w:bookmarkEnd w:id="1553"/>
      <w:bookmarkEnd w:id="1554"/>
      <w:bookmarkEnd w:id="1555"/>
      <w:bookmarkEnd w:id="1556"/>
      <w:bookmarkEnd w:id="1557"/>
      <w:bookmarkEnd w:id="1558"/>
      <w:bookmarkEnd w:id="1559"/>
      <w:bookmarkEnd w:id="1560"/>
      <w:bookmarkEnd w:id="1561"/>
    </w:p>
    <w:p w14:paraId="5EE96C53">
      <w:pPr>
        <w:pStyle w:val="115"/>
        <w:spacing w:after="160" w:line="346"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发包人负责编制本工程项目竣工财务决算，承包人应按专用合同条款的约定提供竣工财务决算编制所需的相关材料。</w:t>
      </w:r>
    </w:p>
    <w:p w14:paraId="5EE96C54">
      <w:pPr>
        <w:pStyle w:val="116"/>
        <w:spacing w:line="360" w:lineRule="exact"/>
        <w:rPr>
          <w:rFonts w:hint="eastAsia" w:ascii="宋体" w:hAnsi="宋体" w:eastAsia="宋体" w:cs="宋体"/>
          <w:color w:val="auto"/>
          <w:sz w:val="24"/>
          <w:szCs w:val="24"/>
          <w:highlight w:val="none"/>
          <w:lang w:eastAsia="zh-CN"/>
        </w:rPr>
      </w:pPr>
      <w:bookmarkStart w:id="1562" w:name="bookmark1391"/>
      <w:bookmarkStart w:id="1563" w:name="_Toc27430"/>
      <w:bookmarkStart w:id="1564" w:name="_Toc19499"/>
      <w:bookmarkStart w:id="1565" w:name="bookmark1392"/>
      <w:bookmarkStart w:id="1566" w:name="_Toc9623"/>
      <w:bookmarkStart w:id="1567" w:name="_Toc199152958"/>
      <w:bookmarkStart w:id="1568" w:name="bookmark1390"/>
      <w:bookmarkStart w:id="1569" w:name="_Toc30161"/>
      <w:bookmarkStart w:id="1570" w:name="_Toc19010"/>
      <w:bookmarkStart w:id="1571" w:name="_Toc20613"/>
      <w:bookmarkStart w:id="1572" w:name="_Toc22243"/>
      <w:r>
        <w:rPr>
          <w:rFonts w:hint="eastAsia" w:ascii="宋体" w:hAnsi="宋体" w:eastAsia="宋体" w:cs="宋体"/>
          <w:color w:val="auto"/>
          <w:sz w:val="24"/>
          <w:szCs w:val="24"/>
          <w:highlight w:val="none"/>
          <w:lang w:eastAsia="zh-CN"/>
        </w:rPr>
        <w:t>17.8竣工审计</w:t>
      </w:r>
      <w:bookmarkEnd w:id="1562"/>
      <w:bookmarkEnd w:id="1563"/>
      <w:bookmarkEnd w:id="1564"/>
      <w:bookmarkEnd w:id="1565"/>
      <w:bookmarkEnd w:id="1566"/>
      <w:bookmarkEnd w:id="1567"/>
      <w:bookmarkEnd w:id="1568"/>
      <w:bookmarkEnd w:id="1569"/>
      <w:bookmarkEnd w:id="1570"/>
      <w:bookmarkEnd w:id="1571"/>
      <w:bookmarkEnd w:id="1572"/>
    </w:p>
    <w:p w14:paraId="5EE96C55">
      <w:pPr>
        <w:pStyle w:val="115"/>
        <w:spacing w:after="300" w:line="362"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发包人负责完成本工程竣工审计手续，承包人应完成相关配合工作。</w:t>
      </w:r>
    </w:p>
    <w:p w14:paraId="5EE96C56">
      <w:pPr>
        <w:pStyle w:val="116"/>
        <w:spacing w:line="360" w:lineRule="exact"/>
        <w:rPr>
          <w:rFonts w:hint="eastAsia" w:ascii="宋体" w:hAnsi="宋体" w:eastAsia="宋体" w:cs="宋体"/>
          <w:color w:val="auto"/>
          <w:highlight w:val="none"/>
          <w:lang w:eastAsia="zh-CN"/>
        </w:rPr>
      </w:pPr>
      <w:bookmarkStart w:id="1573" w:name="_Toc199152959"/>
      <w:bookmarkStart w:id="1574" w:name="_Toc11224"/>
      <w:bookmarkStart w:id="1575" w:name="_Toc22826"/>
      <w:bookmarkStart w:id="1576" w:name="_Toc29462"/>
      <w:bookmarkStart w:id="1577" w:name="_Toc19459"/>
      <w:bookmarkStart w:id="1578" w:name="bookmark1394"/>
      <w:bookmarkStart w:id="1579" w:name="_Toc11762"/>
      <w:bookmarkStart w:id="1580" w:name="_Toc27318"/>
      <w:bookmarkStart w:id="1581" w:name="_Toc15468"/>
      <w:bookmarkStart w:id="1582" w:name="bookmark1395"/>
      <w:bookmarkStart w:id="1583" w:name="bookmark1393"/>
      <w:r>
        <w:rPr>
          <w:rFonts w:hint="eastAsia" w:ascii="宋体" w:hAnsi="宋体" w:eastAsia="宋体" w:cs="宋体"/>
          <w:color w:val="auto"/>
          <w:highlight w:val="none"/>
          <w:lang w:eastAsia="zh-CN"/>
        </w:rPr>
        <w:t>18.竣工验收（验收）</w:t>
      </w:r>
      <w:bookmarkEnd w:id="1573"/>
      <w:bookmarkEnd w:id="1574"/>
      <w:bookmarkEnd w:id="1575"/>
      <w:bookmarkEnd w:id="1576"/>
      <w:bookmarkEnd w:id="1577"/>
      <w:bookmarkEnd w:id="1578"/>
      <w:bookmarkEnd w:id="1579"/>
      <w:bookmarkEnd w:id="1580"/>
      <w:bookmarkEnd w:id="1581"/>
      <w:bookmarkEnd w:id="1582"/>
      <w:bookmarkEnd w:id="1583"/>
    </w:p>
    <w:p w14:paraId="5EE96C57">
      <w:pPr>
        <w:pStyle w:val="116"/>
        <w:spacing w:line="360" w:lineRule="exact"/>
        <w:rPr>
          <w:rFonts w:hint="eastAsia" w:ascii="宋体" w:hAnsi="宋体" w:eastAsia="宋体" w:cs="宋体"/>
          <w:color w:val="auto"/>
          <w:sz w:val="24"/>
          <w:szCs w:val="24"/>
          <w:highlight w:val="none"/>
          <w:lang w:eastAsia="zh-CN"/>
        </w:rPr>
      </w:pPr>
      <w:bookmarkStart w:id="1584" w:name="_Toc8475"/>
      <w:bookmarkStart w:id="1585" w:name="_Toc330"/>
      <w:bookmarkStart w:id="1586" w:name="_Toc199152960"/>
      <w:bookmarkStart w:id="1587" w:name="_Toc28328"/>
      <w:bookmarkStart w:id="1588" w:name="_Toc757"/>
      <w:bookmarkStart w:id="1589" w:name="bookmark1396"/>
      <w:bookmarkStart w:id="1590" w:name="_Toc409"/>
      <w:bookmarkStart w:id="1591" w:name="_Toc20245"/>
      <w:bookmarkStart w:id="1592" w:name="bookmark1397"/>
      <w:bookmarkStart w:id="1593" w:name="bookmark1398"/>
      <w:bookmarkStart w:id="1594" w:name="_Toc1314"/>
      <w:r>
        <w:rPr>
          <w:rFonts w:hint="eastAsia" w:ascii="宋体" w:hAnsi="宋体" w:eastAsia="宋体" w:cs="宋体"/>
          <w:color w:val="auto"/>
          <w:sz w:val="24"/>
          <w:szCs w:val="24"/>
          <w:highlight w:val="none"/>
          <w:lang w:eastAsia="zh-CN"/>
        </w:rPr>
        <w:t>18.1验收工作分类</w:t>
      </w:r>
      <w:bookmarkEnd w:id="1584"/>
      <w:bookmarkEnd w:id="1585"/>
      <w:bookmarkEnd w:id="1586"/>
      <w:bookmarkEnd w:id="1587"/>
      <w:bookmarkEnd w:id="1588"/>
      <w:bookmarkEnd w:id="1589"/>
      <w:bookmarkEnd w:id="1590"/>
      <w:bookmarkEnd w:id="1591"/>
      <w:bookmarkEnd w:id="1592"/>
      <w:bookmarkEnd w:id="1593"/>
      <w:bookmarkEnd w:id="1594"/>
    </w:p>
    <w:p w14:paraId="5EE96C58">
      <w:pPr>
        <w:pStyle w:val="115"/>
        <w:spacing w:after="160" w:line="358"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14:paraId="5EE96C59">
      <w:pPr>
        <w:pStyle w:val="116"/>
        <w:spacing w:line="360" w:lineRule="exact"/>
        <w:rPr>
          <w:rFonts w:hint="eastAsia" w:ascii="宋体" w:hAnsi="宋体" w:eastAsia="宋体" w:cs="宋体"/>
          <w:color w:val="auto"/>
          <w:sz w:val="24"/>
          <w:szCs w:val="24"/>
          <w:highlight w:val="none"/>
          <w:lang w:eastAsia="zh-CN"/>
        </w:rPr>
      </w:pPr>
      <w:bookmarkStart w:id="1595" w:name="_Toc29537"/>
      <w:bookmarkStart w:id="1596" w:name="bookmark1401"/>
      <w:bookmarkStart w:id="1597" w:name="_Toc3537"/>
      <w:bookmarkStart w:id="1598" w:name="_Toc199152961"/>
      <w:bookmarkStart w:id="1599" w:name="_Toc27383"/>
      <w:bookmarkStart w:id="1600" w:name="bookmark1399"/>
      <w:bookmarkStart w:id="1601" w:name="_Toc7053"/>
      <w:bookmarkStart w:id="1602" w:name="_Toc10830"/>
      <w:bookmarkStart w:id="1603" w:name="bookmark1400"/>
      <w:bookmarkStart w:id="1604" w:name="_Toc24912"/>
      <w:bookmarkStart w:id="1605" w:name="_Toc8655"/>
      <w:r>
        <w:rPr>
          <w:rFonts w:hint="eastAsia" w:ascii="宋体" w:hAnsi="宋体" w:eastAsia="宋体" w:cs="宋体"/>
          <w:color w:val="auto"/>
          <w:sz w:val="24"/>
          <w:szCs w:val="24"/>
          <w:highlight w:val="none"/>
          <w:lang w:eastAsia="zh-CN"/>
        </w:rPr>
        <w:t>18.2分部工程验收</w:t>
      </w:r>
      <w:bookmarkEnd w:id="1595"/>
      <w:bookmarkEnd w:id="1596"/>
      <w:bookmarkEnd w:id="1597"/>
      <w:bookmarkEnd w:id="1598"/>
      <w:bookmarkEnd w:id="1599"/>
      <w:bookmarkEnd w:id="1600"/>
      <w:bookmarkEnd w:id="1601"/>
      <w:bookmarkEnd w:id="1602"/>
      <w:bookmarkEnd w:id="1603"/>
      <w:bookmarkEnd w:id="1604"/>
      <w:bookmarkEnd w:id="1605"/>
    </w:p>
    <w:p w14:paraId="5EE96C5A">
      <w:pPr>
        <w:pStyle w:val="115"/>
        <w:spacing w:line="367"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18.2.1</w:t>
      </w:r>
      <w:r>
        <w:rPr>
          <w:rFonts w:hint="eastAsia" w:ascii="宋体" w:hAnsi="宋体" w:eastAsia="宋体" w:cs="宋体"/>
          <w:color w:val="auto"/>
          <w:highlight w:val="none"/>
        </w:rPr>
        <w:t>分部工程具备验收条件时，承包人应向发包人提交验收申请报告，发包人应在收到验收申请报告之日起10个工作日内决定是否同意进行验收。</w:t>
      </w:r>
    </w:p>
    <w:p w14:paraId="5EE96C5B">
      <w:pPr>
        <w:pStyle w:val="115"/>
        <w:spacing w:line="367"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18.2.2</w:t>
      </w:r>
      <w:r>
        <w:rPr>
          <w:rFonts w:hint="eastAsia" w:ascii="宋体" w:hAnsi="宋体" w:eastAsia="宋体" w:cs="宋体"/>
          <w:color w:val="auto"/>
          <w:highlight w:val="none"/>
        </w:rPr>
        <w:t>除专用合同条款另有约定外，监理人主持分部工程验收，承包人应派符合条件的代表参加验收工作组。</w:t>
      </w:r>
    </w:p>
    <w:p w14:paraId="5EE96C5C">
      <w:pPr>
        <w:pStyle w:val="115"/>
        <w:spacing w:after="160" w:line="37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18.2.3</w:t>
      </w:r>
      <w:r>
        <w:rPr>
          <w:rFonts w:hint="eastAsia" w:ascii="宋体" w:hAnsi="宋体" w:eastAsia="宋体" w:cs="宋体"/>
          <w:color w:val="auto"/>
          <w:highlight w:val="none"/>
        </w:rPr>
        <w:t>分部工程验收通过后，发包人向承包人发送分部工程验收鉴定书。承包人应及时完成分部工程验收鉴定书载明应由承包人处理的遗留问题。</w:t>
      </w:r>
    </w:p>
    <w:p w14:paraId="5EE96C5D">
      <w:pPr>
        <w:pStyle w:val="116"/>
        <w:spacing w:line="360" w:lineRule="exact"/>
        <w:rPr>
          <w:rFonts w:hint="eastAsia" w:ascii="宋体" w:hAnsi="宋体" w:eastAsia="宋体" w:cs="宋体"/>
          <w:color w:val="auto"/>
          <w:sz w:val="24"/>
          <w:szCs w:val="24"/>
          <w:highlight w:val="none"/>
          <w:lang w:eastAsia="zh-CN"/>
        </w:rPr>
      </w:pPr>
      <w:bookmarkStart w:id="1606" w:name="_Toc10068"/>
      <w:bookmarkStart w:id="1607" w:name="bookmark1402"/>
      <w:bookmarkStart w:id="1608" w:name="_Toc7133"/>
      <w:bookmarkStart w:id="1609" w:name="_Toc19460"/>
      <w:bookmarkStart w:id="1610" w:name="_Toc24933"/>
      <w:bookmarkStart w:id="1611" w:name="_Toc16242"/>
      <w:bookmarkStart w:id="1612" w:name="bookmark1403"/>
      <w:bookmarkStart w:id="1613" w:name="bookmark1404"/>
      <w:bookmarkStart w:id="1614" w:name="_Toc199152962"/>
      <w:bookmarkStart w:id="1615" w:name="_Toc30253"/>
      <w:bookmarkStart w:id="1616" w:name="_Toc13910"/>
      <w:r>
        <w:rPr>
          <w:rFonts w:hint="eastAsia" w:ascii="宋体" w:hAnsi="宋体" w:eastAsia="宋体" w:cs="宋体"/>
          <w:color w:val="auto"/>
          <w:sz w:val="24"/>
          <w:szCs w:val="24"/>
          <w:highlight w:val="none"/>
          <w:lang w:eastAsia="zh-CN"/>
        </w:rPr>
        <w:t>18.3单位工程验收</w:t>
      </w:r>
      <w:bookmarkEnd w:id="1606"/>
      <w:bookmarkEnd w:id="1607"/>
      <w:bookmarkEnd w:id="1608"/>
      <w:bookmarkEnd w:id="1609"/>
      <w:bookmarkEnd w:id="1610"/>
      <w:bookmarkEnd w:id="1611"/>
      <w:bookmarkEnd w:id="1612"/>
      <w:bookmarkEnd w:id="1613"/>
      <w:bookmarkEnd w:id="1614"/>
      <w:bookmarkEnd w:id="1615"/>
      <w:bookmarkEnd w:id="1616"/>
    </w:p>
    <w:p w14:paraId="5EE96C5E">
      <w:pPr>
        <w:pStyle w:val="115"/>
        <w:spacing w:line="365"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18.3.1</w:t>
      </w:r>
      <w:r>
        <w:rPr>
          <w:rFonts w:hint="eastAsia" w:ascii="宋体" w:hAnsi="宋体" w:eastAsia="宋体" w:cs="宋体"/>
          <w:color w:val="auto"/>
          <w:highlight w:val="none"/>
        </w:rPr>
        <w:t>单位工程具备验收条件时，承包人应向发包人提交验收申请报告，发包人应在收到验收申请报告之日起10个工作日内决定是否同意进行验收。</w:t>
      </w:r>
    </w:p>
    <w:p w14:paraId="5EE96C5F">
      <w:pPr>
        <w:pStyle w:val="115"/>
        <w:spacing w:line="365"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18.3.2</w:t>
      </w:r>
      <w:r>
        <w:rPr>
          <w:rFonts w:hint="eastAsia" w:ascii="宋体" w:hAnsi="宋体" w:eastAsia="宋体" w:cs="宋体"/>
          <w:color w:val="auto"/>
          <w:highlight w:val="none"/>
        </w:rPr>
        <w:t>发包人主持单位工程验收，承包人应派符合条件的代表参加验收工作组。</w:t>
      </w:r>
    </w:p>
    <w:p w14:paraId="5EE96C60">
      <w:pPr>
        <w:pStyle w:val="115"/>
        <w:spacing w:after="100" w:line="365"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18.3.3</w:t>
      </w:r>
      <w:r>
        <w:rPr>
          <w:rFonts w:hint="eastAsia" w:ascii="宋体" w:hAnsi="宋体" w:eastAsia="宋体" w:cs="宋体"/>
          <w:color w:val="auto"/>
          <w:highlight w:val="none"/>
        </w:rPr>
        <w:t>单位工程验收通过后，发包人向承包人发送单位工程验收鉴定书。承包人应及时完成单位工程验收鉴定书载明应由承包人处理的遗留问题。</w:t>
      </w:r>
    </w:p>
    <w:p w14:paraId="5EE96C61">
      <w:pPr>
        <w:pStyle w:val="115"/>
        <w:spacing w:after="160" w:line="24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18.3.4</w:t>
      </w:r>
      <w:r>
        <w:rPr>
          <w:rFonts w:hint="eastAsia" w:ascii="宋体" w:hAnsi="宋体" w:eastAsia="宋体" w:cs="宋体"/>
          <w:color w:val="auto"/>
          <w:highlight w:val="none"/>
        </w:rPr>
        <w:t>需提前投入使用的单位工程在专用合同条款中明确。</w:t>
      </w:r>
    </w:p>
    <w:p w14:paraId="5EE96C62">
      <w:pPr>
        <w:pStyle w:val="116"/>
        <w:spacing w:line="360" w:lineRule="exact"/>
        <w:rPr>
          <w:rFonts w:hint="eastAsia" w:ascii="宋体" w:hAnsi="宋体" w:eastAsia="宋体" w:cs="宋体"/>
          <w:color w:val="auto"/>
          <w:sz w:val="24"/>
          <w:szCs w:val="24"/>
          <w:highlight w:val="none"/>
          <w:lang w:eastAsia="zh-CN"/>
        </w:rPr>
      </w:pPr>
      <w:bookmarkStart w:id="1617" w:name="bookmark1405"/>
      <w:bookmarkStart w:id="1618" w:name="bookmark1407"/>
      <w:bookmarkStart w:id="1619" w:name="_Toc22680"/>
      <w:bookmarkStart w:id="1620" w:name="_Toc11381"/>
      <w:bookmarkStart w:id="1621" w:name="_Toc3976"/>
      <w:bookmarkStart w:id="1622" w:name="bookmark1406"/>
      <w:bookmarkStart w:id="1623" w:name="_Toc14138"/>
      <w:bookmarkStart w:id="1624" w:name="_Toc24227"/>
      <w:bookmarkStart w:id="1625" w:name="_Toc13259"/>
      <w:bookmarkStart w:id="1626" w:name="_Toc23192"/>
      <w:bookmarkStart w:id="1627" w:name="_Toc199152963"/>
      <w:r>
        <w:rPr>
          <w:rFonts w:hint="eastAsia" w:ascii="宋体" w:hAnsi="宋体" w:eastAsia="宋体" w:cs="宋体"/>
          <w:color w:val="auto"/>
          <w:sz w:val="24"/>
          <w:szCs w:val="24"/>
          <w:highlight w:val="none"/>
          <w:lang w:eastAsia="zh-CN"/>
        </w:rPr>
        <w:t>18.4合同工程完工验收</w:t>
      </w:r>
      <w:bookmarkEnd w:id="1617"/>
      <w:bookmarkEnd w:id="1618"/>
      <w:bookmarkEnd w:id="1619"/>
      <w:bookmarkEnd w:id="1620"/>
      <w:bookmarkEnd w:id="1621"/>
      <w:bookmarkEnd w:id="1622"/>
      <w:bookmarkEnd w:id="1623"/>
      <w:bookmarkEnd w:id="1624"/>
      <w:bookmarkEnd w:id="1625"/>
      <w:bookmarkEnd w:id="1626"/>
      <w:bookmarkEnd w:id="1627"/>
    </w:p>
    <w:p w14:paraId="5EE96C63">
      <w:pPr>
        <w:pStyle w:val="115"/>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18.4.1</w:t>
      </w:r>
      <w:r>
        <w:rPr>
          <w:rFonts w:hint="eastAsia" w:ascii="宋体" w:hAnsi="宋体" w:eastAsia="宋体" w:cs="宋体"/>
          <w:color w:val="auto"/>
          <w:highlight w:val="none"/>
        </w:rPr>
        <w:t>合同工程具备验收条件时，承包人应向发包人提交验收申请报告，发包人应在收到验收申请报告之日起20个工作日内决定是否同意进行验收。</w:t>
      </w:r>
    </w:p>
    <w:p w14:paraId="5EE96C64">
      <w:pPr>
        <w:pStyle w:val="115"/>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18.4.2</w:t>
      </w:r>
      <w:r>
        <w:rPr>
          <w:rFonts w:hint="eastAsia" w:ascii="宋体" w:hAnsi="宋体" w:eastAsia="宋体" w:cs="宋体"/>
          <w:color w:val="auto"/>
          <w:highlight w:val="none"/>
        </w:rPr>
        <w:t>发包人主持合同工程完工验收，承包人应派项目经理参加验收工作组。</w:t>
      </w:r>
    </w:p>
    <w:p w14:paraId="5EE96C65">
      <w:pPr>
        <w:pStyle w:val="115"/>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18.4.3</w:t>
      </w:r>
      <w:r>
        <w:rPr>
          <w:rFonts w:hint="eastAsia" w:ascii="宋体" w:hAnsi="宋体" w:eastAsia="宋体" w:cs="宋体"/>
          <w:color w:val="auto"/>
          <w:highlight w:val="none"/>
        </w:rPr>
        <w:t>合同工程完工验收通过后，发包人向承包人发送合同工程完工验收鉴定书。承包人应及时完成合同工程完工验收鉴定书载明应由承包人处理的遗留问题。</w:t>
      </w:r>
    </w:p>
    <w:p w14:paraId="5EE96C66">
      <w:pPr>
        <w:pStyle w:val="115"/>
        <w:spacing w:after="160"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18.4.4</w:t>
      </w:r>
      <w:r>
        <w:rPr>
          <w:rFonts w:hint="eastAsia" w:ascii="宋体" w:hAnsi="宋体" w:eastAsia="宋体" w:cs="宋体"/>
          <w:color w:val="auto"/>
          <w:highlight w:val="none"/>
        </w:rPr>
        <w:t>合同工程完工验收通过后，发包人与承包人应在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30个工作日内向承包人颁发合同工程完工证书。</w:t>
      </w:r>
    </w:p>
    <w:p w14:paraId="5EE96C67">
      <w:pPr>
        <w:pStyle w:val="116"/>
        <w:spacing w:line="360" w:lineRule="exact"/>
        <w:rPr>
          <w:rFonts w:hint="eastAsia" w:ascii="宋体" w:hAnsi="宋体" w:eastAsia="宋体" w:cs="宋体"/>
          <w:color w:val="auto"/>
          <w:sz w:val="24"/>
          <w:szCs w:val="24"/>
          <w:highlight w:val="none"/>
          <w:lang w:eastAsia="zh-CN"/>
        </w:rPr>
      </w:pPr>
      <w:bookmarkStart w:id="1628" w:name="_Toc15170"/>
      <w:bookmarkStart w:id="1629" w:name="_Toc8273"/>
      <w:bookmarkStart w:id="1630" w:name="_Toc12500"/>
      <w:bookmarkStart w:id="1631" w:name="_Toc1029"/>
      <w:bookmarkStart w:id="1632" w:name="bookmark1409"/>
      <w:bookmarkStart w:id="1633" w:name="_Toc32064"/>
      <w:bookmarkStart w:id="1634" w:name="_Toc18046"/>
      <w:bookmarkStart w:id="1635" w:name="_Toc14197"/>
      <w:bookmarkStart w:id="1636" w:name="_Toc199152964"/>
      <w:bookmarkStart w:id="1637" w:name="bookmark1408"/>
      <w:bookmarkStart w:id="1638" w:name="bookmark1410"/>
      <w:r>
        <w:rPr>
          <w:rFonts w:hint="eastAsia" w:ascii="宋体" w:hAnsi="宋体" w:eastAsia="宋体" w:cs="宋体"/>
          <w:color w:val="auto"/>
          <w:sz w:val="24"/>
          <w:szCs w:val="24"/>
          <w:highlight w:val="none"/>
          <w:lang w:eastAsia="zh-CN"/>
        </w:rPr>
        <w:t>18.5阶段验收</w:t>
      </w:r>
      <w:bookmarkEnd w:id="1628"/>
      <w:bookmarkEnd w:id="1629"/>
      <w:bookmarkEnd w:id="1630"/>
      <w:bookmarkEnd w:id="1631"/>
      <w:bookmarkEnd w:id="1632"/>
      <w:bookmarkEnd w:id="1633"/>
      <w:bookmarkEnd w:id="1634"/>
      <w:bookmarkEnd w:id="1635"/>
      <w:bookmarkEnd w:id="1636"/>
      <w:bookmarkEnd w:id="1637"/>
      <w:bookmarkEnd w:id="1638"/>
    </w:p>
    <w:p w14:paraId="5EE96C68">
      <w:pPr>
        <w:pStyle w:val="115"/>
        <w:spacing w:line="372" w:lineRule="exact"/>
        <w:ind w:firstLine="426" w:firstLineChars="213"/>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18.5.1</w:t>
      </w:r>
      <w:r>
        <w:rPr>
          <w:rFonts w:hint="eastAsia" w:ascii="宋体" w:hAnsi="宋体" w:eastAsia="宋体" w:cs="宋体"/>
          <w:color w:val="auto"/>
          <w:highlight w:val="none"/>
        </w:rPr>
        <w:t>工程建设具备阶段验收条件时，发包人负责提出阶段验收申请报告。承包人应派代表参加阶段验收，并作为被验收单位在验收鉴定书上签字。阶段验收的具体类别在专用合同条款中约定。</w:t>
      </w:r>
    </w:p>
    <w:p w14:paraId="5EE96C69">
      <w:pPr>
        <w:pStyle w:val="115"/>
        <w:tabs>
          <w:tab w:val="left" w:pos="841"/>
        </w:tabs>
        <w:spacing w:after="140" w:line="355" w:lineRule="exact"/>
        <w:ind w:left="420" w:firstLine="0"/>
        <w:rPr>
          <w:rFonts w:hint="eastAsia" w:ascii="宋体" w:hAnsi="宋体" w:eastAsia="宋体" w:cs="宋体"/>
          <w:color w:val="auto"/>
          <w:highlight w:val="none"/>
        </w:rPr>
      </w:pPr>
      <w:r>
        <w:rPr>
          <w:rFonts w:hint="eastAsia" w:ascii="宋体" w:hAnsi="宋体" w:eastAsia="宋体" w:cs="宋体"/>
          <w:color w:val="auto"/>
          <w:highlight w:val="none"/>
          <w:lang w:val="en-US" w:bidi="en-US"/>
        </w:rPr>
        <w:t>18.5.</w:t>
      </w:r>
      <w:r>
        <w:rPr>
          <w:rFonts w:hint="eastAsia" w:ascii="宋体" w:hAnsi="宋体" w:eastAsia="宋体" w:cs="宋体"/>
          <w:color w:val="auto"/>
          <w:highlight w:val="none"/>
        </w:rPr>
        <w:t>2承包人应及时完成阶段验收鉴定书载明应由承包人处理的遗留问题。</w:t>
      </w:r>
    </w:p>
    <w:p w14:paraId="5EE96C6A">
      <w:pPr>
        <w:pStyle w:val="116"/>
        <w:spacing w:line="360" w:lineRule="exact"/>
        <w:rPr>
          <w:rFonts w:hint="eastAsia" w:ascii="宋体" w:hAnsi="宋体" w:eastAsia="宋体" w:cs="宋体"/>
          <w:color w:val="auto"/>
          <w:sz w:val="24"/>
          <w:szCs w:val="24"/>
          <w:highlight w:val="none"/>
          <w:lang w:eastAsia="zh-CN"/>
        </w:rPr>
      </w:pPr>
      <w:bookmarkStart w:id="1639" w:name="bookmark1412"/>
      <w:bookmarkStart w:id="1640" w:name="_Toc26244"/>
      <w:bookmarkStart w:id="1641" w:name="_Toc199152965"/>
      <w:bookmarkStart w:id="1642" w:name="bookmark1414"/>
      <w:bookmarkStart w:id="1643" w:name="_Toc26964"/>
      <w:bookmarkStart w:id="1644" w:name="bookmark1413"/>
      <w:bookmarkStart w:id="1645" w:name="_Toc4964"/>
      <w:bookmarkStart w:id="1646" w:name="_Toc22175"/>
      <w:bookmarkStart w:id="1647" w:name="_Toc12258"/>
      <w:bookmarkStart w:id="1648" w:name="_Toc16235"/>
      <w:bookmarkStart w:id="1649" w:name="_Toc15039"/>
      <w:r>
        <w:rPr>
          <w:rFonts w:hint="eastAsia" w:ascii="宋体" w:hAnsi="宋体" w:eastAsia="宋体" w:cs="宋体"/>
          <w:color w:val="auto"/>
          <w:sz w:val="24"/>
          <w:szCs w:val="24"/>
          <w:highlight w:val="none"/>
          <w:lang w:eastAsia="zh-CN"/>
        </w:rPr>
        <w:t>18.6专项验收</w:t>
      </w:r>
      <w:bookmarkEnd w:id="1639"/>
      <w:bookmarkEnd w:id="1640"/>
      <w:bookmarkEnd w:id="1641"/>
      <w:bookmarkEnd w:id="1642"/>
      <w:bookmarkEnd w:id="1643"/>
      <w:bookmarkEnd w:id="1644"/>
      <w:bookmarkEnd w:id="1645"/>
      <w:bookmarkEnd w:id="1646"/>
      <w:bookmarkEnd w:id="1647"/>
      <w:bookmarkEnd w:id="1648"/>
      <w:bookmarkEnd w:id="1649"/>
    </w:p>
    <w:p w14:paraId="5EE96C6B">
      <w:pPr>
        <w:pStyle w:val="115"/>
        <w:spacing w:line="353"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18.6.1</w:t>
      </w:r>
      <w:r>
        <w:rPr>
          <w:rFonts w:hint="eastAsia" w:ascii="宋体" w:hAnsi="宋体" w:eastAsia="宋体" w:cs="宋体"/>
          <w:color w:val="auto"/>
          <w:highlight w:val="none"/>
        </w:rPr>
        <w:t>发包人负责提出专项验收申请报告。承包人应按专项验收的相关规定参加专项验收。专项验收的具体类别在专用合同条款中约定。</w:t>
      </w:r>
    </w:p>
    <w:p w14:paraId="5EE96C6C">
      <w:pPr>
        <w:pStyle w:val="115"/>
        <w:spacing w:after="140" w:line="355" w:lineRule="exact"/>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18.6.</w:t>
      </w:r>
      <w:r>
        <w:rPr>
          <w:rFonts w:hint="eastAsia" w:ascii="宋体" w:hAnsi="宋体" w:eastAsia="宋体" w:cs="宋体"/>
          <w:color w:val="auto"/>
          <w:highlight w:val="none"/>
        </w:rPr>
        <w:t>2承包应及时完成专项验收成果性文件载明应由承包人处理的遗留问题。</w:t>
      </w:r>
    </w:p>
    <w:p w14:paraId="5EE96C6D">
      <w:pPr>
        <w:pStyle w:val="116"/>
        <w:spacing w:line="360" w:lineRule="exact"/>
        <w:rPr>
          <w:rFonts w:hint="eastAsia" w:ascii="宋体" w:hAnsi="宋体" w:eastAsia="宋体" w:cs="宋体"/>
          <w:color w:val="auto"/>
          <w:sz w:val="24"/>
          <w:szCs w:val="24"/>
          <w:highlight w:val="none"/>
          <w:lang w:eastAsia="zh-CN"/>
        </w:rPr>
      </w:pPr>
      <w:bookmarkStart w:id="1650" w:name="_Toc199152966"/>
      <w:bookmarkStart w:id="1651" w:name="bookmark1417"/>
      <w:bookmarkStart w:id="1652" w:name="_Toc9830"/>
      <w:bookmarkStart w:id="1653" w:name="_Toc20915"/>
      <w:bookmarkStart w:id="1654" w:name="_Toc25934"/>
      <w:bookmarkStart w:id="1655" w:name="_Toc3384"/>
      <w:bookmarkStart w:id="1656" w:name="_Toc13138"/>
      <w:bookmarkStart w:id="1657" w:name="_Toc31377"/>
      <w:bookmarkStart w:id="1658" w:name="bookmark1416"/>
      <w:bookmarkStart w:id="1659" w:name="_Toc4524"/>
      <w:bookmarkStart w:id="1660" w:name="bookmark1415"/>
      <w:r>
        <w:rPr>
          <w:rFonts w:hint="eastAsia" w:ascii="宋体" w:hAnsi="宋体" w:eastAsia="宋体" w:cs="宋体"/>
          <w:color w:val="auto"/>
          <w:sz w:val="24"/>
          <w:szCs w:val="24"/>
          <w:highlight w:val="none"/>
          <w:lang w:eastAsia="zh-CN"/>
        </w:rPr>
        <w:t>18.7竣工验收</w:t>
      </w:r>
      <w:bookmarkEnd w:id="1650"/>
      <w:bookmarkEnd w:id="1651"/>
      <w:bookmarkEnd w:id="1652"/>
      <w:bookmarkEnd w:id="1653"/>
      <w:bookmarkEnd w:id="1654"/>
      <w:bookmarkEnd w:id="1655"/>
      <w:bookmarkEnd w:id="1656"/>
      <w:bookmarkEnd w:id="1657"/>
      <w:bookmarkEnd w:id="1658"/>
      <w:bookmarkEnd w:id="1659"/>
      <w:bookmarkEnd w:id="1660"/>
    </w:p>
    <w:p w14:paraId="5EE96C6E">
      <w:pPr>
        <w:pStyle w:val="115"/>
        <w:spacing w:line="355"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18.7.1</w:t>
      </w:r>
      <w:r>
        <w:rPr>
          <w:rFonts w:hint="eastAsia" w:ascii="宋体" w:hAnsi="宋体" w:eastAsia="宋体" w:cs="宋体"/>
          <w:color w:val="auto"/>
          <w:highlight w:val="none"/>
        </w:rPr>
        <w:t>申请竣工验收前，发包人组织竣工验收自查，承包人应派项目经理或技术负责人参加。</w:t>
      </w:r>
    </w:p>
    <w:p w14:paraId="5EE96C6F">
      <w:pPr>
        <w:pStyle w:val="115"/>
        <w:spacing w:line="36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18.7.2</w:t>
      </w:r>
      <w:r>
        <w:rPr>
          <w:rFonts w:hint="eastAsia" w:ascii="宋体" w:hAnsi="宋体" w:eastAsia="宋体" w:cs="宋体"/>
          <w:color w:val="auto"/>
          <w:highlight w:val="none"/>
        </w:rPr>
        <w:t>竣工验收分为竣工技术预验收和竣工验收两个阶段，发包人应通知承包人派法定代表人或项目经理参加技术预验收和竣工验收。</w:t>
      </w:r>
    </w:p>
    <w:p w14:paraId="5EE96C70">
      <w:pPr>
        <w:pStyle w:val="115"/>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18.7.3</w:t>
      </w:r>
      <w:r>
        <w:rPr>
          <w:rFonts w:hint="eastAsia" w:ascii="宋体" w:hAnsi="宋体" w:eastAsia="宋体" w:cs="宋体"/>
          <w:color w:val="auto"/>
          <w:highlight w:val="none"/>
        </w:rPr>
        <w:t>专用合同条款约定工程需要进行技术鉴定的，承包人应提交有关资料并完成配合工作。</w:t>
      </w:r>
    </w:p>
    <w:p w14:paraId="5EE96C71">
      <w:pPr>
        <w:pStyle w:val="115"/>
        <w:spacing w:line="36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18.7.4</w:t>
      </w:r>
      <w:r>
        <w:rPr>
          <w:rFonts w:hint="eastAsia" w:ascii="宋体" w:hAnsi="宋体" w:eastAsia="宋体" w:cs="宋体"/>
          <w:color w:val="auto"/>
          <w:highlight w:val="none"/>
        </w:rPr>
        <w:t>竣工验收需要进行质量检测的，所需费用由发包人承担，但因承包人原因造成质量不合格的除外。</w:t>
      </w:r>
    </w:p>
    <w:p w14:paraId="5EE96C72">
      <w:pPr>
        <w:pStyle w:val="115"/>
        <w:spacing w:after="140" w:line="354"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18.7.5</w:t>
      </w:r>
      <w:r>
        <w:rPr>
          <w:rFonts w:hint="eastAsia" w:ascii="宋体" w:hAnsi="宋体" w:eastAsia="宋体" w:cs="宋体"/>
          <w:color w:val="auto"/>
          <w:highlight w:val="none"/>
        </w:rPr>
        <w:t>工程质量保修期满以及竣工验收遗留问题和尾工处理完成并通过验收后，发包人负责将处理情况和验收成果报送竣工验收主持单位，申请领取工程竣工证书，并发送承包人。</w:t>
      </w:r>
    </w:p>
    <w:p w14:paraId="5EE96C73">
      <w:pPr>
        <w:pStyle w:val="116"/>
        <w:spacing w:line="360" w:lineRule="exact"/>
        <w:rPr>
          <w:rFonts w:hint="eastAsia" w:ascii="宋体" w:hAnsi="宋体" w:eastAsia="宋体" w:cs="宋体"/>
          <w:color w:val="auto"/>
          <w:sz w:val="24"/>
          <w:szCs w:val="24"/>
          <w:highlight w:val="none"/>
          <w:lang w:eastAsia="zh-CN"/>
        </w:rPr>
      </w:pPr>
      <w:bookmarkStart w:id="1661" w:name="bookmark1419"/>
      <w:bookmarkStart w:id="1662" w:name="_Toc9342"/>
      <w:bookmarkStart w:id="1663" w:name="_Toc28956"/>
      <w:bookmarkStart w:id="1664" w:name="_Toc16882"/>
      <w:bookmarkStart w:id="1665" w:name="_Toc199152967"/>
      <w:bookmarkStart w:id="1666" w:name="bookmark1418"/>
      <w:bookmarkStart w:id="1667" w:name="_Toc18516"/>
      <w:bookmarkStart w:id="1668" w:name="bookmark1420"/>
      <w:bookmarkStart w:id="1669" w:name="_Toc30977"/>
      <w:bookmarkStart w:id="1670" w:name="_Toc19228"/>
      <w:bookmarkStart w:id="1671" w:name="_Toc7258"/>
      <w:r>
        <w:rPr>
          <w:rFonts w:hint="eastAsia" w:ascii="宋体" w:hAnsi="宋体" w:eastAsia="宋体" w:cs="宋体"/>
          <w:color w:val="auto"/>
          <w:sz w:val="24"/>
          <w:szCs w:val="24"/>
          <w:highlight w:val="none"/>
          <w:lang w:eastAsia="zh-CN"/>
        </w:rPr>
        <w:t>18.8施工期运行</w:t>
      </w:r>
      <w:bookmarkEnd w:id="1661"/>
      <w:bookmarkEnd w:id="1662"/>
      <w:bookmarkEnd w:id="1663"/>
      <w:bookmarkEnd w:id="1664"/>
      <w:bookmarkEnd w:id="1665"/>
      <w:bookmarkEnd w:id="1666"/>
      <w:bookmarkEnd w:id="1667"/>
      <w:bookmarkEnd w:id="1668"/>
      <w:bookmarkEnd w:id="1669"/>
      <w:bookmarkEnd w:id="1670"/>
      <w:bookmarkEnd w:id="1671"/>
    </w:p>
    <w:p w14:paraId="5EE96C74">
      <w:pPr>
        <w:pStyle w:val="115"/>
        <w:spacing w:line="35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18.8.1</w:t>
      </w:r>
      <w:r>
        <w:rPr>
          <w:rFonts w:hint="eastAsia" w:ascii="宋体" w:hAnsi="宋体" w:eastAsia="宋体" w:cs="宋体"/>
          <w:color w:val="auto"/>
          <w:highlight w:val="none"/>
        </w:rPr>
        <w:t>施工期运行是指合同工程尚未全部完工，其中某单位工程或部分工程已完工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需要投入施工期运行的，经发包人按第</w:t>
      </w:r>
      <w:r>
        <w:rPr>
          <w:rFonts w:hint="eastAsia" w:ascii="宋体" w:hAnsi="宋体" w:eastAsia="宋体" w:cs="宋体"/>
          <w:color w:val="auto"/>
          <w:highlight w:val="none"/>
          <w:lang w:val="en-US" w:bidi="en-US"/>
        </w:rPr>
        <w:t>18.</w:t>
      </w:r>
      <w:r>
        <w:rPr>
          <w:rFonts w:hint="eastAsia" w:ascii="宋体" w:hAnsi="宋体" w:eastAsia="宋体" w:cs="宋体"/>
          <w:color w:val="auto"/>
          <w:highlight w:val="none"/>
        </w:rPr>
        <w:t>2款或第</w:t>
      </w:r>
      <w:r>
        <w:rPr>
          <w:rFonts w:hint="eastAsia" w:ascii="宋体" w:hAnsi="宋体" w:eastAsia="宋体" w:cs="宋体"/>
          <w:color w:val="auto"/>
          <w:highlight w:val="none"/>
          <w:lang w:val="en-US" w:bidi="en-US"/>
        </w:rPr>
        <w:t>18.</w:t>
      </w:r>
      <w:r>
        <w:rPr>
          <w:rFonts w:hint="eastAsia" w:ascii="宋体" w:hAnsi="宋体" w:eastAsia="宋体" w:cs="宋体"/>
          <w:color w:val="auto"/>
          <w:highlight w:val="none"/>
        </w:rPr>
        <w:t>3款的约定验收合格，证明能确保安全后，才能在施工期投入运行。需要在施工期运行的单位工程或部分工程在专用合同条款中约定。</w:t>
      </w:r>
    </w:p>
    <w:p w14:paraId="5EE96C75">
      <w:pPr>
        <w:pStyle w:val="115"/>
        <w:spacing w:after="140" w:line="37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18.8.2</w:t>
      </w:r>
      <w:r>
        <w:rPr>
          <w:rFonts w:hint="eastAsia" w:ascii="宋体" w:hAnsi="宋体" w:eastAsia="宋体" w:cs="宋体"/>
          <w:color w:val="auto"/>
          <w:highlight w:val="none"/>
        </w:rPr>
        <w:t>在施工期运行中发现工程或工程设备损坏或存在缺陷的，由承包人按第</w:t>
      </w:r>
      <w:r>
        <w:rPr>
          <w:rFonts w:hint="eastAsia" w:ascii="宋体" w:hAnsi="宋体" w:eastAsia="宋体" w:cs="宋体"/>
          <w:color w:val="auto"/>
          <w:highlight w:val="none"/>
          <w:lang w:val="en-US" w:bidi="en-US"/>
        </w:rPr>
        <w:t>19.</w:t>
      </w:r>
      <w:r>
        <w:rPr>
          <w:rFonts w:hint="eastAsia" w:ascii="宋体" w:hAnsi="宋体" w:eastAsia="宋体" w:cs="宋体"/>
          <w:color w:val="auto"/>
          <w:highlight w:val="none"/>
        </w:rPr>
        <w:t>2款约定进行修复。</w:t>
      </w:r>
    </w:p>
    <w:p w14:paraId="5EE96C76">
      <w:pPr>
        <w:pStyle w:val="116"/>
        <w:spacing w:line="360" w:lineRule="exact"/>
        <w:rPr>
          <w:rFonts w:hint="eastAsia" w:ascii="宋体" w:hAnsi="宋体" w:eastAsia="宋体" w:cs="宋体"/>
          <w:color w:val="auto"/>
          <w:sz w:val="24"/>
          <w:szCs w:val="24"/>
          <w:highlight w:val="none"/>
          <w:lang w:eastAsia="zh-CN"/>
        </w:rPr>
      </w:pPr>
      <w:bookmarkStart w:id="1672" w:name="bookmark1423"/>
      <w:bookmarkStart w:id="1673" w:name="_Toc6229"/>
      <w:bookmarkStart w:id="1674" w:name="_Toc27490"/>
      <w:bookmarkStart w:id="1675" w:name="_Toc15490"/>
      <w:bookmarkStart w:id="1676" w:name="_Toc6863"/>
      <w:bookmarkStart w:id="1677" w:name="_Toc199152968"/>
      <w:bookmarkStart w:id="1678" w:name="bookmark1421"/>
      <w:bookmarkStart w:id="1679" w:name="bookmark1422"/>
      <w:bookmarkStart w:id="1680" w:name="_Toc12151"/>
      <w:bookmarkStart w:id="1681" w:name="_Toc20150"/>
      <w:bookmarkStart w:id="1682" w:name="_Toc12394"/>
      <w:r>
        <w:rPr>
          <w:rFonts w:hint="eastAsia" w:ascii="宋体" w:hAnsi="宋体" w:eastAsia="宋体" w:cs="宋体"/>
          <w:color w:val="auto"/>
          <w:sz w:val="24"/>
          <w:szCs w:val="24"/>
          <w:highlight w:val="none"/>
          <w:lang w:eastAsia="zh-CN"/>
        </w:rPr>
        <w:t>18.9试运行</w:t>
      </w:r>
      <w:bookmarkEnd w:id="1672"/>
      <w:bookmarkEnd w:id="1673"/>
      <w:bookmarkEnd w:id="1674"/>
      <w:bookmarkEnd w:id="1675"/>
      <w:bookmarkEnd w:id="1676"/>
      <w:bookmarkEnd w:id="1677"/>
      <w:bookmarkEnd w:id="1678"/>
      <w:bookmarkEnd w:id="1679"/>
      <w:bookmarkEnd w:id="1680"/>
      <w:bookmarkEnd w:id="1681"/>
      <w:bookmarkEnd w:id="1682"/>
    </w:p>
    <w:p w14:paraId="5EE96C77">
      <w:pPr>
        <w:pStyle w:val="115"/>
        <w:spacing w:line="35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18.9.1</w:t>
      </w:r>
      <w:r>
        <w:rPr>
          <w:rFonts w:hint="eastAsia" w:ascii="宋体" w:hAnsi="宋体" w:eastAsia="宋体" w:cs="宋体"/>
          <w:color w:val="auto"/>
          <w:highlight w:val="none"/>
        </w:rPr>
        <w:t>除专用合同条款另有约定外，承包人应按规定进行工程及工程设备试运行</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负责提供试运行所需的人员、器材和必要的条件，并承担全部试运行费用。</w:t>
      </w:r>
    </w:p>
    <w:p w14:paraId="5EE96C78">
      <w:pPr>
        <w:pStyle w:val="115"/>
        <w:spacing w:after="240" w:line="372" w:lineRule="exact"/>
        <w:ind w:firstLine="426" w:firstLineChars="213"/>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18.9.2</w:t>
      </w:r>
      <w:r>
        <w:rPr>
          <w:rFonts w:hint="eastAsia" w:ascii="宋体" w:hAnsi="宋体" w:eastAsia="宋体" w:cs="宋体"/>
          <w:color w:val="auto"/>
          <w:highlight w:val="none"/>
        </w:rPr>
        <w:t>由于承包人的原因导致试运行失败的，承包人应采取措施保证试运行合格</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并承担相应费用。由于发包人的原因导致试运行失败的，承包人应当采取措施保证试运行合格，发包人应承担由此产生的费用，并支付承包人合理利润。</w:t>
      </w:r>
      <w:bookmarkStart w:id="1683" w:name="bookmark1411"/>
      <w:bookmarkEnd w:id="1683"/>
    </w:p>
    <w:p w14:paraId="5EE96C79">
      <w:pPr>
        <w:pStyle w:val="116"/>
        <w:spacing w:line="360" w:lineRule="exact"/>
        <w:rPr>
          <w:rFonts w:hint="eastAsia" w:ascii="宋体" w:hAnsi="宋体" w:eastAsia="宋体" w:cs="宋体"/>
          <w:color w:val="auto"/>
          <w:sz w:val="24"/>
          <w:szCs w:val="24"/>
          <w:highlight w:val="none"/>
          <w:lang w:eastAsia="zh-CN"/>
        </w:rPr>
      </w:pPr>
      <w:bookmarkStart w:id="1684" w:name="_Toc3577"/>
      <w:bookmarkStart w:id="1685" w:name="bookmark1426"/>
      <w:bookmarkStart w:id="1686" w:name="bookmark1425"/>
      <w:bookmarkStart w:id="1687" w:name="_Toc2706"/>
      <w:bookmarkStart w:id="1688" w:name="_Toc16957"/>
      <w:bookmarkStart w:id="1689" w:name="_Toc19830"/>
      <w:bookmarkStart w:id="1690" w:name="_Toc15964"/>
      <w:bookmarkStart w:id="1691" w:name="_Toc32042"/>
      <w:bookmarkStart w:id="1692" w:name="bookmark1424"/>
      <w:bookmarkStart w:id="1693" w:name="_Toc199152969"/>
      <w:bookmarkStart w:id="1694" w:name="_Toc1706"/>
      <w:r>
        <w:rPr>
          <w:rFonts w:hint="eastAsia" w:ascii="宋体" w:hAnsi="宋体" w:eastAsia="宋体" w:cs="宋体"/>
          <w:color w:val="auto"/>
          <w:sz w:val="24"/>
          <w:szCs w:val="24"/>
          <w:highlight w:val="none"/>
          <w:lang w:eastAsia="zh-CN"/>
        </w:rPr>
        <w:t>18.10竣工（完工）清场</w:t>
      </w:r>
      <w:bookmarkEnd w:id="1684"/>
      <w:bookmarkEnd w:id="1685"/>
      <w:bookmarkEnd w:id="1686"/>
      <w:bookmarkEnd w:id="1687"/>
      <w:bookmarkEnd w:id="1688"/>
      <w:bookmarkEnd w:id="1689"/>
      <w:bookmarkEnd w:id="1690"/>
      <w:bookmarkEnd w:id="1691"/>
      <w:bookmarkEnd w:id="1692"/>
      <w:bookmarkEnd w:id="1693"/>
      <w:bookmarkEnd w:id="1694"/>
    </w:p>
    <w:p w14:paraId="5EE96C7A">
      <w:pPr>
        <w:pStyle w:val="115"/>
        <w:spacing w:line="355"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18.10.1</w:t>
      </w:r>
      <w:r>
        <w:rPr>
          <w:rFonts w:hint="eastAsia" w:ascii="宋体" w:hAnsi="宋体" w:eastAsia="宋体" w:cs="宋体"/>
          <w:color w:val="auto"/>
          <w:highlight w:val="none"/>
        </w:rPr>
        <w:t>工程项目竣工（完工）清场的工作范围和内容在技术标准和要求（合同技术条款）中约定。</w:t>
      </w:r>
    </w:p>
    <w:p w14:paraId="5EE96C7B">
      <w:pPr>
        <w:pStyle w:val="115"/>
        <w:spacing w:after="240" w:line="36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18.10.2</w:t>
      </w:r>
      <w:r>
        <w:rPr>
          <w:rFonts w:hint="eastAsia" w:ascii="宋体" w:hAnsi="宋体" w:eastAsia="宋体" w:cs="宋体"/>
          <w:color w:val="auto"/>
          <w:highlight w:val="none"/>
        </w:rPr>
        <w:t>承包未按监理人的要求恢复临时占地，或者场地清理未达到合同约定的，发包人有权委托其它人恢复或清理，所发生的金额从拟支付给承包人的款项中扣除。</w:t>
      </w:r>
    </w:p>
    <w:p w14:paraId="5EE96C7C">
      <w:pPr>
        <w:pStyle w:val="116"/>
        <w:spacing w:line="360" w:lineRule="exact"/>
        <w:rPr>
          <w:rFonts w:hint="eastAsia" w:ascii="宋体" w:hAnsi="宋体" w:eastAsia="宋体" w:cs="宋体"/>
          <w:color w:val="auto"/>
          <w:sz w:val="24"/>
          <w:szCs w:val="24"/>
          <w:highlight w:val="none"/>
          <w:lang w:eastAsia="zh-CN"/>
        </w:rPr>
      </w:pPr>
      <w:bookmarkStart w:id="1695" w:name="_Toc6032"/>
      <w:bookmarkStart w:id="1696" w:name="_Toc21820"/>
      <w:bookmarkStart w:id="1697" w:name="_Toc28474"/>
      <w:bookmarkStart w:id="1698" w:name="bookmark1428"/>
      <w:bookmarkStart w:id="1699" w:name="bookmark1429"/>
      <w:bookmarkStart w:id="1700" w:name="_Toc22352"/>
      <w:bookmarkStart w:id="1701" w:name="_Toc199152970"/>
      <w:bookmarkStart w:id="1702" w:name="_Toc26850"/>
      <w:bookmarkStart w:id="1703" w:name="_Toc25918"/>
      <w:bookmarkStart w:id="1704" w:name="_Toc17603"/>
      <w:bookmarkStart w:id="1705" w:name="bookmark1427"/>
      <w:r>
        <w:rPr>
          <w:rFonts w:hint="eastAsia" w:ascii="宋体" w:hAnsi="宋体" w:eastAsia="宋体" w:cs="宋体"/>
          <w:color w:val="auto"/>
          <w:sz w:val="24"/>
          <w:szCs w:val="24"/>
          <w:highlight w:val="none"/>
          <w:lang w:eastAsia="zh-CN"/>
        </w:rPr>
        <w:t>18.11施工队伍的撤离</w:t>
      </w:r>
      <w:bookmarkEnd w:id="1695"/>
      <w:bookmarkEnd w:id="1696"/>
      <w:bookmarkEnd w:id="1697"/>
      <w:bookmarkEnd w:id="1698"/>
      <w:bookmarkEnd w:id="1699"/>
      <w:bookmarkEnd w:id="1700"/>
      <w:bookmarkEnd w:id="1701"/>
      <w:bookmarkEnd w:id="1702"/>
      <w:bookmarkEnd w:id="1703"/>
      <w:bookmarkEnd w:id="1704"/>
      <w:bookmarkEnd w:id="1705"/>
    </w:p>
    <w:p w14:paraId="5EE96C7D">
      <w:pPr>
        <w:pStyle w:val="115"/>
        <w:spacing w:after="300" w:line="355"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承包人的人员和施工设备应全部撤离施工场地。</w:t>
      </w:r>
    </w:p>
    <w:p w14:paraId="5EE96C7E">
      <w:pPr>
        <w:pStyle w:val="116"/>
        <w:spacing w:line="360" w:lineRule="exact"/>
        <w:rPr>
          <w:rFonts w:hint="eastAsia" w:ascii="宋体" w:hAnsi="宋体" w:eastAsia="宋体" w:cs="宋体"/>
          <w:color w:val="auto"/>
          <w:highlight w:val="none"/>
          <w:lang w:eastAsia="zh-CN"/>
        </w:rPr>
      </w:pPr>
      <w:bookmarkStart w:id="1706" w:name="bookmark1430"/>
      <w:bookmarkStart w:id="1707" w:name="_Toc6223"/>
      <w:bookmarkStart w:id="1708" w:name="_Toc1913"/>
      <w:bookmarkStart w:id="1709" w:name="_Toc32001"/>
      <w:bookmarkStart w:id="1710" w:name="_Toc15410"/>
      <w:bookmarkStart w:id="1711" w:name="_Toc9783"/>
      <w:bookmarkStart w:id="1712" w:name="_Toc22984"/>
      <w:bookmarkStart w:id="1713" w:name="_Toc32204"/>
      <w:bookmarkStart w:id="1714" w:name="bookmark1432"/>
      <w:bookmarkStart w:id="1715" w:name="bookmark1431"/>
      <w:bookmarkStart w:id="1716" w:name="_Toc199152971"/>
      <w:r>
        <w:rPr>
          <w:rFonts w:hint="eastAsia" w:ascii="宋体" w:hAnsi="宋体" w:eastAsia="宋体" w:cs="宋体"/>
          <w:color w:val="auto"/>
          <w:highlight w:val="none"/>
          <w:lang w:eastAsia="zh-CN"/>
        </w:rPr>
        <w:t>19.缺陷责任与保修责任</w:t>
      </w:r>
      <w:bookmarkEnd w:id="1706"/>
      <w:bookmarkEnd w:id="1707"/>
      <w:bookmarkEnd w:id="1708"/>
      <w:bookmarkEnd w:id="1709"/>
      <w:bookmarkEnd w:id="1710"/>
      <w:bookmarkEnd w:id="1711"/>
      <w:bookmarkEnd w:id="1712"/>
      <w:bookmarkEnd w:id="1713"/>
      <w:bookmarkEnd w:id="1714"/>
      <w:bookmarkEnd w:id="1715"/>
      <w:bookmarkEnd w:id="1716"/>
    </w:p>
    <w:p w14:paraId="5EE96C7F">
      <w:pPr>
        <w:pStyle w:val="116"/>
        <w:spacing w:line="360" w:lineRule="exact"/>
        <w:rPr>
          <w:rFonts w:hint="eastAsia" w:ascii="宋体" w:hAnsi="宋体" w:eastAsia="宋体" w:cs="宋体"/>
          <w:color w:val="auto"/>
          <w:sz w:val="24"/>
          <w:szCs w:val="24"/>
          <w:highlight w:val="none"/>
          <w:lang w:eastAsia="zh-CN"/>
        </w:rPr>
      </w:pPr>
      <w:bookmarkStart w:id="1717" w:name="_Toc199152972"/>
      <w:bookmarkStart w:id="1718" w:name="_Toc12662"/>
      <w:bookmarkStart w:id="1719" w:name="bookmark1433"/>
      <w:bookmarkStart w:id="1720" w:name="_Toc3316"/>
      <w:bookmarkStart w:id="1721" w:name="bookmark1435"/>
      <w:bookmarkStart w:id="1722" w:name="bookmark1434"/>
      <w:bookmarkStart w:id="1723" w:name="_Toc13406"/>
      <w:bookmarkStart w:id="1724" w:name="_Toc6737"/>
      <w:bookmarkStart w:id="1725" w:name="_Toc22913"/>
      <w:bookmarkStart w:id="1726" w:name="_Toc1149"/>
      <w:bookmarkStart w:id="1727" w:name="_Toc12944"/>
      <w:r>
        <w:rPr>
          <w:rFonts w:hint="eastAsia" w:ascii="宋体" w:hAnsi="宋体" w:eastAsia="宋体" w:cs="宋体"/>
          <w:color w:val="auto"/>
          <w:sz w:val="24"/>
          <w:szCs w:val="24"/>
          <w:highlight w:val="none"/>
          <w:lang w:eastAsia="zh-CN"/>
        </w:rPr>
        <w:t>19.1缺陷责任期（工程质量保修期）的起算时间</w:t>
      </w:r>
      <w:bookmarkEnd w:id="1717"/>
      <w:bookmarkEnd w:id="1718"/>
      <w:bookmarkEnd w:id="1719"/>
      <w:bookmarkEnd w:id="1720"/>
      <w:bookmarkEnd w:id="1721"/>
      <w:bookmarkEnd w:id="1722"/>
      <w:bookmarkEnd w:id="1723"/>
      <w:bookmarkEnd w:id="1724"/>
      <w:bookmarkEnd w:id="1725"/>
      <w:bookmarkEnd w:id="1726"/>
      <w:bookmarkEnd w:id="1727"/>
    </w:p>
    <w:p w14:paraId="5EE96C80">
      <w:pPr>
        <w:pStyle w:val="115"/>
        <w:spacing w:after="160" w:line="354"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除专用合同条款另有约定外，缺陷责任期（工程质量保修期）从工程通过合同工程完工验收后开始计算。在合同工程完工验收前，已经发包人提前验收的单位工程或部分工程</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14:paraId="5EE96C81">
      <w:pPr>
        <w:pStyle w:val="116"/>
        <w:spacing w:line="360" w:lineRule="exact"/>
        <w:rPr>
          <w:rFonts w:hint="eastAsia" w:ascii="宋体" w:hAnsi="宋体" w:eastAsia="宋体" w:cs="宋体"/>
          <w:color w:val="auto"/>
          <w:sz w:val="24"/>
          <w:szCs w:val="24"/>
          <w:highlight w:val="none"/>
          <w:lang w:eastAsia="zh-CN"/>
        </w:rPr>
      </w:pPr>
      <w:bookmarkStart w:id="1728" w:name="_Toc7545"/>
      <w:bookmarkStart w:id="1729" w:name="bookmark1436"/>
      <w:bookmarkStart w:id="1730" w:name="_Toc27743"/>
      <w:bookmarkStart w:id="1731" w:name="bookmark1437"/>
      <w:bookmarkStart w:id="1732" w:name="bookmark1438"/>
      <w:bookmarkStart w:id="1733" w:name="_Toc4030"/>
      <w:bookmarkStart w:id="1734" w:name="_Toc18562"/>
      <w:bookmarkStart w:id="1735" w:name="_Toc28950"/>
      <w:bookmarkStart w:id="1736" w:name="_Toc8542"/>
      <w:bookmarkStart w:id="1737" w:name="_Toc199152973"/>
      <w:bookmarkStart w:id="1738" w:name="_Toc32238"/>
      <w:r>
        <w:rPr>
          <w:rFonts w:hint="eastAsia" w:ascii="宋体" w:hAnsi="宋体" w:eastAsia="宋体" w:cs="宋体"/>
          <w:color w:val="auto"/>
          <w:sz w:val="24"/>
          <w:szCs w:val="24"/>
          <w:highlight w:val="none"/>
          <w:lang w:eastAsia="zh-CN"/>
        </w:rPr>
        <w:t>19.2缺陷责任</w:t>
      </w:r>
      <w:bookmarkEnd w:id="1728"/>
      <w:bookmarkEnd w:id="1729"/>
      <w:bookmarkEnd w:id="1730"/>
      <w:bookmarkEnd w:id="1731"/>
      <w:bookmarkEnd w:id="1732"/>
      <w:bookmarkEnd w:id="1733"/>
      <w:bookmarkEnd w:id="1734"/>
      <w:bookmarkEnd w:id="1735"/>
      <w:bookmarkEnd w:id="1736"/>
      <w:bookmarkEnd w:id="1737"/>
      <w:bookmarkEnd w:id="1738"/>
    </w:p>
    <w:p w14:paraId="5EE96C82">
      <w:pPr>
        <w:pStyle w:val="115"/>
        <w:tabs>
          <w:tab w:val="left" w:pos="853"/>
        </w:tabs>
        <w:spacing w:line="360" w:lineRule="exact"/>
        <w:ind w:left="440" w:firstLine="0"/>
        <w:jc w:val="both"/>
        <w:rPr>
          <w:rFonts w:hint="eastAsia" w:ascii="宋体" w:hAnsi="宋体" w:eastAsia="宋体" w:cs="宋体"/>
          <w:color w:val="auto"/>
          <w:highlight w:val="none"/>
        </w:rPr>
      </w:pPr>
      <w:bookmarkStart w:id="1739" w:name="bookmark1439"/>
      <w:bookmarkEnd w:id="1739"/>
      <w:r>
        <w:rPr>
          <w:rFonts w:hint="eastAsia" w:ascii="宋体" w:hAnsi="宋体" w:eastAsia="宋体" w:cs="宋体"/>
          <w:color w:val="auto"/>
          <w:highlight w:val="none"/>
          <w:lang w:val="en-US" w:bidi="en-US"/>
        </w:rPr>
        <w:t>19.2.</w:t>
      </w:r>
      <w:r>
        <w:rPr>
          <w:rFonts w:hint="eastAsia" w:ascii="宋体" w:hAnsi="宋体" w:eastAsia="宋体" w:cs="宋体"/>
          <w:color w:val="auto"/>
          <w:highlight w:val="none"/>
        </w:rPr>
        <w:t>1承包人应在缺陷责任期内对已交付使用的工程承担缺陷责任。</w:t>
      </w:r>
    </w:p>
    <w:p w14:paraId="5EE96C83">
      <w:pPr>
        <w:pStyle w:val="115"/>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19.2.2</w:t>
      </w:r>
      <w:r>
        <w:rPr>
          <w:rFonts w:hint="eastAsia" w:ascii="宋体" w:hAnsi="宋体" w:eastAsia="宋体" w:cs="宋体"/>
          <w:color w:val="auto"/>
          <w:highlight w:val="none"/>
        </w:rPr>
        <w:t>缺陷责任期内，发包人对已接收使用的工程负责日常维护工作。发包人在使用过程中，发现已接收的工程存在新的缺陷或已修复的缺陷部位或部件又遭损坏的，承包人应负责修复，直至检验合格为止。</w:t>
      </w:r>
    </w:p>
    <w:p w14:paraId="5EE96C84">
      <w:pPr>
        <w:pStyle w:val="115"/>
        <w:spacing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19.2.3</w:t>
      </w:r>
      <w:r>
        <w:rPr>
          <w:rFonts w:hint="eastAsia" w:ascii="宋体" w:hAnsi="宋体" w:eastAsia="宋体" w:cs="宋体"/>
          <w:color w:val="auto"/>
          <w:highlight w:val="none"/>
        </w:rPr>
        <w:t>监理人和承包人应共同查清缺陷和（或）损坏的原因。经查明属承包人原因造成的，应由承包人承担修复和查验的费用。经查验属发包人原因造成的，发包人应承担修复和查验的费用，并支付承包人合理利润。</w:t>
      </w:r>
    </w:p>
    <w:p w14:paraId="5EE96C85">
      <w:pPr>
        <w:pStyle w:val="115"/>
        <w:spacing w:after="160"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19.2.4</w:t>
      </w:r>
      <w:r>
        <w:rPr>
          <w:rFonts w:hint="eastAsia" w:ascii="宋体" w:hAnsi="宋体" w:eastAsia="宋体" w:cs="宋体"/>
          <w:color w:val="auto"/>
          <w:highlight w:val="none"/>
        </w:rPr>
        <w:t>承包人不能在合理时间内修复缺陷的，发包人可自行修复或委托其他人修复</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所需费用和利润的承担，按第</w:t>
      </w:r>
      <w:r>
        <w:rPr>
          <w:rFonts w:hint="eastAsia" w:ascii="宋体" w:hAnsi="宋体" w:eastAsia="宋体" w:cs="宋体"/>
          <w:color w:val="auto"/>
          <w:highlight w:val="none"/>
          <w:lang w:val="en-US" w:bidi="en-US"/>
        </w:rPr>
        <w:t>19.2.</w:t>
      </w:r>
      <w:r>
        <w:rPr>
          <w:rFonts w:hint="eastAsia" w:ascii="宋体" w:hAnsi="宋体" w:eastAsia="宋体" w:cs="宋体"/>
          <w:color w:val="auto"/>
          <w:highlight w:val="none"/>
        </w:rPr>
        <w:t>3项约定办理。</w:t>
      </w:r>
    </w:p>
    <w:p w14:paraId="5EE96C86">
      <w:pPr>
        <w:pStyle w:val="116"/>
        <w:spacing w:line="360" w:lineRule="exact"/>
        <w:rPr>
          <w:rFonts w:hint="eastAsia" w:ascii="宋体" w:hAnsi="宋体" w:eastAsia="宋体" w:cs="宋体"/>
          <w:color w:val="auto"/>
          <w:sz w:val="24"/>
          <w:szCs w:val="24"/>
          <w:highlight w:val="none"/>
          <w:lang w:eastAsia="zh-CN"/>
        </w:rPr>
      </w:pPr>
      <w:bookmarkStart w:id="1740" w:name="_Toc31456"/>
      <w:bookmarkStart w:id="1741" w:name="_Toc18661"/>
      <w:bookmarkStart w:id="1742" w:name="_Toc21619"/>
      <w:bookmarkStart w:id="1743" w:name="_Toc19734"/>
      <w:bookmarkStart w:id="1744" w:name="_Toc7742"/>
      <w:bookmarkStart w:id="1745" w:name="_Toc199152974"/>
      <w:bookmarkStart w:id="1746" w:name="bookmark1440"/>
      <w:bookmarkStart w:id="1747" w:name="bookmark1442"/>
      <w:bookmarkStart w:id="1748" w:name="_Toc10359"/>
      <w:bookmarkStart w:id="1749" w:name="_Toc21104"/>
      <w:bookmarkStart w:id="1750" w:name="bookmark1441"/>
      <w:r>
        <w:rPr>
          <w:rFonts w:hint="eastAsia" w:ascii="宋体" w:hAnsi="宋体" w:eastAsia="宋体" w:cs="宋体"/>
          <w:color w:val="auto"/>
          <w:sz w:val="24"/>
          <w:szCs w:val="24"/>
          <w:highlight w:val="none"/>
          <w:lang w:eastAsia="zh-CN"/>
        </w:rPr>
        <w:t>19.3缺陷责任期的延长</w:t>
      </w:r>
      <w:bookmarkEnd w:id="1740"/>
      <w:bookmarkEnd w:id="1741"/>
      <w:bookmarkEnd w:id="1742"/>
      <w:bookmarkEnd w:id="1743"/>
      <w:bookmarkEnd w:id="1744"/>
      <w:bookmarkEnd w:id="1745"/>
      <w:bookmarkEnd w:id="1746"/>
      <w:bookmarkEnd w:id="1747"/>
      <w:bookmarkEnd w:id="1748"/>
      <w:bookmarkEnd w:id="1749"/>
      <w:bookmarkEnd w:id="1750"/>
    </w:p>
    <w:p w14:paraId="5EE96C87">
      <w:pPr>
        <w:pStyle w:val="115"/>
        <w:spacing w:after="160" w:line="343"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由于承包人原因造成某项缺陷或损坏使某项工程或工程设备不能按原定目标使用而需要再次检查、检验和修复的，发包人有权要求承包人相应延长缺陷责任期，但缺陷责任期最长不超过2年。</w:t>
      </w:r>
    </w:p>
    <w:p w14:paraId="5EE96C88">
      <w:pPr>
        <w:pStyle w:val="116"/>
        <w:spacing w:line="360" w:lineRule="exact"/>
        <w:rPr>
          <w:rFonts w:hint="eastAsia" w:ascii="宋体" w:hAnsi="宋体" w:eastAsia="宋体" w:cs="宋体"/>
          <w:color w:val="auto"/>
          <w:sz w:val="24"/>
          <w:szCs w:val="24"/>
          <w:highlight w:val="none"/>
          <w:lang w:eastAsia="zh-CN"/>
        </w:rPr>
      </w:pPr>
      <w:bookmarkStart w:id="1751" w:name="_Toc25168"/>
      <w:bookmarkStart w:id="1752" w:name="_Toc23350"/>
      <w:bookmarkStart w:id="1753" w:name="bookmark1443"/>
      <w:bookmarkStart w:id="1754" w:name="bookmark1444"/>
      <w:bookmarkStart w:id="1755" w:name="_Toc10058"/>
      <w:bookmarkStart w:id="1756" w:name="_Toc218"/>
      <w:bookmarkStart w:id="1757" w:name="bookmark1445"/>
      <w:bookmarkStart w:id="1758" w:name="_Toc4593"/>
      <w:bookmarkStart w:id="1759" w:name="_Toc21544"/>
      <w:bookmarkStart w:id="1760" w:name="_Toc199152975"/>
      <w:bookmarkStart w:id="1761" w:name="_Toc6900"/>
      <w:r>
        <w:rPr>
          <w:rFonts w:hint="eastAsia" w:ascii="宋体" w:hAnsi="宋体" w:eastAsia="宋体" w:cs="宋体"/>
          <w:color w:val="auto"/>
          <w:sz w:val="24"/>
          <w:szCs w:val="24"/>
          <w:highlight w:val="none"/>
          <w:lang w:eastAsia="zh-CN"/>
        </w:rPr>
        <w:t>19.4进一步试验和试运行</w:t>
      </w:r>
      <w:bookmarkEnd w:id="1751"/>
      <w:bookmarkEnd w:id="1752"/>
      <w:bookmarkEnd w:id="1753"/>
      <w:bookmarkEnd w:id="1754"/>
      <w:bookmarkEnd w:id="1755"/>
      <w:bookmarkEnd w:id="1756"/>
      <w:bookmarkEnd w:id="1757"/>
      <w:bookmarkEnd w:id="1758"/>
      <w:bookmarkEnd w:id="1759"/>
      <w:bookmarkEnd w:id="1760"/>
      <w:bookmarkEnd w:id="1761"/>
    </w:p>
    <w:p w14:paraId="5EE96C89">
      <w:pPr>
        <w:pStyle w:val="115"/>
        <w:spacing w:after="160" w:line="36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任何一项缺陷或损坏修复后，经检查证明其影响了工程或工程设备的使用性能，承包人应重新进行合同约定的试验和试运行，试验和试运行的全部费用应由责任方承担。</w:t>
      </w:r>
    </w:p>
    <w:p w14:paraId="5EE96C8A">
      <w:pPr>
        <w:pStyle w:val="116"/>
        <w:spacing w:line="360" w:lineRule="exact"/>
        <w:rPr>
          <w:rFonts w:hint="eastAsia" w:ascii="宋体" w:hAnsi="宋体" w:eastAsia="宋体" w:cs="宋体"/>
          <w:color w:val="auto"/>
          <w:sz w:val="24"/>
          <w:szCs w:val="24"/>
          <w:highlight w:val="none"/>
          <w:lang w:eastAsia="zh-CN"/>
        </w:rPr>
      </w:pPr>
      <w:bookmarkStart w:id="1762" w:name="_Toc8782"/>
      <w:bookmarkStart w:id="1763" w:name="_Toc13710"/>
      <w:bookmarkStart w:id="1764" w:name="bookmark1448"/>
      <w:bookmarkStart w:id="1765" w:name="_Toc199152976"/>
      <w:bookmarkStart w:id="1766" w:name="bookmark1447"/>
      <w:bookmarkStart w:id="1767" w:name="_Toc1808"/>
      <w:bookmarkStart w:id="1768" w:name="_Toc992"/>
      <w:bookmarkStart w:id="1769" w:name="_Toc21418"/>
      <w:bookmarkStart w:id="1770" w:name="_Toc27517"/>
      <w:bookmarkStart w:id="1771" w:name="_Toc17763"/>
      <w:bookmarkStart w:id="1772" w:name="bookmark1446"/>
      <w:r>
        <w:rPr>
          <w:rFonts w:hint="eastAsia" w:ascii="宋体" w:hAnsi="宋体" w:eastAsia="宋体" w:cs="宋体"/>
          <w:color w:val="auto"/>
          <w:sz w:val="24"/>
          <w:szCs w:val="24"/>
          <w:highlight w:val="none"/>
          <w:lang w:eastAsia="zh-CN"/>
        </w:rPr>
        <w:t>19.5承包人的进入权</w:t>
      </w:r>
      <w:bookmarkEnd w:id="1762"/>
      <w:bookmarkEnd w:id="1763"/>
      <w:bookmarkEnd w:id="1764"/>
      <w:bookmarkEnd w:id="1765"/>
      <w:bookmarkEnd w:id="1766"/>
      <w:bookmarkEnd w:id="1767"/>
      <w:bookmarkEnd w:id="1768"/>
      <w:bookmarkEnd w:id="1769"/>
      <w:bookmarkEnd w:id="1770"/>
      <w:bookmarkEnd w:id="1771"/>
      <w:bookmarkEnd w:id="1772"/>
    </w:p>
    <w:p w14:paraId="5EE96C8B">
      <w:pPr>
        <w:pStyle w:val="115"/>
        <w:spacing w:after="160" w:line="36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缺陷责任期内承包人为缺陷修复工作需要，有权进入工程现场，但应遵守发包人的保安和保密规定。</w:t>
      </w:r>
    </w:p>
    <w:p w14:paraId="5EE96C8C">
      <w:pPr>
        <w:pStyle w:val="116"/>
        <w:spacing w:line="360" w:lineRule="exact"/>
        <w:rPr>
          <w:rFonts w:hint="eastAsia" w:ascii="宋体" w:hAnsi="宋体" w:eastAsia="宋体" w:cs="宋体"/>
          <w:color w:val="auto"/>
          <w:sz w:val="24"/>
          <w:szCs w:val="24"/>
          <w:highlight w:val="none"/>
          <w:lang w:eastAsia="zh-CN"/>
        </w:rPr>
      </w:pPr>
      <w:bookmarkStart w:id="1773" w:name="bookmark1450"/>
      <w:bookmarkStart w:id="1774" w:name="_Toc9818"/>
      <w:bookmarkStart w:id="1775" w:name="bookmark1451"/>
      <w:bookmarkStart w:id="1776" w:name="_Toc15137"/>
      <w:bookmarkStart w:id="1777" w:name="_Toc16024"/>
      <w:bookmarkStart w:id="1778" w:name="_Toc18929"/>
      <w:bookmarkStart w:id="1779" w:name="_Toc25651"/>
      <w:bookmarkStart w:id="1780" w:name="bookmark1449"/>
      <w:bookmarkStart w:id="1781" w:name="_Toc22433"/>
      <w:bookmarkStart w:id="1782" w:name="_Toc17267"/>
      <w:bookmarkStart w:id="1783" w:name="_Toc199152977"/>
      <w:r>
        <w:rPr>
          <w:rFonts w:hint="eastAsia" w:ascii="宋体" w:hAnsi="宋体" w:eastAsia="宋体" w:cs="宋体"/>
          <w:color w:val="auto"/>
          <w:sz w:val="24"/>
          <w:szCs w:val="24"/>
          <w:highlight w:val="none"/>
          <w:lang w:eastAsia="zh-CN"/>
        </w:rPr>
        <w:t>19.6缺陷责任期终止证书（工程质量保修责任终止证书）</w:t>
      </w:r>
      <w:bookmarkEnd w:id="1773"/>
      <w:bookmarkEnd w:id="1774"/>
      <w:bookmarkEnd w:id="1775"/>
      <w:bookmarkEnd w:id="1776"/>
      <w:bookmarkEnd w:id="1777"/>
      <w:bookmarkEnd w:id="1778"/>
      <w:bookmarkEnd w:id="1779"/>
      <w:bookmarkEnd w:id="1780"/>
      <w:bookmarkEnd w:id="1781"/>
      <w:bookmarkEnd w:id="1782"/>
      <w:bookmarkEnd w:id="1783"/>
    </w:p>
    <w:p w14:paraId="5EE96C8D">
      <w:pPr>
        <w:pStyle w:val="115"/>
        <w:spacing w:line="36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合同工程完工验收后，发包人与承包人应办理工程交接手续，承包人应向发包人递交工程质量保修书。</w:t>
      </w:r>
    </w:p>
    <w:p w14:paraId="5EE96C8E">
      <w:pPr>
        <w:pStyle w:val="115"/>
        <w:spacing w:after="160" w:line="361"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缺陷责任期（工程质量保修期）满后30个工作日内，发包人应向承包人颁发工程质量保修责任终止证书，并退还剩余的质量保证金，但保修责任范围内的质量缺陷未处理完成的应除外。</w:t>
      </w:r>
    </w:p>
    <w:p w14:paraId="5EE96C8F">
      <w:pPr>
        <w:pStyle w:val="116"/>
        <w:spacing w:line="360" w:lineRule="exact"/>
        <w:rPr>
          <w:rFonts w:hint="eastAsia" w:ascii="宋体" w:hAnsi="宋体" w:eastAsia="宋体" w:cs="宋体"/>
          <w:color w:val="auto"/>
          <w:sz w:val="24"/>
          <w:szCs w:val="24"/>
          <w:highlight w:val="none"/>
          <w:lang w:eastAsia="zh-CN"/>
        </w:rPr>
      </w:pPr>
      <w:bookmarkStart w:id="1784" w:name="_Toc4569"/>
      <w:bookmarkStart w:id="1785" w:name="_Toc199152978"/>
      <w:bookmarkStart w:id="1786" w:name="bookmark1453"/>
      <w:bookmarkStart w:id="1787" w:name="_Toc27113"/>
      <w:bookmarkStart w:id="1788" w:name="_Toc10377"/>
      <w:bookmarkStart w:id="1789" w:name="bookmark1452"/>
      <w:bookmarkStart w:id="1790" w:name="_Toc10905"/>
      <w:bookmarkStart w:id="1791" w:name="bookmark1454"/>
      <w:bookmarkStart w:id="1792" w:name="_Toc458"/>
      <w:bookmarkStart w:id="1793" w:name="_Toc2388"/>
      <w:bookmarkStart w:id="1794" w:name="_Toc23490"/>
      <w:r>
        <w:rPr>
          <w:rFonts w:hint="eastAsia" w:ascii="宋体" w:hAnsi="宋体" w:eastAsia="宋体" w:cs="宋体"/>
          <w:color w:val="auto"/>
          <w:sz w:val="24"/>
          <w:szCs w:val="24"/>
          <w:highlight w:val="none"/>
          <w:lang w:eastAsia="zh-CN"/>
        </w:rPr>
        <w:t>19.7保修责任</w:t>
      </w:r>
      <w:bookmarkEnd w:id="1784"/>
      <w:bookmarkEnd w:id="1785"/>
      <w:bookmarkEnd w:id="1786"/>
      <w:bookmarkEnd w:id="1787"/>
      <w:bookmarkEnd w:id="1788"/>
      <w:bookmarkEnd w:id="1789"/>
      <w:bookmarkEnd w:id="1790"/>
      <w:bookmarkEnd w:id="1791"/>
      <w:bookmarkEnd w:id="1792"/>
      <w:bookmarkEnd w:id="1793"/>
      <w:bookmarkEnd w:id="1794"/>
    </w:p>
    <w:p w14:paraId="5EE96C90">
      <w:pPr>
        <w:pStyle w:val="115"/>
        <w:spacing w:after="260" w:line="347"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合同当事人根据有关法律规定，在专用合同条款中约定工程质量保修范围、期限和责任。保修期自实际完工验收日期起计算。在全部工程竣工验收前，已经发包人提前验收的单位工程，其保修期的起算日期相应提前。</w:t>
      </w:r>
    </w:p>
    <w:p w14:paraId="5EE96C91">
      <w:pPr>
        <w:pStyle w:val="116"/>
        <w:spacing w:line="360" w:lineRule="exact"/>
        <w:rPr>
          <w:rFonts w:hint="eastAsia" w:ascii="宋体" w:hAnsi="宋体" w:eastAsia="宋体" w:cs="宋体"/>
          <w:color w:val="auto"/>
          <w:highlight w:val="none"/>
          <w:lang w:eastAsia="zh-CN"/>
        </w:rPr>
      </w:pPr>
      <w:bookmarkStart w:id="1795" w:name="_Toc31099"/>
      <w:bookmarkStart w:id="1796" w:name="_Toc14173"/>
      <w:bookmarkStart w:id="1797" w:name="_Toc18133"/>
      <w:bookmarkStart w:id="1798" w:name="_Toc8963"/>
      <w:bookmarkStart w:id="1799" w:name="bookmark1457"/>
      <w:bookmarkStart w:id="1800" w:name="_Toc3597"/>
      <w:bookmarkStart w:id="1801" w:name="_Toc199152979"/>
      <w:bookmarkStart w:id="1802" w:name="_Toc11587"/>
      <w:bookmarkStart w:id="1803" w:name="_Toc20824"/>
      <w:bookmarkStart w:id="1804" w:name="bookmark1456"/>
      <w:bookmarkStart w:id="1805" w:name="bookmark1455"/>
      <w:r>
        <w:rPr>
          <w:rFonts w:hint="eastAsia" w:ascii="宋体" w:hAnsi="宋体" w:eastAsia="宋体" w:cs="宋体"/>
          <w:color w:val="auto"/>
          <w:highlight w:val="none"/>
          <w:lang w:eastAsia="zh-CN"/>
        </w:rPr>
        <w:t>20.保险</w:t>
      </w:r>
      <w:bookmarkEnd w:id="1795"/>
      <w:bookmarkEnd w:id="1796"/>
      <w:bookmarkEnd w:id="1797"/>
      <w:bookmarkEnd w:id="1798"/>
      <w:bookmarkEnd w:id="1799"/>
      <w:bookmarkEnd w:id="1800"/>
      <w:bookmarkEnd w:id="1801"/>
      <w:bookmarkEnd w:id="1802"/>
      <w:bookmarkEnd w:id="1803"/>
    </w:p>
    <w:p w14:paraId="5EE96C92">
      <w:pPr>
        <w:pStyle w:val="116"/>
        <w:spacing w:line="360" w:lineRule="exact"/>
        <w:rPr>
          <w:rFonts w:hint="eastAsia" w:ascii="宋体" w:hAnsi="宋体" w:eastAsia="宋体" w:cs="宋体"/>
          <w:color w:val="auto"/>
          <w:sz w:val="24"/>
          <w:szCs w:val="24"/>
          <w:highlight w:val="none"/>
          <w:lang w:eastAsia="zh-CN"/>
        </w:rPr>
      </w:pPr>
      <w:bookmarkStart w:id="1806" w:name="_Toc9374"/>
      <w:bookmarkStart w:id="1807" w:name="_Toc199152980"/>
      <w:bookmarkStart w:id="1808" w:name="bookmark1458"/>
      <w:bookmarkStart w:id="1809" w:name="_Toc5774"/>
      <w:bookmarkStart w:id="1810" w:name="_Toc11990"/>
      <w:bookmarkStart w:id="1811" w:name="_Toc15571"/>
      <w:bookmarkStart w:id="1812" w:name="_Toc16520"/>
      <w:bookmarkStart w:id="1813" w:name="_Toc393"/>
      <w:bookmarkStart w:id="1814" w:name="_Toc14998"/>
      <w:r>
        <w:rPr>
          <w:rFonts w:hint="eastAsia" w:ascii="宋体" w:hAnsi="宋体" w:eastAsia="宋体" w:cs="宋体"/>
          <w:color w:val="auto"/>
          <w:sz w:val="24"/>
          <w:szCs w:val="24"/>
          <w:highlight w:val="none"/>
          <w:lang w:eastAsia="zh-CN"/>
        </w:rPr>
        <w:t>20.1工程保险</w:t>
      </w:r>
      <w:bookmarkEnd w:id="1804"/>
      <w:bookmarkEnd w:id="1805"/>
      <w:bookmarkEnd w:id="1806"/>
      <w:bookmarkEnd w:id="1807"/>
      <w:bookmarkEnd w:id="1808"/>
      <w:bookmarkEnd w:id="1809"/>
      <w:bookmarkEnd w:id="1810"/>
      <w:bookmarkEnd w:id="1811"/>
      <w:bookmarkEnd w:id="1812"/>
      <w:bookmarkEnd w:id="1813"/>
      <w:bookmarkEnd w:id="1814"/>
    </w:p>
    <w:p w14:paraId="5EE96C93">
      <w:pPr>
        <w:pStyle w:val="115"/>
        <w:spacing w:after="120" w:line="348"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5EE96C94">
      <w:pPr>
        <w:pStyle w:val="116"/>
        <w:spacing w:line="360" w:lineRule="exact"/>
        <w:rPr>
          <w:rFonts w:hint="eastAsia" w:ascii="宋体" w:hAnsi="宋体" w:eastAsia="宋体" w:cs="宋体"/>
          <w:color w:val="auto"/>
          <w:sz w:val="24"/>
          <w:szCs w:val="24"/>
          <w:highlight w:val="none"/>
          <w:lang w:eastAsia="zh-CN"/>
        </w:rPr>
      </w:pPr>
      <w:bookmarkStart w:id="1815" w:name="_Toc6317"/>
      <w:bookmarkStart w:id="1816" w:name="bookmark1460"/>
      <w:bookmarkStart w:id="1817" w:name="_Toc18402"/>
      <w:bookmarkStart w:id="1818" w:name="_Toc12206"/>
      <w:bookmarkStart w:id="1819" w:name="bookmark1459"/>
      <w:bookmarkStart w:id="1820" w:name="_Toc19236"/>
      <w:bookmarkStart w:id="1821" w:name="_Toc11868"/>
      <w:bookmarkStart w:id="1822" w:name="_Toc199152981"/>
      <w:bookmarkStart w:id="1823" w:name="_Toc6488"/>
      <w:bookmarkStart w:id="1824" w:name="bookmark1461"/>
      <w:bookmarkStart w:id="1825" w:name="_Toc22508"/>
      <w:r>
        <w:rPr>
          <w:rFonts w:hint="eastAsia" w:ascii="宋体" w:hAnsi="宋体" w:eastAsia="宋体" w:cs="宋体"/>
          <w:color w:val="auto"/>
          <w:sz w:val="24"/>
          <w:szCs w:val="24"/>
          <w:highlight w:val="none"/>
          <w:lang w:eastAsia="zh-CN"/>
        </w:rPr>
        <w:t>20.2人员工伤事故的保险</w:t>
      </w:r>
      <w:bookmarkEnd w:id="1815"/>
      <w:bookmarkEnd w:id="1816"/>
      <w:bookmarkEnd w:id="1817"/>
      <w:bookmarkEnd w:id="1818"/>
      <w:bookmarkEnd w:id="1819"/>
      <w:bookmarkEnd w:id="1820"/>
      <w:bookmarkEnd w:id="1821"/>
      <w:bookmarkEnd w:id="1822"/>
      <w:bookmarkEnd w:id="1823"/>
      <w:bookmarkEnd w:id="1824"/>
      <w:bookmarkEnd w:id="1825"/>
    </w:p>
    <w:p w14:paraId="5EE96C95">
      <w:pPr>
        <w:pStyle w:val="115"/>
        <w:tabs>
          <w:tab w:val="left" w:pos="954"/>
        </w:tabs>
        <w:spacing w:line="370" w:lineRule="exact"/>
        <w:ind w:firstLine="426" w:firstLineChars="213"/>
        <w:jc w:val="both"/>
        <w:rPr>
          <w:rFonts w:hint="eastAsia" w:ascii="宋体" w:hAnsi="宋体" w:eastAsia="宋体" w:cs="宋体"/>
          <w:color w:val="auto"/>
          <w:highlight w:val="none"/>
          <w:lang w:val="en-US" w:bidi="en-US"/>
        </w:rPr>
      </w:pPr>
      <w:bookmarkStart w:id="1826" w:name="bookmark1462"/>
      <w:bookmarkEnd w:id="1826"/>
      <w:r>
        <w:rPr>
          <w:rFonts w:hint="eastAsia" w:ascii="宋体" w:hAnsi="宋体" w:eastAsia="宋体" w:cs="宋体"/>
          <w:color w:val="auto"/>
          <w:highlight w:val="none"/>
          <w:lang w:val="en-US" w:bidi="en-US"/>
        </w:rPr>
        <w:t>20.2.1承包人员工伤事故的保险</w:t>
      </w:r>
    </w:p>
    <w:p w14:paraId="5EE96C96">
      <w:pPr>
        <w:pStyle w:val="115"/>
        <w:tabs>
          <w:tab w:val="left" w:pos="954"/>
        </w:tabs>
        <w:spacing w:line="370" w:lineRule="exact"/>
        <w:ind w:firstLine="426" w:firstLineChars="213"/>
        <w:jc w:val="both"/>
        <w:rPr>
          <w:rFonts w:hint="eastAsia" w:ascii="宋体" w:hAnsi="宋体" w:eastAsia="宋体" w:cs="宋体"/>
          <w:color w:val="auto"/>
          <w:highlight w:val="none"/>
          <w:lang w:val="en-US" w:bidi="en-US"/>
        </w:rPr>
      </w:pPr>
      <w:r>
        <w:rPr>
          <w:rFonts w:hint="eastAsia" w:ascii="宋体" w:hAnsi="宋体" w:eastAsia="宋体" w:cs="宋体"/>
          <w:color w:val="auto"/>
          <w:highlight w:val="none"/>
          <w:lang w:val="en-US" w:bidi="en-US"/>
        </w:rPr>
        <w:t>承包人应依照有关法律规定参加工伤保险，为其履行合同所雇佣的全部人员，缴纳工伤保险费，并要求其分包人也进行此项保险。</w:t>
      </w:r>
    </w:p>
    <w:p w14:paraId="5EE96C97">
      <w:pPr>
        <w:pStyle w:val="115"/>
        <w:tabs>
          <w:tab w:val="left" w:pos="954"/>
        </w:tabs>
        <w:spacing w:line="370" w:lineRule="exact"/>
        <w:ind w:firstLine="426" w:firstLineChars="213"/>
        <w:jc w:val="both"/>
        <w:rPr>
          <w:rFonts w:hint="eastAsia" w:ascii="宋体" w:hAnsi="宋体" w:eastAsia="宋体" w:cs="宋体"/>
          <w:color w:val="auto"/>
          <w:highlight w:val="none"/>
          <w:lang w:val="en-US" w:bidi="en-US"/>
        </w:rPr>
      </w:pPr>
      <w:r>
        <w:rPr>
          <w:rFonts w:hint="eastAsia" w:ascii="宋体" w:hAnsi="宋体" w:eastAsia="宋体" w:cs="宋体"/>
          <w:color w:val="auto"/>
          <w:highlight w:val="none"/>
          <w:lang w:val="en-US" w:bidi="en-US"/>
        </w:rPr>
        <w:t>20.2.2发包人员工伤事故的保险</w:t>
      </w:r>
    </w:p>
    <w:p w14:paraId="5EE96C98">
      <w:pPr>
        <w:pStyle w:val="115"/>
        <w:tabs>
          <w:tab w:val="left" w:pos="954"/>
        </w:tabs>
        <w:spacing w:line="370" w:lineRule="exact"/>
        <w:ind w:firstLine="426" w:firstLineChars="213"/>
        <w:jc w:val="both"/>
        <w:rPr>
          <w:rFonts w:hint="eastAsia" w:ascii="宋体" w:hAnsi="宋体" w:eastAsia="宋体" w:cs="宋体"/>
          <w:color w:val="auto"/>
          <w:highlight w:val="none"/>
          <w:lang w:val="en-US" w:bidi="en-US"/>
        </w:rPr>
      </w:pPr>
      <w:r>
        <w:rPr>
          <w:rFonts w:hint="eastAsia" w:ascii="宋体" w:hAnsi="宋体" w:eastAsia="宋体" w:cs="宋体"/>
          <w:color w:val="auto"/>
          <w:highlight w:val="none"/>
          <w:lang w:val="en-US" w:bidi="en-US"/>
        </w:rPr>
        <w:t>发包人应依照有关法律规定参加工伤保险，为其现场机构雇佣的全部人员，缴纳工伤保险费，并要求其监理人也进行此项保险。</w:t>
      </w:r>
    </w:p>
    <w:p w14:paraId="5EE96C99">
      <w:pPr>
        <w:pStyle w:val="116"/>
        <w:spacing w:line="360" w:lineRule="exact"/>
        <w:rPr>
          <w:rFonts w:hint="eastAsia" w:ascii="宋体" w:hAnsi="宋体" w:eastAsia="宋体" w:cs="宋体"/>
          <w:color w:val="auto"/>
          <w:sz w:val="24"/>
          <w:szCs w:val="24"/>
          <w:highlight w:val="none"/>
          <w:lang w:eastAsia="zh-CN"/>
        </w:rPr>
      </w:pPr>
      <w:bookmarkStart w:id="1827" w:name="bookmark1465"/>
      <w:bookmarkStart w:id="1828" w:name="_Toc25347"/>
      <w:bookmarkStart w:id="1829" w:name="_Toc9146"/>
      <w:bookmarkStart w:id="1830" w:name="_Toc199152982"/>
      <w:bookmarkStart w:id="1831" w:name="_Toc27631"/>
      <w:bookmarkStart w:id="1832" w:name="_Toc23335"/>
      <w:bookmarkStart w:id="1833" w:name="_Toc24283"/>
      <w:bookmarkStart w:id="1834" w:name="_Toc23979"/>
      <w:bookmarkStart w:id="1835" w:name="_Toc2694"/>
      <w:bookmarkStart w:id="1836" w:name="bookmark1464"/>
      <w:bookmarkStart w:id="1837" w:name="bookmark1463"/>
      <w:r>
        <w:rPr>
          <w:rFonts w:hint="eastAsia" w:ascii="宋体" w:hAnsi="宋体" w:eastAsia="宋体" w:cs="宋体"/>
          <w:color w:val="auto"/>
          <w:sz w:val="24"/>
          <w:szCs w:val="24"/>
          <w:highlight w:val="none"/>
          <w:lang w:eastAsia="zh-CN"/>
        </w:rPr>
        <w:t>20.3人身意外伤害险</w:t>
      </w:r>
      <w:bookmarkEnd w:id="1827"/>
      <w:bookmarkEnd w:id="1828"/>
      <w:bookmarkEnd w:id="1829"/>
      <w:bookmarkEnd w:id="1830"/>
      <w:bookmarkEnd w:id="1831"/>
      <w:bookmarkEnd w:id="1832"/>
      <w:bookmarkEnd w:id="1833"/>
      <w:bookmarkEnd w:id="1834"/>
      <w:bookmarkEnd w:id="1835"/>
      <w:bookmarkEnd w:id="1836"/>
      <w:bookmarkEnd w:id="1837"/>
    </w:p>
    <w:p w14:paraId="5EE96C9A">
      <w:pPr>
        <w:pStyle w:val="115"/>
        <w:spacing w:line="36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20.3.1</w:t>
      </w:r>
      <w:r>
        <w:rPr>
          <w:rFonts w:hint="eastAsia" w:ascii="宋体" w:hAnsi="宋体" w:eastAsia="宋体" w:cs="宋体"/>
          <w:color w:val="auto"/>
          <w:highlight w:val="none"/>
        </w:rPr>
        <w:t>发包人应在整个施工期间为其现场机构雇用的全部人员，投保人身意外伤害险，缴纳保险费，并要求其监理人也进行此项保险。</w:t>
      </w:r>
    </w:p>
    <w:p w14:paraId="5EE96C9B">
      <w:pPr>
        <w:pStyle w:val="115"/>
        <w:spacing w:after="120" w:line="367"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20.3.2</w:t>
      </w:r>
      <w:r>
        <w:rPr>
          <w:rFonts w:hint="eastAsia" w:ascii="宋体" w:hAnsi="宋体" w:eastAsia="宋体" w:cs="宋体"/>
          <w:color w:val="auto"/>
          <w:highlight w:val="none"/>
        </w:rPr>
        <w:t>承包人应在整个施工期间为其现场机构雇用的全部人员，投保人身意外伤害险，缴纳保险费，并要求其分包人也进行此项保险。</w:t>
      </w:r>
    </w:p>
    <w:p w14:paraId="5EE96C9C">
      <w:pPr>
        <w:pStyle w:val="116"/>
        <w:spacing w:line="360" w:lineRule="exact"/>
        <w:rPr>
          <w:rFonts w:hint="eastAsia" w:ascii="宋体" w:hAnsi="宋体" w:eastAsia="宋体" w:cs="宋体"/>
          <w:color w:val="auto"/>
          <w:sz w:val="24"/>
          <w:szCs w:val="24"/>
          <w:highlight w:val="none"/>
          <w:lang w:eastAsia="zh-CN"/>
        </w:rPr>
      </w:pPr>
      <w:bookmarkStart w:id="1838" w:name="_Toc17372"/>
      <w:bookmarkStart w:id="1839" w:name="_Toc10600"/>
      <w:bookmarkStart w:id="1840" w:name="_Toc10666"/>
      <w:bookmarkStart w:id="1841" w:name="bookmark1467"/>
      <w:bookmarkStart w:id="1842" w:name="bookmark1466"/>
      <w:bookmarkStart w:id="1843" w:name="bookmark1468"/>
      <w:bookmarkStart w:id="1844" w:name="_Toc199152983"/>
      <w:bookmarkStart w:id="1845" w:name="_Toc32532"/>
      <w:bookmarkStart w:id="1846" w:name="_Toc29860"/>
      <w:bookmarkStart w:id="1847" w:name="_Toc10679"/>
      <w:bookmarkStart w:id="1848" w:name="_Toc25765"/>
      <w:r>
        <w:rPr>
          <w:rFonts w:hint="eastAsia" w:ascii="宋体" w:hAnsi="宋体" w:eastAsia="宋体" w:cs="宋体"/>
          <w:color w:val="auto"/>
          <w:sz w:val="24"/>
          <w:szCs w:val="24"/>
          <w:highlight w:val="none"/>
          <w:lang w:eastAsia="zh-CN"/>
        </w:rPr>
        <w:t>20.4第三者责任险</w:t>
      </w:r>
      <w:bookmarkEnd w:id="1838"/>
      <w:bookmarkEnd w:id="1839"/>
      <w:bookmarkEnd w:id="1840"/>
      <w:bookmarkEnd w:id="1841"/>
      <w:bookmarkEnd w:id="1842"/>
      <w:bookmarkEnd w:id="1843"/>
      <w:bookmarkEnd w:id="1844"/>
      <w:bookmarkEnd w:id="1845"/>
      <w:bookmarkEnd w:id="1846"/>
      <w:bookmarkEnd w:id="1847"/>
      <w:bookmarkEnd w:id="1848"/>
    </w:p>
    <w:p w14:paraId="5EE96C9D">
      <w:pPr>
        <w:pStyle w:val="115"/>
        <w:spacing w:line="359"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20.4.1</w:t>
      </w:r>
      <w:r>
        <w:rPr>
          <w:rFonts w:hint="eastAsia" w:ascii="宋体" w:hAnsi="宋体" w:eastAsia="宋体" w:cs="宋体"/>
          <w:color w:val="auto"/>
          <w:highlight w:val="none"/>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5EE96C9E">
      <w:pPr>
        <w:pStyle w:val="115"/>
        <w:spacing w:after="120" w:line="361"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20.4.2</w:t>
      </w:r>
      <w:r>
        <w:rPr>
          <w:rFonts w:hint="eastAsia" w:ascii="宋体" w:hAnsi="宋体" w:eastAsia="宋体" w:cs="宋体"/>
          <w:color w:val="auto"/>
          <w:highlight w:val="none"/>
        </w:rPr>
        <w:t>在缺陷责任期终止证书颁发前，承包人应以承包人和发包人的共同名义，投保第</w:t>
      </w:r>
      <w:r>
        <w:rPr>
          <w:rFonts w:hint="eastAsia" w:ascii="宋体" w:hAnsi="宋体" w:eastAsia="宋体" w:cs="宋体"/>
          <w:color w:val="auto"/>
          <w:highlight w:val="none"/>
          <w:lang w:val="en-US" w:bidi="en-US"/>
        </w:rPr>
        <w:t>20.4.1</w:t>
      </w:r>
      <w:r>
        <w:rPr>
          <w:rFonts w:hint="eastAsia" w:ascii="宋体" w:hAnsi="宋体" w:eastAsia="宋体" w:cs="宋体"/>
          <w:color w:val="auto"/>
          <w:highlight w:val="none"/>
        </w:rPr>
        <w:t>项约定的第三者责任险，其保险费率、保险金额等有关内容在专用合同条款中约定。</w:t>
      </w:r>
    </w:p>
    <w:p w14:paraId="5EE96C9F">
      <w:pPr>
        <w:pStyle w:val="116"/>
        <w:spacing w:line="360" w:lineRule="exact"/>
        <w:rPr>
          <w:rFonts w:hint="eastAsia" w:ascii="宋体" w:hAnsi="宋体" w:eastAsia="宋体" w:cs="宋体"/>
          <w:color w:val="auto"/>
          <w:sz w:val="24"/>
          <w:szCs w:val="24"/>
          <w:highlight w:val="none"/>
          <w:lang w:eastAsia="zh-CN"/>
        </w:rPr>
      </w:pPr>
      <w:bookmarkStart w:id="1849" w:name="bookmark1469"/>
      <w:bookmarkStart w:id="1850" w:name="_Toc18039"/>
      <w:bookmarkStart w:id="1851" w:name="_Toc15855"/>
      <w:bookmarkStart w:id="1852" w:name="_Toc3369"/>
      <w:bookmarkStart w:id="1853" w:name="_Toc14993"/>
      <w:bookmarkStart w:id="1854" w:name="bookmark1470"/>
      <w:bookmarkStart w:id="1855" w:name="_Toc199152984"/>
      <w:bookmarkStart w:id="1856" w:name="_Toc4891"/>
      <w:bookmarkStart w:id="1857" w:name="_Toc18873"/>
      <w:bookmarkStart w:id="1858" w:name="_Toc5441"/>
      <w:bookmarkStart w:id="1859" w:name="bookmark1471"/>
      <w:r>
        <w:rPr>
          <w:rFonts w:hint="eastAsia" w:ascii="宋体" w:hAnsi="宋体" w:eastAsia="宋体" w:cs="宋体"/>
          <w:color w:val="auto"/>
          <w:sz w:val="24"/>
          <w:szCs w:val="24"/>
          <w:highlight w:val="none"/>
          <w:lang w:eastAsia="zh-CN"/>
        </w:rPr>
        <w:t>20.5其他保险</w:t>
      </w:r>
      <w:bookmarkEnd w:id="1849"/>
      <w:bookmarkEnd w:id="1850"/>
      <w:bookmarkEnd w:id="1851"/>
      <w:bookmarkEnd w:id="1852"/>
      <w:bookmarkEnd w:id="1853"/>
      <w:bookmarkEnd w:id="1854"/>
      <w:bookmarkEnd w:id="1855"/>
      <w:bookmarkEnd w:id="1856"/>
      <w:bookmarkEnd w:id="1857"/>
      <w:bookmarkEnd w:id="1858"/>
      <w:bookmarkEnd w:id="1859"/>
    </w:p>
    <w:p w14:paraId="5EE96CA0">
      <w:pPr>
        <w:pStyle w:val="115"/>
        <w:spacing w:after="120" w:line="35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除专用合同条款另有约定外，承包人应为其施工设备、进场的材料和工程设备等办理保险。</w:t>
      </w:r>
    </w:p>
    <w:p w14:paraId="5EE96CA1">
      <w:pPr>
        <w:pStyle w:val="116"/>
        <w:spacing w:line="360" w:lineRule="exact"/>
        <w:rPr>
          <w:rFonts w:hint="eastAsia" w:ascii="宋体" w:hAnsi="宋体" w:eastAsia="宋体" w:cs="宋体"/>
          <w:color w:val="auto"/>
          <w:sz w:val="24"/>
          <w:szCs w:val="24"/>
          <w:highlight w:val="none"/>
          <w:lang w:eastAsia="zh-CN"/>
        </w:rPr>
      </w:pPr>
      <w:bookmarkStart w:id="1860" w:name="_Toc11136"/>
      <w:bookmarkStart w:id="1861" w:name="bookmark1472"/>
      <w:bookmarkStart w:id="1862" w:name="_Toc16342"/>
      <w:bookmarkStart w:id="1863" w:name="_Toc20306"/>
      <w:bookmarkStart w:id="1864" w:name="_Toc9403"/>
      <w:bookmarkStart w:id="1865" w:name="_Toc10335"/>
      <w:bookmarkStart w:id="1866" w:name="_Toc5898"/>
      <w:bookmarkStart w:id="1867" w:name="bookmark1473"/>
      <w:bookmarkStart w:id="1868" w:name="_Toc199152985"/>
      <w:bookmarkStart w:id="1869" w:name="_Toc26250"/>
      <w:bookmarkStart w:id="1870" w:name="bookmark1474"/>
      <w:r>
        <w:rPr>
          <w:rFonts w:hint="eastAsia" w:ascii="宋体" w:hAnsi="宋体" w:eastAsia="宋体" w:cs="宋体"/>
          <w:color w:val="auto"/>
          <w:sz w:val="24"/>
          <w:szCs w:val="24"/>
          <w:highlight w:val="none"/>
          <w:lang w:eastAsia="zh-CN"/>
        </w:rPr>
        <w:t>20.6对各项保险的一般要求</w:t>
      </w:r>
      <w:bookmarkEnd w:id="1860"/>
      <w:bookmarkEnd w:id="1861"/>
      <w:bookmarkEnd w:id="1862"/>
      <w:bookmarkEnd w:id="1863"/>
      <w:bookmarkEnd w:id="1864"/>
      <w:bookmarkEnd w:id="1865"/>
      <w:bookmarkEnd w:id="1866"/>
      <w:bookmarkEnd w:id="1867"/>
      <w:bookmarkEnd w:id="1868"/>
      <w:bookmarkEnd w:id="1869"/>
      <w:bookmarkEnd w:id="1870"/>
    </w:p>
    <w:p w14:paraId="5EE96CA2">
      <w:pPr>
        <w:pStyle w:val="117"/>
        <w:spacing w:after="0" w:line="360" w:lineRule="exact"/>
        <w:ind w:firstLine="442"/>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20.6.</w:t>
      </w:r>
      <w:r>
        <w:rPr>
          <w:rFonts w:hint="eastAsia" w:ascii="宋体" w:hAnsi="宋体" w:eastAsia="宋体" w:cs="宋体"/>
          <w:color w:val="auto"/>
          <w:highlight w:val="none"/>
          <w:lang w:val="zh-CN" w:eastAsia="zh-CN" w:bidi="zh-CN"/>
        </w:rPr>
        <w:t>1保险凭证</w:t>
      </w:r>
    </w:p>
    <w:p w14:paraId="5EE96CA3">
      <w:pPr>
        <w:pStyle w:val="115"/>
        <w:spacing w:line="360" w:lineRule="exact"/>
        <w:ind w:firstLine="442"/>
        <w:jc w:val="both"/>
        <w:rPr>
          <w:rFonts w:hint="eastAsia" w:ascii="宋体" w:hAnsi="宋体" w:eastAsia="宋体" w:cs="宋体"/>
          <w:color w:val="auto"/>
          <w:highlight w:val="none"/>
        </w:rPr>
      </w:pPr>
      <w:r>
        <w:rPr>
          <w:rFonts w:hint="eastAsia" w:ascii="宋体" w:hAnsi="宋体" w:eastAsia="宋体" w:cs="宋体"/>
          <w:color w:val="auto"/>
          <w:highlight w:val="none"/>
        </w:rPr>
        <w:t>承包人应在专用合同条款约定的期限内向发包人提交各项保险生效的证据和保险单副本，保险单必须与专用合同条款约定的条件保持一致。</w:t>
      </w:r>
    </w:p>
    <w:p w14:paraId="5EE96CA4">
      <w:pPr>
        <w:pStyle w:val="115"/>
        <w:spacing w:line="360" w:lineRule="exact"/>
        <w:ind w:firstLine="442"/>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20.6.2</w:t>
      </w:r>
      <w:r>
        <w:rPr>
          <w:rFonts w:hint="eastAsia" w:ascii="宋体" w:hAnsi="宋体" w:eastAsia="宋体" w:cs="宋体"/>
          <w:color w:val="auto"/>
          <w:highlight w:val="none"/>
        </w:rPr>
        <w:t>保险合同条款的变动</w:t>
      </w:r>
    </w:p>
    <w:p w14:paraId="5EE96CA5">
      <w:pPr>
        <w:pStyle w:val="115"/>
        <w:spacing w:after="120" w:line="360" w:lineRule="exact"/>
        <w:ind w:firstLine="442"/>
        <w:jc w:val="both"/>
        <w:rPr>
          <w:rFonts w:hint="eastAsia" w:ascii="宋体" w:hAnsi="宋体" w:eastAsia="宋体" w:cs="宋体"/>
          <w:color w:val="auto"/>
          <w:highlight w:val="none"/>
        </w:rPr>
      </w:pPr>
      <w:r>
        <w:rPr>
          <w:rFonts w:hint="eastAsia" w:ascii="宋体" w:hAnsi="宋体" w:eastAsia="宋体" w:cs="宋体"/>
          <w:color w:val="auto"/>
          <w:highlight w:val="none"/>
        </w:rPr>
        <w:t>承包人需要变动保险合同条款时，应事先征得发包人同意，并通知监理人。保险人作出变动的，承包人应在收到保险人通知后立即通知发包人和监理人。</w:t>
      </w:r>
    </w:p>
    <w:p w14:paraId="5EE96CA6">
      <w:pPr>
        <w:pStyle w:val="117"/>
        <w:spacing w:after="0" w:line="360" w:lineRule="exact"/>
        <w:ind w:firstLine="442"/>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20.6.</w:t>
      </w:r>
      <w:r>
        <w:rPr>
          <w:rFonts w:hint="eastAsia" w:ascii="宋体" w:hAnsi="宋体" w:eastAsia="宋体" w:cs="宋体"/>
          <w:color w:val="auto"/>
          <w:highlight w:val="none"/>
          <w:lang w:val="zh-CN" w:eastAsia="zh-CN" w:bidi="zh-CN"/>
        </w:rPr>
        <w:t>3持续保险</w:t>
      </w:r>
    </w:p>
    <w:p w14:paraId="5EE96CA7">
      <w:pPr>
        <w:pStyle w:val="115"/>
        <w:spacing w:line="360" w:lineRule="exact"/>
        <w:ind w:firstLine="442"/>
        <w:jc w:val="both"/>
        <w:rPr>
          <w:rFonts w:hint="eastAsia" w:ascii="宋体" w:hAnsi="宋体" w:eastAsia="宋体" w:cs="宋体"/>
          <w:color w:val="auto"/>
          <w:highlight w:val="none"/>
        </w:rPr>
      </w:pPr>
      <w:r>
        <w:rPr>
          <w:rFonts w:hint="eastAsia" w:ascii="宋体" w:hAnsi="宋体" w:eastAsia="宋体" w:cs="宋体"/>
          <w:color w:val="auto"/>
          <w:highlight w:val="none"/>
        </w:rPr>
        <w:t>承包人应与保险人保持联系，使保险人能够随时了解工程实施中的变动，并确保按保险合同条款要求持续保险。</w:t>
      </w:r>
    </w:p>
    <w:p w14:paraId="5EE96CA8">
      <w:pPr>
        <w:pStyle w:val="115"/>
        <w:spacing w:line="360" w:lineRule="exact"/>
        <w:ind w:firstLine="442"/>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20.6.4</w:t>
      </w:r>
      <w:r>
        <w:rPr>
          <w:rFonts w:hint="eastAsia" w:ascii="宋体" w:hAnsi="宋体" w:eastAsia="宋体" w:cs="宋体"/>
          <w:color w:val="auto"/>
          <w:highlight w:val="none"/>
        </w:rPr>
        <w:t>保险金不足的补偿</w:t>
      </w:r>
    </w:p>
    <w:p w14:paraId="5EE96CA9">
      <w:pPr>
        <w:pStyle w:val="115"/>
        <w:spacing w:after="120" w:line="360" w:lineRule="exact"/>
        <w:ind w:firstLine="442"/>
        <w:jc w:val="both"/>
        <w:rPr>
          <w:rFonts w:hint="eastAsia" w:ascii="宋体" w:hAnsi="宋体" w:eastAsia="宋体" w:cs="宋体"/>
          <w:color w:val="auto"/>
          <w:highlight w:val="none"/>
        </w:rPr>
      </w:pPr>
      <w:r>
        <w:rPr>
          <w:rFonts w:hint="eastAsia" w:ascii="宋体" w:hAnsi="宋体" w:eastAsia="宋体" w:cs="宋体"/>
          <w:color w:val="auto"/>
          <w:highlight w:val="none"/>
        </w:rPr>
        <w:t>保险金不足以补偿损失时，应由承包人和发包人各自负责补偿的范围和金额在专用合同条款中约定。</w:t>
      </w:r>
    </w:p>
    <w:p w14:paraId="5EE96CAA">
      <w:pPr>
        <w:pStyle w:val="115"/>
        <w:spacing w:line="360" w:lineRule="exact"/>
        <w:ind w:firstLine="442"/>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en-US" w:bidi="en-US"/>
        </w:rPr>
        <w:t>20.6.</w:t>
      </w:r>
      <w:r>
        <w:rPr>
          <w:rFonts w:hint="eastAsia" w:ascii="宋体" w:hAnsi="宋体" w:eastAsia="宋体" w:cs="宋体"/>
          <w:color w:val="auto"/>
          <w:highlight w:val="none"/>
        </w:rPr>
        <w:t>5未按约定投保的补救</w:t>
      </w:r>
    </w:p>
    <w:p w14:paraId="5EE96CAB">
      <w:pPr>
        <w:pStyle w:val="115"/>
        <w:numPr>
          <w:ilvl w:val="0"/>
          <w:numId w:val="25"/>
        </w:numPr>
        <w:tabs>
          <w:tab w:val="left" w:pos="903"/>
        </w:tabs>
        <w:spacing w:line="352" w:lineRule="exact"/>
        <w:ind w:firstLine="440"/>
        <w:jc w:val="both"/>
        <w:rPr>
          <w:rFonts w:hint="eastAsia" w:ascii="宋体" w:hAnsi="宋体" w:eastAsia="宋体" w:cs="宋体"/>
          <w:color w:val="auto"/>
          <w:highlight w:val="none"/>
        </w:rPr>
      </w:pPr>
      <w:bookmarkStart w:id="1871" w:name="bookmark1475"/>
      <w:bookmarkEnd w:id="1871"/>
      <w:r>
        <w:rPr>
          <w:rFonts w:hint="eastAsia" w:ascii="宋体" w:hAnsi="宋体" w:eastAsia="宋体" w:cs="宋体"/>
          <w:color w:val="auto"/>
          <w:highlight w:val="none"/>
        </w:rPr>
        <w:t>由于负有投保义务的一方当事人未按合同约定办理保险，或未能使保险持续有效的，另一方当事人可代为办理，所需费用由对方当事人承担。</w:t>
      </w:r>
    </w:p>
    <w:p w14:paraId="5EE96CAC">
      <w:pPr>
        <w:pStyle w:val="115"/>
        <w:numPr>
          <w:ilvl w:val="0"/>
          <w:numId w:val="25"/>
        </w:numPr>
        <w:tabs>
          <w:tab w:val="left" w:pos="915"/>
        </w:tabs>
        <w:spacing w:line="352" w:lineRule="exact"/>
        <w:ind w:firstLine="440"/>
        <w:jc w:val="both"/>
        <w:rPr>
          <w:rFonts w:hint="eastAsia" w:ascii="宋体" w:hAnsi="宋体" w:eastAsia="宋体" w:cs="宋体"/>
          <w:color w:val="auto"/>
          <w:highlight w:val="none"/>
        </w:rPr>
      </w:pPr>
      <w:bookmarkStart w:id="1872" w:name="bookmark1476"/>
      <w:bookmarkEnd w:id="1872"/>
      <w:r>
        <w:rPr>
          <w:rFonts w:hint="eastAsia" w:ascii="宋体" w:hAnsi="宋体" w:eastAsia="宋体" w:cs="宋体"/>
          <w:color w:val="auto"/>
          <w:highlight w:val="none"/>
        </w:rPr>
        <w:t>由于负有投保义务的一方当事人未按合同约定办理某项保险，导致受益人未能得到保险人的赔偿，原应从该项保险得到的保险金应由负有投保义务的一方当事人支付。</w:t>
      </w:r>
    </w:p>
    <w:p w14:paraId="5EE96CAD">
      <w:pPr>
        <w:pStyle w:val="117"/>
        <w:spacing w:after="0" w:line="353" w:lineRule="exact"/>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20.6.6</w:t>
      </w:r>
      <w:r>
        <w:rPr>
          <w:rFonts w:hint="eastAsia" w:ascii="宋体" w:hAnsi="宋体" w:eastAsia="宋体" w:cs="宋体"/>
          <w:color w:val="auto"/>
          <w:highlight w:val="none"/>
          <w:lang w:val="zh-CN" w:eastAsia="zh-CN" w:bidi="zh-CN"/>
        </w:rPr>
        <w:t>报告义务</w:t>
      </w:r>
    </w:p>
    <w:p w14:paraId="5EE96CAE">
      <w:pPr>
        <w:pStyle w:val="115"/>
        <w:spacing w:after="120" w:line="353"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当保险事故发生时，投保人应按照保险单规定的条件和期限及时向保险人报告。</w:t>
      </w:r>
    </w:p>
    <w:p w14:paraId="5EE96CAF">
      <w:pPr>
        <w:pStyle w:val="116"/>
        <w:spacing w:line="360" w:lineRule="exact"/>
        <w:rPr>
          <w:rFonts w:hint="eastAsia" w:ascii="宋体" w:hAnsi="宋体" w:eastAsia="宋体" w:cs="宋体"/>
          <w:color w:val="auto"/>
          <w:sz w:val="24"/>
          <w:szCs w:val="24"/>
          <w:highlight w:val="none"/>
          <w:lang w:eastAsia="zh-CN"/>
        </w:rPr>
      </w:pPr>
      <w:bookmarkStart w:id="1873" w:name="_Toc28630"/>
      <w:bookmarkStart w:id="1874" w:name="_Toc199152986"/>
      <w:bookmarkStart w:id="1875" w:name="_Toc1665"/>
      <w:bookmarkStart w:id="1876" w:name="bookmark1478"/>
      <w:bookmarkStart w:id="1877" w:name="bookmark1479"/>
      <w:bookmarkStart w:id="1878" w:name="_Toc24008"/>
      <w:bookmarkStart w:id="1879" w:name="_Toc19375"/>
      <w:bookmarkStart w:id="1880" w:name="bookmark1477"/>
      <w:bookmarkStart w:id="1881" w:name="_Toc4914"/>
      <w:bookmarkStart w:id="1882" w:name="_Toc1749"/>
      <w:bookmarkStart w:id="1883" w:name="_Toc12103"/>
      <w:r>
        <w:rPr>
          <w:rFonts w:hint="eastAsia" w:ascii="宋体" w:hAnsi="宋体" w:eastAsia="宋体" w:cs="宋体"/>
          <w:color w:val="auto"/>
          <w:sz w:val="24"/>
          <w:szCs w:val="24"/>
          <w:highlight w:val="none"/>
          <w:lang w:eastAsia="zh-CN"/>
        </w:rPr>
        <w:t>20.7风险责任的转移</w:t>
      </w:r>
      <w:bookmarkEnd w:id="1873"/>
      <w:bookmarkEnd w:id="1874"/>
      <w:bookmarkEnd w:id="1875"/>
      <w:bookmarkEnd w:id="1876"/>
      <w:bookmarkEnd w:id="1877"/>
      <w:bookmarkEnd w:id="1878"/>
      <w:bookmarkEnd w:id="1879"/>
      <w:bookmarkEnd w:id="1880"/>
      <w:bookmarkEnd w:id="1881"/>
      <w:bookmarkEnd w:id="1882"/>
      <w:bookmarkEnd w:id="1883"/>
    </w:p>
    <w:p w14:paraId="5EE96CB0">
      <w:pPr>
        <w:pStyle w:val="115"/>
        <w:spacing w:after="260" w:line="353"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工程通过合同工程完工验收并移交给发包人后，原由承包人应承担的风险责任，以及保险的责任、权利和义务同时转移给发包人，但承包人在缺陷责任期(工程质量保修期)前造成损失和损坏情形除外</w:t>
      </w:r>
      <w:r>
        <w:rPr>
          <w:rFonts w:hint="eastAsia" w:ascii="宋体" w:hAnsi="宋体" w:eastAsia="宋体" w:cs="宋体"/>
          <w:color w:val="auto"/>
          <w:highlight w:val="none"/>
          <w:lang w:val="en-US" w:bidi="en-US"/>
        </w:rPr>
        <w:t>。</w:t>
      </w:r>
    </w:p>
    <w:p w14:paraId="5EE96CB1">
      <w:pPr>
        <w:pStyle w:val="116"/>
        <w:spacing w:line="360" w:lineRule="exact"/>
        <w:rPr>
          <w:rFonts w:hint="eastAsia" w:ascii="宋体" w:hAnsi="宋体" w:eastAsia="宋体" w:cs="宋体"/>
          <w:color w:val="auto"/>
          <w:highlight w:val="none"/>
          <w:lang w:eastAsia="zh-CN"/>
        </w:rPr>
      </w:pPr>
      <w:bookmarkStart w:id="1884" w:name="_Toc24408"/>
      <w:bookmarkStart w:id="1885" w:name="_Toc814"/>
      <w:bookmarkStart w:id="1886" w:name="bookmark1482"/>
      <w:bookmarkStart w:id="1887" w:name="_Toc3304"/>
      <w:bookmarkStart w:id="1888" w:name="_Toc5879"/>
      <w:bookmarkStart w:id="1889" w:name="_Toc11352"/>
      <w:bookmarkStart w:id="1890" w:name="bookmark1481"/>
      <w:bookmarkStart w:id="1891" w:name="_Toc16295"/>
      <w:bookmarkStart w:id="1892" w:name="bookmark1480"/>
      <w:bookmarkStart w:id="1893" w:name="_Toc14311"/>
      <w:bookmarkStart w:id="1894" w:name="_Toc199152987"/>
      <w:r>
        <w:rPr>
          <w:rFonts w:hint="eastAsia" w:ascii="宋体" w:hAnsi="宋体" w:eastAsia="宋体" w:cs="宋体"/>
          <w:color w:val="auto"/>
          <w:highlight w:val="none"/>
          <w:lang w:eastAsia="zh-CN"/>
        </w:rPr>
        <w:t>21.不可抗力</w:t>
      </w:r>
      <w:bookmarkEnd w:id="1884"/>
      <w:bookmarkEnd w:id="1885"/>
      <w:bookmarkEnd w:id="1886"/>
      <w:bookmarkEnd w:id="1887"/>
      <w:bookmarkEnd w:id="1888"/>
      <w:bookmarkEnd w:id="1889"/>
      <w:bookmarkEnd w:id="1890"/>
      <w:bookmarkEnd w:id="1891"/>
      <w:bookmarkEnd w:id="1892"/>
      <w:bookmarkEnd w:id="1893"/>
      <w:bookmarkEnd w:id="1894"/>
    </w:p>
    <w:p w14:paraId="5EE96CB2">
      <w:pPr>
        <w:pStyle w:val="116"/>
        <w:spacing w:line="360" w:lineRule="exact"/>
        <w:rPr>
          <w:rFonts w:hint="eastAsia" w:ascii="宋体" w:hAnsi="宋体" w:eastAsia="宋体" w:cs="宋体"/>
          <w:color w:val="auto"/>
          <w:sz w:val="24"/>
          <w:szCs w:val="24"/>
          <w:highlight w:val="none"/>
          <w:lang w:eastAsia="zh-CN"/>
        </w:rPr>
      </w:pPr>
      <w:bookmarkStart w:id="1895" w:name="bookmark1484"/>
      <w:bookmarkStart w:id="1896" w:name="bookmark1485"/>
      <w:bookmarkStart w:id="1897" w:name="bookmark1483"/>
      <w:bookmarkStart w:id="1898" w:name="_Toc18271"/>
      <w:bookmarkStart w:id="1899" w:name="_Toc24966"/>
      <w:bookmarkStart w:id="1900" w:name="_Toc21767"/>
      <w:bookmarkStart w:id="1901" w:name="_Toc19610"/>
      <w:bookmarkStart w:id="1902" w:name="_Toc27643"/>
      <w:bookmarkStart w:id="1903" w:name="_Toc199152988"/>
      <w:bookmarkStart w:id="1904" w:name="_Toc15722"/>
      <w:bookmarkStart w:id="1905" w:name="_Toc26366"/>
      <w:r>
        <w:rPr>
          <w:rFonts w:hint="eastAsia" w:ascii="宋体" w:hAnsi="宋体" w:eastAsia="宋体" w:cs="宋体"/>
          <w:color w:val="auto"/>
          <w:sz w:val="24"/>
          <w:szCs w:val="24"/>
          <w:highlight w:val="none"/>
          <w:lang w:eastAsia="zh-CN"/>
        </w:rPr>
        <w:t>21.1不可抗力的确认</w:t>
      </w:r>
      <w:bookmarkEnd w:id="1895"/>
      <w:bookmarkEnd w:id="1896"/>
      <w:bookmarkEnd w:id="1897"/>
      <w:bookmarkEnd w:id="1898"/>
      <w:bookmarkEnd w:id="1899"/>
      <w:bookmarkEnd w:id="1900"/>
      <w:bookmarkEnd w:id="1901"/>
      <w:bookmarkEnd w:id="1902"/>
      <w:bookmarkEnd w:id="1903"/>
      <w:bookmarkEnd w:id="1904"/>
      <w:bookmarkEnd w:id="1905"/>
    </w:p>
    <w:p w14:paraId="5EE96CB3">
      <w:pPr>
        <w:pStyle w:val="115"/>
        <w:spacing w:line="353"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21.1.1</w:t>
      </w:r>
      <w:r>
        <w:rPr>
          <w:rFonts w:hint="eastAsia" w:ascii="宋体" w:hAnsi="宋体" w:eastAsia="宋体" w:cs="宋体"/>
          <w:color w:val="auto"/>
          <w:highlight w:val="none"/>
        </w:rPr>
        <w:t>不可抗力是指承包人和发包人在订立合同时不可预见，在工程施工过程中不可避免发生并不能克服的自然灾害和社会性突发事件，如地震、海啸、瘟疫、水灾、骚乱、暴动、战争和专用合同条款约定的其他情形。</w:t>
      </w:r>
    </w:p>
    <w:p w14:paraId="5EE96CB4">
      <w:pPr>
        <w:pStyle w:val="115"/>
        <w:spacing w:after="120" w:line="353"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21.1.2</w:t>
      </w:r>
      <w:r>
        <w:rPr>
          <w:rFonts w:hint="eastAsia" w:ascii="宋体" w:hAnsi="宋体" w:eastAsia="宋体" w:cs="宋体"/>
          <w:color w:val="auto"/>
          <w:highlight w:val="none"/>
        </w:rPr>
        <w:t>不可抗力发生后，发包人和承包人应及时认真统计所造成的损失，收集不可抗力造成损失的证据。合同双方对是否属于不可抗力或其损失的意见不一致的，由监理人按第</w:t>
      </w:r>
      <w:r>
        <w:rPr>
          <w:rFonts w:hint="eastAsia" w:ascii="宋体" w:hAnsi="宋体" w:eastAsia="宋体" w:cs="宋体"/>
          <w:color w:val="auto"/>
          <w:highlight w:val="none"/>
          <w:lang w:val="en-US" w:bidi="en-US"/>
        </w:rPr>
        <w:t>3.</w:t>
      </w:r>
      <w:r>
        <w:rPr>
          <w:rFonts w:hint="eastAsia" w:ascii="宋体" w:hAnsi="宋体" w:eastAsia="宋体" w:cs="宋体"/>
          <w:color w:val="auto"/>
          <w:highlight w:val="none"/>
        </w:rPr>
        <w:t>5款商定或确定。发生争议时，按第24条的约定办理。</w:t>
      </w:r>
    </w:p>
    <w:p w14:paraId="5EE96CB5">
      <w:pPr>
        <w:pStyle w:val="116"/>
        <w:spacing w:line="360" w:lineRule="exact"/>
        <w:rPr>
          <w:rFonts w:hint="eastAsia" w:ascii="宋体" w:hAnsi="宋体" w:eastAsia="宋体" w:cs="宋体"/>
          <w:color w:val="auto"/>
          <w:sz w:val="24"/>
          <w:szCs w:val="24"/>
          <w:highlight w:val="none"/>
          <w:lang w:eastAsia="zh-CN"/>
        </w:rPr>
      </w:pPr>
      <w:bookmarkStart w:id="1906" w:name="_Toc5372"/>
      <w:bookmarkStart w:id="1907" w:name="bookmark1486"/>
      <w:bookmarkStart w:id="1908" w:name="_Toc30718"/>
      <w:bookmarkStart w:id="1909" w:name="bookmark1487"/>
      <w:bookmarkStart w:id="1910" w:name="_Toc32139"/>
      <w:bookmarkStart w:id="1911" w:name="_Toc1962"/>
      <w:bookmarkStart w:id="1912" w:name="_Toc6955"/>
      <w:bookmarkStart w:id="1913" w:name="_Toc2385"/>
      <w:bookmarkStart w:id="1914" w:name="_Toc12048"/>
      <w:bookmarkStart w:id="1915" w:name="_Toc199152989"/>
      <w:bookmarkStart w:id="1916" w:name="bookmark1488"/>
      <w:r>
        <w:rPr>
          <w:rFonts w:hint="eastAsia" w:ascii="宋体" w:hAnsi="宋体" w:eastAsia="宋体" w:cs="宋体"/>
          <w:color w:val="auto"/>
          <w:sz w:val="24"/>
          <w:szCs w:val="24"/>
          <w:highlight w:val="none"/>
          <w:lang w:eastAsia="zh-CN"/>
        </w:rPr>
        <w:t>21.2不可抗力的通知</w:t>
      </w:r>
      <w:bookmarkEnd w:id="1906"/>
      <w:bookmarkEnd w:id="1907"/>
      <w:bookmarkEnd w:id="1908"/>
      <w:bookmarkEnd w:id="1909"/>
      <w:bookmarkEnd w:id="1910"/>
      <w:bookmarkEnd w:id="1911"/>
      <w:bookmarkEnd w:id="1912"/>
      <w:bookmarkEnd w:id="1913"/>
      <w:bookmarkEnd w:id="1914"/>
      <w:bookmarkEnd w:id="1915"/>
      <w:bookmarkEnd w:id="1916"/>
    </w:p>
    <w:p w14:paraId="5EE96CB6">
      <w:pPr>
        <w:pStyle w:val="115"/>
        <w:spacing w:line="359"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21.2.1</w:t>
      </w:r>
      <w:r>
        <w:rPr>
          <w:rFonts w:hint="eastAsia" w:ascii="宋体" w:hAnsi="宋体" w:eastAsia="宋体" w:cs="宋体"/>
          <w:color w:val="auto"/>
          <w:highlight w:val="none"/>
        </w:rPr>
        <w:t>合同一方当事人遇到不可抗力事件，使其履行合同义务受到阻碍时，应立即通知合同另一方当事人和监理人，书面说明不可抗力和受阻碍的详细情况，并提供必要的证明。</w:t>
      </w:r>
    </w:p>
    <w:p w14:paraId="5EE96CB7">
      <w:pPr>
        <w:pStyle w:val="115"/>
        <w:spacing w:after="240" w:line="361"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21.2.2</w:t>
      </w:r>
      <w:r>
        <w:rPr>
          <w:rFonts w:hint="eastAsia" w:ascii="宋体" w:hAnsi="宋体" w:eastAsia="宋体" w:cs="宋体"/>
          <w:color w:val="auto"/>
          <w:highlight w:val="none"/>
        </w:rPr>
        <w:t>如不可抗力持续发生，合同一方当事人应及时向合同另一方当事人和监理人提交中间报告，说明不可抗力和履行合同受阻的情况，并于不可抗力事件结束后28天内提交最终报告及有关资料。</w:t>
      </w:r>
    </w:p>
    <w:p w14:paraId="5EE96CB8">
      <w:pPr>
        <w:pStyle w:val="116"/>
        <w:spacing w:line="360" w:lineRule="exact"/>
        <w:rPr>
          <w:rFonts w:hint="eastAsia" w:ascii="宋体" w:hAnsi="宋体" w:eastAsia="宋体" w:cs="宋体"/>
          <w:color w:val="auto"/>
          <w:sz w:val="24"/>
          <w:szCs w:val="24"/>
          <w:highlight w:val="none"/>
          <w:lang w:eastAsia="zh-CN"/>
        </w:rPr>
      </w:pPr>
      <w:bookmarkStart w:id="1917" w:name="_Toc14472"/>
      <w:bookmarkStart w:id="1918" w:name="_Toc17208"/>
      <w:bookmarkStart w:id="1919" w:name="bookmark1490"/>
      <w:bookmarkStart w:id="1920" w:name="_Toc29415"/>
      <w:bookmarkStart w:id="1921" w:name="bookmark1491"/>
      <w:bookmarkStart w:id="1922" w:name="_Toc32024"/>
      <w:bookmarkStart w:id="1923" w:name="_Toc27263"/>
      <w:bookmarkStart w:id="1924" w:name="_Toc27556"/>
      <w:bookmarkStart w:id="1925" w:name="_Toc199152990"/>
      <w:bookmarkStart w:id="1926" w:name="_Toc12586"/>
      <w:bookmarkStart w:id="1927" w:name="bookmark1489"/>
      <w:r>
        <w:rPr>
          <w:rFonts w:hint="eastAsia" w:ascii="宋体" w:hAnsi="宋体" w:eastAsia="宋体" w:cs="宋体"/>
          <w:color w:val="auto"/>
          <w:sz w:val="24"/>
          <w:szCs w:val="24"/>
          <w:highlight w:val="none"/>
          <w:lang w:eastAsia="zh-CN"/>
        </w:rPr>
        <w:t>21.3不可抗力后果及其处理</w:t>
      </w:r>
      <w:bookmarkEnd w:id="1917"/>
      <w:bookmarkEnd w:id="1918"/>
      <w:bookmarkEnd w:id="1919"/>
      <w:bookmarkEnd w:id="1920"/>
      <w:bookmarkEnd w:id="1921"/>
      <w:bookmarkEnd w:id="1922"/>
      <w:bookmarkEnd w:id="1923"/>
      <w:bookmarkEnd w:id="1924"/>
      <w:bookmarkEnd w:id="1925"/>
      <w:bookmarkEnd w:id="1926"/>
      <w:bookmarkEnd w:id="1927"/>
    </w:p>
    <w:p w14:paraId="5EE96CB9">
      <w:pPr>
        <w:pStyle w:val="115"/>
        <w:spacing w:line="36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21.3.1</w:t>
      </w:r>
      <w:r>
        <w:rPr>
          <w:rFonts w:hint="eastAsia" w:ascii="宋体" w:hAnsi="宋体" w:eastAsia="宋体" w:cs="宋体"/>
          <w:color w:val="auto"/>
          <w:highlight w:val="none"/>
        </w:rPr>
        <w:t>不可抗力造成损害的责任</w:t>
      </w:r>
    </w:p>
    <w:p w14:paraId="5EE96CBA">
      <w:pPr>
        <w:pStyle w:val="115"/>
        <w:spacing w:line="349"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除专用合同条款另有约定外，不可抗力导致的人员伤亡、财产损失、费用增加和(或)工期延误等后果，由合同双方按以下原则承担：</w:t>
      </w:r>
    </w:p>
    <w:p w14:paraId="5EE96CBB">
      <w:pPr>
        <w:pStyle w:val="115"/>
        <w:numPr>
          <w:ilvl w:val="0"/>
          <w:numId w:val="26"/>
        </w:numPr>
        <w:tabs>
          <w:tab w:val="left" w:pos="903"/>
        </w:tabs>
        <w:spacing w:line="349" w:lineRule="exact"/>
        <w:ind w:firstLine="440"/>
        <w:jc w:val="both"/>
        <w:rPr>
          <w:rFonts w:hint="eastAsia" w:ascii="宋体" w:hAnsi="宋体" w:eastAsia="宋体" w:cs="宋体"/>
          <w:color w:val="auto"/>
          <w:highlight w:val="none"/>
        </w:rPr>
      </w:pPr>
      <w:bookmarkStart w:id="1928" w:name="bookmark1492"/>
      <w:bookmarkEnd w:id="1928"/>
      <w:r>
        <w:rPr>
          <w:rFonts w:hint="eastAsia" w:ascii="宋体" w:hAnsi="宋体" w:eastAsia="宋体" w:cs="宋体"/>
          <w:color w:val="auto"/>
          <w:highlight w:val="none"/>
        </w:rPr>
        <w:t>永久工程，包括已运至施工场地的材料和工程设备的损害，以及因工程损害造成的第三者人员伤亡和财产损失由发包人承担；</w:t>
      </w:r>
    </w:p>
    <w:p w14:paraId="5EE96CBC">
      <w:pPr>
        <w:pStyle w:val="115"/>
        <w:numPr>
          <w:ilvl w:val="0"/>
          <w:numId w:val="26"/>
        </w:numPr>
        <w:tabs>
          <w:tab w:val="left" w:pos="923"/>
        </w:tabs>
        <w:spacing w:line="349" w:lineRule="exact"/>
        <w:ind w:firstLine="440"/>
        <w:jc w:val="both"/>
        <w:rPr>
          <w:rFonts w:hint="eastAsia" w:ascii="宋体" w:hAnsi="宋体" w:eastAsia="宋体" w:cs="宋体"/>
          <w:color w:val="auto"/>
          <w:highlight w:val="none"/>
        </w:rPr>
      </w:pPr>
      <w:bookmarkStart w:id="1929" w:name="bookmark1493"/>
      <w:bookmarkEnd w:id="1929"/>
      <w:r>
        <w:rPr>
          <w:rFonts w:hint="eastAsia" w:ascii="宋体" w:hAnsi="宋体" w:eastAsia="宋体" w:cs="宋体"/>
          <w:color w:val="auto"/>
          <w:highlight w:val="none"/>
        </w:rPr>
        <w:t>承包人设备的损坏由承包人承担；</w:t>
      </w:r>
    </w:p>
    <w:p w14:paraId="5EE96CBD">
      <w:pPr>
        <w:pStyle w:val="115"/>
        <w:numPr>
          <w:ilvl w:val="0"/>
          <w:numId w:val="26"/>
        </w:numPr>
        <w:tabs>
          <w:tab w:val="left" w:pos="923"/>
        </w:tabs>
        <w:spacing w:line="362" w:lineRule="exact"/>
        <w:ind w:firstLine="440"/>
        <w:jc w:val="both"/>
        <w:rPr>
          <w:rFonts w:hint="eastAsia" w:ascii="宋体" w:hAnsi="宋体" w:eastAsia="宋体" w:cs="宋体"/>
          <w:color w:val="auto"/>
          <w:highlight w:val="none"/>
        </w:rPr>
      </w:pPr>
      <w:bookmarkStart w:id="1930" w:name="bookmark1494"/>
      <w:bookmarkEnd w:id="1930"/>
      <w:r>
        <w:rPr>
          <w:rFonts w:hint="eastAsia" w:ascii="宋体" w:hAnsi="宋体" w:eastAsia="宋体" w:cs="宋体"/>
          <w:color w:val="auto"/>
          <w:highlight w:val="none"/>
        </w:rPr>
        <w:t>发包人和承包人各自承担其人员伤亡和其他财产损失及其相关费用；</w:t>
      </w:r>
    </w:p>
    <w:p w14:paraId="5EE96CBE">
      <w:pPr>
        <w:pStyle w:val="115"/>
        <w:numPr>
          <w:ilvl w:val="0"/>
          <w:numId w:val="26"/>
        </w:numPr>
        <w:tabs>
          <w:tab w:val="left" w:pos="915"/>
        </w:tabs>
        <w:spacing w:line="362" w:lineRule="exact"/>
        <w:ind w:firstLine="440"/>
        <w:jc w:val="both"/>
        <w:rPr>
          <w:rFonts w:hint="eastAsia" w:ascii="宋体" w:hAnsi="宋体" w:eastAsia="宋体" w:cs="宋体"/>
          <w:color w:val="auto"/>
          <w:highlight w:val="none"/>
        </w:rPr>
      </w:pPr>
      <w:bookmarkStart w:id="1931" w:name="bookmark1495"/>
      <w:bookmarkEnd w:id="1931"/>
      <w:r>
        <w:rPr>
          <w:rFonts w:hint="eastAsia" w:ascii="宋体" w:hAnsi="宋体" w:eastAsia="宋体" w:cs="宋体"/>
          <w:color w:val="auto"/>
          <w:highlight w:val="none"/>
        </w:rPr>
        <w:t>承包人的停工损失由承包人承担，但停工期间应监理人要求照管工程和清理、修复工程的金额由发包人承担；</w:t>
      </w:r>
    </w:p>
    <w:p w14:paraId="5EE96CBF">
      <w:pPr>
        <w:pStyle w:val="115"/>
        <w:numPr>
          <w:ilvl w:val="0"/>
          <w:numId w:val="26"/>
        </w:numPr>
        <w:tabs>
          <w:tab w:val="left" w:pos="920"/>
        </w:tabs>
        <w:spacing w:line="362" w:lineRule="exact"/>
        <w:ind w:firstLine="440"/>
        <w:jc w:val="both"/>
        <w:rPr>
          <w:rFonts w:hint="eastAsia" w:ascii="宋体" w:hAnsi="宋体" w:eastAsia="宋体" w:cs="宋体"/>
          <w:color w:val="auto"/>
          <w:highlight w:val="none"/>
        </w:rPr>
      </w:pPr>
      <w:bookmarkStart w:id="1932" w:name="bookmark1496"/>
      <w:bookmarkEnd w:id="1932"/>
      <w:r>
        <w:rPr>
          <w:rFonts w:hint="eastAsia" w:ascii="宋体" w:hAnsi="宋体" w:eastAsia="宋体" w:cs="宋体"/>
          <w:color w:val="auto"/>
          <w:highlight w:val="none"/>
        </w:rPr>
        <w:t>不能按期竣工的，应合理延长工期，承包人不需支付逾期竣工违约金。发包人要求赶工的，承包人应采取赶工措施，赶工费用由发包人承担。</w:t>
      </w:r>
    </w:p>
    <w:p w14:paraId="5EE96CC0">
      <w:pPr>
        <w:pStyle w:val="115"/>
        <w:spacing w:line="36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21.3.2</w:t>
      </w:r>
      <w:r>
        <w:rPr>
          <w:rFonts w:hint="eastAsia" w:ascii="宋体" w:hAnsi="宋体" w:eastAsia="宋体" w:cs="宋体"/>
          <w:color w:val="auto"/>
          <w:highlight w:val="none"/>
        </w:rPr>
        <w:t>延迟履行期间发生的不可抗力</w:t>
      </w:r>
    </w:p>
    <w:p w14:paraId="5EE96CC1">
      <w:pPr>
        <w:pStyle w:val="115"/>
        <w:spacing w:line="36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合同一方当事人延迟履行，在延迟履行期间发生不可抗力的，不免除其责任。</w:t>
      </w:r>
    </w:p>
    <w:p w14:paraId="5EE96CC2">
      <w:pPr>
        <w:pStyle w:val="115"/>
        <w:spacing w:line="36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rPr>
        <w:t>21.3.3</w:t>
      </w:r>
      <w:r>
        <w:rPr>
          <w:rFonts w:hint="eastAsia" w:ascii="宋体" w:hAnsi="宋体" w:eastAsia="宋体" w:cs="宋体"/>
          <w:color w:val="auto"/>
          <w:highlight w:val="none"/>
        </w:rPr>
        <w:t>避免和减少不可抗力损失</w:t>
      </w:r>
    </w:p>
    <w:p w14:paraId="5EE96CC3">
      <w:pPr>
        <w:pStyle w:val="115"/>
        <w:spacing w:line="358"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不可抗力发生后，发包人和承包人均应采取措施尽量避免和减少损失的扩大，任何一方没有采取有效措施导致损失扩大的，应对扩大的损失承担责任。</w:t>
      </w:r>
    </w:p>
    <w:p w14:paraId="5EE96CC4">
      <w:pPr>
        <w:pStyle w:val="115"/>
        <w:spacing w:line="362" w:lineRule="exact"/>
        <w:ind w:firstLine="440"/>
        <w:jc w:val="both"/>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21.3.4因不可抗力解除合同</w:t>
      </w:r>
    </w:p>
    <w:p w14:paraId="5EE96CC5">
      <w:pPr>
        <w:pStyle w:val="115"/>
        <w:spacing w:after="280" w:line="349"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合同一方当事人因不可抗力不能履行合同的，应当及时通知对方解除合同。合同解除后，承包人应按照第</w:t>
      </w:r>
      <w:r>
        <w:rPr>
          <w:rFonts w:hint="eastAsia" w:ascii="宋体" w:hAnsi="宋体" w:eastAsia="宋体" w:cs="宋体"/>
          <w:color w:val="auto"/>
          <w:highlight w:val="none"/>
          <w:lang w:val="en-US" w:bidi="en-US"/>
        </w:rPr>
        <w:t>22.2.5</w:t>
      </w:r>
      <w:r>
        <w:rPr>
          <w:rFonts w:hint="eastAsia" w:ascii="宋体" w:hAnsi="宋体" w:eastAsia="宋体" w:cs="宋体"/>
          <w:color w:val="auto"/>
          <w:highlight w:val="none"/>
        </w:rPr>
        <w:t>项约定撤离施工场地。已经订货的材料、设备由订货方负责退货或解除订货合同，不能退还的货款和因退货、解除订货合同发生的费用，由发包人承担</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因未及时退货造成的损失由责任方承担。合同解除后的付款，参照第</w:t>
      </w:r>
      <w:r>
        <w:rPr>
          <w:rFonts w:hint="eastAsia" w:ascii="宋体" w:hAnsi="宋体" w:eastAsia="宋体" w:cs="宋体"/>
          <w:color w:val="auto"/>
          <w:highlight w:val="none"/>
          <w:lang w:val="en-US" w:bidi="en-US"/>
        </w:rPr>
        <w:t>22.2.4</w:t>
      </w:r>
      <w:r>
        <w:rPr>
          <w:rFonts w:hint="eastAsia" w:ascii="宋体" w:hAnsi="宋体" w:eastAsia="宋体" w:cs="宋体"/>
          <w:color w:val="auto"/>
          <w:highlight w:val="none"/>
        </w:rPr>
        <w:t>项约定，由监理人按第</w:t>
      </w:r>
      <w:r>
        <w:rPr>
          <w:rFonts w:hint="eastAsia" w:ascii="宋体" w:hAnsi="宋体" w:eastAsia="宋体" w:cs="宋体"/>
          <w:color w:val="auto"/>
          <w:highlight w:val="none"/>
          <w:lang w:val="en-US" w:bidi="en-US"/>
        </w:rPr>
        <w:t>3.</w:t>
      </w:r>
      <w:r>
        <w:rPr>
          <w:rFonts w:hint="eastAsia" w:ascii="宋体" w:hAnsi="宋体" w:eastAsia="宋体" w:cs="宋体"/>
          <w:color w:val="auto"/>
          <w:highlight w:val="none"/>
        </w:rPr>
        <w:t>5款商定或确定。</w:t>
      </w:r>
    </w:p>
    <w:p w14:paraId="5EE96CC6">
      <w:pPr>
        <w:pStyle w:val="116"/>
        <w:spacing w:line="360" w:lineRule="exact"/>
        <w:rPr>
          <w:rFonts w:hint="eastAsia" w:ascii="宋体" w:hAnsi="宋体" w:eastAsia="宋体" w:cs="宋体"/>
          <w:color w:val="auto"/>
          <w:highlight w:val="none"/>
          <w:lang w:eastAsia="zh-CN"/>
        </w:rPr>
      </w:pPr>
      <w:bookmarkStart w:id="1933" w:name="_Toc15837"/>
      <w:bookmarkStart w:id="1934" w:name="_Toc211"/>
      <w:bookmarkStart w:id="1935" w:name="_Toc6299"/>
      <w:bookmarkStart w:id="1936" w:name="_Toc199152991"/>
      <w:bookmarkStart w:id="1937" w:name="_Toc1058"/>
      <w:bookmarkStart w:id="1938" w:name="_Toc15719"/>
      <w:bookmarkStart w:id="1939" w:name="bookmark1499"/>
      <w:bookmarkStart w:id="1940" w:name="_Toc28468"/>
      <w:bookmarkStart w:id="1941" w:name="_Toc11918"/>
      <w:bookmarkStart w:id="1942" w:name="bookmark1498"/>
      <w:bookmarkStart w:id="1943" w:name="bookmark1497"/>
      <w:r>
        <w:rPr>
          <w:rFonts w:hint="eastAsia" w:ascii="宋体" w:hAnsi="宋体" w:eastAsia="宋体" w:cs="宋体"/>
          <w:color w:val="auto"/>
          <w:highlight w:val="none"/>
          <w:lang w:eastAsia="zh-CN"/>
        </w:rPr>
        <w:t>22.违约</w:t>
      </w:r>
      <w:bookmarkEnd w:id="1933"/>
      <w:bookmarkEnd w:id="1934"/>
      <w:bookmarkEnd w:id="1935"/>
      <w:bookmarkEnd w:id="1936"/>
      <w:bookmarkEnd w:id="1937"/>
      <w:bookmarkEnd w:id="1938"/>
      <w:bookmarkEnd w:id="1939"/>
      <w:bookmarkEnd w:id="1940"/>
      <w:bookmarkEnd w:id="1941"/>
    </w:p>
    <w:p w14:paraId="5EE96CC7">
      <w:pPr>
        <w:pStyle w:val="116"/>
        <w:spacing w:line="360" w:lineRule="exact"/>
        <w:rPr>
          <w:rFonts w:hint="eastAsia" w:ascii="宋体" w:hAnsi="宋体" w:eastAsia="宋体" w:cs="宋体"/>
          <w:color w:val="auto"/>
          <w:sz w:val="24"/>
          <w:szCs w:val="24"/>
          <w:highlight w:val="none"/>
          <w:lang w:eastAsia="zh-CN"/>
        </w:rPr>
      </w:pPr>
      <w:bookmarkStart w:id="1944" w:name="_Toc15198"/>
      <w:bookmarkStart w:id="1945" w:name="_Toc22400"/>
      <w:bookmarkStart w:id="1946" w:name="_Toc10648"/>
      <w:bookmarkStart w:id="1947" w:name="_Toc21452"/>
      <w:bookmarkStart w:id="1948" w:name="_Toc25682"/>
      <w:bookmarkStart w:id="1949" w:name="_Toc3191"/>
      <w:bookmarkStart w:id="1950" w:name="bookmark1500"/>
      <w:bookmarkStart w:id="1951" w:name="_Toc18856"/>
      <w:bookmarkStart w:id="1952" w:name="_Toc199152992"/>
      <w:r>
        <w:rPr>
          <w:rFonts w:hint="eastAsia" w:ascii="宋体" w:hAnsi="宋体" w:eastAsia="宋体" w:cs="宋体"/>
          <w:color w:val="auto"/>
          <w:sz w:val="24"/>
          <w:szCs w:val="24"/>
          <w:highlight w:val="none"/>
          <w:lang w:eastAsia="zh-CN"/>
        </w:rPr>
        <w:t>22.1承包人违约</w:t>
      </w:r>
      <w:bookmarkEnd w:id="1942"/>
      <w:bookmarkEnd w:id="1943"/>
      <w:bookmarkEnd w:id="1944"/>
      <w:bookmarkEnd w:id="1945"/>
      <w:bookmarkEnd w:id="1946"/>
      <w:bookmarkEnd w:id="1947"/>
      <w:bookmarkEnd w:id="1948"/>
      <w:bookmarkEnd w:id="1949"/>
      <w:bookmarkEnd w:id="1950"/>
      <w:bookmarkEnd w:id="1951"/>
      <w:bookmarkEnd w:id="1952"/>
    </w:p>
    <w:p w14:paraId="5EE96CC8">
      <w:pPr>
        <w:pStyle w:val="115"/>
        <w:spacing w:line="379" w:lineRule="auto"/>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22.1.1</w:t>
      </w:r>
      <w:r>
        <w:rPr>
          <w:rFonts w:hint="eastAsia" w:ascii="宋体" w:hAnsi="宋体" w:eastAsia="宋体" w:cs="宋体"/>
          <w:color w:val="auto"/>
          <w:highlight w:val="none"/>
        </w:rPr>
        <w:t>承包人违约的情形</w:t>
      </w:r>
    </w:p>
    <w:p w14:paraId="5EE96CC9">
      <w:pPr>
        <w:pStyle w:val="115"/>
        <w:spacing w:line="362"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在履行合同过程中发生的下列情况属承包人违约：</w:t>
      </w:r>
    </w:p>
    <w:p w14:paraId="5EE96CCA">
      <w:pPr>
        <w:pStyle w:val="115"/>
        <w:numPr>
          <w:ilvl w:val="0"/>
          <w:numId w:val="27"/>
        </w:numPr>
        <w:tabs>
          <w:tab w:val="left" w:pos="920"/>
        </w:tabs>
        <w:spacing w:line="379" w:lineRule="exact"/>
        <w:ind w:firstLine="440"/>
        <w:jc w:val="both"/>
        <w:rPr>
          <w:rFonts w:hint="eastAsia" w:ascii="宋体" w:hAnsi="宋体" w:eastAsia="宋体" w:cs="宋体"/>
          <w:color w:val="auto"/>
          <w:highlight w:val="none"/>
        </w:rPr>
      </w:pPr>
      <w:bookmarkStart w:id="1953" w:name="bookmark1501"/>
      <w:bookmarkEnd w:id="1953"/>
      <w:r>
        <w:rPr>
          <w:rFonts w:hint="eastAsia" w:ascii="宋体" w:hAnsi="宋体" w:eastAsia="宋体" w:cs="宋体"/>
          <w:color w:val="auto"/>
          <w:highlight w:val="none"/>
        </w:rPr>
        <w:t>承包人违反第</w:t>
      </w:r>
      <w:r>
        <w:rPr>
          <w:rFonts w:hint="eastAsia" w:ascii="宋体" w:hAnsi="宋体" w:eastAsia="宋体" w:cs="宋体"/>
          <w:color w:val="auto"/>
          <w:highlight w:val="none"/>
          <w:lang w:val="en-US" w:bidi="en-US"/>
        </w:rPr>
        <w:t>1.8</w:t>
      </w:r>
      <w:r>
        <w:rPr>
          <w:rFonts w:hint="eastAsia" w:ascii="宋体" w:hAnsi="宋体" w:eastAsia="宋体" w:cs="宋体"/>
          <w:color w:val="auto"/>
          <w:highlight w:val="none"/>
        </w:rPr>
        <w:t>款或第</w:t>
      </w:r>
      <w:r>
        <w:rPr>
          <w:rFonts w:hint="eastAsia" w:ascii="宋体" w:hAnsi="宋体" w:eastAsia="宋体" w:cs="宋体"/>
          <w:color w:val="auto"/>
          <w:highlight w:val="none"/>
          <w:lang w:val="en-US" w:bidi="en-US"/>
        </w:rPr>
        <w:t>4.</w:t>
      </w:r>
      <w:r>
        <w:rPr>
          <w:rFonts w:hint="eastAsia" w:ascii="宋体" w:hAnsi="宋体" w:eastAsia="宋体" w:cs="宋体"/>
          <w:color w:val="auto"/>
          <w:highlight w:val="none"/>
        </w:rPr>
        <w:t>3款的约定，私自将合同的全部或部分权利转让给其他人，或私自将合同的全部或部分义务转移给其他人；</w:t>
      </w:r>
    </w:p>
    <w:p w14:paraId="5EE96CCB">
      <w:pPr>
        <w:pStyle w:val="115"/>
        <w:numPr>
          <w:ilvl w:val="0"/>
          <w:numId w:val="27"/>
        </w:numPr>
        <w:tabs>
          <w:tab w:val="left" w:pos="920"/>
        </w:tabs>
        <w:spacing w:line="377" w:lineRule="exact"/>
        <w:ind w:firstLine="440"/>
        <w:jc w:val="both"/>
        <w:rPr>
          <w:rFonts w:hint="eastAsia" w:ascii="宋体" w:hAnsi="宋体" w:eastAsia="宋体" w:cs="宋体"/>
          <w:color w:val="auto"/>
          <w:highlight w:val="none"/>
        </w:rPr>
      </w:pPr>
      <w:bookmarkStart w:id="1954" w:name="bookmark1502"/>
      <w:bookmarkEnd w:id="1954"/>
      <w:r>
        <w:rPr>
          <w:rFonts w:hint="eastAsia" w:ascii="宋体" w:hAnsi="宋体" w:eastAsia="宋体" w:cs="宋体"/>
          <w:color w:val="auto"/>
          <w:highlight w:val="none"/>
        </w:rPr>
        <w:t>承包人违反第</w:t>
      </w:r>
      <w:r>
        <w:rPr>
          <w:rFonts w:hint="eastAsia" w:ascii="宋体" w:hAnsi="宋体" w:eastAsia="宋体" w:cs="宋体"/>
          <w:color w:val="auto"/>
          <w:highlight w:val="none"/>
          <w:lang w:val="en-US" w:bidi="en-US"/>
        </w:rPr>
        <w:t>5.</w:t>
      </w:r>
      <w:r>
        <w:rPr>
          <w:rFonts w:hint="eastAsia" w:ascii="宋体" w:hAnsi="宋体" w:eastAsia="宋体" w:cs="宋体"/>
          <w:color w:val="auto"/>
          <w:highlight w:val="none"/>
        </w:rPr>
        <w:t>3款或第</w:t>
      </w:r>
      <w:r>
        <w:rPr>
          <w:rFonts w:hint="eastAsia" w:ascii="宋体" w:hAnsi="宋体" w:eastAsia="宋体" w:cs="宋体"/>
          <w:color w:val="auto"/>
          <w:highlight w:val="none"/>
          <w:lang w:val="en-US" w:bidi="en-US"/>
        </w:rPr>
        <w:t>6.</w:t>
      </w:r>
      <w:r>
        <w:rPr>
          <w:rFonts w:hint="eastAsia" w:ascii="宋体" w:hAnsi="宋体" w:eastAsia="宋体" w:cs="宋体"/>
          <w:color w:val="auto"/>
          <w:highlight w:val="none"/>
        </w:rPr>
        <w:t>4款的约定，未经监理人批准，私自将已按合同约定进入施工场地的施工设备、临时设施或材料撤离施工场地；</w:t>
      </w:r>
    </w:p>
    <w:p w14:paraId="5EE96CCC">
      <w:pPr>
        <w:pStyle w:val="115"/>
        <w:numPr>
          <w:ilvl w:val="0"/>
          <w:numId w:val="27"/>
        </w:numPr>
        <w:tabs>
          <w:tab w:val="left" w:pos="922"/>
        </w:tabs>
        <w:spacing w:line="379" w:lineRule="exact"/>
        <w:ind w:firstLine="440"/>
        <w:jc w:val="both"/>
        <w:rPr>
          <w:rFonts w:hint="eastAsia" w:ascii="宋体" w:hAnsi="宋体" w:eastAsia="宋体" w:cs="宋体"/>
          <w:color w:val="auto"/>
          <w:highlight w:val="none"/>
        </w:rPr>
      </w:pPr>
      <w:bookmarkStart w:id="1955" w:name="bookmark1503"/>
      <w:bookmarkEnd w:id="1955"/>
      <w:r>
        <w:rPr>
          <w:rFonts w:hint="eastAsia" w:ascii="宋体" w:hAnsi="宋体" w:eastAsia="宋体" w:cs="宋体"/>
          <w:color w:val="auto"/>
          <w:highlight w:val="none"/>
        </w:rPr>
        <w:t>承包人违反第</w:t>
      </w:r>
      <w:r>
        <w:rPr>
          <w:rFonts w:hint="eastAsia" w:ascii="宋体" w:hAnsi="宋体" w:eastAsia="宋体" w:cs="宋体"/>
          <w:color w:val="auto"/>
          <w:highlight w:val="none"/>
          <w:lang w:val="en-US" w:bidi="en-US"/>
        </w:rPr>
        <w:t>5.</w:t>
      </w:r>
      <w:r>
        <w:rPr>
          <w:rFonts w:hint="eastAsia" w:ascii="宋体" w:hAnsi="宋体" w:eastAsia="宋体" w:cs="宋体"/>
          <w:color w:val="auto"/>
          <w:highlight w:val="none"/>
        </w:rPr>
        <w:t>4款的约定使用了不合格材料或工程设备，工程质量达不到标准要求，又拒绝清除不合格工程；</w:t>
      </w:r>
    </w:p>
    <w:p w14:paraId="5EE96CCD">
      <w:pPr>
        <w:pStyle w:val="115"/>
        <w:numPr>
          <w:ilvl w:val="0"/>
          <w:numId w:val="27"/>
        </w:numPr>
        <w:tabs>
          <w:tab w:val="left" w:pos="922"/>
        </w:tabs>
        <w:spacing w:line="365" w:lineRule="exact"/>
        <w:ind w:firstLine="440"/>
        <w:jc w:val="both"/>
        <w:rPr>
          <w:rFonts w:hint="eastAsia" w:ascii="宋体" w:hAnsi="宋体" w:eastAsia="宋体" w:cs="宋体"/>
          <w:color w:val="auto"/>
          <w:highlight w:val="none"/>
        </w:rPr>
      </w:pPr>
      <w:bookmarkStart w:id="1956" w:name="bookmark1504"/>
      <w:bookmarkEnd w:id="1956"/>
      <w:r>
        <w:rPr>
          <w:rFonts w:hint="eastAsia" w:ascii="宋体" w:hAnsi="宋体" w:eastAsia="宋体" w:cs="宋体"/>
          <w:color w:val="auto"/>
          <w:highlight w:val="none"/>
        </w:rPr>
        <w:t>承包人未能按合同进度计划及时完成合同约定的工作，已造成或预期造成工期延误；</w:t>
      </w:r>
    </w:p>
    <w:p w14:paraId="5EE96CCE">
      <w:pPr>
        <w:pStyle w:val="115"/>
        <w:numPr>
          <w:ilvl w:val="0"/>
          <w:numId w:val="27"/>
        </w:numPr>
        <w:tabs>
          <w:tab w:val="left" w:pos="922"/>
        </w:tabs>
        <w:spacing w:line="362" w:lineRule="exact"/>
        <w:ind w:firstLine="440"/>
        <w:jc w:val="both"/>
        <w:rPr>
          <w:rFonts w:hint="eastAsia" w:ascii="宋体" w:hAnsi="宋体" w:eastAsia="宋体" w:cs="宋体"/>
          <w:color w:val="auto"/>
          <w:highlight w:val="none"/>
        </w:rPr>
      </w:pPr>
      <w:bookmarkStart w:id="1957" w:name="bookmark1505"/>
      <w:bookmarkEnd w:id="1957"/>
      <w:r>
        <w:rPr>
          <w:rFonts w:hint="eastAsia" w:ascii="宋体" w:hAnsi="宋体" w:eastAsia="宋体" w:cs="宋体"/>
          <w:color w:val="auto"/>
          <w:highlight w:val="none"/>
        </w:rPr>
        <w:t>承包人在缺陷责任期(工程质量保修期)内，未能对合同工程完工验收鉴定书中所列的缺陷清单的内容或缺陷责任期(工程质量保修期)内发生的缺陷进行修复，而又拒绝按监理人指示再进行修补；</w:t>
      </w:r>
    </w:p>
    <w:p w14:paraId="5EE96CCF">
      <w:pPr>
        <w:pStyle w:val="115"/>
        <w:numPr>
          <w:ilvl w:val="0"/>
          <w:numId w:val="27"/>
        </w:numPr>
        <w:tabs>
          <w:tab w:val="left" w:pos="903"/>
        </w:tabs>
        <w:spacing w:line="349" w:lineRule="exact"/>
        <w:ind w:firstLine="420"/>
        <w:jc w:val="both"/>
        <w:rPr>
          <w:rFonts w:hint="eastAsia" w:ascii="宋体" w:hAnsi="宋体" w:eastAsia="宋体" w:cs="宋体"/>
          <w:color w:val="auto"/>
          <w:highlight w:val="none"/>
        </w:rPr>
      </w:pPr>
      <w:bookmarkStart w:id="1958" w:name="bookmark1506"/>
      <w:bookmarkEnd w:id="1958"/>
      <w:r>
        <w:rPr>
          <w:rFonts w:hint="eastAsia" w:ascii="宋体" w:hAnsi="宋体" w:eastAsia="宋体" w:cs="宋体"/>
          <w:color w:val="auto"/>
          <w:highlight w:val="none"/>
        </w:rPr>
        <w:t>承包人无法继续履行或明确表示不履行或实质上已停止履行合同；</w:t>
      </w:r>
    </w:p>
    <w:p w14:paraId="5EE96CD0">
      <w:pPr>
        <w:pStyle w:val="115"/>
        <w:numPr>
          <w:ilvl w:val="0"/>
          <w:numId w:val="27"/>
        </w:numPr>
        <w:tabs>
          <w:tab w:val="left" w:pos="903"/>
        </w:tabs>
        <w:spacing w:line="349" w:lineRule="exact"/>
        <w:ind w:firstLine="420"/>
        <w:jc w:val="both"/>
        <w:rPr>
          <w:rFonts w:hint="eastAsia" w:ascii="宋体" w:hAnsi="宋体" w:eastAsia="宋体" w:cs="宋体"/>
          <w:color w:val="auto"/>
          <w:highlight w:val="none"/>
        </w:rPr>
      </w:pPr>
      <w:bookmarkStart w:id="1959" w:name="bookmark1507"/>
      <w:bookmarkEnd w:id="1959"/>
      <w:r>
        <w:rPr>
          <w:rFonts w:hint="eastAsia" w:ascii="宋体" w:hAnsi="宋体" w:eastAsia="宋体" w:cs="宋体"/>
          <w:color w:val="auto"/>
          <w:highlight w:val="none"/>
        </w:rPr>
        <w:t>承包人不按合同约定履行义务的其他情况。</w:t>
      </w:r>
    </w:p>
    <w:p w14:paraId="5EE96CD1">
      <w:pPr>
        <w:pStyle w:val="115"/>
        <w:spacing w:line="349"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en-US" w:bidi="en-US"/>
        </w:rPr>
        <w:t>22.1.2</w:t>
      </w:r>
      <w:r>
        <w:rPr>
          <w:rFonts w:hint="eastAsia" w:ascii="宋体" w:hAnsi="宋体" w:eastAsia="宋体" w:cs="宋体"/>
          <w:color w:val="auto"/>
          <w:highlight w:val="none"/>
        </w:rPr>
        <w:t>对承包人违约的处理</w:t>
      </w:r>
    </w:p>
    <w:p w14:paraId="5EE96CD2">
      <w:pPr>
        <w:pStyle w:val="115"/>
        <w:numPr>
          <w:ilvl w:val="0"/>
          <w:numId w:val="28"/>
        </w:numPr>
        <w:tabs>
          <w:tab w:val="left" w:pos="922"/>
        </w:tabs>
        <w:spacing w:line="349" w:lineRule="exact"/>
        <w:ind w:firstLine="440"/>
        <w:jc w:val="both"/>
        <w:rPr>
          <w:rFonts w:hint="eastAsia" w:ascii="宋体" w:hAnsi="宋体" w:eastAsia="宋体" w:cs="宋体"/>
          <w:color w:val="auto"/>
          <w:highlight w:val="none"/>
        </w:rPr>
      </w:pPr>
      <w:bookmarkStart w:id="1960" w:name="bookmark1508"/>
      <w:bookmarkEnd w:id="1960"/>
      <w:r>
        <w:rPr>
          <w:rFonts w:hint="eastAsia" w:ascii="宋体" w:hAnsi="宋体" w:eastAsia="宋体" w:cs="宋体"/>
          <w:color w:val="auto"/>
          <w:highlight w:val="none"/>
        </w:rPr>
        <w:t>承包人发生第</w:t>
      </w:r>
      <w:r>
        <w:rPr>
          <w:rFonts w:hint="eastAsia" w:ascii="宋体" w:hAnsi="宋体" w:eastAsia="宋体" w:cs="宋体"/>
          <w:color w:val="auto"/>
          <w:highlight w:val="none"/>
          <w:lang w:val="en-US" w:bidi="en-US"/>
        </w:rPr>
        <w:t>22.1.1</w:t>
      </w:r>
      <w:r>
        <w:rPr>
          <w:rFonts w:hint="eastAsia" w:ascii="宋体" w:hAnsi="宋体" w:eastAsia="宋体" w:cs="宋体"/>
          <w:color w:val="auto"/>
          <w:highlight w:val="none"/>
        </w:rPr>
        <w:t>(6)目约定的违约情况时，发包人可通知承包人立即解除合同，并按有关法律处理。</w:t>
      </w:r>
    </w:p>
    <w:p w14:paraId="5EE96CD3">
      <w:pPr>
        <w:pStyle w:val="115"/>
        <w:numPr>
          <w:ilvl w:val="0"/>
          <w:numId w:val="28"/>
        </w:numPr>
        <w:tabs>
          <w:tab w:val="left" w:pos="920"/>
        </w:tabs>
        <w:spacing w:line="349" w:lineRule="exact"/>
        <w:ind w:firstLine="440"/>
        <w:jc w:val="both"/>
        <w:rPr>
          <w:rFonts w:hint="eastAsia" w:ascii="宋体" w:hAnsi="宋体" w:eastAsia="宋体" w:cs="宋体"/>
          <w:color w:val="auto"/>
          <w:highlight w:val="none"/>
        </w:rPr>
      </w:pPr>
      <w:bookmarkStart w:id="1961" w:name="bookmark1509"/>
      <w:bookmarkEnd w:id="1961"/>
      <w:r>
        <w:rPr>
          <w:rFonts w:hint="eastAsia" w:ascii="宋体" w:hAnsi="宋体" w:eastAsia="宋体" w:cs="宋体"/>
          <w:color w:val="auto"/>
          <w:highlight w:val="none"/>
        </w:rPr>
        <w:t>承包人发生除第</w:t>
      </w:r>
      <w:r>
        <w:rPr>
          <w:rFonts w:hint="eastAsia" w:ascii="宋体" w:hAnsi="宋体" w:eastAsia="宋体" w:cs="宋体"/>
          <w:color w:val="auto"/>
          <w:highlight w:val="none"/>
          <w:lang w:val="en-US" w:bidi="en-US"/>
        </w:rPr>
        <w:t>22.1.</w:t>
      </w:r>
      <w:r>
        <w:rPr>
          <w:rFonts w:hint="eastAsia" w:ascii="宋体" w:hAnsi="宋体" w:eastAsia="宋体" w:cs="宋体"/>
          <w:color w:val="auto"/>
          <w:highlight w:val="none"/>
        </w:rPr>
        <w:t>1(6)目约定以外的其他违约情况时，监理人可向承包人发出整改通知，要求其在指定的期限内改正。承包人应承担其违约所引起的费用增加和(或)工期延误。</w:t>
      </w:r>
    </w:p>
    <w:p w14:paraId="5EE96CD4">
      <w:pPr>
        <w:pStyle w:val="115"/>
        <w:numPr>
          <w:ilvl w:val="0"/>
          <w:numId w:val="28"/>
        </w:numPr>
        <w:tabs>
          <w:tab w:val="left" w:pos="922"/>
        </w:tabs>
        <w:spacing w:line="349" w:lineRule="exact"/>
        <w:ind w:firstLine="440"/>
        <w:jc w:val="both"/>
        <w:rPr>
          <w:rFonts w:hint="eastAsia" w:ascii="宋体" w:hAnsi="宋体" w:eastAsia="宋体" w:cs="宋体"/>
          <w:color w:val="auto"/>
          <w:highlight w:val="none"/>
        </w:rPr>
      </w:pPr>
      <w:bookmarkStart w:id="1962" w:name="bookmark1510"/>
      <w:bookmarkEnd w:id="1962"/>
      <w:r>
        <w:rPr>
          <w:rFonts w:hint="eastAsia" w:ascii="宋体" w:hAnsi="宋体" w:eastAsia="宋体" w:cs="宋体"/>
          <w:color w:val="auto"/>
          <w:highlight w:val="none"/>
        </w:rPr>
        <w:t>经检查证明承包人已采取了有效措施纠正违约行为，具备复工条件的，可由监理人签发复工通知复工。</w:t>
      </w:r>
    </w:p>
    <w:p w14:paraId="5EE96CD5">
      <w:pPr>
        <w:pStyle w:val="115"/>
        <w:spacing w:line="349"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22.1.3</w:t>
      </w:r>
      <w:r>
        <w:rPr>
          <w:rFonts w:hint="eastAsia" w:ascii="宋体" w:hAnsi="宋体" w:eastAsia="宋体" w:cs="宋体"/>
          <w:color w:val="auto"/>
          <w:highlight w:val="none"/>
        </w:rPr>
        <w:t>承包人违约解除合同</w:t>
      </w:r>
    </w:p>
    <w:p w14:paraId="5EE96CD6">
      <w:pPr>
        <w:pStyle w:val="115"/>
        <w:spacing w:line="349"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5EE96CD7">
      <w:pPr>
        <w:pStyle w:val="115"/>
        <w:spacing w:line="349"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rPr>
        <w:t>22.1.4</w:t>
      </w:r>
      <w:r>
        <w:rPr>
          <w:rFonts w:hint="eastAsia" w:ascii="宋体" w:hAnsi="宋体" w:eastAsia="宋体" w:cs="宋体"/>
          <w:color w:val="auto"/>
          <w:highlight w:val="none"/>
        </w:rPr>
        <w:t>合同解除后的估价、付款和结清</w:t>
      </w:r>
    </w:p>
    <w:p w14:paraId="5EE96CD8">
      <w:pPr>
        <w:pStyle w:val="115"/>
        <w:numPr>
          <w:ilvl w:val="0"/>
          <w:numId w:val="29"/>
        </w:numPr>
        <w:tabs>
          <w:tab w:val="left" w:pos="920"/>
        </w:tabs>
        <w:spacing w:line="361" w:lineRule="exact"/>
        <w:ind w:firstLine="440"/>
        <w:jc w:val="both"/>
        <w:rPr>
          <w:rFonts w:hint="eastAsia" w:ascii="宋体" w:hAnsi="宋体" w:eastAsia="宋体" w:cs="宋体"/>
          <w:color w:val="auto"/>
          <w:highlight w:val="none"/>
        </w:rPr>
      </w:pPr>
      <w:bookmarkStart w:id="1963" w:name="bookmark1511"/>
      <w:bookmarkEnd w:id="1963"/>
      <w:r>
        <w:rPr>
          <w:rFonts w:hint="eastAsia" w:ascii="宋体" w:hAnsi="宋体" w:eastAsia="宋体" w:cs="宋体"/>
          <w:color w:val="auto"/>
          <w:highlight w:val="none"/>
        </w:rPr>
        <w:t>合同解除后，监理人按第</w:t>
      </w:r>
      <w:r>
        <w:rPr>
          <w:rFonts w:hint="eastAsia" w:ascii="宋体" w:hAnsi="宋体" w:eastAsia="宋体" w:cs="宋体"/>
          <w:color w:val="auto"/>
          <w:highlight w:val="none"/>
          <w:lang w:val="en-US" w:bidi="en-US"/>
        </w:rPr>
        <w:t>3.</w:t>
      </w:r>
      <w:r>
        <w:rPr>
          <w:rFonts w:hint="eastAsia" w:ascii="宋体" w:hAnsi="宋体" w:eastAsia="宋体" w:cs="宋体"/>
          <w:color w:val="auto"/>
          <w:highlight w:val="none"/>
        </w:rPr>
        <w:t>5款商定或确定承包人实际完成工作的价值，以及承包人已提供的材料、施工设备、工程设备和临时工程等的价值。</w:t>
      </w:r>
    </w:p>
    <w:p w14:paraId="5EE96CD9">
      <w:pPr>
        <w:pStyle w:val="115"/>
        <w:numPr>
          <w:ilvl w:val="0"/>
          <w:numId w:val="29"/>
        </w:numPr>
        <w:tabs>
          <w:tab w:val="left" w:pos="922"/>
        </w:tabs>
        <w:spacing w:line="361" w:lineRule="exact"/>
        <w:ind w:firstLine="440"/>
        <w:jc w:val="both"/>
        <w:rPr>
          <w:rFonts w:hint="eastAsia" w:ascii="宋体" w:hAnsi="宋体" w:eastAsia="宋体" w:cs="宋体"/>
          <w:color w:val="auto"/>
          <w:highlight w:val="none"/>
        </w:rPr>
      </w:pPr>
      <w:bookmarkStart w:id="1964" w:name="bookmark1512"/>
      <w:bookmarkEnd w:id="1964"/>
      <w:r>
        <w:rPr>
          <w:rFonts w:hint="eastAsia" w:ascii="宋体" w:hAnsi="宋体" w:eastAsia="宋体" w:cs="宋体"/>
          <w:color w:val="auto"/>
          <w:highlight w:val="none"/>
        </w:rPr>
        <w:t>合同解除后，发包人应暂停对承包人的一切付款，查清各项付款和已扣款金额</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包括承包人应支付的违约金。</w:t>
      </w:r>
    </w:p>
    <w:p w14:paraId="5EE96CDA">
      <w:pPr>
        <w:pStyle w:val="115"/>
        <w:numPr>
          <w:ilvl w:val="0"/>
          <w:numId w:val="29"/>
        </w:numPr>
        <w:tabs>
          <w:tab w:val="left" w:pos="920"/>
        </w:tabs>
        <w:spacing w:line="374" w:lineRule="exact"/>
        <w:ind w:firstLine="440"/>
        <w:jc w:val="both"/>
        <w:rPr>
          <w:rFonts w:hint="eastAsia" w:ascii="宋体" w:hAnsi="宋体" w:eastAsia="宋体" w:cs="宋体"/>
          <w:color w:val="auto"/>
          <w:highlight w:val="none"/>
        </w:rPr>
      </w:pPr>
      <w:bookmarkStart w:id="1965" w:name="bookmark1513"/>
      <w:bookmarkEnd w:id="1965"/>
      <w:r>
        <w:rPr>
          <w:rFonts w:hint="eastAsia" w:ascii="宋体" w:hAnsi="宋体" w:eastAsia="宋体" w:cs="宋体"/>
          <w:color w:val="auto"/>
          <w:highlight w:val="none"/>
        </w:rPr>
        <w:t>合同解除后，发包人应按第</w:t>
      </w:r>
      <w:r>
        <w:rPr>
          <w:rFonts w:hint="eastAsia" w:ascii="宋体" w:hAnsi="宋体" w:eastAsia="宋体" w:cs="宋体"/>
          <w:color w:val="auto"/>
          <w:highlight w:val="none"/>
          <w:lang w:val="en-US" w:bidi="en-US"/>
        </w:rPr>
        <w:t>23.</w:t>
      </w:r>
      <w:r>
        <w:rPr>
          <w:rFonts w:hint="eastAsia" w:ascii="宋体" w:hAnsi="宋体" w:eastAsia="宋体" w:cs="宋体"/>
          <w:color w:val="auto"/>
          <w:highlight w:val="none"/>
        </w:rPr>
        <w:t>4款的约定向承包人索赔由于解除合同给发包人造成的损失。</w:t>
      </w:r>
    </w:p>
    <w:p w14:paraId="5EE96CDB">
      <w:pPr>
        <w:pStyle w:val="115"/>
        <w:numPr>
          <w:ilvl w:val="0"/>
          <w:numId w:val="29"/>
        </w:numPr>
        <w:tabs>
          <w:tab w:val="left" w:pos="903"/>
        </w:tabs>
        <w:spacing w:line="360" w:lineRule="exact"/>
        <w:ind w:firstLine="420"/>
        <w:jc w:val="both"/>
        <w:rPr>
          <w:rFonts w:hint="eastAsia" w:ascii="宋体" w:hAnsi="宋体" w:eastAsia="宋体" w:cs="宋体"/>
          <w:color w:val="auto"/>
          <w:highlight w:val="none"/>
        </w:rPr>
      </w:pPr>
      <w:bookmarkStart w:id="1966" w:name="bookmark1514"/>
      <w:bookmarkEnd w:id="1966"/>
      <w:r>
        <w:rPr>
          <w:rFonts w:hint="eastAsia" w:ascii="宋体" w:hAnsi="宋体" w:eastAsia="宋体" w:cs="宋体"/>
          <w:color w:val="auto"/>
          <w:highlight w:val="none"/>
        </w:rPr>
        <w:t>合同双方确认上述往来款项后，出具最终结清付款证书，结清全部合同款项。</w:t>
      </w:r>
    </w:p>
    <w:p w14:paraId="5EE96CDC">
      <w:pPr>
        <w:pStyle w:val="115"/>
        <w:numPr>
          <w:ilvl w:val="0"/>
          <w:numId w:val="29"/>
        </w:numPr>
        <w:tabs>
          <w:tab w:val="left" w:pos="922"/>
        </w:tabs>
        <w:spacing w:after="120" w:line="360" w:lineRule="exact"/>
        <w:ind w:firstLine="440"/>
        <w:jc w:val="both"/>
        <w:rPr>
          <w:rFonts w:hint="eastAsia" w:ascii="宋体" w:hAnsi="宋体" w:eastAsia="宋体" w:cs="宋体"/>
          <w:color w:val="auto"/>
          <w:highlight w:val="none"/>
        </w:rPr>
      </w:pPr>
      <w:bookmarkStart w:id="1967" w:name="bookmark1515"/>
      <w:bookmarkEnd w:id="1967"/>
      <w:r>
        <w:rPr>
          <w:rFonts w:hint="eastAsia" w:ascii="宋体" w:hAnsi="宋体" w:eastAsia="宋体" w:cs="宋体"/>
          <w:color w:val="auto"/>
          <w:highlight w:val="none"/>
        </w:rPr>
        <w:t>发包人和承包人未能就解除合同后的结清达成一致而形成争议的，按第24条的约定办理。</w:t>
      </w:r>
    </w:p>
    <w:p w14:paraId="5EE96CDD">
      <w:pPr>
        <w:pStyle w:val="115"/>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22.1.5</w:t>
      </w:r>
      <w:r>
        <w:rPr>
          <w:rFonts w:hint="eastAsia" w:ascii="宋体" w:hAnsi="宋体" w:eastAsia="宋体" w:cs="宋体"/>
          <w:color w:val="auto"/>
          <w:highlight w:val="none"/>
        </w:rPr>
        <w:t>协议利益的转让</w:t>
      </w:r>
    </w:p>
    <w:p w14:paraId="5EE96CDE">
      <w:pPr>
        <w:pStyle w:val="115"/>
        <w:spacing w:line="351"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因承包人违约解除合同的，发包人有权要求承包人将其为实施合同而签订的材料和设备的订货协议或任何服务协议利益转让给发包人，并在解除合同后的14天内，依法办理转让手续。</w:t>
      </w:r>
    </w:p>
    <w:p w14:paraId="5EE96CDF">
      <w:pPr>
        <w:pStyle w:val="115"/>
        <w:spacing w:line="349" w:lineRule="exact"/>
        <w:ind w:firstLine="440"/>
        <w:jc w:val="both"/>
        <w:rPr>
          <w:rFonts w:hint="eastAsia" w:ascii="宋体" w:hAnsi="宋体" w:eastAsia="宋体" w:cs="宋体"/>
          <w:color w:val="auto"/>
          <w:highlight w:val="none"/>
          <w:lang w:val="en-US"/>
        </w:rPr>
      </w:pPr>
      <w:bookmarkStart w:id="1968" w:name="bookmark1516"/>
      <w:bookmarkEnd w:id="1968"/>
      <w:r>
        <w:rPr>
          <w:rFonts w:hint="eastAsia" w:ascii="宋体" w:hAnsi="宋体" w:eastAsia="宋体" w:cs="宋体"/>
          <w:color w:val="auto"/>
          <w:highlight w:val="none"/>
          <w:lang w:val="en-US"/>
        </w:rPr>
        <w:t>22.1.6紧急情况下无能力或不愿进行抢救</w:t>
      </w:r>
    </w:p>
    <w:p w14:paraId="5EE96CE0">
      <w:pPr>
        <w:pStyle w:val="115"/>
        <w:spacing w:after="120" w:line="351"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5EE96CE1">
      <w:pPr>
        <w:pStyle w:val="116"/>
        <w:spacing w:line="360" w:lineRule="exact"/>
        <w:rPr>
          <w:rFonts w:hint="eastAsia" w:ascii="宋体" w:hAnsi="宋体" w:eastAsia="宋体" w:cs="宋体"/>
          <w:color w:val="auto"/>
          <w:sz w:val="24"/>
          <w:szCs w:val="24"/>
          <w:highlight w:val="none"/>
          <w:lang w:eastAsia="zh-CN"/>
        </w:rPr>
      </w:pPr>
      <w:bookmarkStart w:id="1969" w:name="_Toc9771"/>
      <w:bookmarkStart w:id="1970" w:name="_Toc24772"/>
      <w:bookmarkStart w:id="1971" w:name="bookmark1517"/>
      <w:bookmarkStart w:id="1972" w:name="_Toc32549"/>
      <w:bookmarkStart w:id="1973" w:name="_Toc10614"/>
      <w:bookmarkStart w:id="1974" w:name="_Toc19922"/>
      <w:bookmarkStart w:id="1975" w:name="bookmark1519"/>
      <w:bookmarkStart w:id="1976" w:name="_Toc1802"/>
      <w:bookmarkStart w:id="1977" w:name="bookmark1518"/>
      <w:bookmarkStart w:id="1978" w:name="_Toc32348"/>
      <w:bookmarkStart w:id="1979" w:name="_Toc199152993"/>
      <w:r>
        <w:rPr>
          <w:rFonts w:hint="eastAsia" w:ascii="宋体" w:hAnsi="宋体" w:eastAsia="宋体" w:cs="宋体"/>
          <w:color w:val="auto"/>
          <w:sz w:val="24"/>
          <w:szCs w:val="24"/>
          <w:highlight w:val="none"/>
          <w:lang w:eastAsia="zh-CN"/>
        </w:rPr>
        <w:t>22.2发包人违约</w:t>
      </w:r>
      <w:bookmarkEnd w:id="1969"/>
      <w:bookmarkEnd w:id="1970"/>
      <w:bookmarkEnd w:id="1971"/>
      <w:bookmarkEnd w:id="1972"/>
      <w:bookmarkEnd w:id="1973"/>
      <w:bookmarkEnd w:id="1974"/>
      <w:bookmarkEnd w:id="1975"/>
      <w:bookmarkEnd w:id="1976"/>
      <w:bookmarkEnd w:id="1977"/>
      <w:bookmarkEnd w:id="1978"/>
      <w:bookmarkEnd w:id="1979"/>
    </w:p>
    <w:p w14:paraId="5EE96CE2">
      <w:pPr>
        <w:pStyle w:val="115"/>
        <w:spacing w:line="35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22.2.1</w:t>
      </w:r>
      <w:r>
        <w:rPr>
          <w:rFonts w:hint="eastAsia" w:ascii="宋体" w:hAnsi="宋体" w:eastAsia="宋体" w:cs="宋体"/>
          <w:color w:val="auto"/>
          <w:highlight w:val="none"/>
        </w:rPr>
        <w:t>发包人违约的情形</w:t>
      </w:r>
    </w:p>
    <w:p w14:paraId="5EE96CE3">
      <w:pPr>
        <w:pStyle w:val="115"/>
        <w:spacing w:line="35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在履行合同过程中发生的下列情形，属发包人违约：</w:t>
      </w:r>
    </w:p>
    <w:p w14:paraId="5EE96CE4">
      <w:pPr>
        <w:pStyle w:val="115"/>
        <w:numPr>
          <w:ilvl w:val="0"/>
          <w:numId w:val="30"/>
        </w:numPr>
        <w:spacing w:line="350" w:lineRule="exact"/>
        <w:ind w:firstLine="420"/>
        <w:jc w:val="both"/>
        <w:rPr>
          <w:rFonts w:hint="eastAsia" w:ascii="宋体" w:hAnsi="宋体" w:eastAsia="宋体" w:cs="宋体"/>
          <w:color w:val="auto"/>
          <w:highlight w:val="none"/>
        </w:rPr>
      </w:pPr>
      <w:bookmarkStart w:id="1980" w:name="bookmark1520"/>
      <w:bookmarkEnd w:id="1980"/>
      <w:r>
        <w:rPr>
          <w:rFonts w:hint="eastAsia" w:ascii="宋体" w:hAnsi="宋体" w:eastAsia="宋体" w:cs="宋体"/>
          <w:color w:val="auto"/>
          <w:highlight w:val="none"/>
        </w:rPr>
        <w:t>发包人未能按合同约定支付预付款或合同价款，或拖延、拒绝批准付款申请和支付凭证，导致付款延误的；</w:t>
      </w:r>
    </w:p>
    <w:p w14:paraId="5EE96CE5">
      <w:pPr>
        <w:pStyle w:val="115"/>
        <w:numPr>
          <w:ilvl w:val="0"/>
          <w:numId w:val="30"/>
        </w:numPr>
        <w:tabs>
          <w:tab w:val="left" w:pos="903"/>
        </w:tabs>
        <w:spacing w:line="362" w:lineRule="exact"/>
        <w:ind w:firstLine="420"/>
        <w:rPr>
          <w:rFonts w:hint="eastAsia" w:ascii="宋体" w:hAnsi="宋体" w:eastAsia="宋体" w:cs="宋体"/>
          <w:color w:val="auto"/>
          <w:highlight w:val="none"/>
        </w:rPr>
      </w:pPr>
      <w:bookmarkStart w:id="1981" w:name="bookmark1521"/>
      <w:bookmarkEnd w:id="1981"/>
      <w:r>
        <w:rPr>
          <w:rFonts w:hint="eastAsia" w:ascii="宋体" w:hAnsi="宋体" w:eastAsia="宋体" w:cs="宋体"/>
          <w:color w:val="auto"/>
          <w:highlight w:val="none"/>
        </w:rPr>
        <w:t>发包人原因造成停工的；</w:t>
      </w:r>
    </w:p>
    <w:p w14:paraId="5EE96CE6">
      <w:pPr>
        <w:pStyle w:val="115"/>
        <w:numPr>
          <w:ilvl w:val="0"/>
          <w:numId w:val="30"/>
        </w:numPr>
        <w:tabs>
          <w:tab w:val="left" w:pos="903"/>
        </w:tabs>
        <w:spacing w:line="362" w:lineRule="exact"/>
        <w:ind w:firstLine="420"/>
        <w:rPr>
          <w:rFonts w:hint="eastAsia" w:ascii="宋体" w:hAnsi="宋体" w:eastAsia="宋体" w:cs="宋体"/>
          <w:color w:val="auto"/>
          <w:highlight w:val="none"/>
        </w:rPr>
      </w:pPr>
      <w:bookmarkStart w:id="1982" w:name="bookmark1522"/>
      <w:bookmarkEnd w:id="1982"/>
      <w:r>
        <w:rPr>
          <w:rFonts w:hint="eastAsia" w:ascii="宋体" w:hAnsi="宋体" w:eastAsia="宋体" w:cs="宋体"/>
          <w:color w:val="auto"/>
          <w:highlight w:val="none"/>
        </w:rPr>
        <w:t>监理人无正当理由没有在约定期限内发出复工指示，导致承包人无法复工的；</w:t>
      </w:r>
    </w:p>
    <w:p w14:paraId="5EE96CE7">
      <w:pPr>
        <w:pStyle w:val="115"/>
        <w:numPr>
          <w:ilvl w:val="0"/>
          <w:numId w:val="30"/>
        </w:numPr>
        <w:tabs>
          <w:tab w:val="left" w:pos="903"/>
        </w:tabs>
        <w:spacing w:line="362" w:lineRule="exact"/>
        <w:ind w:firstLine="420"/>
        <w:rPr>
          <w:rFonts w:hint="eastAsia" w:ascii="宋体" w:hAnsi="宋体" w:eastAsia="宋体" w:cs="宋体"/>
          <w:color w:val="auto"/>
          <w:highlight w:val="none"/>
        </w:rPr>
      </w:pPr>
      <w:bookmarkStart w:id="1983" w:name="bookmark1523"/>
      <w:bookmarkEnd w:id="1983"/>
      <w:r>
        <w:rPr>
          <w:rFonts w:hint="eastAsia" w:ascii="宋体" w:hAnsi="宋体" w:eastAsia="宋体" w:cs="宋体"/>
          <w:color w:val="auto"/>
          <w:highlight w:val="none"/>
        </w:rPr>
        <w:t>发包人无法继续履行或明确表示不履行或实质上已停止履行合同的；</w:t>
      </w:r>
    </w:p>
    <w:p w14:paraId="5EE96CE8">
      <w:pPr>
        <w:pStyle w:val="115"/>
        <w:numPr>
          <w:ilvl w:val="0"/>
          <w:numId w:val="30"/>
        </w:numPr>
        <w:tabs>
          <w:tab w:val="left" w:pos="903"/>
        </w:tabs>
        <w:spacing w:line="362" w:lineRule="exact"/>
        <w:ind w:firstLine="420"/>
        <w:rPr>
          <w:rFonts w:hint="eastAsia" w:ascii="宋体" w:hAnsi="宋体" w:eastAsia="宋体" w:cs="宋体"/>
          <w:color w:val="auto"/>
          <w:highlight w:val="none"/>
        </w:rPr>
      </w:pPr>
      <w:bookmarkStart w:id="1984" w:name="bookmark1524"/>
      <w:bookmarkEnd w:id="1984"/>
      <w:r>
        <w:rPr>
          <w:rFonts w:hint="eastAsia" w:ascii="宋体" w:hAnsi="宋体" w:eastAsia="宋体" w:cs="宋体"/>
          <w:color w:val="auto"/>
          <w:highlight w:val="none"/>
        </w:rPr>
        <w:t>发包人不履行合同约定其他义务的。</w:t>
      </w:r>
    </w:p>
    <w:p w14:paraId="5EE96CE9">
      <w:pPr>
        <w:pStyle w:val="115"/>
        <w:spacing w:line="362" w:lineRule="exact"/>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22.2.2</w:t>
      </w:r>
      <w:r>
        <w:rPr>
          <w:rFonts w:hint="eastAsia" w:ascii="宋体" w:hAnsi="宋体" w:eastAsia="宋体" w:cs="宋体"/>
          <w:color w:val="auto"/>
          <w:highlight w:val="none"/>
        </w:rPr>
        <w:t>承包人有权暂停施工</w:t>
      </w:r>
    </w:p>
    <w:p w14:paraId="5EE96CEA">
      <w:pPr>
        <w:pStyle w:val="115"/>
        <w:spacing w:line="36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发包人发生除第</w:t>
      </w:r>
      <w:r>
        <w:rPr>
          <w:rFonts w:hint="eastAsia" w:ascii="宋体" w:hAnsi="宋体" w:eastAsia="宋体" w:cs="宋体"/>
          <w:color w:val="auto"/>
          <w:highlight w:val="none"/>
          <w:lang w:val="en-US" w:bidi="en-US"/>
        </w:rPr>
        <w:t>22.2.1</w:t>
      </w:r>
      <w:r>
        <w:rPr>
          <w:rFonts w:hint="eastAsia" w:ascii="宋体" w:hAnsi="宋体" w:eastAsia="宋体" w:cs="宋体"/>
          <w:color w:val="auto"/>
          <w:highlight w:val="none"/>
        </w:rPr>
        <w:t>(4)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5EE96CEB">
      <w:pPr>
        <w:pStyle w:val="115"/>
        <w:spacing w:line="362" w:lineRule="exact"/>
        <w:ind w:firstLine="420"/>
        <w:rPr>
          <w:rFonts w:hint="eastAsia" w:ascii="宋体" w:hAnsi="宋体" w:eastAsia="宋体" w:cs="宋体"/>
          <w:color w:val="auto"/>
          <w:highlight w:val="none"/>
        </w:rPr>
      </w:pPr>
      <w:r>
        <w:rPr>
          <w:rFonts w:hint="eastAsia" w:ascii="宋体" w:hAnsi="宋体" w:eastAsia="宋体" w:cs="宋体"/>
          <w:color w:val="auto"/>
          <w:highlight w:val="none"/>
          <w:lang w:val="en-US" w:eastAsia="en-US"/>
        </w:rPr>
        <w:t>22.2.3</w:t>
      </w:r>
      <w:r>
        <w:rPr>
          <w:rFonts w:hint="eastAsia" w:ascii="宋体" w:hAnsi="宋体" w:eastAsia="宋体" w:cs="宋体"/>
          <w:color w:val="auto"/>
          <w:highlight w:val="none"/>
        </w:rPr>
        <w:t>发包人违约解除合同</w:t>
      </w:r>
    </w:p>
    <w:p w14:paraId="5EE96CEC">
      <w:pPr>
        <w:pStyle w:val="115"/>
        <w:numPr>
          <w:ilvl w:val="0"/>
          <w:numId w:val="31"/>
        </w:numPr>
        <w:tabs>
          <w:tab w:val="left" w:pos="923"/>
        </w:tabs>
        <w:spacing w:line="367" w:lineRule="exact"/>
        <w:ind w:firstLine="440"/>
        <w:jc w:val="both"/>
        <w:rPr>
          <w:rFonts w:hint="eastAsia" w:ascii="宋体" w:hAnsi="宋体" w:eastAsia="宋体" w:cs="宋体"/>
          <w:color w:val="auto"/>
          <w:highlight w:val="none"/>
        </w:rPr>
      </w:pPr>
      <w:bookmarkStart w:id="1985" w:name="bookmark1525"/>
      <w:bookmarkEnd w:id="1985"/>
      <w:r>
        <w:rPr>
          <w:rFonts w:hint="eastAsia" w:ascii="宋体" w:hAnsi="宋体" w:eastAsia="宋体" w:cs="宋体"/>
          <w:color w:val="auto"/>
          <w:highlight w:val="none"/>
        </w:rPr>
        <w:t>发生第</w:t>
      </w:r>
      <w:r>
        <w:rPr>
          <w:rFonts w:hint="eastAsia" w:ascii="宋体" w:hAnsi="宋体" w:eastAsia="宋体" w:cs="宋体"/>
          <w:color w:val="auto"/>
          <w:highlight w:val="none"/>
          <w:lang w:val="en-US" w:bidi="en-US"/>
        </w:rPr>
        <w:t>22.2.1</w:t>
      </w:r>
      <w:r>
        <w:rPr>
          <w:rFonts w:hint="eastAsia" w:ascii="宋体" w:hAnsi="宋体" w:eastAsia="宋体" w:cs="宋体"/>
          <w:color w:val="auto"/>
          <w:highlight w:val="none"/>
        </w:rPr>
        <w:t>(4)目的违约情况时，承包人可书面通知发包人解除合同。</w:t>
      </w:r>
    </w:p>
    <w:p w14:paraId="5EE96CED">
      <w:pPr>
        <w:pStyle w:val="115"/>
        <w:numPr>
          <w:ilvl w:val="0"/>
          <w:numId w:val="31"/>
        </w:numPr>
        <w:tabs>
          <w:tab w:val="left" w:pos="920"/>
        </w:tabs>
        <w:spacing w:line="367" w:lineRule="exact"/>
        <w:ind w:firstLine="440"/>
        <w:jc w:val="both"/>
        <w:rPr>
          <w:rFonts w:hint="eastAsia" w:ascii="宋体" w:hAnsi="宋体" w:eastAsia="宋体" w:cs="宋体"/>
          <w:color w:val="auto"/>
          <w:highlight w:val="none"/>
        </w:rPr>
      </w:pPr>
      <w:bookmarkStart w:id="1986" w:name="bookmark1526"/>
      <w:bookmarkEnd w:id="1986"/>
      <w:r>
        <w:rPr>
          <w:rFonts w:hint="eastAsia" w:ascii="宋体" w:hAnsi="宋体" w:eastAsia="宋体" w:cs="宋体"/>
          <w:color w:val="auto"/>
          <w:highlight w:val="none"/>
        </w:rPr>
        <w:t>承包人按</w:t>
      </w:r>
      <w:r>
        <w:rPr>
          <w:rFonts w:hint="eastAsia" w:ascii="宋体" w:hAnsi="宋体" w:eastAsia="宋体" w:cs="宋体"/>
          <w:color w:val="auto"/>
          <w:highlight w:val="none"/>
          <w:lang w:val="en-US" w:bidi="en-US"/>
        </w:rPr>
        <w:t>22.2.</w:t>
      </w:r>
      <w:r>
        <w:rPr>
          <w:rFonts w:hint="eastAsia" w:ascii="宋体" w:hAnsi="宋体" w:eastAsia="宋体" w:cs="宋体"/>
          <w:color w:val="auto"/>
          <w:highlight w:val="none"/>
        </w:rPr>
        <w:t>2项暂停施工28天后，发包人仍不纠正违约行为的，承包人可向发包人发出解除合同通知。但承包人的这一行动不免除发包人承担的违约责任，也不影响承包人根据合同约定享有的索赔权利。</w:t>
      </w:r>
    </w:p>
    <w:p w14:paraId="5EE96CEE">
      <w:pPr>
        <w:pStyle w:val="115"/>
        <w:spacing w:line="374"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22.2.4</w:t>
      </w:r>
      <w:r>
        <w:rPr>
          <w:rFonts w:hint="eastAsia" w:ascii="宋体" w:hAnsi="宋体" w:eastAsia="宋体" w:cs="宋体"/>
          <w:color w:val="auto"/>
          <w:highlight w:val="none"/>
        </w:rPr>
        <w:t>解除合同后的付款</w:t>
      </w:r>
    </w:p>
    <w:p w14:paraId="5EE96CEF">
      <w:pPr>
        <w:pStyle w:val="115"/>
        <w:spacing w:line="374"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因发包人违约解除合同的，发包人应在解除合同后28天内向承包人支付下列金额，承包人应在此期限内及时向发包人提交要求支付下列金额的有关资料和凭证：</w:t>
      </w:r>
    </w:p>
    <w:p w14:paraId="5EE96CF0">
      <w:pPr>
        <w:pStyle w:val="115"/>
        <w:numPr>
          <w:ilvl w:val="0"/>
          <w:numId w:val="32"/>
        </w:numPr>
        <w:tabs>
          <w:tab w:val="left" w:pos="903"/>
        </w:tabs>
        <w:spacing w:line="374" w:lineRule="exact"/>
        <w:ind w:firstLine="420"/>
        <w:rPr>
          <w:rFonts w:hint="eastAsia" w:ascii="宋体" w:hAnsi="宋体" w:eastAsia="宋体" w:cs="宋体"/>
          <w:color w:val="auto"/>
          <w:highlight w:val="none"/>
        </w:rPr>
      </w:pPr>
      <w:bookmarkStart w:id="1987" w:name="bookmark1527"/>
      <w:bookmarkEnd w:id="1987"/>
      <w:r>
        <w:rPr>
          <w:rFonts w:hint="eastAsia" w:ascii="宋体" w:hAnsi="宋体" w:eastAsia="宋体" w:cs="宋体"/>
          <w:color w:val="auto"/>
          <w:highlight w:val="none"/>
        </w:rPr>
        <w:t>合同解除日以前所完成工作的价款；</w:t>
      </w:r>
    </w:p>
    <w:p w14:paraId="5EE96CF1">
      <w:pPr>
        <w:pStyle w:val="115"/>
        <w:numPr>
          <w:ilvl w:val="0"/>
          <w:numId w:val="32"/>
        </w:numPr>
        <w:tabs>
          <w:tab w:val="left" w:pos="920"/>
        </w:tabs>
        <w:spacing w:line="365" w:lineRule="exact"/>
        <w:ind w:firstLine="440"/>
        <w:jc w:val="both"/>
        <w:rPr>
          <w:rFonts w:hint="eastAsia" w:ascii="宋体" w:hAnsi="宋体" w:eastAsia="宋体" w:cs="宋体"/>
          <w:color w:val="auto"/>
          <w:highlight w:val="none"/>
        </w:rPr>
      </w:pPr>
      <w:bookmarkStart w:id="1988" w:name="bookmark1528"/>
      <w:bookmarkEnd w:id="1988"/>
      <w:r>
        <w:rPr>
          <w:rFonts w:hint="eastAsia" w:ascii="宋体" w:hAnsi="宋体" w:eastAsia="宋体" w:cs="宋体"/>
          <w:color w:val="auto"/>
          <w:highlight w:val="none"/>
        </w:rPr>
        <w:t>承包人为该工程施工订购并已付款的材料、工程设备和其他物品的金额。发包人付还后，该材料、工程设备和其他物品归发包人所有；</w:t>
      </w:r>
    </w:p>
    <w:p w14:paraId="5EE96CF2">
      <w:pPr>
        <w:pStyle w:val="115"/>
        <w:numPr>
          <w:ilvl w:val="0"/>
          <w:numId w:val="32"/>
        </w:numPr>
        <w:tabs>
          <w:tab w:val="left" w:pos="903"/>
        </w:tabs>
        <w:spacing w:line="365" w:lineRule="exact"/>
        <w:ind w:firstLine="420"/>
        <w:rPr>
          <w:rFonts w:hint="eastAsia" w:ascii="宋体" w:hAnsi="宋体" w:eastAsia="宋体" w:cs="宋体"/>
          <w:color w:val="auto"/>
          <w:highlight w:val="none"/>
        </w:rPr>
      </w:pPr>
      <w:bookmarkStart w:id="1989" w:name="bookmark1529"/>
      <w:bookmarkEnd w:id="1989"/>
      <w:r>
        <w:rPr>
          <w:rFonts w:hint="eastAsia" w:ascii="宋体" w:hAnsi="宋体" w:eastAsia="宋体" w:cs="宋体"/>
          <w:color w:val="auto"/>
          <w:highlight w:val="none"/>
        </w:rPr>
        <w:t>承包人为完成工程所发生的，而发包人未支付的金额；</w:t>
      </w:r>
    </w:p>
    <w:p w14:paraId="5EE96CF3">
      <w:pPr>
        <w:pStyle w:val="115"/>
        <w:numPr>
          <w:ilvl w:val="0"/>
          <w:numId w:val="32"/>
        </w:numPr>
        <w:tabs>
          <w:tab w:val="left" w:pos="903"/>
        </w:tabs>
        <w:spacing w:line="358" w:lineRule="exact"/>
        <w:ind w:firstLine="420"/>
        <w:rPr>
          <w:rFonts w:hint="eastAsia" w:ascii="宋体" w:hAnsi="宋体" w:eastAsia="宋体" w:cs="宋体"/>
          <w:color w:val="auto"/>
          <w:highlight w:val="none"/>
        </w:rPr>
      </w:pPr>
      <w:bookmarkStart w:id="1990" w:name="bookmark1530"/>
      <w:bookmarkEnd w:id="1990"/>
      <w:r>
        <w:rPr>
          <w:rFonts w:hint="eastAsia" w:ascii="宋体" w:hAnsi="宋体" w:eastAsia="宋体" w:cs="宋体"/>
          <w:color w:val="auto"/>
          <w:highlight w:val="none"/>
        </w:rPr>
        <w:t>承包人撤离施工场地以及遣散承包人人员的金额；</w:t>
      </w:r>
    </w:p>
    <w:p w14:paraId="5EE96CF4">
      <w:pPr>
        <w:pStyle w:val="115"/>
        <w:numPr>
          <w:ilvl w:val="0"/>
          <w:numId w:val="32"/>
        </w:numPr>
        <w:tabs>
          <w:tab w:val="left" w:pos="903"/>
        </w:tabs>
        <w:spacing w:line="358" w:lineRule="exact"/>
        <w:ind w:firstLine="420"/>
        <w:rPr>
          <w:rFonts w:hint="eastAsia" w:ascii="宋体" w:hAnsi="宋体" w:eastAsia="宋体" w:cs="宋体"/>
          <w:color w:val="auto"/>
          <w:highlight w:val="none"/>
        </w:rPr>
      </w:pPr>
      <w:bookmarkStart w:id="1991" w:name="bookmark1531"/>
      <w:bookmarkEnd w:id="1991"/>
      <w:r>
        <w:rPr>
          <w:rFonts w:hint="eastAsia" w:ascii="宋体" w:hAnsi="宋体" w:eastAsia="宋体" w:cs="宋体"/>
          <w:color w:val="auto"/>
          <w:highlight w:val="none"/>
        </w:rPr>
        <w:t>由于解除合同应赔偿的承包人损失；</w:t>
      </w:r>
    </w:p>
    <w:p w14:paraId="5EE96CF5">
      <w:pPr>
        <w:pStyle w:val="115"/>
        <w:numPr>
          <w:ilvl w:val="0"/>
          <w:numId w:val="32"/>
        </w:numPr>
        <w:tabs>
          <w:tab w:val="left" w:pos="903"/>
        </w:tabs>
        <w:spacing w:line="358" w:lineRule="exact"/>
        <w:ind w:firstLine="420"/>
        <w:rPr>
          <w:rFonts w:hint="eastAsia" w:ascii="宋体" w:hAnsi="宋体" w:eastAsia="宋体" w:cs="宋体"/>
          <w:color w:val="auto"/>
          <w:highlight w:val="none"/>
        </w:rPr>
      </w:pPr>
      <w:bookmarkStart w:id="1992" w:name="bookmark1532"/>
      <w:bookmarkEnd w:id="1992"/>
      <w:r>
        <w:rPr>
          <w:rFonts w:hint="eastAsia" w:ascii="宋体" w:hAnsi="宋体" w:eastAsia="宋体" w:cs="宋体"/>
          <w:color w:val="auto"/>
          <w:highlight w:val="none"/>
        </w:rPr>
        <w:t>按合同约定在合同解除日前应支付给承包人的其他金额。</w:t>
      </w:r>
    </w:p>
    <w:p w14:paraId="5EE96CF6">
      <w:pPr>
        <w:pStyle w:val="115"/>
        <w:spacing w:line="358"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发包人应按本项约定支付上述金额并退还质量保证金和履约担保，但有权要求承包人支付应偿还给发包人的各项金额。</w:t>
      </w:r>
    </w:p>
    <w:p w14:paraId="5EE96CF7">
      <w:pPr>
        <w:pStyle w:val="115"/>
        <w:spacing w:line="362" w:lineRule="exact"/>
        <w:ind w:firstLine="420"/>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22.2.5解除合同后的承包人撤离</w:t>
      </w:r>
    </w:p>
    <w:p w14:paraId="5EE96CF8">
      <w:pPr>
        <w:pStyle w:val="115"/>
        <w:spacing w:after="180" w:line="348"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因发包人违约而解除合同后，承包人应妥善做好已竣工工程和已购材料、设备的保护和移交工作，按发包人要求将承包人设备和人员撤出施工场地。承包人撤出施工场地应遵守第</w:t>
      </w:r>
      <w:r>
        <w:rPr>
          <w:rFonts w:hint="eastAsia" w:ascii="宋体" w:hAnsi="宋体" w:eastAsia="宋体" w:cs="宋体"/>
          <w:color w:val="auto"/>
          <w:highlight w:val="none"/>
          <w:lang w:val="en-US" w:bidi="en-US"/>
        </w:rPr>
        <w:t>18.7.</w:t>
      </w:r>
      <w:r>
        <w:rPr>
          <w:rFonts w:hint="eastAsia" w:ascii="宋体" w:hAnsi="宋体" w:eastAsia="宋体" w:cs="宋体"/>
          <w:color w:val="auto"/>
          <w:highlight w:val="none"/>
        </w:rPr>
        <w:t>1项的约定，发包人应为承包人撤出提供必要条件。</w:t>
      </w:r>
    </w:p>
    <w:p w14:paraId="5EE96CF9">
      <w:pPr>
        <w:pStyle w:val="116"/>
        <w:spacing w:line="360" w:lineRule="exact"/>
        <w:rPr>
          <w:rFonts w:hint="eastAsia" w:ascii="宋体" w:hAnsi="宋体" w:eastAsia="宋体" w:cs="宋体"/>
          <w:color w:val="auto"/>
          <w:sz w:val="24"/>
          <w:szCs w:val="24"/>
          <w:highlight w:val="none"/>
          <w:lang w:eastAsia="zh-CN"/>
        </w:rPr>
      </w:pPr>
      <w:bookmarkStart w:id="1993" w:name="_Toc32519"/>
      <w:bookmarkStart w:id="1994" w:name="bookmark1534"/>
      <w:bookmarkStart w:id="1995" w:name="_Toc15175"/>
      <w:bookmarkStart w:id="1996" w:name="_Toc14652"/>
      <w:bookmarkStart w:id="1997" w:name="_Toc20607"/>
      <w:bookmarkStart w:id="1998" w:name="_Toc7744"/>
      <w:bookmarkStart w:id="1999" w:name="bookmark1533"/>
      <w:bookmarkStart w:id="2000" w:name="_Toc9266"/>
      <w:bookmarkStart w:id="2001" w:name="bookmark1535"/>
      <w:bookmarkStart w:id="2002" w:name="_Toc199152994"/>
      <w:bookmarkStart w:id="2003" w:name="_Toc31935"/>
      <w:r>
        <w:rPr>
          <w:rFonts w:hint="eastAsia" w:ascii="宋体" w:hAnsi="宋体" w:eastAsia="宋体" w:cs="宋体"/>
          <w:color w:val="auto"/>
          <w:sz w:val="24"/>
          <w:szCs w:val="24"/>
          <w:highlight w:val="none"/>
          <w:lang w:eastAsia="zh-CN"/>
        </w:rPr>
        <w:t>22.3第三人造成的违约</w:t>
      </w:r>
      <w:bookmarkEnd w:id="1993"/>
      <w:bookmarkEnd w:id="1994"/>
      <w:bookmarkEnd w:id="1995"/>
      <w:bookmarkEnd w:id="1996"/>
      <w:bookmarkEnd w:id="1997"/>
      <w:bookmarkEnd w:id="1998"/>
      <w:bookmarkEnd w:id="1999"/>
      <w:bookmarkEnd w:id="2000"/>
      <w:bookmarkEnd w:id="2001"/>
      <w:bookmarkEnd w:id="2002"/>
      <w:bookmarkEnd w:id="2003"/>
    </w:p>
    <w:p w14:paraId="5EE96CFA">
      <w:pPr>
        <w:pStyle w:val="115"/>
        <w:spacing w:after="260" w:line="350"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在履行合同过程中，一方当事人因第三人的原因造成违约的，应当向对方当事人承担违约责任。一方当事人和第三人之间的纠纷，依照法律规定或者按照约定解决。</w:t>
      </w:r>
    </w:p>
    <w:p w14:paraId="5EE96CFB">
      <w:pPr>
        <w:pStyle w:val="116"/>
        <w:spacing w:line="360" w:lineRule="exact"/>
        <w:rPr>
          <w:rFonts w:hint="eastAsia" w:ascii="宋体" w:hAnsi="宋体" w:eastAsia="宋体" w:cs="宋体"/>
          <w:color w:val="auto"/>
          <w:highlight w:val="none"/>
          <w:lang w:eastAsia="zh-CN"/>
        </w:rPr>
      </w:pPr>
      <w:bookmarkStart w:id="2004" w:name="_Toc25915"/>
      <w:bookmarkStart w:id="2005" w:name="_Toc199152995"/>
      <w:bookmarkStart w:id="2006" w:name="_Toc1501"/>
      <w:bookmarkStart w:id="2007" w:name="_Toc24657"/>
      <w:bookmarkStart w:id="2008" w:name="_Toc29128"/>
      <w:bookmarkStart w:id="2009" w:name="_Toc27027"/>
      <w:bookmarkStart w:id="2010" w:name="_Toc8277"/>
      <w:bookmarkStart w:id="2011" w:name="_Toc26868"/>
      <w:r>
        <w:rPr>
          <w:rFonts w:hint="eastAsia" w:ascii="宋体" w:hAnsi="宋体" w:eastAsia="宋体" w:cs="宋体"/>
          <w:color w:val="auto"/>
          <w:highlight w:val="none"/>
          <w:lang w:eastAsia="zh-CN"/>
        </w:rPr>
        <w:t>23.索赔</w:t>
      </w:r>
      <w:bookmarkEnd w:id="2004"/>
      <w:bookmarkEnd w:id="2005"/>
      <w:bookmarkEnd w:id="2006"/>
      <w:bookmarkEnd w:id="2007"/>
      <w:bookmarkEnd w:id="2008"/>
      <w:bookmarkEnd w:id="2009"/>
      <w:bookmarkEnd w:id="2010"/>
      <w:bookmarkEnd w:id="2011"/>
    </w:p>
    <w:p w14:paraId="5EE96CFC">
      <w:pPr>
        <w:pStyle w:val="116"/>
        <w:spacing w:line="360" w:lineRule="exact"/>
        <w:rPr>
          <w:rFonts w:hint="eastAsia" w:ascii="宋体" w:hAnsi="宋体" w:eastAsia="宋体" w:cs="宋体"/>
          <w:color w:val="auto"/>
          <w:sz w:val="24"/>
          <w:szCs w:val="24"/>
          <w:highlight w:val="none"/>
          <w:lang w:eastAsia="zh-CN"/>
        </w:rPr>
      </w:pPr>
      <w:bookmarkStart w:id="2012" w:name="_Toc31748"/>
      <w:bookmarkStart w:id="2013" w:name="_Toc26745"/>
      <w:bookmarkStart w:id="2014" w:name="_Toc25030"/>
      <w:bookmarkStart w:id="2015" w:name="bookmark1537"/>
      <w:bookmarkStart w:id="2016" w:name="_Toc15444"/>
      <w:bookmarkStart w:id="2017" w:name="_Toc199152996"/>
      <w:bookmarkStart w:id="2018" w:name="_Toc12223"/>
      <w:bookmarkStart w:id="2019" w:name="_Toc6380"/>
      <w:bookmarkStart w:id="2020" w:name="bookmark1538"/>
      <w:bookmarkStart w:id="2021" w:name="_Toc19245"/>
      <w:bookmarkStart w:id="2022" w:name="bookmark1536"/>
      <w:r>
        <w:rPr>
          <w:rFonts w:hint="eastAsia" w:ascii="宋体" w:hAnsi="宋体" w:eastAsia="宋体" w:cs="宋体"/>
          <w:color w:val="auto"/>
          <w:sz w:val="24"/>
          <w:szCs w:val="24"/>
          <w:highlight w:val="none"/>
          <w:lang w:eastAsia="zh-CN"/>
        </w:rPr>
        <w:t>23.1承包人索赔的提出</w:t>
      </w:r>
      <w:bookmarkEnd w:id="2012"/>
      <w:bookmarkEnd w:id="2013"/>
      <w:bookmarkEnd w:id="2014"/>
      <w:bookmarkEnd w:id="2015"/>
      <w:bookmarkEnd w:id="2016"/>
      <w:bookmarkEnd w:id="2017"/>
      <w:bookmarkEnd w:id="2018"/>
      <w:bookmarkEnd w:id="2019"/>
      <w:bookmarkEnd w:id="2020"/>
      <w:bookmarkEnd w:id="2021"/>
      <w:bookmarkEnd w:id="2022"/>
    </w:p>
    <w:p w14:paraId="5EE96CFD">
      <w:pPr>
        <w:pStyle w:val="47"/>
        <w:ind w:firstLine="400" w:firstLineChars="200"/>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根据合同约定，承包人认为有权得到追加付款和(或)延长工期的，应按以下程序向发包人提出索赔：</w:t>
      </w:r>
    </w:p>
    <w:p w14:paraId="5EE96CFE">
      <w:pPr>
        <w:pStyle w:val="115"/>
        <w:numPr>
          <w:ilvl w:val="0"/>
          <w:numId w:val="33"/>
        </w:numPr>
        <w:tabs>
          <w:tab w:val="left" w:pos="918"/>
        </w:tabs>
        <w:spacing w:line="362" w:lineRule="exact"/>
        <w:ind w:firstLine="440"/>
        <w:jc w:val="both"/>
        <w:rPr>
          <w:rFonts w:hint="eastAsia" w:ascii="宋体" w:hAnsi="宋体" w:eastAsia="宋体" w:cs="宋体"/>
          <w:color w:val="auto"/>
          <w:highlight w:val="none"/>
        </w:rPr>
      </w:pPr>
      <w:bookmarkStart w:id="2023" w:name="bookmark1539"/>
      <w:bookmarkEnd w:id="2023"/>
      <w:r>
        <w:rPr>
          <w:rFonts w:hint="eastAsia" w:ascii="宋体" w:hAnsi="宋体" w:eastAsia="宋体" w:cs="宋体"/>
          <w:color w:val="auto"/>
          <w:highlight w:val="none"/>
        </w:rPr>
        <w:t>承包人应在知道或应当知道索赔事件发生后28天内，向监理人递交索赔意向通知书，并说明发生索赔事件的事由。承包人未在前述28天内发出索赔意向通知书的，丧失要求追加付款和(或)延长工期的权利；</w:t>
      </w:r>
    </w:p>
    <w:p w14:paraId="5EE96CFF">
      <w:pPr>
        <w:pStyle w:val="115"/>
        <w:numPr>
          <w:ilvl w:val="0"/>
          <w:numId w:val="33"/>
        </w:numPr>
        <w:tabs>
          <w:tab w:val="left" w:pos="918"/>
        </w:tabs>
        <w:spacing w:line="354" w:lineRule="exact"/>
        <w:ind w:firstLine="440"/>
        <w:jc w:val="both"/>
        <w:rPr>
          <w:rFonts w:hint="eastAsia" w:ascii="宋体" w:hAnsi="宋体" w:eastAsia="宋体" w:cs="宋体"/>
          <w:color w:val="auto"/>
          <w:highlight w:val="none"/>
        </w:rPr>
      </w:pPr>
      <w:bookmarkStart w:id="2024" w:name="bookmark1540"/>
      <w:bookmarkEnd w:id="2024"/>
      <w:r>
        <w:rPr>
          <w:rFonts w:hint="eastAsia" w:ascii="宋体" w:hAnsi="宋体" w:eastAsia="宋体" w:cs="宋体"/>
          <w:color w:val="auto"/>
          <w:highlight w:val="none"/>
        </w:rPr>
        <w:t>承包人应在发出索赔意向通知书后28天内，向监理人正式递交索赔通知书。索赔通知书应详细说明索赔理由以及要求追加的付款金额和(或)延长的工期，并附必要的记录和证明材料；</w:t>
      </w:r>
    </w:p>
    <w:p w14:paraId="5EE96D00">
      <w:pPr>
        <w:pStyle w:val="115"/>
        <w:numPr>
          <w:ilvl w:val="0"/>
          <w:numId w:val="33"/>
        </w:numPr>
        <w:tabs>
          <w:tab w:val="left" w:pos="903"/>
        </w:tabs>
        <w:spacing w:line="354" w:lineRule="exact"/>
        <w:ind w:firstLine="440"/>
        <w:jc w:val="both"/>
        <w:rPr>
          <w:rFonts w:hint="eastAsia" w:ascii="宋体" w:hAnsi="宋体" w:eastAsia="宋体" w:cs="宋体"/>
          <w:color w:val="auto"/>
          <w:highlight w:val="none"/>
        </w:rPr>
      </w:pPr>
      <w:bookmarkStart w:id="2025" w:name="bookmark1541"/>
      <w:bookmarkEnd w:id="2025"/>
      <w:r>
        <w:rPr>
          <w:rFonts w:hint="eastAsia" w:ascii="宋体" w:hAnsi="宋体" w:eastAsia="宋体" w:cs="宋体"/>
          <w:color w:val="auto"/>
          <w:highlight w:val="none"/>
        </w:rPr>
        <w:t>索赔事件具有连续影响的，承包人应按合理时间间隔继续递交延续索赔通知，说明连续影响的实际情况和记录，列出累计的追加付款金额和(或)工期延长天数；</w:t>
      </w:r>
    </w:p>
    <w:p w14:paraId="5EE96D01">
      <w:pPr>
        <w:pStyle w:val="115"/>
        <w:numPr>
          <w:ilvl w:val="0"/>
          <w:numId w:val="33"/>
        </w:numPr>
        <w:tabs>
          <w:tab w:val="left" w:pos="920"/>
        </w:tabs>
        <w:spacing w:after="120" w:line="367" w:lineRule="exact"/>
        <w:ind w:firstLine="440"/>
        <w:jc w:val="both"/>
        <w:rPr>
          <w:rFonts w:hint="eastAsia" w:ascii="宋体" w:hAnsi="宋体" w:eastAsia="宋体" w:cs="宋体"/>
          <w:color w:val="auto"/>
          <w:highlight w:val="none"/>
        </w:rPr>
      </w:pPr>
      <w:bookmarkStart w:id="2026" w:name="bookmark1542"/>
      <w:bookmarkEnd w:id="2026"/>
      <w:r>
        <w:rPr>
          <w:rFonts w:hint="eastAsia" w:ascii="宋体" w:hAnsi="宋体" w:eastAsia="宋体" w:cs="宋体"/>
          <w:color w:val="auto"/>
          <w:highlight w:val="none"/>
        </w:rPr>
        <w:t>在索赔事件影响结束后的28天内，承包人应向监理人递交最终索赔通知书，说明最终要求索赔的追加付款金额和延长的工期，并附必要的记录和证明材料。</w:t>
      </w:r>
    </w:p>
    <w:p w14:paraId="5EE96D02">
      <w:pPr>
        <w:pStyle w:val="116"/>
        <w:spacing w:line="360" w:lineRule="exact"/>
        <w:rPr>
          <w:rFonts w:hint="eastAsia" w:ascii="宋体" w:hAnsi="宋体" w:eastAsia="宋体" w:cs="宋体"/>
          <w:color w:val="auto"/>
          <w:sz w:val="24"/>
          <w:szCs w:val="24"/>
          <w:highlight w:val="none"/>
          <w:lang w:eastAsia="zh-CN"/>
        </w:rPr>
      </w:pPr>
      <w:bookmarkStart w:id="2027" w:name="_Toc1402"/>
      <w:bookmarkStart w:id="2028" w:name="_Toc23700"/>
      <w:bookmarkStart w:id="2029" w:name="bookmark1545"/>
      <w:bookmarkStart w:id="2030" w:name="_Toc22594"/>
      <w:bookmarkStart w:id="2031" w:name="bookmark1544"/>
      <w:bookmarkStart w:id="2032" w:name="_Toc5534"/>
      <w:bookmarkStart w:id="2033" w:name="_Toc28499"/>
      <w:bookmarkStart w:id="2034" w:name="bookmark1543"/>
      <w:bookmarkStart w:id="2035" w:name="_Toc29790"/>
      <w:bookmarkStart w:id="2036" w:name="_Toc199152997"/>
      <w:bookmarkStart w:id="2037" w:name="_Toc26095"/>
      <w:r>
        <w:rPr>
          <w:rFonts w:hint="eastAsia" w:ascii="宋体" w:hAnsi="宋体" w:eastAsia="宋体" w:cs="宋体"/>
          <w:color w:val="auto"/>
          <w:sz w:val="24"/>
          <w:szCs w:val="24"/>
          <w:highlight w:val="none"/>
          <w:lang w:eastAsia="zh-CN"/>
        </w:rPr>
        <w:t>23.2承包人索赔处理程序</w:t>
      </w:r>
      <w:bookmarkEnd w:id="2027"/>
      <w:bookmarkEnd w:id="2028"/>
      <w:bookmarkEnd w:id="2029"/>
      <w:bookmarkEnd w:id="2030"/>
      <w:bookmarkEnd w:id="2031"/>
      <w:bookmarkEnd w:id="2032"/>
      <w:bookmarkEnd w:id="2033"/>
      <w:bookmarkEnd w:id="2034"/>
      <w:bookmarkEnd w:id="2035"/>
      <w:bookmarkEnd w:id="2036"/>
      <w:bookmarkEnd w:id="2037"/>
    </w:p>
    <w:p w14:paraId="5EE96D03">
      <w:pPr>
        <w:pStyle w:val="115"/>
        <w:numPr>
          <w:ilvl w:val="0"/>
          <w:numId w:val="34"/>
        </w:numPr>
        <w:tabs>
          <w:tab w:val="left" w:pos="922"/>
        </w:tabs>
        <w:spacing w:line="348" w:lineRule="exact"/>
        <w:ind w:firstLine="440"/>
        <w:jc w:val="both"/>
        <w:rPr>
          <w:rFonts w:hint="eastAsia" w:ascii="宋体" w:hAnsi="宋体" w:eastAsia="宋体" w:cs="宋体"/>
          <w:color w:val="auto"/>
          <w:highlight w:val="none"/>
        </w:rPr>
      </w:pPr>
      <w:bookmarkStart w:id="2038" w:name="bookmark1546"/>
      <w:bookmarkEnd w:id="2038"/>
      <w:r>
        <w:rPr>
          <w:rFonts w:hint="eastAsia" w:ascii="宋体" w:hAnsi="宋体" w:eastAsia="宋体" w:cs="宋体"/>
          <w:color w:val="auto"/>
          <w:highlight w:val="none"/>
        </w:rPr>
        <w:t>监理人收到承包人提交的索赔通知书后，应及时审查索赔通知书的内容、查验承包人的记录和证明材料，必要时监理人可要求承包人提交全部原始记录副本。</w:t>
      </w:r>
    </w:p>
    <w:p w14:paraId="5EE96D04">
      <w:pPr>
        <w:pStyle w:val="115"/>
        <w:numPr>
          <w:ilvl w:val="0"/>
          <w:numId w:val="34"/>
        </w:numPr>
        <w:tabs>
          <w:tab w:val="left" w:pos="918"/>
        </w:tabs>
        <w:spacing w:line="361" w:lineRule="exact"/>
        <w:ind w:firstLine="440"/>
        <w:jc w:val="both"/>
        <w:rPr>
          <w:rFonts w:hint="eastAsia" w:ascii="宋体" w:hAnsi="宋体" w:eastAsia="宋体" w:cs="宋体"/>
          <w:color w:val="auto"/>
          <w:highlight w:val="none"/>
        </w:rPr>
      </w:pPr>
      <w:bookmarkStart w:id="2039" w:name="bookmark1547"/>
      <w:bookmarkEnd w:id="2039"/>
      <w:r>
        <w:rPr>
          <w:rFonts w:hint="eastAsia" w:ascii="宋体" w:hAnsi="宋体" w:eastAsia="宋体" w:cs="宋体"/>
          <w:color w:val="auto"/>
          <w:highlight w:val="none"/>
        </w:rPr>
        <w:t>监理人应按第</w:t>
      </w:r>
      <w:r>
        <w:rPr>
          <w:rFonts w:hint="eastAsia" w:ascii="宋体" w:hAnsi="宋体" w:eastAsia="宋体" w:cs="宋体"/>
          <w:color w:val="auto"/>
          <w:highlight w:val="none"/>
          <w:lang w:val="en-US" w:bidi="en-US"/>
        </w:rPr>
        <w:t>3.</w:t>
      </w:r>
      <w:r>
        <w:rPr>
          <w:rFonts w:hint="eastAsia" w:ascii="宋体" w:hAnsi="宋体" w:eastAsia="宋体" w:cs="宋体"/>
          <w:color w:val="auto"/>
          <w:highlight w:val="none"/>
        </w:rPr>
        <w:t>5款商定或确定追加的付款和(或)延长的工期，并在收到上述索赔通知书或有关索赔的进一步证明材料后的42天内，将索赔处理结果答复承包人。</w:t>
      </w:r>
    </w:p>
    <w:p w14:paraId="5EE96D05">
      <w:pPr>
        <w:pStyle w:val="115"/>
        <w:numPr>
          <w:ilvl w:val="0"/>
          <w:numId w:val="34"/>
        </w:numPr>
        <w:tabs>
          <w:tab w:val="left" w:pos="920"/>
        </w:tabs>
        <w:spacing w:after="120" w:line="361" w:lineRule="exact"/>
        <w:ind w:firstLine="440"/>
        <w:jc w:val="both"/>
        <w:rPr>
          <w:rFonts w:hint="eastAsia" w:ascii="宋体" w:hAnsi="宋体" w:eastAsia="宋体" w:cs="宋体"/>
          <w:color w:val="auto"/>
          <w:highlight w:val="none"/>
        </w:rPr>
      </w:pPr>
      <w:bookmarkStart w:id="2040" w:name="bookmark1548"/>
      <w:bookmarkEnd w:id="2040"/>
      <w:r>
        <w:rPr>
          <w:rFonts w:hint="eastAsia" w:ascii="宋体" w:hAnsi="宋体" w:eastAsia="宋体" w:cs="宋体"/>
          <w:color w:val="auto"/>
          <w:highlight w:val="none"/>
        </w:rPr>
        <w:t>承包人接受索赔处理结果的，发包人应在作出索赔处理结果答复后28天内完成赔付。承包人不接受索赔处理结果的，按第24条的约定办理。</w:t>
      </w:r>
    </w:p>
    <w:p w14:paraId="5EE96D06">
      <w:pPr>
        <w:pStyle w:val="116"/>
        <w:spacing w:line="360" w:lineRule="exact"/>
        <w:rPr>
          <w:rFonts w:hint="eastAsia" w:ascii="宋体" w:hAnsi="宋体" w:eastAsia="宋体" w:cs="宋体"/>
          <w:color w:val="auto"/>
          <w:sz w:val="24"/>
          <w:szCs w:val="24"/>
          <w:highlight w:val="none"/>
          <w:lang w:eastAsia="zh-CN"/>
        </w:rPr>
      </w:pPr>
      <w:bookmarkStart w:id="2041" w:name="bookmark1549"/>
      <w:bookmarkStart w:id="2042" w:name="bookmark1551"/>
      <w:bookmarkStart w:id="2043" w:name="_Toc20211"/>
      <w:bookmarkStart w:id="2044" w:name="_Toc2285"/>
      <w:bookmarkStart w:id="2045" w:name="_Toc199152998"/>
      <w:bookmarkStart w:id="2046" w:name="_Toc3433"/>
      <w:bookmarkStart w:id="2047" w:name="_Toc17649"/>
      <w:bookmarkStart w:id="2048" w:name="_Toc25861"/>
      <w:bookmarkStart w:id="2049" w:name="_Toc23368"/>
      <w:bookmarkStart w:id="2050" w:name="bookmark1550"/>
      <w:bookmarkStart w:id="2051" w:name="_Toc5392"/>
      <w:r>
        <w:rPr>
          <w:rFonts w:hint="eastAsia" w:ascii="宋体" w:hAnsi="宋体" w:eastAsia="宋体" w:cs="宋体"/>
          <w:color w:val="auto"/>
          <w:sz w:val="24"/>
          <w:szCs w:val="24"/>
          <w:highlight w:val="none"/>
          <w:lang w:eastAsia="zh-CN"/>
        </w:rPr>
        <w:t>23.3承包人提出索赔的期限</w:t>
      </w:r>
      <w:bookmarkEnd w:id="2041"/>
      <w:bookmarkEnd w:id="2042"/>
      <w:bookmarkEnd w:id="2043"/>
      <w:bookmarkEnd w:id="2044"/>
      <w:bookmarkEnd w:id="2045"/>
      <w:bookmarkEnd w:id="2046"/>
      <w:bookmarkEnd w:id="2047"/>
      <w:bookmarkEnd w:id="2048"/>
      <w:bookmarkEnd w:id="2049"/>
      <w:bookmarkEnd w:id="2050"/>
      <w:bookmarkEnd w:id="2051"/>
    </w:p>
    <w:p w14:paraId="5EE96D07">
      <w:pPr>
        <w:pStyle w:val="115"/>
        <w:numPr>
          <w:ilvl w:val="0"/>
          <w:numId w:val="35"/>
        </w:numPr>
        <w:tabs>
          <w:tab w:val="left" w:pos="855"/>
        </w:tabs>
        <w:spacing w:line="362" w:lineRule="exact"/>
        <w:ind w:firstLine="440"/>
        <w:jc w:val="both"/>
        <w:rPr>
          <w:rFonts w:hint="eastAsia" w:ascii="宋体" w:hAnsi="宋体" w:eastAsia="宋体" w:cs="宋体"/>
          <w:color w:val="auto"/>
          <w:highlight w:val="none"/>
        </w:rPr>
      </w:pPr>
      <w:bookmarkStart w:id="2052" w:name="bookmark1552"/>
      <w:bookmarkEnd w:id="2052"/>
      <w:r>
        <w:rPr>
          <w:rFonts w:hint="eastAsia" w:ascii="宋体" w:hAnsi="宋体" w:eastAsia="宋体" w:cs="宋体"/>
          <w:color w:val="auto"/>
          <w:highlight w:val="none"/>
          <w:lang w:val="en-US" w:bidi="en-US"/>
        </w:rPr>
        <w:t>3.</w:t>
      </w:r>
      <w:r>
        <w:rPr>
          <w:rFonts w:hint="eastAsia" w:ascii="宋体" w:hAnsi="宋体" w:eastAsia="宋体" w:cs="宋体"/>
          <w:color w:val="auto"/>
          <w:highlight w:val="none"/>
        </w:rPr>
        <w:t>1承包人按第</w:t>
      </w:r>
      <w:r>
        <w:rPr>
          <w:rFonts w:hint="eastAsia" w:ascii="宋体" w:hAnsi="宋体" w:eastAsia="宋体" w:cs="宋体"/>
          <w:color w:val="auto"/>
          <w:highlight w:val="none"/>
          <w:lang w:val="en-US" w:bidi="en-US"/>
        </w:rPr>
        <w:t>17.</w:t>
      </w:r>
      <w:r>
        <w:rPr>
          <w:rFonts w:hint="eastAsia" w:ascii="宋体" w:hAnsi="宋体" w:eastAsia="宋体" w:cs="宋体"/>
          <w:color w:val="auto"/>
          <w:highlight w:val="none"/>
        </w:rPr>
        <w:t>5款的约定接受了完工付款证书后，应被认为已无权再提出在合同工程完工证书颁发前所发生的任何索赔。</w:t>
      </w:r>
    </w:p>
    <w:p w14:paraId="5EE96D08">
      <w:pPr>
        <w:pStyle w:val="115"/>
        <w:spacing w:after="120" w:line="372"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23.3.2</w:t>
      </w:r>
      <w:r>
        <w:rPr>
          <w:rFonts w:hint="eastAsia" w:ascii="宋体" w:hAnsi="宋体" w:eastAsia="宋体" w:cs="宋体"/>
          <w:color w:val="auto"/>
          <w:highlight w:val="none"/>
        </w:rPr>
        <w:t>承包人按第</w:t>
      </w:r>
      <w:r>
        <w:rPr>
          <w:rFonts w:hint="eastAsia" w:ascii="宋体" w:hAnsi="宋体" w:eastAsia="宋体" w:cs="宋体"/>
          <w:color w:val="auto"/>
          <w:highlight w:val="none"/>
          <w:lang w:val="en-US" w:bidi="en-US"/>
        </w:rPr>
        <w:t>17.</w:t>
      </w:r>
      <w:r>
        <w:rPr>
          <w:rFonts w:hint="eastAsia" w:ascii="宋体" w:hAnsi="宋体" w:eastAsia="宋体" w:cs="宋体"/>
          <w:color w:val="auto"/>
          <w:highlight w:val="none"/>
        </w:rPr>
        <w:t>6款的约定提交的最终结清申请单中，只限于提出合同工程完工证书颁发后发生的索赔。提出索赔的期限自接受最终结清证书时终止。</w:t>
      </w:r>
    </w:p>
    <w:p w14:paraId="5EE96D09">
      <w:pPr>
        <w:pStyle w:val="116"/>
        <w:spacing w:line="360" w:lineRule="exact"/>
        <w:rPr>
          <w:rFonts w:hint="eastAsia" w:ascii="宋体" w:hAnsi="宋体" w:eastAsia="宋体" w:cs="宋体"/>
          <w:color w:val="auto"/>
          <w:sz w:val="24"/>
          <w:szCs w:val="24"/>
          <w:highlight w:val="none"/>
          <w:lang w:eastAsia="zh-CN"/>
        </w:rPr>
      </w:pPr>
      <w:bookmarkStart w:id="2053" w:name="bookmark1555"/>
      <w:bookmarkStart w:id="2054" w:name="_Toc15446"/>
      <w:bookmarkStart w:id="2055" w:name="_Toc1321"/>
      <w:bookmarkStart w:id="2056" w:name="_Toc5905"/>
      <w:bookmarkStart w:id="2057" w:name="_Toc13664"/>
      <w:bookmarkStart w:id="2058" w:name="_Toc199152999"/>
      <w:bookmarkStart w:id="2059" w:name="_Toc27840"/>
      <w:bookmarkStart w:id="2060" w:name="bookmark1553"/>
      <w:bookmarkStart w:id="2061" w:name="bookmark1554"/>
      <w:bookmarkStart w:id="2062" w:name="_Toc19540"/>
      <w:bookmarkStart w:id="2063" w:name="_Toc26155"/>
      <w:r>
        <w:rPr>
          <w:rFonts w:hint="eastAsia" w:ascii="宋体" w:hAnsi="宋体" w:eastAsia="宋体" w:cs="宋体"/>
          <w:color w:val="auto"/>
          <w:sz w:val="24"/>
          <w:szCs w:val="24"/>
          <w:highlight w:val="none"/>
          <w:lang w:eastAsia="zh-CN"/>
        </w:rPr>
        <w:t>23.4发包人的索赔</w:t>
      </w:r>
      <w:bookmarkEnd w:id="2053"/>
      <w:bookmarkEnd w:id="2054"/>
      <w:bookmarkEnd w:id="2055"/>
      <w:bookmarkEnd w:id="2056"/>
      <w:bookmarkEnd w:id="2057"/>
      <w:bookmarkEnd w:id="2058"/>
      <w:bookmarkEnd w:id="2059"/>
      <w:bookmarkEnd w:id="2060"/>
      <w:bookmarkEnd w:id="2061"/>
      <w:bookmarkEnd w:id="2062"/>
      <w:bookmarkEnd w:id="2063"/>
    </w:p>
    <w:p w14:paraId="5EE96D0A">
      <w:pPr>
        <w:pStyle w:val="115"/>
        <w:spacing w:line="367"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23.4.1</w:t>
      </w:r>
      <w:r>
        <w:rPr>
          <w:rFonts w:hint="eastAsia" w:ascii="宋体" w:hAnsi="宋体" w:eastAsia="宋体" w:cs="宋体"/>
          <w:color w:val="auto"/>
          <w:highlight w:val="none"/>
        </w:rPr>
        <w:t>发生索赔事件后，监理人应及时书面通知承包人，详细说明发包人有权得到的索赔金额和(或)延长缺陷责任期的细节和依据。发包人提出索赔的期限和要求与第</w:t>
      </w:r>
      <w:bookmarkStart w:id="2064" w:name="bookmark1556"/>
      <w:bookmarkEnd w:id="2064"/>
      <w:r>
        <w:rPr>
          <w:rFonts w:hint="eastAsia" w:ascii="宋体" w:hAnsi="宋体" w:eastAsia="宋体" w:cs="宋体"/>
          <w:color w:val="auto"/>
          <w:highlight w:val="none"/>
          <w:lang w:val="en-US"/>
        </w:rPr>
        <w:t>23.</w:t>
      </w:r>
      <w:r>
        <w:rPr>
          <w:rFonts w:hint="eastAsia" w:ascii="宋体" w:hAnsi="宋体" w:eastAsia="宋体" w:cs="宋体"/>
          <w:color w:val="auto"/>
          <w:highlight w:val="none"/>
        </w:rPr>
        <w:t>3款的约定相同，延长缺陷责任期的通知应在缺陷责任期届满前发出。</w:t>
      </w:r>
    </w:p>
    <w:p w14:paraId="5EE96D0B">
      <w:pPr>
        <w:pStyle w:val="115"/>
        <w:spacing w:line="367"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23.4.2</w:t>
      </w:r>
      <w:r>
        <w:rPr>
          <w:rFonts w:hint="eastAsia" w:ascii="宋体" w:hAnsi="宋体" w:eastAsia="宋体" w:cs="宋体"/>
          <w:color w:val="auto"/>
          <w:highlight w:val="none"/>
        </w:rPr>
        <w:t>监理人按第</w:t>
      </w:r>
      <w:r>
        <w:rPr>
          <w:rFonts w:hint="eastAsia" w:ascii="宋体" w:hAnsi="宋体" w:eastAsia="宋体" w:cs="宋体"/>
          <w:color w:val="auto"/>
          <w:highlight w:val="none"/>
          <w:lang w:val="en-US" w:bidi="en-US"/>
        </w:rPr>
        <w:t>3.</w:t>
      </w:r>
      <w:r>
        <w:rPr>
          <w:rFonts w:hint="eastAsia" w:ascii="宋体" w:hAnsi="宋体" w:eastAsia="宋体" w:cs="宋体"/>
          <w:color w:val="auto"/>
          <w:highlight w:val="none"/>
        </w:rPr>
        <w:t>5款商定或确定发包人从承包人处得到赔付的金额和(或)缺陷责任期的延长期。承包人应付给发包人的金额可从拟支付给承包人的合同价款中扣除</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或由承包人以其他方式支付给发包人。</w:t>
      </w:r>
    </w:p>
    <w:p w14:paraId="5EE96D0C">
      <w:pPr>
        <w:pStyle w:val="115"/>
        <w:spacing w:after="260" w:line="354"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23.4.</w:t>
      </w:r>
      <w:r>
        <w:rPr>
          <w:rFonts w:hint="eastAsia" w:ascii="宋体" w:hAnsi="宋体" w:eastAsia="宋体" w:cs="宋体"/>
          <w:color w:val="auto"/>
          <w:highlight w:val="none"/>
        </w:rPr>
        <w:t>3承包人对监理人按第</w:t>
      </w:r>
      <w:r>
        <w:rPr>
          <w:rFonts w:hint="eastAsia" w:ascii="宋体" w:hAnsi="宋体" w:eastAsia="宋体" w:cs="宋体"/>
          <w:color w:val="auto"/>
          <w:highlight w:val="none"/>
          <w:lang w:val="en-US" w:bidi="en-US"/>
        </w:rPr>
        <w:t>23.4.</w:t>
      </w:r>
      <w:r>
        <w:rPr>
          <w:rFonts w:hint="eastAsia" w:ascii="宋体" w:hAnsi="宋体" w:eastAsia="宋体" w:cs="宋体"/>
          <w:color w:val="auto"/>
          <w:highlight w:val="none"/>
        </w:rPr>
        <w:t>1项发出的索赔书面通知内容持异议时，应在收到书面通知后的14天内，将持有异议的书面报告及其证明材料提交监理人。监理人应在收到承包人书面报告后的14天内，将异议的处理意见通知承包人，并按第</w:t>
      </w:r>
      <w:r>
        <w:rPr>
          <w:rFonts w:hint="eastAsia" w:ascii="宋体" w:hAnsi="宋体" w:eastAsia="宋体" w:cs="宋体"/>
          <w:color w:val="auto"/>
          <w:highlight w:val="none"/>
          <w:lang w:val="en-US" w:bidi="en-US"/>
        </w:rPr>
        <w:t>23.4.2</w:t>
      </w:r>
      <w:r>
        <w:rPr>
          <w:rFonts w:hint="eastAsia" w:ascii="宋体" w:hAnsi="宋体" w:eastAsia="宋体" w:cs="宋体"/>
          <w:color w:val="auto"/>
          <w:highlight w:val="none"/>
        </w:rPr>
        <w:t>项的约定执行赔付。若承包人不接受监理人的索赔处理意见，可按本合同第24条的规定办理。</w:t>
      </w:r>
    </w:p>
    <w:p w14:paraId="5EE96D0D">
      <w:pPr>
        <w:pStyle w:val="116"/>
        <w:spacing w:line="360" w:lineRule="exact"/>
        <w:rPr>
          <w:rFonts w:hint="eastAsia" w:ascii="宋体" w:hAnsi="宋体" w:eastAsia="宋体" w:cs="宋体"/>
          <w:color w:val="auto"/>
          <w:highlight w:val="none"/>
          <w:lang w:eastAsia="zh-CN"/>
        </w:rPr>
      </w:pPr>
      <w:bookmarkStart w:id="2065" w:name="bookmark1559"/>
      <w:bookmarkEnd w:id="2065"/>
      <w:bookmarkStart w:id="2066" w:name="_Toc25791"/>
      <w:bookmarkStart w:id="2067" w:name="_Toc199153000"/>
      <w:bookmarkStart w:id="2068" w:name="bookmark1558"/>
      <w:bookmarkStart w:id="2069" w:name="bookmark1560"/>
      <w:bookmarkStart w:id="2070" w:name="_Toc32550"/>
      <w:bookmarkStart w:id="2071" w:name="_Toc6231"/>
      <w:bookmarkStart w:id="2072" w:name="_Toc10449"/>
      <w:bookmarkStart w:id="2073" w:name="_Toc19085"/>
      <w:bookmarkStart w:id="2074" w:name="_Toc2906"/>
      <w:bookmarkStart w:id="2075" w:name="bookmark1557"/>
      <w:bookmarkStart w:id="2076" w:name="_Toc4900"/>
      <w:r>
        <w:rPr>
          <w:rFonts w:hint="eastAsia" w:ascii="宋体" w:hAnsi="宋体" w:eastAsia="宋体" w:cs="宋体"/>
          <w:color w:val="auto"/>
          <w:highlight w:val="none"/>
          <w:lang w:eastAsia="zh-CN"/>
        </w:rPr>
        <w:t>24.争议的解决</w:t>
      </w:r>
      <w:bookmarkEnd w:id="2066"/>
      <w:bookmarkEnd w:id="2067"/>
      <w:bookmarkEnd w:id="2068"/>
      <w:bookmarkEnd w:id="2069"/>
      <w:bookmarkEnd w:id="2070"/>
      <w:bookmarkEnd w:id="2071"/>
      <w:bookmarkEnd w:id="2072"/>
      <w:bookmarkEnd w:id="2073"/>
      <w:bookmarkEnd w:id="2074"/>
      <w:bookmarkEnd w:id="2075"/>
      <w:bookmarkEnd w:id="2076"/>
    </w:p>
    <w:p w14:paraId="5EE96D0E">
      <w:pPr>
        <w:pStyle w:val="116"/>
        <w:spacing w:line="360" w:lineRule="exact"/>
        <w:rPr>
          <w:rFonts w:hint="eastAsia" w:ascii="宋体" w:hAnsi="宋体" w:eastAsia="宋体" w:cs="宋体"/>
          <w:color w:val="auto"/>
          <w:sz w:val="24"/>
          <w:szCs w:val="24"/>
          <w:highlight w:val="none"/>
          <w:lang w:eastAsia="zh-CN"/>
        </w:rPr>
      </w:pPr>
      <w:bookmarkStart w:id="2077" w:name="_Toc3062"/>
      <w:bookmarkStart w:id="2078" w:name="_Toc3210"/>
      <w:bookmarkStart w:id="2079" w:name="bookmark1561"/>
      <w:bookmarkStart w:id="2080" w:name="_Toc199153001"/>
      <w:bookmarkStart w:id="2081" w:name="_Toc3078"/>
      <w:bookmarkStart w:id="2082" w:name="bookmark1562"/>
      <w:bookmarkStart w:id="2083" w:name="_Toc16058"/>
      <w:bookmarkStart w:id="2084" w:name="bookmark1563"/>
      <w:bookmarkStart w:id="2085" w:name="_Toc11003"/>
      <w:bookmarkStart w:id="2086" w:name="_Toc5262"/>
      <w:bookmarkStart w:id="2087" w:name="_Toc12687"/>
      <w:r>
        <w:rPr>
          <w:rFonts w:hint="eastAsia" w:ascii="宋体" w:hAnsi="宋体" w:eastAsia="宋体" w:cs="宋体"/>
          <w:color w:val="auto"/>
          <w:sz w:val="24"/>
          <w:szCs w:val="24"/>
          <w:highlight w:val="none"/>
          <w:lang w:eastAsia="zh-CN"/>
        </w:rPr>
        <w:t>24.1争议的解决方式</w:t>
      </w:r>
      <w:bookmarkEnd w:id="2077"/>
      <w:bookmarkEnd w:id="2078"/>
      <w:bookmarkEnd w:id="2079"/>
      <w:bookmarkEnd w:id="2080"/>
      <w:bookmarkEnd w:id="2081"/>
      <w:bookmarkEnd w:id="2082"/>
      <w:bookmarkEnd w:id="2083"/>
      <w:bookmarkEnd w:id="2084"/>
      <w:bookmarkEnd w:id="2085"/>
      <w:bookmarkEnd w:id="2086"/>
      <w:bookmarkEnd w:id="2087"/>
    </w:p>
    <w:p w14:paraId="5EE96D0F">
      <w:pPr>
        <w:pStyle w:val="115"/>
        <w:spacing w:after="80" w:line="362"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5EE96D10">
      <w:pPr>
        <w:pStyle w:val="115"/>
        <w:numPr>
          <w:ilvl w:val="0"/>
          <w:numId w:val="36"/>
        </w:numPr>
        <w:tabs>
          <w:tab w:val="left" w:pos="901"/>
        </w:tabs>
        <w:spacing w:line="382" w:lineRule="auto"/>
        <w:ind w:firstLine="420"/>
        <w:jc w:val="both"/>
        <w:rPr>
          <w:rFonts w:hint="eastAsia" w:ascii="宋体" w:hAnsi="宋体" w:eastAsia="宋体" w:cs="宋体"/>
          <w:color w:val="auto"/>
          <w:highlight w:val="none"/>
        </w:rPr>
      </w:pPr>
      <w:bookmarkStart w:id="2088" w:name="bookmark1564"/>
      <w:bookmarkEnd w:id="2088"/>
      <w:r>
        <w:rPr>
          <w:rFonts w:hint="eastAsia" w:ascii="宋体" w:hAnsi="宋体" w:eastAsia="宋体" w:cs="宋体"/>
          <w:color w:val="auto"/>
          <w:highlight w:val="none"/>
        </w:rPr>
        <w:t>向约定的仲裁委员会申请仲裁；</w:t>
      </w:r>
    </w:p>
    <w:p w14:paraId="5EE96D11">
      <w:pPr>
        <w:pStyle w:val="115"/>
        <w:numPr>
          <w:ilvl w:val="0"/>
          <w:numId w:val="36"/>
        </w:numPr>
        <w:tabs>
          <w:tab w:val="left" w:pos="901"/>
        </w:tabs>
        <w:spacing w:line="379" w:lineRule="auto"/>
        <w:ind w:firstLine="420"/>
        <w:jc w:val="both"/>
        <w:rPr>
          <w:rFonts w:hint="eastAsia" w:ascii="宋体" w:hAnsi="宋体" w:eastAsia="宋体" w:cs="宋体"/>
          <w:color w:val="auto"/>
          <w:highlight w:val="none"/>
        </w:rPr>
      </w:pPr>
      <w:bookmarkStart w:id="2089" w:name="bookmark1565"/>
      <w:bookmarkEnd w:id="2089"/>
      <w:r>
        <w:rPr>
          <w:rFonts w:hint="eastAsia" w:ascii="宋体" w:hAnsi="宋体" w:eastAsia="宋体" w:cs="宋体"/>
          <w:color w:val="auto"/>
          <w:highlight w:val="none"/>
        </w:rPr>
        <w:t>向有管辖权的人民法院提起诉讼。</w:t>
      </w:r>
    </w:p>
    <w:p w14:paraId="5EE96D12">
      <w:pPr>
        <w:pStyle w:val="116"/>
        <w:spacing w:line="360" w:lineRule="exact"/>
        <w:rPr>
          <w:rFonts w:hint="eastAsia" w:ascii="宋体" w:hAnsi="宋体" w:eastAsia="宋体" w:cs="宋体"/>
          <w:color w:val="auto"/>
          <w:sz w:val="24"/>
          <w:szCs w:val="24"/>
          <w:highlight w:val="none"/>
          <w:lang w:eastAsia="zh-CN"/>
        </w:rPr>
      </w:pPr>
      <w:bookmarkStart w:id="2090" w:name="_Toc9979"/>
      <w:bookmarkStart w:id="2091" w:name="_Toc13255"/>
      <w:bookmarkStart w:id="2092" w:name="bookmark1567"/>
      <w:bookmarkStart w:id="2093" w:name="_Toc9157"/>
      <w:bookmarkStart w:id="2094" w:name="_Toc22895"/>
      <w:bookmarkStart w:id="2095" w:name="_Toc199153002"/>
      <w:bookmarkStart w:id="2096" w:name="_Toc7072"/>
      <w:bookmarkStart w:id="2097" w:name="_Toc9806"/>
      <w:bookmarkStart w:id="2098" w:name="_Toc13288"/>
      <w:bookmarkStart w:id="2099" w:name="bookmark1568"/>
      <w:bookmarkStart w:id="2100" w:name="bookmark1566"/>
      <w:r>
        <w:rPr>
          <w:rFonts w:hint="eastAsia" w:ascii="宋体" w:hAnsi="宋体" w:eastAsia="宋体" w:cs="宋体"/>
          <w:color w:val="auto"/>
          <w:sz w:val="24"/>
          <w:szCs w:val="24"/>
          <w:highlight w:val="none"/>
          <w:lang w:eastAsia="zh-CN"/>
        </w:rPr>
        <w:t>24.2友好解决</w:t>
      </w:r>
      <w:bookmarkEnd w:id="2090"/>
      <w:bookmarkEnd w:id="2091"/>
      <w:bookmarkEnd w:id="2092"/>
      <w:bookmarkEnd w:id="2093"/>
      <w:bookmarkEnd w:id="2094"/>
      <w:bookmarkEnd w:id="2095"/>
      <w:bookmarkEnd w:id="2096"/>
      <w:bookmarkEnd w:id="2097"/>
      <w:bookmarkEnd w:id="2098"/>
      <w:bookmarkEnd w:id="2099"/>
      <w:bookmarkEnd w:id="2100"/>
    </w:p>
    <w:p w14:paraId="5EE96D13">
      <w:pPr>
        <w:pStyle w:val="115"/>
        <w:spacing w:after="140" w:line="346"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在提请争议评审、仲裁或者诉讼前，以及在争议评审、仲裁或诉讼过程中，发包人和承包人均可共同努力友好协商解决争议。</w:t>
      </w:r>
    </w:p>
    <w:p w14:paraId="5EE96D14">
      <w:pPr>
        <w:pStyle w:val="116"/>
        <w:spacing w:line="360" w:lineRule="exact"/>
        <w:rPr>
          <w:rFonts w:hint="eastAsia" w:ascii="宋体" w:hAnsi="宋体" w:eastAsia="宋体" w:cs="宋体"/>
          <w:color w:val="auto"/>
          <w:sz w:val="24"/>
          <w:szCs w:val="24"/>
          <w:highlight w:val="none"/>
          <w:lang w:eastAsia="zh-CN"/>
        </w:rPr>
      </w:pPr>
      <w:bookmarkStart w:id="2101" w:name="bookmark1569"/>
      <w:bookmarkStart w:id="2102" w:name="bookmark1571"/>
      <w:bookmarkStart w:id="2103" w:name="_Toc12305"/>
      <w:bookmarkStart w:id="2104" w:name="_Toc3702"/>
      <w:bookmarkStart w:id="2105" w:name="bookmark1570"/>
      <w:bookmarkStart w:id="2106" w:name="_Toc22991"/>
      <w:bookmarkStart w:id="2107" w:name="_Toc2712"/>
      <w:bookmarkStart w:id="2108" w:name="_Toc3083"/>
      <w:bookmarkStart w:id="2109" w:name="_Toc25841"/>
      <w:bookmarkStart w:id="2110" w:name="_Toc199153003"/>
      <w:bookmarkStart w:id="2111" w:name="_Toc19711"/>
      <w:r>
        <w:rPr>
          <w:rFonts w:hint="eastAsia" w:ascii="宋体" w:hAnsi="宋体" w:eastAsia="宋体" w:cs="宋体"/>
          <w:color w:val="auto"/>
          <w:sz w:val="24"/>
          <w:szCs w:val="24"/>
          <w:highlight w:val="none"/>
          <w:lang w:eastAsia="zh-CN"/>
        </w:rPr>
        <w:t>24.3争议评审</w:t>
      </w:r>
      <w:bookmarkEnd w:id="2101"/>
      <w:bookmarkEnd w:id="2102"/>
      <w:bookmarkEnd w:id="2103"/>
      <w:bookmarkEnd w:id="2104"/>
      <w:bookmarkEnd w:id="2105"/>
      <w:bookmarkEnd w:id="2106"/>
      <w:bookmarkEnd w:id="2107"/>
      <w:bookmarkEnd w:id="2108"/>
      <w:bookmarkEnd w:id="2109"/>
      <w:bookmarkEnd w:id="2110"/>
      <w:bookmarkEnd w:id="2111"/>
    </w:p>
    <w:p w14:paraId="5EE96D15">
      <w:pPr>
        <w:pStyle w:val="115"/>
        <w:spacing w:line="379"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24.3.1</w:t>
      </w:r>
      <w:r>
        <w:rPr>
          <w:rFonts w:hint="eastAsia" w:ascii="宋体" w:hAnsi="宋体" w:eastAsia="宋体" w:cs="宋体"/>
          <w:color w:val="auto"/>
          <w:highlight w:val="none"/>
        </w:rPr>
        <w:t>采用争议评审的，发包人和承包人应在开工日后的28天内或在争议发生后</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协商成立争议评审组。争议评审组由有合同管理和工程实践经验的专家组成。</w:t>
      </w:r>
    </w:p>
    <w:p w14:paraId="5EE96D16">
      <w:pPr>
        <w:pStyle w:val="115"/>
        <w:spacing w:line="358"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24.3.2</w:t>
      </w:r>
      <w:r>
        <w:rPr>
          <w:rFonts w:hint="eastAsia" w:ascii="宋体" w:hAnsi="宋体" w:eastAsia="宋体" w:cs="宋体"/>
          <w:color w:val="auto"/>
          <w:highlight w:val="none"/>
        </w:rPr>
        <w:t>合同双方的争议，应首先由申请人向争议评审组提交一份详细的评审申请报告，并附必要的文件、图纸和证明材料，申请人还应将上述报告的副本同时提交给被申请人和监理人。</w:t>
      </w:r>
    </w:p>
    <w:p w14:paraId="5EE96D17">
      <w:pPr>
        <w:pStyle w:val="115"/>
        <w:spacing w:line="379"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24.3.3</w:t>
      </w:r>
      <w:r>
        <w:rPr>
          <w:rFonts w:hint="eastAsia" w:ascii="宋体" w:hAnsi="宋体" w:eastAsia="宋体" w:cs="宋体"/>
          <w:color w:val="auto"/>
          <w:highlight w:val="none"/>
        </w:rPr>
        <w:t>被申请人在收到申请人评审申请报告副本后的28天内，向争议评审组提交一份答辩报告，并附证明材料。被申请人应将答辩报告的副本同时提交给申请人和监理人。</w:t>
      </w:r>
    </w:p>
    <w:p w14:paraId="5EE96D18">
      <w:pPr>
        <w:pStyle w:val="115"/>
        <w:spacing w:line="364"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24.3.4</w:t>
      </w:r>
      <w:r>
        <w:rPr>
          <w:rFonts w:hint="eastAsia" w:ascii="宋体" w:hAnsi="宋体" w:eastAsia="宋体" w:cs="宋体"/>
          <w:color w:val="auto"/>
          <w:highlight w:val="none"/>
        </w:rPr>
        <w:t>除专用合同条款另有约定外，争议评审组在收到合同双方报告后的14天内，邀请双方代表和有关人员举行调查会，向双方调查争议细节；必要时争议评审组可要求双方进一步提供补充材料。</w:t>
      </w:r>
    </w:p>
    <w:p w14:paraId="5EE96D19">
      <w:pPr>
        <w:pStyle w:val="115"/>
        <w:spacing w:line="364" w:lineRule="exact"/>
        <w:ind w:firstLine="440"/>
        <w:jc w:val="both"/>
        <w:rPr>
          <w:rFonts w:hint="eastAsia" w:ascii="宋体" w:hAnsi="宋体" w:eastAsia="宋体" w:cs="宋体"/>
          <w:color w:val="auto"/>
          <w:highlight w:val="none"/>
        </w:rPr>
      </w:pPr>
      <w:bookmarkStart w:id="2112" w:name="bookmark1572"/>
      <w:bookmarkEnd w:id="2112"/>
      <w:r>
        <w:rPr>
          <w:rFonts w:hint="eastAsia" w:ascii="宋体" w:hAnsi="宋体" w:eastAsia="宋体" w:cs="宋体"/>
          <w:color w:val="auto"/>
          <w:highlight w:val="none"/>
        </w:rPr>
        <w:t>24.3.5除专用合同条款另有约定外，在调查会结束后的14天内，争议评审组应在不受任何干扰的情况下进行独立、公正的评审，作出书面评审意见，并说明理由。在争议评审期间，争议双方暂按总监理工程师的确定执行。</w:t>
      </w:r>
    </w:p>
    <w:p w14:paraId="5EE96D1A">
      <w:pPr>
        <w:pStyle w:val="115"/>
        <w:spacing w:line="365"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24.3.6</w:t>
      </w:r>
      <w:r>
        <w:rPr>
          <w:rFonts w:hint="eastAsia" w:ascii="宋体" w:hAnsi="宋体" w:eastAsia="宋体" w:cs="宋体"/>
          <w:color w:val="auto"/>
          <w:highlight w:val="none"/>
        </w:rPr>
        <w:t>发包人和承包人接受评审意见的，由监理人根据评审意见拟定执行协议，经争议双方签字后作为合同的补充文件，并遵照执行。</w:t>
      </w:r>
    </w:p>
    <w:p w14:paraId="5EE96D1B">
      <w:pPr>
        <w:pStyle w:val="115"/>
        <w:spacing w:after="140" w:line="359"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24.3.7</w:t>
      </w:r>
      <w:r>
        <w:rPr>
          <w:rFonts w:hint="eastAsia" w:ascii="宋体" w:hAnsi="宋体" w:eastAsia="宋体" w:cs="宋体"/>
          <w:color w:val="auto"/>
          <w:highlight w:val="none"/>
        </w:rPr>
        <w:t>发包人或承包人不接受评审意见，并要求提交仲裁或提起诉讼的，应在收到评审意见后的14天内将仲裁或起诉意向书面通知另一方，并抄送监理人，但在仲裁或诉讼结束前应暂按总监理工程师的确定执行。</w:t>
      </w:r>
    </w:p>
    <w:p w14:paraId="5EE96D1C">
      <w:pPr>
        <w:pStyle w:val="116"/>
        <w:spacing w:line="360" w:lineRule="exact"/>
        <w:rPr>
          <w:rFonts w:hint="eastAsia" w:ascii="宋体" w:hAnsi="宋体" w:eastAsia="宋体" w:cs="宋体"/>
          <w:color w:val="auto"/>
          <w:sz w:val="24"/>
          <w:szCs w:val="24"/>
          <w:highlight w:val="none"/>
          <w:lang w:eastAsia="zh-CN"/>
        </w:rPr>
      </w:pPr>
      <w:bookmarkStart w:id="2113" w:name="_Toc548"/>
      <w:bookmarkStart w:id="2114" w:name="_Toc1829"/>
      <w:bookmarkStart w:id="2115" w:name="_Toc22785"/>
      <w:bookmarkStart w:id="2116" w:name="bookmark1574"/>
      <w:bookmarkStart w:id="2117" w:name="bookmark1573"/>
      <w:bookmarkStart w:id="2118" w:name="_Toc199153004"/>
      <w:bookmarkStart w:id="2119" w:name="_Toc27270"/>
      <w:bookmarkStart w:id="2120" w:name="_Toc23723"/>
      <w:bookmarkStart w:id="2121" w:name="_Toc18512"/>
      <w:bookmarkStart w:id="2122" w:name="_Toc10843"/>
      <w:bookmarkStart w:id="2123" w:name="bookmark1575"/>
      <w:r>
        <w:rPr>
          <w:rFonts w:hint="eastAsia" w:ascii="宋体" w:hAnsi="宋体" w:eastAsia="宋体" w:cs="宋体"/>
          <w:color w:val="auto"/>
          <w:sz w:val="24"/>
          <w:szCs w:val="24"/>
          <w:highlight w:val="none"/>
          <w:lang w:eastAsia="zh-CN"/>
        </w:rPr>
        <w:t>24.4仲裁</w:t>
      </w:r>
      <w:bookmarkEnd w:id="2113"/>
      <w:bookmarkEnd w:id="2114"/>
      <w:bookmarkEnd w:id="2115"/>
      <w:bookmarkEnd w:id="2116"/>
      <w:bookmarkEnd w:id="2117"/>
      <w:bookmarkEnd w:id="2118"/>
      <w:bookmarkEnd w:id="2119"/>
      <w:bookmarkEnd w:id="2120"/>
      <w:bookmarkEnd w:id="2121"/>
      <w:bookmarkEnd w:id="2122"/>
      <w:bookmarkEnd w:id="2123"/>
    </w:p>
    <w:p w14:paraId="5EE96D1D">
      <w:pPr>
        <w:pStyle w:val="115"/>
        <w:spacing w:line="384" w:lineRule="auto"/>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24.4.1</w:t>
      </w:r>
      <w:r>
        <w:rPr>
          <w:rFonts w:hint="eastAsia" w:ascii="宋体" w:hAnsi="宋体" w:eastAsia="宋体" w:cs="宋体"/>
          <w:color w:val="auto"/>
          <w:highlight w:val="none"/>
        </w:rPr>
        <w:t>若合同双方商定直接向仲裁机构申请仲裁，应签订仲裁协议并约定仲裁机构。</w:t>
      </w:r>
    </w:p>
    <w:p w14:paraId="5EE96D1E">
      <w:pPr>
        <w:pStyle w:val="115"/>
        <w:spacing w:after="140" w:line="367" w:lineRule="exact"/>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24.4.2</w:t>
      </w:r>
      <w:r>
        <w:rPr>
          <w:rFonts w:hint="eastAsia" w:ascii="宋体" w:hAnsi="宋体" w:eastAsia="宋体" w:cs="宋体"/>
          <w:color w:val="auto"/>
          <w:highlight w:val="none"/>
        </w:rPr>
        <w:t>若合同双方未能达成仲裁协议，则本合同的仲裁条款无效，任一方均有权向人民法院提起诉讼。</w:t>
      </w:r>
    </w:p>
    <w:p w14:paraId="5EE96D1F">
      <w:pPr>
        <w:pStyle w:val="114"/>
        <w:rPr>
          <w:rFonts w:hint="eastAsia" w:ascii="宋体" w:hAnsi="宋体" w:eastAsia="宋体" w:cs="宋体"/>
          <w:color w:val="auto"/>
          <w:sz w:val="32"/>
          <w:szCs w:val="32"/>
          <w:highlight w:val="none"/>
          <w:lang w:eastAsia="zh-CN"/>
        </w:rPr>
      </w:pPr>
      <w:bookmarkStart w:id="2124" w:name="bookmark1576"/>
      <w:bookmarkStart w:id="2125" w:name="_Toc14907"/>
      <w:bookmarkStart w:id="2126" w:name="bookmark1578"/>
      <w:bookmarkStart w:id="2127" w:name="_Toc27368"/>
      <w:bookmarkStart w:id="2128" w:name="bookmark1577"/>
      <w:bookmarkStart w:id="2129" w:name="_Toc1972"/>
      <w:r>
        <w:rPr>
          <w:rFonts w:hint="eastAsia" w:ascii="宋体" w:hAnsi="宋体" w:eastAsia="宋体" w:cs="宋体"/>
          <w:color w:val="auto"/>
          <w:sz w:val="32"/>
          <w:szCs w:val="32"/>
          <w:highlight w:val="none"/>
          <w:lang w:eastAsia="zh-CN"/>
        </w:rPr>
        <w:br w:type="page"/>
      </w:r>
      <w:bookmarkStart w:id="2130" w:name="_Toc28143"/>
      <w:bookmarkStart w:id="2131" w:name="_Toc24730"/>
      <w:bookmarkStart w:id="2132" w:name="_Toc23530"/>
      <w:bookmarkStart w:id="2133" w:name="_Toc332"/>
      <w:bookmarkStart w:id="2134" w:name="_Toc199153005"/>
      <w:bookmarkStart w:id="2135" w:name="_Toc30303"/>
      <w:r>
        <w:rPr>
          <w:rFonts w:hint="eastAsia" w:ascii="宋体" w:hAnsi="宋体" w:eastAsia="宋体" w:cs="宋体"/>
          <w:bCs w:val="0"/>
          <w:color w:val="auto"/>
          <w:kern w:val="2"/>
          <w:sz w:val="28"/>
          <w:szCs w:val="28"/>
          <w:highlight w:val="none"/>
          <w:lang w:eastAsia="zh-CN" w:bidi="ar-SA"/>
        </w:rPr>
        <w:t>第三部分专用合同条款</w:t>
      </w:r>
      <w:bookmarkEnd w:id="2124"/>
      <w:bookmarkEnd w:id="2125"/>
      <w:bookmarkEnd w:id="2126"/>
      <w:bookmarkEnd w:id="2127"/>
      <w:bookmarkEnd w:id="2128"/>
      <w:bookmarkEnd w:id="2129"/>
      <w:bookmarkEnd w:id="2130"/>
      <w:bookmarkEnd w:id="2131"/>
      <w:bookmarkEnd w:id="2132"/>
      <w:bookmarkEnd w:id="2133"/>
      <w:bookmarkEnd w:id="2134"/>
      <w:bookmarkEnd w:id="2135"/>
    </w:p>
    <w:p w14:paraId="5EE96D20">
      <w:pPr>
        <w:pStyle w:val="4"/>
        <w:spacing w:line="460" w:lineRule="exact"/>
        <w:rPr>
          <w:rFonts w:hint="eastAsia" w:ascii="宋体" w:hAnsi="宋体" w:eastAsia="宋体" w:cs="宋体"/>
          <w:color w:val="auto"/>
          <w:sz w:val="21"/>
          <w:szCs w:val="21"/>
          <w:highlight w:val="none"/>
          <w:lang w:eastAsia="zh-CN"/>
        </w:rPr>
      </w:pPr>
      <w:bookmarkStart w:id="2136" w:name="bookmark1581"/>
      <w:bookmarkEnd w:id="2136"/>
      <w:bookmarkStart w:id="2137" w:name="_Toc23719"/>
      <w:bookmarkStart w:id="2138" w:name="_Toc222029527"/>
      <w:bookmarkStart w:id="2139" w:name="_Toc222032696"/>
      <w:bookmarkStart w:id="2140" w:name="_Toc221951111"/>
      <w:bookmarkStart w:id="2141" w:name="_Toc222033878"/>
      <w:bookmarkStart w:id="2142" w:name="_Toc229305387"/>
      <w:bookmarkStart w:id="2143" w:name="_Toc199153006"/>
      <w:bookmarkStart w:id="2144" w:name="_Toc222031029"/>
      <w:bookmarkStart w:id="2145" w:name="_Toc23613"/>
      <w:bookmarkStart w:id="2146" w:name="bookmark1893"/>
      <w:bookmarkStart w:id="2147" w:name="_Toc31405"/>
      <w:bookmarkStart w:id="2148" w:name="_Toc2074"/>
      <w:bookmarkStart w:id="2149" w:name="_Toc15420"/>
      <w:bookmarkStart w:id="2150" w:name="bookmark1892"/>
      <w:bookmarkStart w:id="2151" w:name="_Toc10268"/>
      <w:bookmarkStart w:id="2152" w:name="_Toc16059"/>
      <w:bookmarkStart w:id="2153" w:name="bookmark1891"/>
      <w:bookmarkStart w:id="2154" w:name="_Toc24504"/>
      <w:bookmarkStart w:id="2155" w:name="_Toc14930"/>
      <w:r>
        <w:rPr>
          <w:rFonts w:hint="eastAsia" w:ascii="宋体" w:hAnsi="宋体" w:eastAsia="宋体" w:cs="宋体"/>
          <w:color w:val="auto"/>
          <w:sz w:val="21"/>
          <w:szCs w:val="21"/>
          <w:highlight w:val="none"/>
          <w:lang w:eastAsia="zh-CN"/>
        </w:rPr>
        <w:t>1．一般约定</w:t>
      </w:r>
      <w:bookmarkEnd w:id="2137"/>
      <w:bookmarkEnd w:id="2138"/>
      <w:bookmarkEnd w:id="2139"/>
      <w:bookmarkEnd w:id="2140"/>
      <w:bookmarkEnd w:id="2141"/>
      <w:bookmarkEnd w:id="2142"/>
      <w:bookmarkEnd w:id="2143"/>
      <w:bookmarkEnd w:id="2144"/>
      <w:bookmarkEnd w:id="2145"/>
    </w:p>
    <w:p w14:paraId="5EE96D21">
      <w:pPr>
        <w:pStyle w:val="4"/>
        <w:spacing w:line="460" w:lineRule="exact"/>
        <w:rPr>
          <w:rFonts w:hint="eastAsia" w:ascii="宋体" w:hAnsi="宋体" w:eastAsia="宋体" w:cs="宋体"/>
          <w:color w:val="auto"/>
          <w:sz w:val="21"/>
          <w:szCs w:val="21"/>
          <w:highlight w:val="none"/>
          <w:lang w:eastAsia="zh-CN"/>
        </w:rPr>
      </w:pPr>
      <w:bookmarkStart w:id="2156" w:name="_Toc221951112"/>
      <w:bookmarkStart w:id="2157" w:name="_Toc8129"/>
      <w:bookmarkStart w:id="2158" w:name="_Toc2059"/>
      <w:bookmarkStart w:id="2159" w:name="_Toc199153007"/>
      <w:r>
        <w:rPr>
          <w:rFonts w:hint="eastAsia" w:ascii="宋体" w:hAnsi="宋体" w:eastAsia="宋体" w:cs="宋体"/>
          <w:color w:val="auto"/>
          <w:sz w:val="21"/>
          <w:szCs w:val="21"/>
          <w:highlight w:val="none"/>
          <w:lang w:eastAsia="zh-CN"/>
        </w:rPr>
        <w:t>1.1词语定义</w:t>
      </w:r>
      <w:bookmarkEnd w:id="2156"/>
      <w:bookmarkEnd w:id="2157"/>
      <w:bookmarkEnd w:id="2158"/>
      <w:bookmarkEnd w:id="2159"/>
    </w:p>
    <w:p w14:paraId="5EE96D22">
      <w:pPr>
        <w:spacing w:line="460" w:lineRule="exact"/>
        <w:ind w:firstLine="422" w:firstLineChars="200"/>
        <w:rPr>
          <w:rFonts w:hint="eastAsia" w:ascii="宋体" w:hAnsi="宋体" w:eastAsia="宋体" w:cs="宋体"/>
          <w:color w:val="auto"/>
          <w:sz w:val="21"/>
          <w:szCs w:val="21"/>
          <w:highlight w:val="none"/>
          <w:lang w:eastAsia="zh-CN"/>
        </w:rPr>
      </w:pPr>
      <w:bookmarkStart w:id="2160" w:name="_Toc221951113"/>
      <w:r>
        <w:rPr>
          <w:rFonts w:hint="eastAsia" w:ascii="宋体" w:hAnsi="宋体" w:eastAsia="宋体" w:cs="宋体"/>
          <w:b/>
          <w:color w:val="auto"/>
          <w:sz w:val="21"/>
          <w:szCs w:val="21"/>
          <w:highlight w:val="none"/>
          <w:lang w:eastAsia="zh-CN"/>
        </w:rPr>
        <w:t>1.1.2</w:t>
      </w:r>
      <w:r>
        <w:rPr>
          <w:rFonts w:hint="eastAsia" w:ascii="宋体" w:hAnsi="宋体" w:eastAsia="宋体" w:cs="宋体"/>
          <w:color w:val="auto"/>
          <w:sz w:val="21"/>
          <w:szCs w:val="21"/>
          <w:highlight w:val="none"/>
          <w:lang w:eastAsia="zh-CN"/>
        </w:rPr>
        <w:t>合同当事人和人员</w:t>
      </w:r>
      <w:bookmarkEnd w:id="2160"/>
    </w:p>
    <w:p w14:paraId="5EE96D23">
      <w:pPr>
        <w:spacing w:line="460" w:lineRule="exact"/>
        <w:ind w:firstLine="422" w:firstLineChars="200"/>
        <w:rPr>
          <w:rFonts w:hint="eastAsia" w:ascii="宋体" w:hAnsi="宋体" w:eastAsia="宋体" w:cs="宋体"/>
          <w:color w:val="auto"/>
          <w:sz w:val="21"/>
          <w:szCs w:val="21"/>
          <w:highlight w:val="none"/>
          <w:lang w:eastAsia="zh-CN"/>
        </w:rPr>
      </w:pPr>
      <w:bookmarkStart w:id="2161" w:name="_Toc221951114"/>
      <w:r>
        <w:rPr>
          <w:rFonts w:hint="eastAsia" w:ascii="宋体" w:hAnsi="宋体" w:eastAsia="宋体" w:cs="宋体"/>
          <w:b/>
          <w:color w:val="auto"/>
          <w:sz w:val="21"/>
          <w:szCs w:val="21"/>
          <w:highlight w:val="none"/>
          <w:lang w:eastAsia="zh-CN"/>
        </w:rPr>
        <w:t>1.1.2.2</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w:t>
      </w:r>
      <w:bookmarkEnd w:id="2161"/>
    </w:p>
    <w:p w14:paraId="5EE96D24">
      <w:pPr>
        <w:spacing w:line="460" w:lineRule="exact"/>
        <w:ind w:firstLine="422" w:firstLineChars="200"/>
        <w:rPr>
          <w:rFonts w:hint="eastAsia" w:ascii="宋体" w:hAnsi="宋体" w:eastAsia="宋体" w:cs="宋体"/>
          <w:color w:val="auto"/>
          <w:sz w:val="21"/>
          <w:szCs w:val="21"/>
          <w:highlight w:val="none"/>
          <w:lang w:eastAsia="zh-CN"/>
        </w:rPr>
      </w:pPr>
      <w:bookmarkStart w:id="2162" w:name="_Toc221951115"/>
      <w:r>
        <w:rPr>
          <w:rFonts w:hint="eastAsia" w:ascii="宋体" w:hAnsi="宋体" w:eastAsia="宋体" w:cs="宋体"/>
          <w:b/>
          <w:color w:val="auto"/>
          <w:sz w:val="21"/>
          <w:szCs w:val="21"/>
          <w:highlight w:val="none"/>
          <w:lang w:eastAsia="zh-CN"/>
        </w:rPr>
        <w:t>1.1.2.3</w:t>
      </w:r>
      <w:r>
        <w:rPr>
          <w:rFonts w:hint="eastAsia" w:ascii="宋体" w:hAnsi="宋体" w:eastAsia="宋体" w:cs="宋体"/>
          <w:color w:val="auto"/>
          <w:sz w:val="21"/>
          <w:szCs w:val="21"/>
          <w:highlight w:val="none"/>
          <w:lang w:eastAsia="zh-CN"/>
        </w:rPr>
        <w:t>承包人：</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w:t>
      </w:r>
      <w:bookmarkEnd w:id="2162"/>
    </w:p>
    <w:p w14:paraId="5EE96D25">
      <w:pPr>
        <w:spacing w:line="460" w:lineRule="exact"/>
        <w:ind w:firstLine="422" w:firstLineChars="200"/>
        <w:rPr>
          <w:rFonts w:hint="eastAsia" w:ascii="宋体" w:hAnsi="宋体" w:eastAsia="宋体" w:cs="宋体"/>
          <w:color w:val="auto"/>
          <w:sz w:val="21"/>
          <w:szCs w:val="21"/>
          <w:highlight w:val="none"/>
          <w:u w:val="single"/>
          <w:lang w:eastAsia="zh-CN"/>
        </w:rPr>
      </w:pPr>
      <w:bookmarkStart w:id="2163" w:name="_Toc221951117"/>
      <w:r>
        <w:rPr>
          <w:rFonts w:hint="eastAsia" w:ascii="宋体" w:hAnsi="宋体" w:eastAsia="宋体" w:cs="宋体"/>
          <w:b/>
          <w:color w:val="auto"/>
          <w:sz w:val="21"/>
          <w:szCs w:val="21"/>
          <w:highlight w:val="none"/>
          <w:lang w:eastAsia="zh-CN"/>
        </w:rPr>
        <w:t>1.1.2.6</w:t>
      </w:r>
      <w:r>
        <w:rPr>
          <w:rFonts w:hint="eastAsia" w:ascii="宋体" w:hAnsi="宋体" w:eastAsia="宋体" w:cs="宋体"/>
          <w:color w:val="auto"/>
          <w:sz w:val="21"/>
          <w:szCs w:val="21"/>
          <w:highlight w:val="none"/>
          <w:lang w:eastAsia="zh-CN"/>
        </w:rPr>
        <w:t>监理人：</w:t>
      </w:r>
      <w:r>
        <w:rPr>
          <w:rFonts w:hint="eastAsia" w:ascii="宋体" w:hAnsi="宋体" w:eastAsia="宋体" w:cs="宋体"/>
          <w:color w:val="auto"/>
          <w:sz w:val="21"/>
          <w:szCs w:val="21"/>
          <w:highlight w:val="none"/>
          <w:u w:val="single"/>
          <w:lang w:eastAsia="zh-CN"/>
        </w:rPr>
        <w:t>另行通知。</w:t>
      </w:r>
      <w:bookmarkEnd w:id="2163"/>
    </w:p>
    <w:p w14:paraId="5EE96D26">
      <w:pPr>
        <w:spacing w:line="460" w:lineRule="exact"/>
        <w:ind w:firstLine="422" w:firstLineChars="200"/>
        <w:rPr>
          <w:rFonts w:hint="eastAsia" w:ascii="宋体" w:hAnsi="宋体" w:eastAsia="宋体" w:cs="宋体"/>
          <w:color w:val="auto"/>
          <w:sz w:val="21"/>
          <w:szCs w:val="21"/>
          <w:highlight w:val="none"/>
          <w:lang w:eastAsia="zh-CN"/>
        </w:rPr>
      </w:pPr>
      <w:bookmarkStart w:id="2164" w:name="_Toc221951125"/>
      <w:r>
        <w:rPr>
          <w:rFonts w:hint="eastAsia" w:ascii="宋体" w:hAnsi="宋体" w:eastAsia="宋体" w:cs="宋体"/>
          <w:b/>
          <w:color w:val="auto"/>
          <w:sz w:val="21"/>
          <w:szCs w:val="21"/>
          <w:highlight w:val="none"/>
          <w:lang w:eastAsia="zh-CN"/>
        </w:rPr>
        <w:t>1.1.4</w:t>
      </w:r>
      <w:r>
        <w:rPr>
          <w:rFonts w:hint="eastAsia" w:ascii="宋体" w:hAnsi="宋体" w:eastAsia="宋体" w:cs="宋体"/>
          <w:color w:val="auto"/>
          <w:sz w:val="21"/>
          <w:szCs w:val="21"/>
          <w:highlight w:val="none"/>
          <w:lang w:eastAsia="zh-CN"/>
        </w:rPr>
        <w:t>日期</w:t>
      </w:r>
      <w:bookmarkEnd w:id="2164"/>
    </w:p>
    <w:p w14:paraId="5EE96D27">
      <w:pPr>
        <w:spacing w:line="460" w:lineRule="exact"/>
        <w:ind w:firstLine="422" w:firstLineChars="200"/>
        <w:rPr>
          <w:rFonts w:hint="eastAsia" w:ascii="宋体" w:hAnsi="宋体" w:eastAsia="宋体" w:cs="宋体"/>
          <w:color w:val="auto"/>
          <w:sz w:val="21"/>
          <w:szCs w:val="21"/>
          <w:highlight w:val="none"/>
          <w:lang w:eastAsia="zh-CN"/>
        </w:rPr>
      </w:pPr>
      <w:bookmarkStart w:id="2165" w:name="_Toc221951126"/>
      <w:r>
        <w:rPr>
          <w:rFonts w:hint="eastAsia" w:ascii="宋体" w:hAnsi="宋体" w:eastAsia="宋体" w:cs="宋体"/>
          <w:b/>
          <w:color w:val="auto"/>
          <w:sz w:val="21"/>
          <w:szCs w:val="21"/>
          <w:highlight w:val="none"/>
          <w:lang w:eastAsia="zh-CN"/>
        </w:rPr>
        <w:t>1.1.4.5</w:t>
      </w:r>
      <w:r>
        <w:rPr>
          <w:rFonts w:hint="eastAsia" w:ascii="宋体" w:hAnsi="宋体" w:eastAsia="宋体" w:cs="宋体"/>
          <w:color w:val="auto"/>
          <w:sz w:val="21"/>
          <w:szCs w:val="21"/>
          <w:highlight w:val="none"/>
          <w:lang w:eastAsia="zh-CN"/>
        </w:rPr>
        <w:t>缺陷责任期（工程质量保修期）：</w:t>
      </w:r>
      <w:r>
        <w:rPr>
          <w:rFonts w:hint="eastAsia" w:ascii="宋体" w:hAnsi="宋体" w:eastAsia="宋体" w:cs="宋体"/>
          <w:color w:val="auto"/>
          <w:sz w:val="21"/>
          <w:szCs w:val="21"/>
          <w:highlight w:val="none"/>
          <w:u w:val="single"/>
          <w:lang w:eastAsia="zh-CN"/>
        </w:rPr>
        <w:t>一年</w:t>
      </w:r>
      <w:r>
        <w:rPr>
          <w:rFonts w:hint="eastAsia" w:ascii="宋体" w:hAnsi="宋体" w:eastAsia="宋体" w:cs="宋体"/>
          <w:color w:val="auto"/>
          <w:sz w:val="21"/>
          <w:szCs w:val="21"/>
          <w:highlight w:val="none"/>
          <w:lang w:eastAsia="zh-CN"/>
        </w:rPr>
        <w:t>。</w:t>
      </w:r>
      <w:bookmarkEnd w:id="2165"/>
    </w:p>
    <w:p w14:paraId="5EE96D28">
      <w:pPr>
        <w:pStyle w:val="4"/>
        <w:spacing w:line="460" w:lineRule="exact"/>
        <w:rPr>
          <w:rFonts w:hint="eastAsia" w:ascii="宋体" w:hAnsi="宋体" w:eastAsia="宋体" w:cs="宋体"/>
          <w:color w:val="auto"/>
          <w:sz w:val="21"/>
          <w:szCs w:val="21"/>
          <w:highlight w:val="none"/>
          <w:lang w:eastAsia="zh-CN"/>
        </w:rPr>
      </w:pPr>
      <w:bookmarkStart w:id="2166" w:name="_Toc199153008"/>
      <w:bookmarkStart w:id="2167" w:name="_Toc221951127"/>
      <w:bookmarkStart w:id="2168" w:name="_Toc20269"/>
      <w:bookmarkStart w:id="2169" w:name="_Toc29120"/>
      <w:r>
        <w:rPr>
          <w:rFonts w:hint="eastAsia" w:ascii="宋体" w:hAnsi="宋体" w:eastAsia="宋体" w:cs="宋体"/>
          <w:color w:val="auto"/>
          <w:sz w:val="21"/>
          <w:szCs w:val="21"/>
          <w:highlight w:val="none"/>
          <w:lang w:eastAsia="zh-CN"/>
        </w:rPr>
        <w:t>1.4合同文件的优先顺序</w:t>
      </w:r>
      <w:bookmarkEnd w:id="2166"/>
      <w:bookmarkEnd w:id="2167"/>
      <w:bookmarkEnd w:id="2168"/>
      <w:bookmarkEnd w:id="2169"/>
    </w:p>
    <w:p w14:paraId="5EE96D29">
      <w:pPr>
        <w:pStyle w:val="115"/>
        <w:tabs>
          <w:tab w:val="left" w:pos="954"/>
        </w:tabs>
        <w:spacing w:line="370" w:lineRule="exact"/>
        <w:ind w:firstLine="447" w:firstLineChars="213"/>
        <w:jc w:val="both"/>
        <w:rPr>
          <w:rFonts w:hint="eastAsia" w:ascii="宋体" w:hAnsi="宋体" w:eastAsia="宋体" w:cs="宋体"/>
          <w:color w:val="auto"/>
          <w:sz w:val="21"/>
          <w:szCs w:val="21"/>
          <w:highlight w:val="none"/>
          <w:lang w:val="en-US" w:eastAsia="zh-CN" w:bidi="en-US"/>
        </w:rPr>
      </w:pPr>
      <w:bookmarkStart w:id="2170" w:name="_Toc221951128"/>
      <w:r>
        <w:rPr>
          <w:rFonts w:hint="eastAsia" w:ascii="宋体" w:hAnsi="宋体" w:eastAsia="宋体" w:cs="宋体"/>
          <w:color w:val="auto"/>
          <w:sz w:val="21"/>
          <w:szCs w:val="21"/>
          <w:highlight w:val="none"/>
          <w:lang w:val="en-US" w:eastAsia="zh-CN" w:bidi="en-US"/>
        </w:rPr>
        <w:t>进入合同的各项文件及其优先顺序如下：</w:t>
      </w:r>
    </w:p>
    <w:p w14:paraId="5EE96D2A">
      <w:pPr>
        <w:pStyle w:val="115"/>
        <w:tabs>
          <w:tab w:val="left" w:pos="954"/>
        </w:tabs>
        <w:spacing w:line="370" w:lineRule="exact"/>
        <w:ind w:firstLine="447" w:firstLineChars="213"/>
        <w:jc w:val="both"/>
        <w:rPr>
          <w:rFonts w:hint="eastAsia" w:ascii="宋体" w:hAnsi="宋体" w:eastAsia="宋体" w:cs="宋体"/>
          <w:color w:val="auto"/>
          <w:sz w:val="21"/>
          <w:szCs w:val="21"/>
          <w:highlight w:val="none"/>
          <w:lang w:val="en-US" w:eastAsia="zh-CN" w:bidi="en-US"/>
        </w:rPr>
      </w:pPr>
      <w:r>
        <w:rPr>
          <w:rFonts w:hint="eastAsia" w:ascii="宋体" w:hAnsi="宋体" w:eastAsia="宋体" w:cs="宋体"/>
          <w:color w:val="auto"/>
          <w:sz w:val="21"/>
          <w:szCs w:val="21"/>
          <w:highlight w:val="none"/>
          <w:lang w:val="en-US" w:eastAsia="zh-CN" w:bidi="en-US"/>
        </w:rPr>
        <w:t>（1）合同协议书（包括补充协议、合同谈判备忘录）；</w:t>
      </w:r>
    </w:p>
    <w:p w14:paraId="5EE96D2B">
      <w:pPr>
        <w:pStyle w:val="115"/>
        <w:tabs>
          <w:tab w:val="left" w:pos="954"/>
        </w:tabs>
        <w:spacing w:line="370" w:lineRule="exact"/>
        <w:ind w:firstLine="447" w:firstLineChars="213"/>
        <w:jc w:val="both"/>
        <w:rPr>
          <w:rFonts w:hint="eastAsia" w:ascii="宋体" w:hAnsi="宋体" w:eastAsia="宋体" w:cs="宋体"/>
          <w:color w:val="auto"/>
          <w:sz w:val="21"/>
          <w:szCs w:val="21"/>
          <w:highlight w:val="none"/>
          <w:lang w:val="en-US" w:eastAsia="zh-CN" w:bidi="en-US"/>
        </w:rPr>
      </w:pPr>
      <w:r>
        <w:rPr>
          <w:rFonts w:hint="eastAsia" w:ascii="宋体" w:hAnsi="宋体" w:eastAsia="宋体" w:cs="宋体"/>
          <w:color w:val="auto"/>
          <w:sz w:val="21"/>
          <w:szCs w:val="21"/>
          <w:highlight w:val="none"/>
          <w:lang w:val="en-US" w:eastAsia="zh-CN" w:bidi="en-US"/>
        </w:rPr>
        <w:t>（2）成交通知书；</w:t>
      </w:r>
    </w:p>
    <w:p w14:paraId="5EE96D2C">
      <w:pPr>
        <w:pStyle w:val="115"/>
        <w:tabs>
          <w:tab w:val="left" w:pos="954"/>
        </w:tabs>
        <w:spacing w:line="370" w:lineRule="exact"/>
        <w:ind w:firstLine="447" w:firstLineChars="213"/>
        <w:jc w:val="both"/>
        <w:rPr>
          <w:rFonts w:hint="eastAsia" w:ascii="宋体" w:hAnsi="宋体" w:eastAsia="宋体" w:cs="宋体"/>
          <w:color w:val="auto"/>
          <w:sz w:val="21"/>
          <w:szCs w:val="21"/>
          <w:highlight w:val="none"/>
          <w:lang w:val="en-US" w:eastAsia="zh-CN" w:bidi="en-US"/>
        </w:rPr>
      </w:pPr>
      <w:r>
        <w:rPr>
          <w:rFonts w:hint="eastAsia" w:ascii="宋体" w:hAnsi="宋体" w:eastAsia="宋体" w:cs="宋体"/>
          <w:color w:val="auto"/>
          <w:sz w:val="21"/>
          <w:szCs w:val="21"/>
          <w:highlight w:val="none"/>
          <w:lang w:val="en-US" w:eastAsia="zh-CN" w:bidi="en-US"/>
        </w:rPr>
        <w:t>（3）谈判书及其附件；</w:t>
      </w:r>
    </w:p>
    <w:p w14:paraId="5EE96D2D">
      <w:pPr>
        <w:pStyle w:val="115"/>
        <w:tabs>
          <w:tab w:val="left" w:pos="954"/>
        </w:tabs>
        <w:spacing w:line="370" w:lineRule="exact"/>
        <w:ind w:firstLine="447" w:firstLineChars="213"/>
        <w:jc w:val="both"/>
        <w:rPr>
          <w:rFonts w:hint="eastAsia" w:ascii="宋体" w:hAnsi="宋体" w:eastAsia="宋体" w:cs="宋体"/>
          <w:color w:val="auto"/>
          <w:sz w:val="21"/>
          <w:szCs w:val="21"/>
          <w:highlight w:val="none"/>
          <w:lang w:val="en-US" w:eastAsia="zh-CN" w:bidi="en-US"/>
        </w:rPr>
      </w:pPr>
      <w:r>
        <w:rPr>
          <w:rFonts w:hint="eastAsia" w:ascii="宋体" w:hAnsi="宋体" w:eastAsia="宋体" w:cs="宋体"/>
          <w:color w:val="auto"/>
          <w:sz w:val="21"/>
          <w:szCs w:val="21"/>
          <w:highlight w:val="none"/>
          <w:lang w:val="en-US" w:eastAsia="zh-CN" w:bidi="en-US"/>
        </w:rPr>
        <w:t>（4）专用合同条款（含附加条款）；</w:t>
      </w:r>
    </w:p>
    <w:p w14:paraId="5EE96D2E">
      <w:pPr>
        <w:pStyle w:val="115"/>
        <w:tabs>
          <w:tab w:val="left" w:pos="954"/>
        </w:tabs>
        <w:spacing w:line="370" w:lineRule="exact"/>
        <w:ind w:firstLine="447" w:firstLineChars="213"/>
        <w:jc w:val="both"/>
        <w:rPr>
          <w:rFonts w:hint="eastAsia" w:ascii="宋体" w:hAnsi="宋体" w:eastAsia="宋体" w:cs="宋体"/>
          <w:color w:val="auto"/>
          <w:sz w:val="21"/>
          <w:szCs w:val="21"/>
          <w:highlight w:val="none"/>
          <w:lang w:val="en-US" w:eastAsia="zh-CN" w:bidi="en-US"/>
        </w:rPr>
      </w:pPr>
      <w:r>
        <w:rPr>
          <w:rFonts w:hint="eastAsia" w:ascii="宋体" w:hAnsi="宋体" w:eastAsia="宋体" w:cs="宋体"/>
          <w:color w:val="auto"/>
          <w:sz w:val="21"/>
          <w:szCs w:val="21"/>
          <w:highlight w:val="none"/>
          <w:lang w:val="en-US" w:eastAsia="zh-CN" w:bidi="en-US"/>
        </w:rPr>
        <w:t>（5）图纸；</w:t>
      </w:r>
    </w:p>
    <w:p w14:paraId="5EE96D2F">
      <w:pPr>
        <w:pStyle w:val="115"/>
        <w:tabs>
          <w:tab w:val="left" w:pos="954"/>
        </w:tabs>
        <w:spacing w:line="370" w:lineRule="exact"/>
        <w:ind w:firstLine="447" w:firstLineChars="213"/>
        <w:jc w:val="both"/>
        <w:rPr>
          <w:rFonts w:hint="eastAsia" w:ascii="宋体" w:hAnsi="宋体" w:eastAsia="宋体" w:cs="宋体"/>
          <w:color w:val="auto"/>
          <w:sz w:val="21"/>
          <w:szCs w:val="21"/>
          <w:highlight w:val="none"/>
          <w:lang w:val="en-US" w:eastAsia="zh-CN" w:bidi="en-US"/>
        </w:rPr>
      </w:pPr>
      <w:r>
        <w:rPr>
          <w:rFonts w:hint="eastAsia" w:ascii="宋体" w:hAnsi="宋体" w:eastAsia="宋体" w:cs="宋体"/>
          <w:color w:val="auto"/>
          <w:sz w:val="21"/>
          <w:szCs w:val="21"/>
          <w:highlight w:val="none"/>
          <w:lang w:val="en-US" w:eastAsia="zh-CN" w:bidi="en-US"/>
        </w:rPr>
        <w:t>（6）已标价工程量清单；</w:t>
      </w:r>
    </w:p>
    <w:p w14:paraId="5EE96D30">
      <w:pPr>
        <w:pStyle w:val="115"/>
        <w:tabs>
          <w:tab w:val="left" w:pos="954"/>
        </w:tabs>
        <w:spacing w:line="370" w:lineRule="exact"/>
        <w:ind w:firstLine="447" w:firstLineChars="213"/>
        <w:jc w:val="both"/>
        <w:rPr>
          <w:rFonts w:hint="eastAsia" w:ascii="宋体" w:hAnsi="宋体" w:eastAsia="宋体" w:cs="宋体"/>
          <w:color w:val="auto"/>
          <w:sz w:val="21"/>
          <w:szCs w:val="21"/>
          <w:highlight w:val="none"/>
          <w:lang w:val="en-US" w:eastAsia="zh-CN" w:bidi="en-US"/>
        </w:rPr>
      </w:pPr>
      <w:r>
        <w:rPr>
          <w:rFonts w:hint="eastAsia" w:ascii="宋体" w:hAnsi="宋体" w:eastAsia="宋体" w:cs="宋体"/>
          <w:color w:val="auto"/>
          <w:sz w:val="21"/>
          <w:szCs w:val="21"/>
          <w:highlight w:val="none"/>
          <w:lang w:val="en-US" w:eastAsia="zh-CN" w:bidi="en-US"/>
        </w:rPr>
        <w:t>（7）技术标准和要求（合同技术条款）；</w:t>
      </w:r>
    </w:p>
    <w:p w14:paraId="5EE96D31">
      <w:pPr>
        <w:pStyle w:val="115"/>
        <w:tabs>
          <w:tab w:val="left" w:pos="954"/>
        </w:tabs>
        <w:spacing w:line="370" w:lineRule="exact"/>
        <w:ind w:firstLine="447" w:firstLineChars="213"/>
        <w:jc w:val="both"/>
        <w:rPr>
          <w:rFonts w:hint="eastAsia" w:ascii="宋体" w:hAnsi="宋体" w:eastAsia="宋体" w:cs="宋体"/>
          <w:color w:val="auto"/>
          <w:sz w:val="21"/>
          <w:szCs w:val="21"/>
          <w:highlight w:val="none"/>
          <w:lang w:val="en-US" w:eastAsia="zh-CN" w:bidi="en-US"/>
        </w:rPr>
      </w:pPr>
      <w:r>
        <w:rPr>
          <w:rFonts w:hint="eastAsia" w:ascii="宋体" w:hAnsi="宋体" w:eastAsia="宋体" w:cs="宋体"/>
          <w:color w:val="auto"/>
          <w:sz w:val="21"/>
          <w:szCs w:val="21"/>
          <w:highlight w:val="none"/>
          <w:lang w:val="en-US" w:eastAsia="zh-CN" w:bidi="en-US"/>
        </w:rPr>
        <w:t>（8）通用合同条款；</w:t>
      </w:r>
    </w:p>
    <w:p w14:paraId="5EE96D32">
      <w:pPr>
        <w:pStyle w:val="115"/>
        <w:tabs>
          <w:tab w:val="left" w:pos="954"/>
        </w:tabs>
        <w:spacing w:line="370" w:lineRule="exact"/>
        <w:ind w:firstLine="447" w:firstLineChars="213"/>
        <w:jc w:val="both"/>
        <w:rPr>
          <w:rFonts w:hint="eastAsia" w:ascii="宋体" w:hAnsi="宋体" w:eastAsia="宋体" w:cs="宋体"/>
          <w:color w:val="auto"/>
          <w:sz w:val="21"/>
          <w:szCs w:val="21"/>
          <w:highlight w:val="none"/>
          <w:lang w:val="en-US" w:eastAsia="zh-CN" w:bidi="en-US"/>
        </w:rPr>
      </w:pPr>
      <w:r>
        <w:rPr>
          <w:rFonts w:hint="eastAsia" w:ascii="宋体" w:hAnsi="宋体" w:eastAsia="宋体" w:cs="宋体"/>
          <w:color w:val="auto"/>
          <w:sz w:val="21"/>
          <w:szCs w:val="21"/>
          <w:highlight w:val="none"/>
          <w:lang w:val="en-US" w:eastAsia="zh-CN" w:bidi="en-US"/>
        </w:rPr>
        <w:t>（9）投标文件其他内容；</w:t>
      </w:r>
    </w:p>
    <w:p w14:paraId="5EE96D33">
      <w:pPr>
        <w:pStyle w:val="115"/>
        <w:tabs>
          <w:tab w:val="left" w:pos="954"/>
        </w:tabs>
        <w:spacing w:line="370" w:lineRule="exact"/>
        <w:ind w:firstLine="447" w:firstLineChars="213"/>
        <w:jc w:val="both"/>
        <w:rPr>
          <w:rFonts w:hint="eastAsia" w:ascii="宋体" w:hAnsi="宋体" w:eastAsia="宋体" w:cs="宋体"/>
          <w:color w:val="auto"/>
          <w:sz w:val="21"/>
          <w:szCs w:val="21"/>
          <w:highlight w:val="none"/>
          <w:lang w:val="en-US" w:eastAsia="zh-CN" w:bidi="en-US"/>
        </w:rPr>
      </w:pPr>
      <w:r>
        <w:rPr>
          <w:rFonts w:hint="eastAsia" w:ascii="宋体" w:hAnsi="宋体" w:eastAsia="宋体" w:cs="宋体"/>
          <w:color w:val="auto"/>
          <w:sz w:val="21"/>
          <w:szCs w:val="21"/>
          <w:highlight w:val="none"/>
          <w:lang w:val="en-US" w:eastAsia="zh-CN" w:bidi="en-US"/>
        </w:rPr>
        <w:t>（10）其他合同文件。</w:t>
      </w:r>
    </w:p>
    <w:p w14:paraId="5EE96D34">
      <w:pPr>
        <w:pStyle w:val="115"/>
        <w:tabs>
          <w:tab w:val="left" w:pos="954"/>
        </w:tabs>
        <w:spacing w:line="370" w:lineRule="exact"/>
        <w:ind w:firstLine="447" w:firstLineChars="213"/>
        <w:jc w:val="both"/>
        <w:rPr>
          <w:rFonts w:hint="eastAsia" w:ascii="宋体" w:hAnsi="宋体" w:eastAsia="宋体" w:cs="宋体"/>
          <w:color w:val="auto"/>
          <w:sz w:val="21"/>
          <w:szCs w:val="21"/>
          <w:highlight w:val="none"/>
          <w:lang w:val="en-US" w:eastAsia="zh-CN" w:bidi="en-US"/>
        </w:rPr>
      </w:pPr>
      <w:r>
        <w:rPr>
          <w:rFonts w:hint="eastAsia" w:ascii="宋体" w:hAnsi="宋体" w:eastAsia="宋体" w:cs="宋体"/>
          <w:color w:val="auto"/>
          <w:sz w:val="21"/>
          <w:szCs w:val="21"/>
          <w:highlight w:val="none"/>
          <w:lang w:val="en-US" w:eastAsia="zh-CN" w:bidi="en-US"/>
        </w:rPr>
        <w:t>上述文件将互相补充，若有不明确或不一致处，以上列次序在先者为准。另外双方有关工程的洽商、变更等书面协议或文件视为本合同的组成部分，若有不明确或不一致处以时间顺序在后者为准。</w:t>
      </w:r>
    </w:p>
    <w:bookmarkEnd w:id="2170"/>
    <w:p w14:paraId="5EE96D35">
      <w:pPr>
        <w:pStyle w:val="4"/>
        <w:spacing w:line="460" w:lineRule="exact"/>
        <w:rPr>
          <w:rFonts w:hint="eastAsia" w:ascii="宋体" w:hAnsi="宋体" w:eastAsia="宋体" w:cs="宋体"/>
          <w:color w:val="auto"/>
          <w:sz w:val="21"/>
          <w:szCs w:val="21"/>
          <w:highlight w:val="none"/>
          <w:lang w:eastAsia="zh-CN"/>
        </w:rPr>
      </w:pPr>
      <w:bookmarkStart w:id="2171" w:name="_Toc21239"/>
      <w:bookmarkStart w:id="2172" w:name="_Toc199153009"/>
      <w:bookmarkStart w:id="2173" w:name="_Toc16047"/>
      <w:bookmarkStart w:id="2174" w:name="_Toc221951129"/>
      <w:r>
        <w:rPr>
          <w:rFonts w:hint="eastAsia" w:ascii="宋体" w:hAnsi="宋体" w:eastAsia="宋体" w:cs="宋体"/>
          <w:color w:val="auto"/>
          <w:sz w:val="21"/>
          <w:szCs w:val="21"/>
          <w:highlight w:val="none"/>
          <w:lang w:eastAsia="zh-CN"/>
        </w:rPr>
        <w:t>1.5合同签订</w:t>
      </w:r>
      <w:bookmarkEnd w:id="2171"/>
      <w:bookmarkEnd w:id="2172"/>
      <w:bookmarkEnd w:id="2173"/>
    </w:p>
    <w:p w14:paraId="5EE96D36">
      <w:pPr>
        <w:pStyle w:val="115"/>
        <w:tabs>
          <w:tab w:val="left" w:pos="954"/>
        </w:tabs>
        <w:spacing w:line="370" w:lineRule="exact"/>
        <w:ind w:firstLine="447" w:firstLineChars="213"/>
        <w:jc w:val="both"/>
        <w:rPr>
          <w:rFonts w:hint="eastAsia" w:ascii="宋体" w:hAnsi="宋体" w:eastAsia="宋体" w:cs="宋体"/>
          <w:color w:val="auto"/>
          <w:sz w:val="21"/>
          <w:szCs w:val="21"/>
          <w:highlight w:val="none"/>
          <w:lang w:val="en-US" w:eastAsia="zh-CN" w:bidi="en-US"/>
        </w:rPr>
      </w:pPr>
      <w:r>
        <w:rPr>
          <w:rFonts w:hint="eastAsia" w:ascii="宋体" w:hAnsi="宋体" w:eastAsia="宋体" w:cs="宋体"/>
          <w:color w:val="auto"/>
          <w:sz w:val="21"/>
          <w:szCs w:val="21"/>
          <w:highlight w:val="none"/>
          <w:lang w:val="en-US" w:eastAsia="zh-CN" w:bidi="en-US"/>
        </w:rPr>
        <w:t>签订合同时，必须由承包人法定代表人或项目经理到发包人所在地签订合同和承诺书，承诺书须承诺按投标文件施工工期完成并通过完工验收；因施工单位的原因未签订合同和承诺书，承诺书须承诺按投标文件施工工期完成并通过完工验收；因施工单位的原因未能按期完工的，按有关约定处罚金。</w:t>
      </w:r>
    </w:p>
    <w:p w14:paraId="5EE96D37">
      <w:pPr>
        <w:pStyle w:val="4"/>
        <w:spacing w:line="460" w:lineRule="exact"/>
        <w:rPr>
          <w:rFonts w:hint="eastAsia" w:ascii="宋体" w:hAnsi="宋体" w:eastAsia="宋体" w:cs="宋体"/>
          <w:color w:val="auto"/>
          <w:sz w:val="21"/>
          <w:szCs w:val="21"/>
          <w:highlight w:val="none"/>
          <w:lang w:eastAsia="zh-CN"/>
        </w:rPr>
      </w:pPr>
      <w:bookmarkStart w:id="2175" w:name="_Toc199153010"/>
      <w:bookmarkStart w:id="2176" w:name="_Toc25405"/>
      <w:bookmarkStart w:id="2177" w:name="_Toc32522"/>
      <w:r>
        <w:rPr>
          <w:rFonts w:hint="eastAsia" w:ascii="宋体" w:hAnsi="宋体" w:eastAsia="宋体" w:cs="宋体"/>
          <w:color w:val="auto"/>
          <w:sz w:val="21"/>
          <w:szCs w:val="21"/>
          <w:highlight w:val="none"/>
          <w:lang w:eastAsia="zh-CN"/>
        </w:rPr>
        <w:t>1.7联络</w:t>
      </w:r>
      <w:bookmarkEnd w:id="2174"/>
      <w:bookmarkEnd w:id="2175"/>
      <w:bookmarkEnd w:id="2176"/>
      <w:bookmarkEnd w:id="2177"/>
    </w:p>
    <w:p w14:paraId="5EE96D38">
      <w:pPr>
        <w:spacing w:line="460" w:lineRule="exact"/>
        <w:ind w:firstLine="422" w:firstLineChars="200"/>
        <w:rPr>
          <w:rFonts w:hint="eastAsia" w:ascii="宋体" w:hAnsi="宋体" w:eastAsia="宋体" w:cs="宋体"/>
          <w:color w:val="auto"/>
          <w:sz w:val="21"/>
          <w:szCs w:val="21"/>
          <w:highlight w:val="none"/>
          <w:lang w:eastAsia="zh-CN"/>
        </w:rPr>
      </w:pPr>
      <w:bookmarkStart w:id="2178" w:name="_Toc221951130"/>
      <w:r>
        <w:rPr>
          <w:rFonts w:hint="eastAsia" w:ascii="宋体" w:hAnsi="宋体" w:eastAsia="宋体" w:cs="宋体"/>
          <w:b/>
          <w:color w:val="auto"/>
          <w:sz w:val="21"/>
          <w:szCs w:val="21"/>
          <w:highlight w:val="none"/>
          <w:lang w:eastAsia="zh-CN"/>
        </w:rPr>
        <w:t>1.7.2</w:t>
      </w:r>
      <w:r>
        <w:rPr>
          <w:rFonts w:hint="eastAsia" w:ascii="宋体" w:hAnsi="宋体" w:eastAsia="宋体" w:cs="宋体"/>
          <w:color w:val="auto"/>
          <w:sz w:val="21"/>
          <w:szCs w:val="21"/>
          <w:highlight w:val="none"/>
          <w:lang w:eastAsia="zh-CN"/>
        </w:rPr>
        <w:t>来往函件均应按技术标准和要求（合同技术条款）约定的期限送达</w:t>
      </w:r>
      <w:r>
        <w:rPr>
          <w:rFonts w:hint="eastAsia" w:ascii="宋体" w:hAnsi="宋体" w:eastAsia="宋体" w:cs="宋体"/>
          <w:b/>
          <w:color w:val="auto"/>
          <w:sz w:val="21"/>
          <w:szCs w:val="21"/>
          <w:highlight w:val="none"/>
          <w:u w:val="single"/>
          <w:lang w:eastAsia="zh-CN"/>
        </w:rPr>
        <w:t>项目监理部或合浦县水利局</w:t>
      </w:r>
      <w:r>
        <w:rPr>
          <w:rFonts w:hint="eastAsia" w:ascii="宋体" w:hAnsi="宋体" w:cs="宋体"/>
          <w:b/>
          <w:color w:val="auto"/>
          <w:sz w:val="21"/>
          <w:szCs w:val="21"/>
          <w:highlight w:val="none"/>
          <w:u w:val="single"/>
          <w:lang w:eastAsia="zh-CN"/>
        </w:rPr>
        <w:t>、</w:t>
      </w:r>
      <w:r>
        <w:rPr>
          <w:rFonts w:hint="eastAsia" w:ascii="宋体" w:hAnsi="宋体" w:cs="宋体"/>
          <w:b/>
          <w:color w:val="auto"/>
          <w:sz w:val="21"/>
          <w:szCs w:val="21"/>
          <w:highlight w:val="none"/>
          <w:u w:val="single"/>
          <w:lang w:val="en-US" w:eastAsia="zh-CN"/>
        </w:rPr>
        <w:t>合浦县水旱灾害防御中心</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lang w:eastAsia="zh-CN"/>
        </w:rPr>
        <w:t>来文形式包括纸质版和电子版资料。</w:t>
      </w:r>
      <w:bookmarkEnd w:id="2178"/>
    </w:p>
    <w:p w14:paraId="5EE96D39">
      <w:pPr>
        <w:pStyle w:val="4"/>
        <w:spacing w:line="460" w:lineRule="exact"/>
        <w:rPr>
          <w:rFonts w:hint="eastAsia" w:ascii="宋体" w:hAnsi="宋体" w:eastAsia="宋体" w:cs="宋体"/>
          <w:color w:val="auto"/>
          <w:sz w:val="21"/>
          <w:szCs w:val="21"/>
          <w:highlight w:val="none"/>
          <w:lang w:eastAsia="zh-CN"/>
        </w:rPr>
      </w:pPr>
      <w:bookmarkStart w:id="2179" w:name="_Toc10714"/>
      <w:bookmarkStart w:id="2180" w:name="_Toc222031030"/>
      <w:bookmarkStart w:id="2181" w:name="_Toc229305388"/>
      <w:bookmarkStart w:id="2182" w:name="_Toc221951131"/>
      <w:bookmarkStart w:id="2183" w:name="_Toc199153011"/>
      <w:bookmarkStart w:id="2184" w:name="_Toc222032697"/>
      <w:bookmarkStart w:id="2185" w:name="_Toc14528"/>
      <w:bookmarkStart w:id="2186" w:name="_Toc222033879"/>
      <w:bookmarkStart w:id="2187" w:name="_Toc222029528"/>
      <w:r>
        <w:rPr>
          <w:rFonts w:hint="eastAsia" w:ascii="宋体" w:hAnsi="宋体" w:eastAsia="宋体" w:cs="宋体"/>
          <w:color w:val="auto"/>
          <w:sz w:val="21"/>
          <w:szCs w:val="21"/>
          <w:highlight w:val="none"/>
          <w:lang w:eastAsia="zh-CN"/>
        </w:rPr>
        <w:t>2发包人义务</w:t>
      </w:r>
      <w:bookmarkEnd w:id="2179"/>
      <w:bookmarkEnd w:id="2180"/>
      <w:bookmarkEnd w:id="2181"/>
      <w:bookmarkEnd w:id="2182"/>
      <w:bookmarkEnd w:id="2183"/>
      <w:bookmarkEnd w:id="2184"/>
      <w:bookmarkEnd w:id="2185"/>
      <w:bookmarkEnd w:id="2186"/>
      <w:bookmarkEnd w:id="2187"/>
    </w:p>
    <w:p w14:paraId="5EE96D3A">
      <w:pPr>
        <w:pStyle w:val="4"/>
        <w:spacing w:line="460" w:lineRule="exact"/>
        <w:rPr>
          <w:rFonts w:hint="eastAsia" w:ascii="宋体" w:hAnsi="宋体" w:eastAsia="宋体" w:cs="宋体"/>
          <w:color w:val="auto"/>
          <w:sz w:val="21"/>
          <w:szCs w:val="21"/>
          <w:highlight w:val="none"/>
          <w:lang w:eastAsia="zh-CN"/>
        </w:rPr>
      </w:pPr>
      <w:bookmarkStart w:id="2188" w:name="_Toc221951132"/>
      <w:bookmarkStart w:id="2189" w:name="_Toc30246"/>
      <w:bookmarkStart w:id="2190" w:name="_Toc199153012"/>
      <w:bookmarkStart w:id="2191" w:name="_Toc25849"/>
      <w:r>
        <w:rPr>
          <w:rFonts w:hint="eastAsia" w:ascii="宋体" w:hAnsi="宋体" w:eastAsia="宋体" w:cs="宋体"/>
          <w:color w:val="auto"/>
          <w:sz w:val="21"/>
          <w:szCs w:val="21"/>
          <w:highlight w:val="none"/>
          <w:lang w:eastAsia="zh-CN"/>
        </w:rPr>
        <w:t>2.3提供施工场地</w:t>
      </w:r>
      <w:bookmarkEnd w:id="2188"/>
      <w:bookmarkEnd w:id="2189"/>
      <w:bookmarkEnd w:id="2190"/>
      <w:bookmarkEnd w:id="2191"/>
    </w:p>
    <w:p w14:paraId="5EE96D3B">
      <w:pPr>
        <w:pStyle w:val="115"/>
        <w:tabs>
          <w:tab w:val="left" w:pos="954"/>
        </w:tabs>
        <w:spacing w:line="370" w:lineRule="exact"/>
        <w:ind w:firstLine="447" w:firstLineChars="213"/>
        <w:jc w:val="both"/>
        <w:rPr>
          <w:rFonts w:hint="eastAsia" w:ascii="宋体" w:hAnsi="宋体" w:eastAsia="宋体" w:cs="宋体"/>
          <w:color w:val="auto"/>
          <w:sz w:val="21"/>
          <w:szCs w:val="21"/>
          <w:highlight w:val="none"/>
          <w:lang w:val="en-US" w:eastAsia="zh-CN" w:bidi="en-US"/>
        </w:rPr>
      </w:pPr>
      <w:bookmarkStart w:id="2192" w:name="_Toc221951133"/>
      <w:bookmarkStart w:id="2193" w:name="_Toc222029529"/>
      <w:bookmarkStart w:id="2194" w:name="_Toc221951140"/>
      <w:bookmarkStart w:id="2195" w:name="_Toc222032698"/>
      <w:bookmarkStart w:id="2196" w:name="_Toc222033880"/>
      <w:bookmarkStart w:id="2197" w:name="_Toc229305389"/>
      <w:bookmarkStart w:id="2198" w:name="_Toc222031031"/>
      <w:r>
        <w:rPr>
          <w:rFonts w:hint="eastAsia" w:ascii="宋体" w:hAnsi="宋体" w:eastAsia="宋体" w:cs="宋体"/>
          <w:color w:val="auto"/>
          <w:sz w:val="21"/>
          <w:szCs w:val="21"/>
          <w:highlight w:val="none"/>
          <w:lang w:val="en-US" w:eastAsia="zh-CN" w:bidi="en-US"/>
        </w:rPr>
        <w:t>2.3.2发包人提供的施工场地范围为：</w:t>
      </w:r>
      <w:bookmarkEnd w:id="2192"/>
      <w:r>
        <w:rPr>
          <w:rFonts w:hint="eastAsia" w:ascii="宋体" w:hAnsi="宋体" w:eastAsia="宋体" w:cs="宋体"/>
          <w:color w:val="auto"/>
          <w:sz w:val="21"/>
          <w:szCs w:val="21"/>
          <w:highlight w:val="none"/>
          <w:lang w:val="en-US" w:eastAsia="zh-CN" w:bidi="en-US"/>
        </w:rPr>
        <w:t>发包人根据施工图纸划定施工场地范围，承包人负责办理工地范围内的征地、拆迁和移民等有关手续并落实工程建设用地。承包人自行处理好与当地群众的关系，保证正常施工，并承担由此引起的额外费用增加。如成交后受上述原因影响，不能按时开工或开工后不能正常施工的，可能造成工程进度滞后并有可能导致延误工期的，视为承包人违约，发包人有权终止合同，将工程另行发包。以上费用由承包人承担，发包人不另行支付。</w:t>
      </w:r>
    </w:p>
    <w:p w14:paraId="5EE96D3C">
      <w:pPr>
        <w:pStyle w:val="115"/>
        <w:tabs>
          <w:tab w:val="left" w:pos="954"/>
        </w:tabs>
        <w:spacing w:line="370" w:lineRule="exact"/>
        <w:ind w:firstLine="447" w:firstLineChars="213"/>
        <w:jc w:val="both"/>
        <w:rPr>
          <w:rFonts w:hint="eastAsia" w:ascii="宋体" w:hAnsi="宋体" w:eastAsia="宋体" w:cs="宋体"/>
          <w:color w:val="auto"/>
          <w:sz w:val="21"/>
          <w:szCs w:val="21"/>
          <w:highlight w:val="none"/>
          <w:lang w:val="en-US" w:eastAsia="zh-CN" w:bidi="en-US"/>
        </w:rPr>
      </w:pPr>
      <w:r>
        <w:rPr>
          <w:rFonts w:hint="eastAsia" w:ascii="宋体" w:hAnsi="宋体" w:eastAsia="宋体" w:cs="宋体"/>
          <w:color w:val="auto"/>
          <w:sz w:val="21"/>
          <w:szCs w:val="21"/>
          <w:highlight w:val="none"/>
          <w:lang w:val="en-US" w:eastAsia="zh-CN" w:bidi="en-US"/>
        </w:rPr>
        <w:t>2.3.3承包人自行勘察的施工场地范围为：完成合同工程施工建设任务所涉及的所有范围。</w:t>
      </w:r>
    </w:p>
    <w:p w14:paraId="5EE96D3D">
      <w:pPr>
        <w:pStyle w:val="115"/>
        <w:tabs>
          <w:tab w:val="left" w:pos="954"/>
        </w:tabs>
        <w:spacing w:line="370" w:lineRule="exact"/>
        <w:ind w:firstLine="447" w:firstLineChars="213"/>
        <w:jc w:val="both"/>
        <w:rPr>
          <w:rFonts w:hint="eastAsia" w:ascii="宋体" w:hAnsi="宋体" w:eastAsia="宋体" w:cs="宋体"/>
          <w:color w:val="auto"/>
          <w:sz w:val="21"/>
          <w:szCs w:val="21"/>
          <w:highlight w:val="none"/>
          <w:lang w:val="en-US" w:eastAsia="zh-CN" w:bidi="en-US"/>
        </w:rPr>
      </w:pPr>
      <w:r>
        <w:rPr>
          <w:rFonts w:hint="eastAsia" w:ascii="宋体" w:hAnsi="宋体" w:eastAsia="宋体" w:cs="宋体"/>
          <w:color w:val="auto"/>
          <w:sz w:val="21"/>
          <w:szCs w:val="21"/>
          <w:highlight w:val="none"/>
          <w:lang w:val="en-US" w:eastAsia="zh-CN" w:bidi="en-US"/>
        </w:rPr>
        <w:t>2.3.4发包人提供的施工场地三通一平（含施工道路）完成情况按招标现状，承包人应无条件接受现场条件。</w:t>
      </w:r>
    </w:p>
    <w:p w14:paraId="5EE96D3E">
      <w:pPr>
        <w:pStyle w:val="4"/>
        <w:spacing w:line="460" w:lineRule="exact"/>
        <w:rPr>
          <w:rFonts w:hint="eastAsia" w:ascii="宋体" w:hAnsi="宋体" w:eastAsia="宋体" w:cs="宋体"/>
          <w:color w:val="auto"/>
          <w:sz w:val="21"/>
          <w:szCs w:val="21"/>
          <w:highlight w:val="none"/>
          <w:lang w:eastAsia="zh-CN"/>
        </w:rPr>
      </w:pPr>
      <w:bookmarkStart w:id="2199" w:name="_Toc14122"/>
      <w:bookmarkStart w:id="2200" w:name="_Toc199153013"/>
      <w:bookmarkStart w:id="2201" w:name="_Toc23943"/>
      <w:r>
        <w:rPr>
          <w:rFonts w:hint="eastAsia" w:ascii="宋体" w:hAnsi="宋体" w:eastAsia="宋体" w:cs="宋体"/>
          <w:color w:val="auto"/>
          <w:sz w:val="21"/>
          <w:szCs w:val="21"/>
          <w:highlight w:val="none"/>
          <w:lang w:eastAsia="zh-CN"/>
        </w:rPr>
        <w:t>3监理人</w:t>
      </w:r>
      <w:bookmarkEnd w:id="2193"/>
      <w:bookmarkEnd w:id="2194"/>
      <w:bookmarkEnd w:id="2195"/>
      <w:bookmarkEnd w:id="2196"/>
      <w:bookmarkEnd w:id="2197"/>
      <w:bookmarkEnd w:id="2198"/>
      <w:bookmarkEnd w:id="2199"/>
      <w:bookmarkEnd w:id="2200"/>
      <w:bookmarkEnd w:id="2201"/>
    </w:p>
    <w:p w14:paraId="5EE96D3F">
      <w:pPr>
        <w:pStyle w:val="4"/>
        <w:spacing w:line="460" w:lineRule="exact"/>
        <w:rPr>
          <w:rFonts w:hint="eastAsia" w:ascii="宋体" w:hAnsi="宋体" w:eastAsia="宋体" w:cs="宋体"/>
          <w:color w:val="auto"/>
          <w:sz w:val="21"/>
          <w:szCs w:val="21"/>
          <w:highlight w:val="none"/>
          <w:lang w:eastAsia="zh-CN"/>
        </w:rPr>
      </w:pPr>
      <w:bookmarkStart w:id="2202" w:name="_Toc21300"/>
      <w:bookmarkStart w:id="2203" w:name="_Toc221951141"/>
      <w:bookmarkStart w:id="2204" w:name="_Toc31877"/>
      <w:bookmarkStart w:id="2205" w:name="_Toc199153014"/>
      <w:r>
        <w:rPr>
          <w:rFonts w:hint="eastAsia" w:ascii="宋体" w:hAnsi="宋体" w:eastAsia="宋体" w:cs="宋体"/>
          <w:color w:val="auto"/>
          <w:sz w:val="21"/>
          <w:szCs w:val="21"/>
          <w:highlight w:val="none"/>
          <w:lang w:eastAsia="zh-CN"/>
        </w:rPr>
        <w:t>3.1监理人的职责和权力</w:t>
      </w:r>
      <w:bookmarkEnd w:id="2202"/>
      <w:bookmarkEnd w:id="2203"/>
      <w:bookmarkEnd w:id="2204"/>
      <w:bookmarkEnd w:id="2205"/>
    </w:p>
    <w:p w14:paraId="5EE96D40">
      <w:pPr>
        <w:spacing w:line="460" w:lineRule="exact"/>
        <w:ind w:left="600" w:right="248"/>
        <w:rPr>
          <w:rFonts w:hint="eastAsia" w:ascii="宋体" w:hAnsi="宋体" w:eastAsia="宋体" w:cs="宋体"/>
          <w:color w:val="auto"/>
          <w:sz w:val="21"/>
          <w:szCs w:val="21"/>
          <w:highlight w:val="none"/>
          <w:lang w:eastAsia="zh-CN"/>
        </w:rPr>
      </w:pPr>
      <w:bookmarkStart w:id="2206" w:name="_Toc221951142"/>
      <w:r>
        <w:rPr>
          <w:rFonts w:hint="eastAsia" w:ascii="宋体" w:hAnsi="宋体" w:eastAsia="宋体" w:cs="宋体"/>
          <w:b/>
          <w:color w:val="auto"/>
          <w:sz w:val="21"/>
          <w:szCs w:val="21"/>
          <w:highlight w:val="none"/>
          <w:lang w:eastAsia="zh-CN"/>
        </w:rPr>
        <w:t>3.1.1</w:t>
      </w:r>
      <w:bookmarkEnd w:id="2206"/>
      <w:r>
        <w:rPr>
          <w:rFonts w:hint="eastAsia" w:ascii="宋体" w:hAnsi="宋体" w:eastAsia="宋体" w:cs="宋体"/>
          <w:b/>
          <w:color w:val="auto"/>
          <w:sz w:val="21"/>
          <w:szCs w:val="21"/>
          <w:highlight w:val="none"/>
          <w:lang w:eastAsia="zh-CN"/>
        </w:rPr>
        <w:t>　</w:t>
      </w:r>
      <w:bookmarkStart w:id="2207" w:name="_Toc221951143"/>
      <w:r>
        <w:rPr>
          <w:rFonts w:hint="eastAsia" w:ascii="宋体" w:hAnsi="宋体" w:eastAsia="宋体" w:cs="宋体"/>
          <w:color w:val="auto"/>
          <w:sz w:val="21"/>
          <w:szCs w:val="21"/>
          <w:highlight w:val="none"/>
          <w:lang w:eastAsia="zh-CN"/>
        </w:rPr>
        <w:t>监理人须根据发包人事先批准的权力范围行使权力，发包人批准的权力范围：</w:t>
      </w:r>
      <w:bookmarkEnd w:id="2207"/>
      <w:r>
        <w:rPr>
          <w:rFonts w:hint="eastAsia" w:ascii="宋体" w:hAnsi="宋体" w:eastAsia="宋体" w:cs="宋体"/>
          <w:color w:val="auto"/>
          <w:sz w:val="21"/>
          <w:szCs w:val="21"/>
          <w:highlight w:val="none"/>
          <w:lang w:eastAsia="zh-CN"/>
        </w:rPr>
        <w:t>按本工程委托监理合同。</w:t>
      </w:r>
    </w:p>
    <w:p w14:paraId="5EE96D41">
      <w:pPr>
        <w:pStyle w:val="4"/>
        <w:spacing w:line="460" w:lineRule="exact"/>
        <w:rPr>
          <w:rFonts w:hint="eastAsia" w:ascii="宋体" w:hAnsi="宋体" w:eastAsia="宋体" w:cs="宋体"/>
          <w:color w:val="auto"/>
          <w:sz w:val="21"/>
          <w:szCs w:val="21"/>
          <w:highlight w:val="none"/>
          <w:lang w:eastAsia="zh-CN"/>
        </w:rPr>
      </w:pPr>
      <w:bookmarkStart w:id="2208" w:name="_Toc16820"/>
      <w:bookmarkStart w:id="2209" w:name="_Toc221951150"/>
      <w:bookmarkStart w:id="2210" w:name="_Toc222029530"/>
      <w:bookmarkStart w:id="2211" w:name="_Toc229305390"/>
      <w:bookmarkStart w:id="2212" w:name="_Toc222032699"/>
      <w:bookmarkStart w:id="2213" w:name="_Toc12894"/>
      <w:bookmarkStart w:id="2214" w:name="_Toc199153015"/>
      <w:bookmarkStart w:id="2215" w:name="_Toc222033881"/>
      <w:bookmarkStart w:id="2216" w:name="_Toc222031032"/>
      <w:r>
        <w:rPr>
          <w:rFonts w:hint="eastAsia" w:ascii="宋体" w:hAnsi="宋体" w:eastAsia="宋体" w:cs="宋体"/>
          <w:color w:val="auto"/>
          <w:sz w:val="21"/>
          <w:szCs w:val="21"/>
          <w:highlight w:val="none"/>
          <w:lang w:eastAsia="zh-CN"/>
        </w:rPr>
        <w:t>4承包人</w:t>
      </w:r>
      <w:bookmarkEnd w:id="2208"/>
      <w:bookmarkEnd w:id="2209"/>
      <w:bookmarkEnd w:id="2210"/>
      <w:bookmarkEnd w:id="2211"/>
      <w:bookmarkEnd w:id="2212"/>
      <w:bookmarkEnd w:id="2213"/>
      <w:bookmarkEnd w:id="2214"/>
      <w:bookmarkEnd w:id="2215"/>
      <w:bookmarkEnd w:id="2216"/>
    </w:p>
    <w:p w14:paraId="5EE96D42">
      <w:pPr>
        <w:pStyle w:val="4"/>
        <w:spacing w:line="460" w:lineRule="exact"/>
        <w:rPr>
          <w:rFonts w:hint="eastAsia" w:ascii="宋体" w:hAnsi="宋体" w:eastAsia="宋体" w:cs="宋体"/>
          <w:color w:val="auto"/>
          <w:sz w:val="21"/>
          <w:szCs w:val="21"/>
          <w:highlight w:val="none"/>
          <w:lang w:eastAsia="zh-CN"/>
        </w:rPr>
      </w:pPr>
      <w:bookmarkStart w:id="2217" w:name="_Toc199153016"/>
      <w:bookmarkStart w:id="2218" w:name="_Toc221951151"/>
      <w:bookmarkStart w:id="2219" w:name="_Toc25031"/>
      <w:bookmarkStart w:id="2220" w:name="_Toc32525"/>
      <w:r>
        <w:rPr>
          <w:rFonts w:hint="eastAsia" w:ascii="宋体" w:hAnsi="宋体" w:eastAsia="宋体" w:cs="宋体"/>
          <w:color w:val="auto"/>
          <w:sz w:val="21"/>
          <w:szCs w:val="21"/>
          <w:highlight w:val="none"/>
          <w:lang w:eastAsia="zh-CN"/>
        </w:rPr>
        <w:t>4.1承包人的一般义务</w:t>
      </w:r>
      <w:bookmarkEnd w:id="2217"/>
      <w:bookmarkEnd w:id="2218"/>
      <w:bookmarkEnd w:id="2219"/>
      <w:bookmarkEnd w:id="2220"/>
    </w:p>
    <w:p w14:paraId="5EE96D43">
      <w:pPr>
        <w:spacing w:line="460" w:lineRule="exact"/>
        <w:ind w:right="248" w:firstLine="480"/>
        <w:rPr>
          <w:rFonts w:hint="eastAsia" w:ascii="宋体" w:hAnsi="宋体" w:eastAsia="宋体" w:cs="宋体"/>
          <w:color w:val="auto"/>
          <w:sz w:val="21"/>
          <w:szCs w:val="21"/>
          <w:highlight w:val="none"/>
          <w:lang w:eastAsia="zh-CN"/>
        </w:rPr>
      </w:pPr>
      <w:bookmarkStart w:id="2221" w:name="_Toc221951152"/>
      <w:r>
        <w:rPr>
          <w:rFonts w:hint="eastAsia" w:ascii="宋体" w:hAnsi="宋体" w:eastAsia="宋体" w:cs="宋体"/>
          <w:b/>
          <w:color w:val="auto"/>
          <w:sz w:val="21"/>
          <w:szCs w:val="21"/>
          <w:highlight w:val="none"/>
          <w:lang w:eastAsia="zh-CN"/>
        </w:rPr>
        <w:t>4.1.10</w:t>
      </w:r>
      <w:r>
        <w:rPr>
          <w:rFonts w:hint="eastAsia" w:ascii="宋体" w:hAnsi="宋体" w:eastAsia="宋体" w:cs="宋体"/>
          <w:color w:val="auto"/>
          <w:sz w:val="21"/>
          <w:szCs w:val="21"/>
          <w:highlight w:val="none"/>
          <w:lang w:eastAsia="zh-CN"/>
        </w:rPr>
        <w:t>其他义务</w:t>
      </w:r>
      <w:bookmarkEnd w:id="2221"/>
    </w:p>
    <w:p w14:paraId="5EE96D44">
      <w:pPr>
        <w:pStyle w:val="24"/>
        <w:spacing w:after="0" w:line="460" w:lineRule="exact"/>
        <w:ind w:left="0" w:leftChars="0"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eastAsia="zh-CN"/>
        </w:rPr>
        <w:t>（一）</w:t>
      </w:r>
      <w:r>
        <w:rPr>
          <w:rFonts w:hint="eastAsia" w:ascii="宋体" w:hAnsi="宋体" w:eastAsia="宋体" w:cs="宋体"/>
          <w:b/>
          <w:bCs/>
          <w:color w:val="auto"/>
          <w:sz w:val="21"/>
          <w:szCs w:val="21"/>
          <w:highlight w:val="none"/>
          <w:lang w:eastAsia="zh-CN"/>
        </w:rPr>
        <w:t>办理建筑意外伤害保险。</w:t>
      </w:r>
    </w:p>
    <w:p w14:paraId="5EE96D45">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承包人要严格按照国务院《工伤保险条例》规定，及时为农民工办理参加工伤保险手续，并按时足额缴纳工伤保险费。同时，按照《建筑法》规定，为施工现场从事危险作业的农民工办理意外伤害保险。必须在工程开工前办理完建筑意外保险的投保手续，为参加本合同工程现场施工所有作业人员及管理人员，包括参加工程建设的管理人员、监理人员、施工人员（含民工）办理建筑意外伤害保险，支付保险费（意外伤害保险费为中标的工程量清单总价的3‰，由承包人承担）。</w:t>
      </w:r>
    </w:p>
    <w:p w14:paraId="5EE96D46">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保险期限自投保之日（工程开工之日）起至工程竣工验收时止，时间上涵盖施工全过程的任一时段。</w:t>
      </w:r>
    </w:p>
    <w:p w14:paraId="5EE96D47">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鉴于本合同工程各工种调动频繁、用工流动性大等特点，投保实行不记名和不计人数的方式，一旦该工程项目发生人员意外伤害，只要是在该工程发生的，都应该由保险公司在保险责任范围内负责赔付。</w:t>
      </w:r>
    </w:p>
    <w:p w14:paraId="5EE96D48">
      <w:pPr>
        <w:pStyle w:val="24"/>
        <w:spacing w:after="0" w:line="460" w:lineRule="exact"/>
        <w:ind w:left="0" w:leftChars="0" w:firstLine="413" w:firstLineChars="196"/>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（二）执行农民工工资保证金制度，缴纳农民工工资保证金（适用于在本自治区行政区域内施工的所有水利水电工程项目）。</w:t>
      </w:r>
    </w:p>
    <w:p w14:paraId="5EE96D49">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承包人按时发放农民工工资，在发包人按时支付工程进度款后，承包人发生拖欠农民工工资的，发包人从农民工工资保证金中先行垫付，承包人将作为不良信用单位记入该承包人工资支付信用档案。承包人恶意拖欠、克扣农民工工资的，发包人将按投标文件承诺书的相关规定处理。</w:t>
      </w:r>
    </w:p>
    <w:p w14:paraId="5EE96D4A">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因承包人拖欠农民工工资等原因造成农民工到发包人或政府相关部门聚众闹事、追讨工资等事件，按1000元.人/次进行处罚，如达三次以上，没收全部履约保证金，如造成发包人损失的，由承包人负责赔偿。</w:t>
      </w:r>
    </w:p>
    <w:p w14:paraId="5EE96D4B">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根据广西壮族自治区劳动和社会保障厅、自治区水利厅二○○七年二月二十七日联合颁发的桂劳社发[2007]38号文《关于关于建立水利水电工程项目农民工工资保证金制度的通知》精神，在办理工程项目开工手续前，住所地在广西境内的（或住所地不在广西境内的）承包人必须向其住所地（或工程项目实际用工地的）相关劳动保障部门履行以下义务：</w:t>
      </w:r>
    </w:p>
    <w:p w14:paraId="5EE96D4C">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（1）按以下标准在劳动保障部门指定的账户足额存入农民工工资保证金：</w:t>
      </w:r>
    </w:p>
    <w:p w14:paraId="5EE96D4D">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工程项目中标价(合同价)1000万元(含1000万元)以下的，按2％计算；超过1000万元部分，按1％计算。</w:t>
      </w:r>
    </w:p>
    <w:p w14:paraId="5EE96D4E">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（2）承包人在投标时，必须在投标文件中作如下承诺：</w:t>
      </w:r>
    </w:p>
    <w:p w14:paraId="5EE96D4F">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①如实说明其以前所承建的工程项目中工资支付的情况，特别注明是否存在拖欠或克扣农民工工资的行为。</w:t>
      </w:r>
    </w:p>
    <w:p w14:paraId="5EE96D50">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②承诺中标后及时、足额存入农民工工资保证金。</w:t>
      </w:r>
    </w:p>
    <w:p w14:paraId="5EE96D51">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③承诺依法足额支付农民工工资，一旦其承建的工程项目出现拖欠农民工工资情况的，可由劳动保障部门从工资保证金中先予垫支。</w:t>
      </w:r>
    </w:p>
    <w:p w14:paraId="5EE96D52">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承包人应当持根据上述作出的承诺和说明、存入农民工工资保证金的银行凭证到劳动保障部门报备。由劳动保障部门出具备案证明后到水利部门办理开工手续。</w:t>
      </w:r>
    </w:p>
    <w:p w14:paraId="5EE96D53">
      <w:pPr>
        <w:pStyle w:val="24"/>
        <w:spacing w:after="0" w:line="460" w:lineRule="exact"/>
        <w:ind w:left="0" w:leftChars="0" w:firstLine="422" w:firstLineChars="200"/>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（三）工程施工的义务和责任</w:t>
      </w:r>
    </w:p>
    <w:p w14:paraId="5EE96D54">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承包人应负责施工场地内部的水、电等施工管、线路的铺、架设及其费用，并按供电部门规定向供电部门（或发包人）交纳水、电费。发包人提供的接电点在签订合同时明确。另外，施工通讯及设施由承包人负责并承担费用。</w:t>
      </w:r>
    </w:p>
    <w:p w14:paraId="5EE96D55">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除民房外、承包人应按监理人的指示负责拆除、清理已征用土地范围内的地上地下附属物，例如：旧基础、旧石墙、旧管道、杂物、竹木、蕉木、树木、树（竹）根、杂草等，为施工需要或施工原因采取临时渡汛措施并承担其费用。</w:t>
      </w:r>
    </w:p>
    <w:p w14:paraId="5EE96D56">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（3）承包人因施工需要所采取的安全防护费用由承包人承担。</w:t>
      </w:r>
    </w:p>
    <w:p w14:paraId="5EE96D57">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承包人应充分理解有一些设施（如施工道路、桥梁）可能会有其它人和单位使用通行，在使用过程中发生干扰或纠纷时，承包人自行协调处理并承担相应费用。承包人应充分理解在施工过程中涉及材料和土方运输、施工车辆及人员可能会与其它人和单位发生干扰或纠纷，承包人自行协调处理并承担相应费用。</w:t>
      </w:r>
    </w:p>
    <w:p w14:paraId="5EE96D58">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（5）承包人将租用临时用地费用列入报价的“临时工程费”内。</w:t>
      </w:r>
    </w:p>
    <w:p w14:paraId="5EE96D59">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（6）承包人负责工程取土场地的落实和取土手续的办理。</w:t>
      </w:r>
    </w:p>
    <w:p w14:paraId="5EE96D5A">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（7）承包人应为监理、质监、发包人现场代表对施工现场的检查监督提供必要的配合，并对这种配合对施工的影响应有充分的考虑。</w:t>
      </w:r>
    </w:p>
    <w:p w14:paraId="5EE96D5B">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（8）工程竣工后，承包人应按监理人的指示清理施工现场直至监理人、发包人满意为止。</w:t>
      </w:r>
    </w:p>
    <w:p w14:paraId="5EE96D5C">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（9）对上述（1）～（8）项工作，费用已包括在有关单价和总价中，发包人不再另行支付由此所发生的一切费用。</w:t>
      </w:r>
    </w:p>
    <w:p w14:paraId="5EE96D5D">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经过公路、城市道路的施工车辆，必须按交警、城管、环保、环卫等部门规定执行。施工车辆的营运手续办理、清洗等一切费用由承包人承担。由于车辆超载、带泥或洒漏造成的道路损坏、环境污染等，其责任和费用均由承包人承担。</w:t>
      </w:r>
    </w:p>
    <w:p w14:paraId="5EE96D5E">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（11）承包人必须文明、安全施工，在施工期间发生的一切人员伤亡和财产损失等责任事故和所发生的一切费用概由承包人承担。</w:t>
      </w:r>
    </w:p>
    <w:p w14:paraId="5EE96D5F">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（12）按照发包人的要求作好安全文明宣传、领导检查宣传等工作，相关费用由承包人承担。</w:t>
      </w:r>
    </w:p>
    <w:p w14:paraId="5EE96D60">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（13）承包人应按约定时间和要求，完成以下工作：</w:t>
      </w:r>
    </w:p>
    <w:p w14:paraId="5EE96D61">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①按时提交施工组织设计、单位工程的施工方案。</w:t>
      </w:r>
    </w:p>
    <w:p w14:paraId="5EE96D62">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②每月20日向监理人提交当月工程进度报表及下月进度计划。</w:t>
      </w:r>
    </w:p>
    <w:p w14:paraId="5EE96D63">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③承包人自行负责施工安全保卫工作及夜间施工照明。</w:t>
      </w:r>
    </w:p>
    <w:p w14:paraId="5EE96D64">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④需承包人办理的有关施工场地交通、环卫和施工噪音管理等手续：遵守有关部门对施工现场交通、环卫和施工噪音管理规定，如有发生，费用由承包人承担。</w:t>
      </w:r>
    </w:p>
    <w:p w14:paraId="5EE96D65">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⑤已完工程成品保护的特殊要求及费用承担：已竣工工程未交付发包人之前，承包人按协议条款约定负责已完成工程的成品保护工作，保护期间发生损坏，承包人自费予以修复。</w:t>
      </w:r>
    </w:p>
    <w:p w14:paraId="5EE96D66">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⑥承包人有义务对施工场地周围管线（含地上及地下）和邻近建筑物、构筑物(含文物保护建筑)、古树名木等进行探明并负责保护。</w:t>
      </w:r>
    </w:p>
    <w:p w14:paraId="5EE96D67">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⑦施工场地清洁卫生的要求：按城建卫生有关规定执行，由承包人负责，费用由承包人承担。</w:t>
      </w:r>
    </w:p>
    <w:p w14:paraId="5EE96D68">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⑧承包人承担施工场地、水电及运输通道的修建和维护、清场等费用。</w:t>
      </w:r>
    </w:p>
    <w:p w14:paraId="5EE96D69">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（14）双方约定承包人应做的其他工作：</w:t>
      </w:r>
    </w:p>
    <w:p w14:paraId="5EE96D6A">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①凡属于需要承包人交付给其他承包人的工作面以及与其他承包人交叉作业的工作面，承包人必须服从监理人的决定，按规定的完工日期完成并将清理好的工作面移交给发包人，并取得监理人的同意。</w:t>
      </w:r>
    </w:p>
    <w:p w14:paraId="5EE96D6B">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工程完工后，承包人应按监理人的指示清理施工现场。并在工程完工后3个月内完成并提交工程竣工资料和工程结算资料。承包人逾期提交，发包人将对承包人的拖延行为视为违约，并按1000元/天计算违约金，违约金从承包人应得的工程款中扣除，但其最终的累计总金额与各项逾期完工违约金合计不超过合同价格的2％。</w:t>
      </w:r>
    </w:p>
    <w:p w14:paraId="5EE96D6C">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（15）其他未尽事宜双方另行协商。</w:t>
      </w:r>
    </w:p>
    <w:p w14:paraId="5EE96D6D">
      <w:pPr>
        <w:pStyle w:val="116"/>
        <w:spacing w:line="360" w:lineRule="auto"/>
        <w:rPr>
          <w:rFonts w:hint="eastAsia" w:ascii="宋体" w:hAnsi="宋体" w:eastAsia="宋体" w:cs="宋体"/>
          <w:color w:val="auto"/>
          <w:sz w:val="21"/>
          <w:szCs w:val="21"/>
          <w:highlight w:val="none"/>
          <w:lang w:eastAsia="zh-CN"/>
        </w:rPr>
      </w:pPr>
      <w:bookmarkStart w:id="2222" w:name="_Toc30464"/>
      <w:bookmarkStart w:id="2223" w:name="_Toc27098"/>
      <w:bookmarkStart w:id="2224" w:name="_Toc199153017"/>
      <w:bookmarkStart w:id="2225" w:name="_Toc1117"/>
      <w:bookmarkStart w:id="2226" w:name="_Toc12270"/>
      <w:bookmarkStart w:id="2227" w:name="_Toc10044"/>
      <w:r>
        <w:rPr>
          <w:rFonts w:hint="eastAsia" w:ascii="宋体" w:hAnsi="宋体" w:eastAsia="宋体" w:cs="宋体"/>
          <w:color w:val="auto"/>
          <w:sz w:val="21"/>
          <w:szCs w:val="21"/>
          <w:highlight w:val="none"/>
          <w:lang w:eastAsia="zh-CN" w:bidi="en-US"/>
        </w:rPr>
        <w:t>4.5承包人项目负责人</w:t>
      </w:r>
      <w:bookmarkEnd w:id="2222"/>
      <w:bookmarkEnd w:id="2223"/>
      <w:bookmarkEnd w:id="2224"/>
      <w:bookmarkEnd w:id="2225"/>
      <w:bookmarkEnd w:id="2226"/>
      <w:bookmarkEnd w:id="2227"/>
    </w:p>
    <w:p w14:paraId="5EE96D6E">
      <w:pPr>
        <w:spacing w:before="62" w:line="360" w:lineRule="auto"/>
        <w:ind w:left="399"/>
        <w:rPr>
          <w:rFonts w:hint="eastAsia" w:ascii="宋体" w:hAnsi="宋体" w:eastAsia="宋体" w:cs="宋体"/>
          <w:color w:val="auto"/>
          <w:spacing w:val="10"/>
          <w:sz w:val="21"/>
          <w:szCs w:val="21"/>
          <w:highlight w:val="none"/>
          <w:lang w:eastAsia="zh-CN"/>
        </w:rPr>
      </w:pPr>
      <w:r>
        <w:rPr>
          <w:rFonts w:hint="eastAsia" w:ascii="宋体" w:hAnsi="宋体" w:eastAsia="宋体" w:cs="宋体"/>
          <w:color w:val="auto"/>
          <w:spacing w:val="20"/>
          <w:sz w:val="21"/>
          <w:szCs w:val="21"/>
          <w:highlight w:val="none"/>
          <w:lang w:eastAsia="zh-CN"/>
        </w:rPr>
        <w:t>4</w:t>
      </w:r>
      <w:r>
        <w:rPr>
          <w:rFonts w:hint="eastAsia" w:ascii="宋体" w:hAnsi="宋体" w:eastAsia="宋体" w:cs="宋体"/>
          <w:color w:val="auto"/>
          <w:spacing w:val="12"/>
          <w:sz w:val="21"/>
          <w:szCs w:val="21"/>
          <w:highlight w:val="none"/>
          <w:lang w:eastAsia="zh-CN"/>
        </w:rPr>
        <w:t>.</w:t>
      </w:r>
      <w:r>
        <w:rPr>
          <w:rFonts w:hint="eastAsia" w:ascii="宋体" w:hAnsi="宋体" w:eastAsia="宋体" w:cs="宋体"/>
          <w:color w:val="auto"/>
          <w:spacing w:val="10"/>
          <w:sz w:val="21"/>
          <w:szCs w:val="21"/>
          <w:highlight w:val="none"/>
          <w:lang w:eastAsia="zh-CN"/>
        </w:rPr>
        <w:t>5.5(1)同一施工项目负责人不能同时在两个及以上的工程项目上担任施工项</w:t>
      </w:r>
    </w:p>
    <w:p w14:paraId="5EE96D6F">
      <w:pPr>
        <w:spacing w:before="62"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0"/>
          <w:sz w:val="21"/>
          <w:szCs w:val="21"/>
          <w:highlight w:val="none"/>
          <w:lang w:eastAsia="zh-CN"/>
        </w:rPr>
        <w:t>目负责人。</w:t>
      </w:r>
    </w:p>
    <w:p w14:paraId="5EE96D71">
      <w:pPr>
        <w:pStyle w:val="119"/>
        <w:tabs>
          <w:tab w:val="left" w:pos="5849"/>
        </w:tabs>
        <w:ind w:left="174" w:leftChars="83" w:firstLine="224"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(2)承包人应保证项目负责人每月在工地现场的时间不少于</w:t>
      </w:r>
      <w:r>
        <w:rPr>
          <w:rFonts w:hint="eastAsia" w:ascii="宋体" w:hAnsi="宋体" w:eastAsia="宋体" w:cs="宋体"/>
          <w:color w:val="auto"/>
          <w:spacing w:val="7"/>
          <w:sz w:val="21"/>
          <w:szCs w:val="21"/>
          <w:highlight w:val="none"/>
          <w:u w:val="single"/>
          <w:lang w:eastAsia="zh-CN"/>
        </w:rPr>
        <w:t>22</w:t>
      </w:r>
      <w:r>
        <w:rPr>
          <w:rFonts w:hint="eastAsia" w:ascii="宋体" w:hAnsi="宋体" w:eastAsia="宋体" w:cs="宋体"/>
          <w:color w:val="auto"/>
          <w:spacing w:val="7"/>
          <w:sz w:val="21"/>
          <w:szCs w:val="21"/>
          <w:highlight w:val="none"/>
          <w:lang w:eastAsia="zh-CN"/>
        </w:rPr>
        <w:t>日，否则将按每人每天人</w:t>
      </w:r>
      <w:r>
        <w:rPr>
          <w:rFonts w:hint="eastAsia" w:ascii="宋体" w:hAnsi="宋体" w:eastAsia="宋体" w:cs="宋体"/>
          <w:color w:val="auto"/>
          <w:spacing w:val="1"/>
          <w:sz w:val="21"/>
          <w:szCs w:val="21"/>
          <w:highlight w:val="none"/>
          <w:lang w:eastAsia="zh-CN"/>
        </w:rPr>
        <w:t>民</w:t>
      </w:r>
      <w:r>
        <w:rPr>
          <w:rFonts w:hint="eastAsia" w:ascii="宋体" w:hAnsi="宋体" w:eastAsia="宋体" w:cs="宋体"/>
          <w:color w:val="auto"/>
          <w:spacing w:val="3"/>
          <w:sz w:val="21"/>
          <w:szCs w:val="21"/>
          <w:highlight w:val="none"/>
          <w:lang w:eastAsia="zh-CN"/>
        </w:rPr>
        <w:t>币</w:t>
      </w:r>
      <w:r>
        <w:rPr>
          <w:rFonts w:hint="eastAsia" w:ascii="宋体" w:hAnsi="宋体" w:eastAsia="宋体" w:cs="宋体"/>
          <w:color w:val="auto"/>
          <w:spacing w:val="3"/>
          <w:sz w:val="21"/>
          <w:szCs w:val="21"/>
          <w:highlight w:val="none"/>
          <w:u w:val="single"/>
          <w:lang w:eastAsia="zh-CN"/>
        </w:rPr>
        <w:t>500</w:t>
      </w:r>
      <w:r>
        <w:rPr>
          <w:rFonts w:hint="eastAsia" w:ascii="宋体" w:hAnsi="宋体" w:eastAsia="宋体" w:cs="宋体"/>
          <w:color w:val="auto"/>
          <w:spacing w:val="3"/>
          <w:sz w:val="21"/>
          <w:szCs w:val="21"/>
          <w:highlight w:val="none"/>
          <w:lang w:eastAsia="zh-CN"/>
        </w:rPr>
        <w:t>元的标准向发包人支付违约金，</w:t>
      </w:r>
      <w:r>
        <w:rPr>
          <w:rFonts w:hint="eastAsia" w:ascii="宋体" w:hAnsi="宋体" w:eastAsia="宋体" w:cs="宋体"/>
          <w:color w:val="auto"/>
          <w:sz w:val="21"/>
          <w:szCs w:val="21"/>
          <w:highlight w:val="none"/>
          <w:lang w:eastAsia="zh-CN" w:bidi="en-US"/>
        </w:rPr>
        <w:t>由有关行政监督部门处理后报请有关行政监督部门将结果记入市场主体信用档案，公布不良行为记录。上述人员因其他事务需短期离开工地，应向发包人请假，经批准后方可离开，离开期间应委托项目相关负责人负责其外出时的日常工作。</w:t>
      </w:r>
    </w:p>
    <w:p w14:paraId="5EE96D72">
      <w:pPr>
        <w:pStyle w:val="4"/>
        <w:spacing w:line="460" w:lineRule="exact"/>
        <w:rPr>
          <w:rFonts w:hint="eastAsia" w:ascii="宋体" w:hAnsi="宋体" w:eastAsia="宋体" w:cs="宋体"/>
          <w:color w:val="auto"/>
          <w:sz w:val="21"/>
          <w:szCs w:val="21"/>
          <w:highlight w:val="none"/>
          <w:lang w:eastAsia="zh-CN"/>
        </w:rPr>
      </w:pPr>
      <w:bookmarkStart w:id="2228" w:name="_Toc17523"/>
      <w:bookmarkStart w:id="2229" w:name="_Toc24344"/>
      <w:bookmarkStart w:id="2230" w:name="_Toc199153018"/>
      <w:bookmarkStart w:id="2231" w:name="_Toc222033882"/>
      <w:bookmarkStart w:id="2232" w:name="_Toc222029531"/>
      <w:bookmarkStart w:id="2233" w:name="_Toc229305391"/>
      <w:bookmarkStart w:id="2234" w:name="_Toc222032700"/>
      <w:bookmarkStart w:id="2235" w:name="_Toc221951160"/>
      <w:bookmarkStart w:id="2236" w:name="_Toc222031033"/>
      <w:r>
        <w:rPr>
          <w:rFonts w:hint="eastAsia" w:ascii="宋体" w:hAnsi="宋体" w:eastAsia="宋体" w:cs="宋体"/>
          <w:color w:val="auto"/>
          <w:sz w:val="21"/>
          <w:szCs w:val="21"/>
          <w:highlight w:val="none"/>
          <w:lang w:eastAsia="zh-CN"/>
        </w:rPr>
        <w:t>4.6承包人人员管理</w:t>
      </w:r>
      <w:bookmarkEnd w:id="2228"/>
      <w:bookmarkEnd w:id="2229"/>
      <w:bookmarkEnd w:id="2230"/>
    </w:p>
    <w:p w14:paraId="5EE96D73">
      <w:pPr>
        <w:spacing w:before="167" w:line="360" w:lineRule="auto"/>
        <w:ind w:left="26" w:right="74" w:firstLine="39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5"/>
          <w:sz w:val="21"/>
          <w:szCs w:val="21"/>
          <w:highlight w:val="none"/>
          <w:lang w:eastAsia="zh-CN"/>
        </w:rPr>
        <w:t>4</w:t>
      </w:r>
      <w:r>
        <w:rPr>
          <w:rFonts w:hint="eastAsia" w:ascii="宋体" w:hAnsi="宋体" w:eastAsia="宋体" w:cs="宋体"/>
          <w:color w:val="auto"/>
          <w:spacing w:val="11"/>
          <w:sz w:val="21"/>
          <w:szCs w:val="21"/>
          <w:highlight w:val="none"/>
          <w:lang w:eastAsia="zh-CN"/>
        </w:rPr>
        <w:t>.6.3承包人安排在施工场地的主要管理人员和技术骨干应相对稳定。投入本项目的项目</w:t>
      </w:r>
      <w:r>
        <w:rPr>
          <w:rFonts w:hint="eastAsia" w:ascii="宋体" w:hAnsi="宋体" w:eastAsia="宋体" w:cs="宋体"/>
          <w:color w:val="auto"/>
          <w:spacing w:val="12"/>
          <w:sz w:val="21"/>
          <w:szCs w:val="21"/>
          <w:highlight w:val="none"/>
          <w:lang w:eastAsia="zh-CN"/>
        </w:rPr>
        <w:t>经理、技术负责人、质量检查员、专职安全员等主要管理人员中标后，未经发包人书面批准</w:t>
      </w:r>
      <w:r>
        <w:rPr>
          <w:rFonts w:hint="eastAsia" w:ascii="宋体" w:hAnsi="宋体" w:eastAsia="宋体" w:cs="宋体"/>
          <w:color w:val="auto"/>
          <w:spacing w:val="7"/>
          <w:sz w:val="21"/>
          <w:szCs w:val="21"/>
          <w:highlight w:val="none"/>
          <w:lang w:eastAsia="zh-CN"/>
        </w:rPr>
        <w:t>不</w:t>
      </w:r>
      <w:r>
        <w:rPr>
          <w:rFonts w:hint="eastAsia" w:ascii="宋体" w:hAnsi="宋体" w:eastAsia="宋体" w:cs="宋体"/>
          <w:color w:val="auto"/>
          <w:spacing w:val="16"/>
          <w:sz w:val="21"/>
          <w:szCs w:val="21"/>
          <w:highlight w:val="none"/>
          <w:lang w:eastAsia="zh-CN"/>
        </w:rPr>
        <w:t>得更</w:t>
      </w:r>
      <w:r>
        <w:rPr>
          <w:rFonts w:hint="eastAsia" w:ascii="宋体" w:hAnsi="宋体" w:eastAsia="宋体" w:cs="宋体"/>
          <w:color w:val="auto"/>
          <w:spacing w:val="13"/>
          <w:sz w:val="21"/>
          <w:szCs w:val="21"/>
          <w:highlight w:val="none"/>
          <w:lang w:eastAsia="zh-CN"/>
        </w:rPr>
        <w:t>换</w:t>
      </w:r>
      <w:r>
        <w:rPr>
          <w:rFonts w:hint="eastAsia" w:ascii="宋体" w:hAnsi="宋体" w:eastAsia="宋体" w:cs="宋体"/>
          <w:color w:val="auto"/>
          <w:spacing w:val="8"/>
          <w:sz w:val="21"/>
          <w:szCs w:val="21"/>
          <w:highlight w:val="none"/>
          <w:lang w:eastAsia="zh-CN"/>
        </w:rPr>
        <w:t>。拟申请变换的主要管理人员，不得低于投标拟投入人员的同等条件。</w:t>
      </w:r>
    </w:p>
    <w:p w14:paraId="5EE96D74">
      <w:pPr>
        <w:spacing w:before="7" w:line="360" w:lineRule="auto"/>
        <w:ind w:left="25" w:firstLine="39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5"/>
          <w:sz w:val="21"/>
          <w:szCs w:val="21"/>
          <w:highlight w:val="none"/>
          <w:lang w:eastAsia="zh-CN"/>
        </w:rPr>
        <w:t>4</w:t>
      </w:r>
      <w:r>
        <w:rPr>
          <w:rFonts w:hint="eastAsia" w:ascii="宋体" w:hAnsi="宋体" w:eastAsia="宋体" w:cs="宋体"/>
          <w:color w:val="auto"/>
          <w:spacing w:val="11"/>
          <w:sz w:val="21"/>
          <w:szCs w:val="21"/>
          <w:highlight w:val="none"/>
          <w:lang w:eastAsia="zh-CN"/>
        </w:rPr>
        <w:t>.6.4承包人项目经理、技术负责人、质量管理人员、安全管理人员驻工程现场时间不得</w:t>
      </w:r>
      <w:r>
        <w:rPr>
          <w:rFonts w:hint="eastAsia" w:ascii="宋体" w:hAnsi="宋体" w:eastAsia="宋体" w:cs="宋体"/>
          <w:color w:val="auto"/>
          <w:spacing w:val="16"/>
          <w:sz w:val="21"/>
          <w:szCs w:val="21"/>
          <w:highlight w:val="none"/>
          <w:lang w:eastAsia="zh-CN"/>
        </w:rPr>
        <w:t>少</w:t>
      </w:r>
      <w:r>
        <w:rPr>
          <w:rFonts w:hint="eastAsia" w:ascii="宋体" w:hAnsi="宋体" w:eastAsia="宋体" w:cs="宋体"/>
          <w:color w:val="auto"/>
          <w:spacing w:val="9"/>
          <w:sz w:val="21"/>
          <w:szCs w:val="21"/>
          <w:highlight w:val="none"/>
          <w:lang w:eastAsia="zh-CN"/>
        </w:rPr>
        <w:t>于</w:t>
      </w:r>
      <w:r>
        <w:rPr>
          <w:rFonts w:hint="eastAsia" w:ascii="宋体" w:hAnsi="宋体" w:eastAsia="宋体" w:cs="宋体"/>
          <w:color w:val="auto"/>
          <w:spacing w:val="8"/>
          <w:sz w:val="21"/>
          <w:szCs w:val="21"/>
          <w:highlight w:val="none"/>
          <w:lang w:eastAsia="zh-CN"/>
        </w:rPr>
        <w:t>22天/月，否则对项目经理、技术负责人按每少1天处500元/天.人的罚款；对质量</w:t>
      </w:r>
      <w:r>
        <w:rPr>
          <w:rFonts w:hint="eastAsia" w:ascii="宋体" w:hAnsi="宋体" w:eastAsia="宋体" w:cs="宋体"/>
          <w:color w:val="auto"/>
          <w:spacing w:val="12"/>
          <w:sz w:val="21"/>
          <w:szCs w:val="21"/>
          <w:highlight w:val="none"/>
          <w:lang w:eastAsia="zh-CN"/>
        </w:rPr>
        <w:t>管理人</w:t>
      </w:r>
      <w:r>
        <w:rPr>
          <w:rFonts w:hint="eastAsia" w:ascii="宋体" w:hAnsi="宋体" w:eastAsia="宋体" w:cs="宋体"/>
          <w:color w:val="auto"/>
          <w:spacing w:val="10"/>
          <w:sz w:val="21"/>
          <w:szCs w:val="21"/>
          <w:highlight w:val="none"/>
          <w:lang w:eastAsia="zh-CN"/>
        </w:rPr>
        <w:t>员</w:t>
      </w:r>
      <w:r>
        <w:rPr>
          <w:rFonts w:hint="eastAsia" w:ascii="宋体" w:hAnsi="宋体" w:eastAsia="宋体" w:cs="宋体"/>
          <w:color w:val="auto"/>
          <w:spacing w:val="6"/>
          <w:sz w:val="21"/>
          <w:szCs w:val="21"/>
          <w:highlight w:val="none"/>
          <w:lang w:eastAsia="zh-CN"/>
        </w:rPr>
        <w:t>、安全管理人员按每少1天处300元/天.人的罚款。在工地现场实行每日签到上班</w:t>
      </w:r>
      <w:r>
        <w:rPr>
          <w:rFonts w:hint="eastAsia" w:ascii="宋体" w:hAnsi="宋体" w:eastAsia="宋体" w:cs="宋体"/>
          <w:color w:val="auto"/>
          <w:spacing w:val="8"/>
          <w:sz w:val="21"/>
          <w:szCs w:val="21"/>
          <w:highlight w:val="none"/>
          <w:lang w:eastAsia="zh-CN"/>
        </w:rPr>
        <w:t>制度，签到必</w:t>
      </w:r>
      <w:r>
        <w:rPr>
          <w:rFonts w:hint="eastAsia" w:ascii="宋体" w:hAnsi="宋体" w:eastAsia="宋体" w:cs="宋体"/>
          <w:color w:val="auto"/>
          <w:spacing w:val="6"/>
          <w:sz w:val="21"/>
          <w:szCs w:val="21"/>
          <w:highlight w:val="none"/>
          <w:lang w:eastAsia="zh-CN"/>
        </w:rPr>
        <w:t>须</w:t>
      </w:r>
      <w:r>
        <w:rPr>
          <w:rFonts w:hint="eastAsia" w:ascii="宋体" w:hAnsi="宋体" w:eastAsia="宋体" w:cs="宋体"/>
          <w:color w:val="auto"/>
          <w:spacing w:val="4"/>
          <w:sz w:val="21"/>
          <w:szCs w:val="21"/>
          <w:highlight w:val="none"/>
          <w:lang w:eastAsia="zh-CN"/>
        </w:rPr>
        <w:t>是本人签字，发现有代签弄虚作假的，每人次按缺勤10天处罚，发包人现场</w:t>
      </w:r>
      <w:r>
        <w:rPr>
          <w:rFonts w:hint="eastAsia" w:ascii="宋体" w:hAnsi="宋体" w:eastAsia="宋体" w:cs="宋体"/>
          <w:color w:val="auto"/>
          <w:spacing w:val="22"/>
          <w:sz w:val="21"/>
          <w:szCs w:val="21"/>
          <w:highlight w:val="none"/>
          <w:lang w:eastAsia="zh-CN"/>
        </w:rPr>
        <w:t>检</w:t>
      </w:r>
      <w:r>
        <w:rPr>
          <w:rFonts w:hint="eastAsia" w:ascii="宋体" w:hAnsi="宋体" w:eastAsia="宋体" w:cs="宋体"/>
          <w:color w:val="auto"/>
          <w:spacing w:val="19"/>
          <w:sz w:val="21"/>
          <w:szCs w:val="21"/>
          <w:highlight w:val="none"/>
          <w:lang w:eastAsia="zh-CN"/>
        </w:rPr>
        <w:t>查</w:t>
      </w:r>
      <w:r>
        <w:rPr>
          <w:rFonts w:hint="eastAsia" w:ascii="宋体" w:hAnsi="宋体" w:eastAsia="宋体" w:cs="宋体"/>
          <w:color w:val="auto"/>
          <w:spacing w:val="11"/>
          <w:sz w:val="21"/>
          <w:szCs w:val="21"/>
          <w:highlight w:val="none"/>
          <w:lang w:eastAsia="zh-CN"/>
        </w:rPr>
        <w:t>发现人员不到位的一次按缺勤10天处罚，发包人在每月支付给承包人的进度付款中直接</w:t>
      </w:r>
      <w:r>
        <w:rPr>
          <w:rFonts w:hint="eastAsia" w:ascii="宋体" w:hAnsi="宋体" w:eastAsia="宋体" w:cs="宋体"/>
          <w:color w:val="auto"/>
          <w:spacing w:val="18"/>
          <w:sz w:val="21"/>
          <w:szCs w:val="21"/>
          <w:highlight w:val="none"/>
          <w:lang w:eastAsia="zh-CN"/>
        </w:rPr>
        <w:t>扣</w:t>
      </w:r>
      <w:r>
        <w:rPr>
          <w:rFonts w:hint="eastAsia" w:ascii="宋体" w:hAnsi="宋体" w:eastAsia="宋体" w:cs="宋体"/>
          <w:color w:val="auto"/>
          <w:spacing w:val="13"/>
          <w:sz w:val="21"/>
          <w:szCs w:val="21"/>
          <w:highlight w:val="none"/>
          <w:lang w:eastAsia="zh-CN"/>
        </w:rPr>
        <w:t>除</w:t>
      </w:r>
      <w:r>
        <w:rPr>
          <w:rFonts w:hint="eastAsia" w:ascii="宋体" w:hAnsi="宋体" w:eastAsia="宋体" w:cs="宋体"/>
          <w:color w:val="auto"/>
          <w:spacing w:val="9"/>
          <w:sz w:val="21"/>
          <w:szCs w:val="21"/>
          <w:highlight w:val="none"/>
          <w:lang w:eastAsia="zh-CN"/>
        </w:rPr>
        <w:t>；若项目经理、技术负责人连续2个月少于合同规定驻工地时间，发包人将约谈承包人法</w:t>
      </w:r>
      <w:r>
        <w:rPr>
          <w:rFonts w:hint="eastAsia" w:ascii="宋体" w:hAnsi="宋体" w:eastAsia="宋体" w:cs="宋体"/>
          <w:color w:val="auto"/>
          <w:spacing w:val="14"/>
          <w:sz w:val="21"/>
          <w:szCs w:val="21"/>
          <w:highlight w:val="none"/>
          <w:lang w:eastAsia="zh-CN"/>
        </w:rPr>
        <w:t>定</w:t>
      </w:r>
      <w:r>
        <w:rPr>
          <w:rFonts w:hint="eastAsia" w:ascii="宋体" w:hAnsi="宋体" w:eastAsia="宋体" w:cs="宋体"/>
          <w:color w:val="auto"/>
          <w:spacing w:val="9"/>
          <w:sz w:val="21"/>
          <w:szCs w:val="21"/>
          <w:highlight w:val="none"/>
          <w:lang w:eastAsia="zh-CN"/>
        </w:rPr>
        <w:t>代表人；若第3个月依然不能履行合同规定驻工地时间，发包人有权与承包人解除本合同，</w:t>
      </w:r>
      <w:r>
        <w:rPr>
          <w:rFonts w:hint="eastAsia" w:ascii="宋体" w:hAnsi="宋体" w:eastAsia="宋体" w:cs="宋体"/>
          <w:color w:val="auto"/>
          <w:spacing w:val="12"/>
          <w:sz w:val="21"/>
          <w:szCs w:val="21"/>
          <w:highlight w:val="none"/>
          <w:lang w:eastAsia="zh-CN"/>
        </w:rPr>
        <w:t>按本合</w:t>
      </w:r>
      <w:r>
        <w:rPr>
          <w:rFonts w:hint="eastAsia" w:ascii="宋体" w:hAnsi="宋体" w:eastAsia="宋体" w:cs="宋体"/>
          <w:color w:val="auto"/>
          <w:spacing w:val="8"/>
          <w:sz w:val="21"/>
          <w:szCs w:val="21"/>
          <w:highlight w:val="none"/>
          <w:lang w:eastAsia="zh-CN"/>
        </w:rPr>
        <w:t>同</w:t>
      </w:r>
      <w:r>
        <w:rPr>
          <w:rFonts w:hint="eastAsia" w:ascii="宋体" w:hAnsi="宋体" w:eastAsia="宋体" w:cs="宋体"/>
          <w:color w:val="auto"/>
          <w:spacing w:val="6"/>
          <w:sz w:val="21"/>
          <w:szCs w:val="21"/>
          <w:highlight w:val="none"/>
          <w:lang w:eastAsia="zh-CN"/>
        </w:rPr>
        <w:t>完成工作量据实结算，承包人不得有异议并无条件承担由此给发包人带来的一切损失。</w:t>
      </w:r>
      <w:r>
        <w:rPr>
          <w:rFonts w:hint="eastAsia" w:ascii="宋体" w:hAnsi="宋体" w:eastAsia="宋体" w:cs="宋体"/>
          <w:color w:val="auto"/>
          <w:spacing w:val="18"/>
          <w:sz w:val="21"/>
          <w:szCs w:val="21"/>
          <w:highlight w:val="none"/>
          <w:lang w:eastAsia="zh-CN"/>
        </w:rPr>
        <w:t>同时</w:t>
      </w:r>
      <w:r>
        <w:rPr>
          <w:rFonts w:hint="eastAsia" w:ascii="宋体" w:hAnsi="宋体" w:eastAsia="宋体" w:cs="宋体"/>
          <w:color w:val="auto"/>
          <w:spacing w:val="16"/>
          <w:sz w:val="21"/>
          <w:szCs w:val="21"/>
          <w:highlight w:val="none"/>
          <w:lang w:eastAsia="zh-CN"/>
        </w:rPr>
        <w:t>视</w:t>
      </w:r>
      <w:r>
        <w:rPr>
          <w:rFonts w:hint="eastAsia" w:ascii="宋体" w:hAnsi="宋体" w:eastAsia="宋体" w:cs="宋体"/>
          <w:color w:val="auto"/>
          <w:spacing w:val="9"/>
          <w:sz w:val="21"/>
          <w:szCs w:val="21"/>
          <w:highlight w:val="none"/>
          <w:lang w:eastAsia="zh-CN"/>
        </w:rPr>
        <w:t>为承包人未按合同履约，由发包人报上级有关行政监督部门进行处理并依照相关规定将</w:t>
      </w:r>
      <w:r>
        <w:rPr>
          <w:rFonts w:hint="eastAsia" w:ascii="宋体" w:hAnsi="宋体" w:eastAsia="宋体" w:cs="宋体"/>
          <w:color w:val="auto"/>
          <w:spacing w:val="16"/>
          <w:sz w:val="21"/>
          <w:szCs w:val="21"/>
          <w:highlight w:val="none"/>
          <w:lang w:eastAsia="zh-CN"/>
        </w:rPr>
        <w:t>结</w:t>
      </w:r>
      <w:r>
        <w:rPr>
          <w:rFonts w:hint="eastAsia" w:ascii="宋体" w:hAnsi="宋体" w:eastAsia="宋体" w:cs="宋体"/>
          <w:color w:val="auto"/>
          <w:spacing w:val="14"/>
          <w:sz w:val="21"/>
          <w:szCs w:val="21"/>
          <w:highlight w:val="none"/>
          <w:lang w:eastAsia="zh-CN"/>
        </w:rPr>
        <w:t>果</w:t>
      </w:r>
      <w:r>
        <w:rPr>
          <w:rFonts w:hint="eastAsia" w:ascii="宋体" w:hAnsi="宋体" w:eastAsia="宋体" w:cs="宋体"/>
          <w:color w:val="auto"/>
          <w:spacing w:val="8"/>
          <w:sz w:val="21"/>
          <w:szCs w:val="21"/>
          <w:highlight w:val="none"/>
          <w:lang w:eastAsia="zh-CN"/>
        </w:rPr>
        <w:t>记入承包人的市场主体信用档案，公布不良行为记录。</w:t>
      </w:r>
    </w:p>
    <w:p w14:paraId="5EE96D75">
      <w:pPr>
        <w:pStyle w:val="115"/>
        <w:tabs>
          <w:tab w:val="left" w:pos="5849"/>
        </w:tabs>
        <w:ind w:firstLine="420"/>
        <w:jc w:val="both"/>
        <w:rPr>
          <w:rFonts w:hint="eastAsia" w:ascii="宋体" w:hAnsi="宋体" w:eastAsia="宋体" w:cs="宋体"/>
          <w:color w:val="auto"/>
          <w:sz w:val="21"/>
          <w:szCs w:val="21"/>
          <w:highlight w:val="none"/>
          <w:lang w:val="en-US" w:bidi="en-US"/>
        </w:rPr>
      </w:pPr>
      <w:r>
        <w:rPr>
          <w:rFonts w:hint="eastAsia" w:ascii="宋体" w:hAnsi="宋体" w:eastAsia="宋体" w:cs="宋体"/>
          <w:color w:val="auto"/>
          <w:spacing w:val="10"/>
          <w:sz w:val="21"/>
          <w:szCs w:val="21"/>
          <w:highlight w:val="none"/>
        </w:rPr>
        <w:t>4</w:t>
      </w:r>
      <w:r>
        <w:rPr>
          <w:rFonts w:hint="eastAsia" w:ascii="宋体" w:hAnsi="宋体" w:eastAsia="宋体" w:cs="宋体"/>
          <w:color w:val="auto"/>
          <w:spacing w:val="7"/>
          <w:sz w:val="21"/>
          <w:szCs w:val="21"/>
          <w:highlight w:val="none"/>
        </w:rPr>
        <w:t>.6.5.1施工单位要制定好每15天进度节点，项目业主要对每15天进度节点进行考核，</w:t>
      </w:r>
      <w:r>
        <w:rPr>
          <w:rFonts w:hint="eastAsia" w:ascii="宋体" w:hAnsi="宋体" w:eastAsia="宋体" w:cs="宋体"/>
          <w:color w:val="auto"/>
          <w:spacing w:val="11"/>
          <w:sz w:val="21"/>
          <w:szCs w:val="21"/>
          <w:highlight w:val="none"/>
        </w:rPr>
        <w:t>如有两个节点进度未能完成任务，项目业主有权采取必要的赶工措施(包括增派机械、人员</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16"/>
          <w:sz w:val="21"/>
          <w:szCs w:val="21"/>
          <w:highlight w:val="none"/>
        </w:rPr>
        <w:t>增加</w:t>
      </w:r>
      <w:r>
        <w:rPr>
          <w:rFonts w:hint="eastAsia" w:ascii="宋体" w:hAnsi="宋体" w:eastAsia="宋体" w:cs="宋体"/>
          <w:color w:val="auto"/>
          <w:spacing w:val="11"/>
          <w:sz w:val="21"/>
          <w:szCs w:val="21"/>
          <w:highlight w:val="none"/>
        </w:rPr>
        <w:t>工</w:t>
      </w:r>
      <w:r>
        <w:rPr>
          <w:rFonts w:hint="eastAsia" w:ascii="宋体" w:hAnsi="宋体" w:eastAsia="宋体" w:cs="宋体"/>
          <w:color w:val="auto"/>
          <w:spacing w:val="8"/>
          <w:sz w:val="21"/>
          <w:szCs w:val="21"/>
          <w:highlight w:val="none"/>
        </w:rPr>
        <w:t>作面)，所发生的赶工费用由施工单位负责支付。</w:t>
      </w:r>
    </w:p>
    <w:p w14:paraId="5EE96D76">
      <w:pPr>
        <w:pStyle w:val="116"/>
        <w:spacing w:line="360" w:lineRule="auto"/>
        <w:rPr>
          <w:rFonts w:hint="eastAsia" w:ascii="宋体" w:hAnsi="宋体" w:eastAsia="宋体" w:cs="宋体"/>
          <w:color w:val="auto"/>
          <w:sz w:val="21"/>
          <w:szCs w:val="21"/>
          <w:highlight w:val="none"/>
          <w:lang w:eastAsia="zh-CN" w:bidi="en-US"/>
        </w:rPr>
      </w:pPr>
      <w:bookmarkStart w:id="2237" w:name="_Toc3434"/>
      <w:bookmarkStart w:id="2238" w:name="bookmark1658"/>
      <w:bookmarkStart w:id="2239" w:name="_Toc18588"/>
      <w:bookmarkStart w:id="2240" w:name="_Toc199153019"/>
      <w:bookmarkStart w:id="2241" w:name="bookmark1657"/>
      <w:bookmarkStart w:id="2242" w:name="_Toc28542"/>
      <w:bookmarkStart w:id="2243" w:name="_Toc24838"/>
      <w:bookmarkStart w:id="2244" w:name="_Toc8745"/>
      <w:bookmarkStart w:id="2245" w:name="bookmark1656"/>
      <w:bookmarkStart w:id="2246" w:name="_Toc25240"/>
      <w:r>
        <w:rPr>
          <w:rFonts w:hint="eastAsia" w:ascii="宋体" w:hAnsi="宋体" w:eastAsia="宋体" w:cs="宋体"/>
          <w:color w:val="auto"/>
          <w:sz w:val="21"/>
          <w:szCs w:val="21"/>
          <w:highlight w:val="none"/>
          <w:lang w:eastAsia="zh-CN" w:bidi="en-US"/>
        </w:rPr>
        <w:t>4.7撤换承包人项目经理和其他人员</w:t>
      </w:r>
      <w:bookmarkEnd w:id="2237"/>
      <w:bookmarkEnd w:id="2238"/>
      <w:bookmarkEnd w:id="2239"/>
      <w:bookmarkEnd w:id="2240"/>
      <w:bookmarkEnd w:id="2241"/>
      <w:bookmarkEnd w:id="2242"/>
      <w:bookmarkEnd w:id="2243"/>
      <w:bookmarkEnd w:id="2244"/>
      <w:bookmarkEnd w:id="2245"/>
      <w:bookmarkEnd w:id="2246"/>
    </w:p>
    <w:p w14:paraId="5EE96D77">
      <w:pPr>
        <w:spacing w:before="62" w:line="360" w:lineRule="auto"/>
        <w:ind w:left="29" w:right="3" w:firstLine="446"/>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口4.7.1</w:t>
      </w:r>
      <w:r>
        <w:rPr>
          <w:rFonts w:hint="eastAsia" w:ascii="宋体" w:hAnsi="宋体" w:eastAsia="宋体" w:cs="宋体"/>
          <w:color w:val="auto"/>
          <w:spacing w:val="4"/>
          <w:sz w:val="21"/>
          <w:szCs w:val="21"/>
          <w:highlight w:val="none"/>
          <w:lang w:eastAsia="zh-CN"/>
        </w:rPr>
        <w:t>中标人根据投标文件的承诺，投入本项目的项目经理、技术负责人、质量管理员、</w:t>
      </w:r>
      <w:r>
        <w:rPr>
          <w:rFonts w:hint="eastAsia" w:ascii="宋体" w:hAnsi="宋体" w:eastAsia="宋体" w:cs="宋体"/>
          <w:color w:val="auto"/>
          <w:spacing w:val="9"/>
          <w:sz w:val="21"/>
          <w:szCs w:val="21"/>
          <w:highlight w:val="none"/>
          <w:lang w:eastAsia="zh-CN"/>
        </w:rPr>
        <w:t>安全管理员等主要管理人员中标后不得更换(除因故去世、调离本单位外)。</w:t>
      </w:r>
    </w:p>
    <w:p w14:paraId="5EE96D78">
      <w:pPr>
        <w:spacing w:before="58" w:line="360" w:lineRule="auto"/>
        <w:ind w:left="26" w:right="72" w:firstLine="44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☑4.7.1投入本项目的项目经理、技术负责人、质量管理员、专职管理员等主要管理人员</w:t>
      </w:r>
      <w:r>
        <w:rPr>
          <w:rFonts w:hint="eastAsia" w:ascii="宋体" w:hAnsi="宋体" w:eastAsia="宋体" w:cs="宋体"/>
          <w:color w:val="auto"/>
          <w:spacing w:val="2"/>
          <w:sz w:val="21"/>
          <w:szCs w:val="21"/>
          <w:highlight w:val="none"/>
          <w:lang w:eastAsia="zh-CN"/>
        </w:rPr>
        <w:t>中</w:t>
      </w:r>
      <w:r>
        <w:rPr>
          <w:rFonts w:hint="eastAsia" w:ascii="宋体" w:hAnsi="宋体" w:eastAsia="宋体" w:cs="宋体"/>
          <w:color w:val="auto"/>
          <w:spacing w:val="18"/>
          <w:sz w:val="21"/>
          <w:szCs w:val="21"/>
          <w:highlight w:val="none"/>
          <w:lang w:eastAsia="zh-CN"/>
        </w:rPr>
        <w:t>标</w:t>
      </w:r>
      <w:r>
        <w:rPr>
          <w:rFonts w:hint="eastAsia" w:ascii="宋体" w:hAnsi="宋体" w:eastAsia="宋体" w:cs="宋体"/>
          <w:color w:val="auto"/>
          <w:spacing w:val="16"/>
          <w:sz w:val="21"/>
          <w:szCs w:val="21"/>
          <w:highlight w:val="none"/>
          <w:lang w:eastAsia="zh-CN"/>
        </w:rPr>
        <w:t>后</w:t>
      </w:r>
      <w:r>
        <w:rPr>
          <w:rFonts w:hint="eastAsia" w:ascii="宋体" w:hAnsi="宋体" w:eastAsia="宋体" w:cs="宋体"/>
          <w:color w:val="auto"/>
          <w:spacing w:val="9"/>
          <w:sz w:val="21"/>
          <w:szCs w:val="21"/>
          <w:highlight w:val="none"/>
          <w:lang w:eastAsia="zh-CN"/>
        </w:rPr>
        <w:t>，经中标人申请、监理机构审核允许、发包人同意后方可变更为不低于同等条件的人员。</w:t>
      </w:r>
    </w:p>
    <w:p w14:paraId="5EE96D79">
      <w:pPr>
        <w:spacing w:before="124" w:line="360" w:lineRule="auto"/>
        <w:ind w:right="44" w:firstLine="444"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4.7.2</w:t>
      </w:r>
      <w:r>
        <w:rPr>
          <w:rFonts w:hint="eastAsia" w:ascii="宋体" w:hAnsi="宋体" w:eastAsia="宋体" w:cs="宋体"/>
          <w:color w:val="auto"/>
          <w:spacing w:val="3"/>
          <w:sz w:val="21"/>
          <w:szCs w:val="21"/>
          <w:highlight w:val="none"/>
          <w:lang w:eastAsia="zh-CN"/>
        </w:rPr>
        <w:t>除非发包人要求或者批准，承包人擅自更换项目经理、项目副经理、技术负责人、专</w:t>
      </w:r>
      <w:r>
        <w:rPr>
          <w:rFonts w:hint="eastAsia" w:ascii="宋体" w:hAnsi="宋体" w:eastAsia="宋体" w:cs="宋体"/>
          <w:color w:val="auto"/>
          <w:spacing w:val="12"/>
          <w:sz w:val="21"/>
          <w:szCs w:val="21"/>
          <w:highlight w:val="none"/>
          <w:lang w:eastAsia="zh-CN"/>
        </w:rPr>
        <w:t>职安全员的</w:t>
      </w:r>
      <w:r>
        <w:rPr>
          <w:rFonts w:hint="eastAsia" w:ascii="宋体" w:hAnsi="宋体" w:eastAsia="宋体" w:cs="宋体"/>
          <w:color w:val="auto"/>
          <w:spacing w:val="10"/>
          <w:sz w:val="21"/>
          <w:szCs w:val="21"/>
          <w:highlight w:val="none"/>
          <w:lang w:eastAsia="zh-CN"/>
        </w:rPr>
        <w:t>，</w:t>
      </w:r>
      <w:r>
        <w:rPr>
          <w:rFonts w:hint="eastAsia" w:ascii="宋体" w:hAnsi="宋体" w:eastAsia="宋体" w:cs="宋体"/>
          <w:color w:val="auto"/>
          <w:spacing w:val="6"/>
          <w:sz w:val="21"/>
          <w:szCs w:val="21"/>
          <w:highlight w:val="none"/>
          <w:lang w:eastAsia="zh-CN"/>
        </w:rPr>
        <w:t>将按每人每天人民币500元的标准向发包人支付违约金。由发包人报上级有关行</w:t>
      </w:r>
      <w:r>
        <w:rPr>
          <w:rFonts w:hint="eastAsia" w:ascii="宋体" w:hAnsi="宋体" w:eastAsia="宋体" w:cs="宋体"/>
          <w:color w:val="auto"/>
          <w:spacing w:val="17"/>
          <w:sz w:val="21"/>
          <w:szCs w:val="21"/>
          <w:highlight w:val="none"/>
          <w:lang w:eastAsia="zh-CN"/>
        </w:rPr>
        <w:t>政</w:t>
      </w:r>
      <w:r>
        <w:rPr>
          <w:rFonts w:hint="eastAsia" w:ascii="宋体" w:hAnsi="宋体" w:eastAsia="宋体" w:cs="宋体"/>
          <w:color w:val="auto"/>
          <w:spacing w:val="12"/>
          <w:sz w:val="21"/>
          <w:szCs w:val="21"/>
          <w:highlight w:val="none"/>
          <w:lang w:eastAsia="zh-CN"/>
        </w:rPr>
        <w:t>监督部门进行处理并依照相关规定将结果记入承包人的市场主体信用档案，公布不良行为记</w:t>
      </w:r>
      <w:r>
        <w:rPr>
          <w:rFonts w:hint="eastAsia" w:ascii="宋体" w:hAnsi="宋体" w:eastAsia="宋体" w:cs="宋体"/>
          <w:color w:val="auto"/>
          <w:spacing w:val="-6"/>
          <w:sz w:val="21"/>
          <w:szCs w:val="21"/>
          <w:highlight w:val="none"/>
          <w:lang w:eastAsia="zh-CN"/>
        </w:rPr>
        <w:t>录。</w:t>
      </w:r>
    </w:p>
    <w:p w14:paraId="5EE96D7A">
      <w:pPr>
        <w:spacing w:line="360" w:lineRule="auto"/>
        <w:ind w:left="26" w:right="67" w:firstLine="43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4.</w:t>
      </w:r>
      <w:r>
        <w:rPr>
          <w:rFonts w:hint="eastAsia" w:ascii="宋体" w:hAnsi="宋体" w:eastAsia="宋体" w:cs="宋体"/>
          <w:color w:val="auto"/>
          <w:spacing w:val="3"/>
          <w:sz w:val="21"/>
          <w:szCs w:val="21"/>
          <w:highlight w:val="none"/>
          <w:lang w:eastAsia="zh-CN"/>
        </w:rPr>
        <w:t>7.3尽管承包人已按第4.6.2款的规定派遣了各类人员，但仍然不能满足合同工程的进度</w:t>
      </w:r>
      <w:r>
        <w:rPr>
          <w:rFonts w:hint="eastAsia" w:ascii="宋体" w:hAnsi="宋体" w:eastAsia="宋体" w:cs="宋体"/>
          <w:color w:val="auto"/>
          <w:spacing w:val="26"/>
          <w:sz w:val="21"/>
          <w:szCs w:val="21"/>
          <w:highlight w:val="none"/>
          <w:lang w:eastAsia="zh-CN"/>
        </w:rPr>
        <w:t>计</w:t>
      </w:r>
      <w:r>
        <w:rPr>
          <w:rFonts w:hint="eastAsia" w:ascii="宋体" w:hAnsi="宋体" w:eastAsia="宋体" w:cs="宋体"/>
          <w:color w:val="auto"/>
          <w:spacing w:val="19"/>
          <w:sz w:val="21"/>
          <w:szCs w:val="21"/>
          <w:highlight w:val="none"/>
          <w:lang w:eastAsia="zh-CN"/>
        </w:rPr>
        <w:t>划</w:t>
      </w:r>
      <w:r>
        <w:rPr>
          <w:rFonts w:hint="eastAsia" w:ascii="宋体" w:hAnsi="宋体" w:eastAsia="宋体" w:cs="宋体"/>
          <w:color w:val="auto"/>
          <w:spacing w:val="13"/>
          <w:sz w:val="21"/>
          <w:szCs w:val="21"/>
          <w:highlight w:val="none"/>
          <w:lang w:eastAsia="zh-CN"/>
        </w:rPr>
        <w:t>或质量要求时，发包人有权要求承包人继续增派(/或更换)人员。承包人在接到通知14</w:t>
      </w:r>
      <w:r>
        <w:rPr>
          <w:rFonts w:hint="eastAsia" w:ascii="宋体" w:hAnsi="宋体" w:eastAsia="宋体" w:cs="宋体"/>
          <w:color w:val="auto"/>
          <w:spacing w:val="11"/>
          <w:sz w:val="21"/>
          <w:szCs w:val="21"/>
          <w:highlight w:val="none"/>
          <w:lang w:eastAsia="zh-CN"/>
        </w:rPr>
        <w:t>天内，增派(和/或更换)的人员要到岗，否则，承包人应按每人每天人民币</w:t>
      </w:r>
      <w:r>
        <w:rPr>
          <w:rFonts w:hint="eastAsia" w:ascii="宋体" w:hAnsi="宋体" w:eastAsia="宋体" w:cs="宋体"/>
          <w:color w:val="auto"/>
          <w:spacing w:val="11"/>
          <w:sz w:val="21"/>
          <w:szCs w:val="21"/>
          <w:highlight w:val="none"/>
          <w:u w:val="single"/>
          <w:lang w:eastAsia="zh-CN"/>
        </w:rPr>
        <w:t>500</w:t>
      </w:r>
      <w:r>
        <w:rPr>
          <w:rFonts w:hint="eastAsia" w:ascii="宋体" w:hAnsi="宋体" w:eastAsia="宋体" w:cs="宋体"/>
          <w:color w:val="auto"/>
          <w:spacing w:val="11"/>
          <w:sz w:val="21"/>
          <w:szCs w:val="21"/>
          <w:highlight w:val="none"/>
          <w:lang w:eastAsia="zh-CN"/>
        </w:rPr>
        <w:t>元的标准向发</w:t>
      </w:r>
      <w:r>
        <w:rPr>
          <w:rFonts w:hint="eastAsia" w:ascii="宋体" w:hAnsi="宋体" w:eastAsia="宋体" w:cs="宋体"/>
          <w:color w:val="auto"/>
          <w:spacing w:val="28"/>
          <w:sz w:val="21"/>
          <w:szCs w:val="21"/>
          <w:highlight w:val="none"/>
          <w:lang w:eastAsia="zh-CN"/>
        </w:rPr>
        <w:t>包</w:t>
      </w:r>
      <w:r>
        <w:rPr>
          <w:rFonts w:hint="eastAsia" w:ascii="宋体" w:hAnsi="宋体" w:eastAsia="宋体" w:cs="宋体"/>
          <w:color w:val="auto"/>
          <w:spacing w:val="23"/>
          <w:sz w:val="21"/>
          <w:szCs w:val="21"/>
          <w:highlight w:val="none"/>
          <w:lang w:eastAsia="zh-CN"/>
        </w:rPr>
        <w:t>人</w:t>
      </w:r>
      <w:r>
        <w:rPr>
          <w:rFonts w:hint="eastAsia" w:ascii="宋体" w:hAnsi="宋体" w:eastAsia="宋体" w:cs="宋体"/>
          <w:color w:val="auto"/>
          <w:spacing w:val="14"/>
          <w:sz w:val="21"/>
          <w:szCs w:val="21"/>
          <w:highlight w:val="none"/>
          <w:lang w:eastAsia="zh-CN"/>
        </w:rPr>
        <w:t>支付违约金，直至按照发包人的要求增派(和/或更换)的人员到岗为此。</w:t>
      </w:r>
    </w:p>
    <w:p w14:paraId="5EE96D7B">
      <w:pPr>
        <w:pStyle w:val="4"/>
        <w:spacing w:line="460" w:lineRule="exact"/>
        <w:rPr>
          <w:rFonts w:hint="eastAsia" w:ascii="宋体" w:hAnsi="宋体" w:eastAsia="宋体" w:cs="宋体"/>
          <w:color w:val="auto"/>
          <w:sz w:val="21"/>
          <w:szCs w:val="21"/>
          <w:highlight w:val="none"/>
          <w:lang w:eastAsia="zh-CN"/>
        </w:rPr>
      </w:pPr>
      <w:bookmarkStart w:id="2247" w:name="_Toc7011"/>
      <w:bookmarkStart w:id="2248" w:name="_Toc199153020"/>
      <w:bookmarkStart w:id="2249" w:name="_Toc23123"/>
      <w:r>
        <w:rPr>
          <w:rFonts w:hint="eastAsia" w:ascii="宋体" w:hAnsi="宋体" w:eastAsia="宋体" w:cs="宋体"/>
          <w:color w:val="auto"/>
          <w:sz w:val="21"/>
          <w:szCs w:val="21"/>
          <w:highlight w:val="none"/>
          <w:lang w:eastAsia="zh-CN"/>
        </w:rPr>
        <w:t>5材料和工程设备</w:t>
      </w:r>
      <w:bookmarkEnd w:id="2231"/>
      <w:bookmarkEnd w:id="2232"/>
      <w:bookmarkEnd w:id="2233"/>
      <w:bookmarkEnd w:id="2234"/>
      <w:bookmarkEnd w:id="2235"/>
      <w:bookmarkEnd w:id="2236"/>
      <w:bookmarkEnd w:id="2247"/>
      <w:bookmarkEnd w:id="2248"/>
      <w:bookmarkEnd w:id="2249"/>
    </w:p>
    <w:p w14:paraId="5EE96D7C">
      <w:pPr>
        <w:pStyle w:val="4"/>
        <w:spacing w:line="460" w:lineRule="exact"/>
        <w:rPr>
          <w:rFonts w:hint="eastAsia" w:ascii="宋体" w:hAnsi="宋体" w:eastAsia="宋体" w:cs="宋体"/>
          <w:color w:val="auto"/>
          <w:sz w:val="21"/>
          <w:szCs w:val="21"/>
          <w:highlight w:val="none"/>
          <w:lang w:eastAsia="zh-CN"/>
        </w:rPr>
      </w:pPr>
      <w:bookmarkStart w:id="2250" w:name="_Toc32486"/>
      <w:bookmarkStart w:id="2251" w:name="_Toc16326"/>
      <w:bookmarkStart w:id="2252" w:name="_Toc199153021"/>
      <w:r>
        <w:rPr>
          <w:rFonts w:hint="eastAsia" w:ascii="宋体" w:hAnsi="宋体" w:eastAsia="宋体" w:cs="宋体"/>
          <w:color w:val="auto"/>
          <w:sz w:val="21"/>
          <w:szCs w:val="21"/>
          <w:highlight w:val="none"/>
          <w:lang w:eastAsia="zh-CN"/>
        </w:rPr>
        <w:t>5.1承包人提供的材料和工程设备</w:t>
      </w:r>
      <w:bookmarkEnd w:id="2250"/>
      <w:bookmarkEnd w:id="2251"/>
      <w:bookmarkEnd w:id="2252"/>
    </w:p>
    <w:p w14:paraId="5EE96D7D">
      <w:pPr>
        <w:spacing w:line="460" w:lineRule="exact"/>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eastAsia="zh-CN"/>
        </w:rPr>
        <w:t>5.1.2</w:t>
      </w:r>
      <w:r>
        <w:rPr>
          <w:rFonts w:hint="eastAsia" w:ascii="宋体" w:hAnsi="宋体" w:eastAsia="宋体" w:cs="宋体"/>
          <w:color w:val="auto"/>
          <w:sz w:val="21"/>
          <w:szCs w:val="21"/>
          <w:highlight w:val="none"/>
          <w:lang w:eastAsia="zh-CN"/>
        </w:rPr>
        <w:t>本工程承包人所用钢筋，性能相当于柳钢、水城、平钢生产的产品；水泥性能相当于鱼峰牌、华润牌（红水河牌）、海螺牌的产品标准。</w:t>
      </w:r>
    </w:p>
    <w:p w14:paraId="5EE96D7E">
      <w:pPr>
        <w:pStyle w:val="4"/>
        <w:spacing w:line="460" w:lineRule="exact"/>
        <w:rPr>
          <w:rFonts w:hint="eastAsia" w:ascii="宋体" w:hAnsi="宋体" w:eastAsia="宋体" w:cs="宋体"/>
          <w:color w:val="auto"/>
          <w:sz w:val="21"/>
          <w:szCs w:val="21"/>
          <w:highlight w:val="none"/>
          <w:lang w:eastAsia="zh-CN"/>
        </w:rPr>
      </w:pPr>
      <w:bookmarkStart w:id="2253" w:name="_Toc10029"/>
      <w:bookmarkStart w:id="2254" w:name="_Toc221951163"/>
      <w:bookmarkStart w:id="2255" w:name="_Toc23657"/>
      <w:bookmarkStart w:id="2256" w:name="_Toc199153022"/>
      <w:r>
        <w:rPr>
          <w:rFonts w:hint="eastAsia" w:ascii="宋体" w:hAnsi="宋体" w:eastAsia="宋体" w:cs="宋体"/>
          <w:color w:val="auto"/>
          <w:sz w:val="21"/>
          <w:szCs w:val="21"/>
          <w:highlight w:val="none"/>
          <w:lang w:eastAsia="zh-CN"/>
        </w:rPr>
        <w:t>5.2发包人提供的材料和工程设备</w:t>
      </w:r>
      <w:bookmarkEnd w:id="2253"/>
      <w:bookmarkEnd w:id="2254"/>
      <w:bookmarkEnd w:id="2255"/>
      <w:bookmarkEnd w:id="2256"/>
    </w:p>
    <w:p w14:paraId="5EE96D7F">
      <w:pPr>
        <w:spacing w:line="460" w:lineRule="exact"/>
        <w:ind w:firstLine="422" w:firstLineChars="200"/>
        <w:rPr>
          <w:rFonts w:hint="eastAsia" w:ascii="宋体" w:hAnsi="宋体" w:eastAsia="宋体" w:cs="宋体"/>
          <w:color w:val="auto"/>
          <w:sz w:val="21"/>
          <w:szCs w:val="21"/>
          <w:highlight w:val="none"/>
          <w:lang w:eastAsia="zh-CN"/>
        </w:rPr>
      </w:pPr>
      <w:bookmarkStart w:id="2257" w:name="_Toc222029532"/>
      <w:bookmarkStart w:id="2258" w:name="_Toc229305392"/>
      <w:bookmarkStart w:id="2259" w:name="_Toc222032701"/>
      <w:bookmarkStart w:id="2260" w:name="_Toc222033883"/>
      <w:bookmarkStart w:id="2261" w:name="_Toc222031034"/>
      <w:bookmarkStart w:id="2262" w:name="_Toc221951166"/>
      <w:r>
        <w:rPr>
          <w:rFonts w:hint="eastAsia" w:ascii="宋体" w:hAnsi="宋体" w:eastAsia="宋体" w:cs="宋体"/>
          <w:b/>
          <w:color w:val="auto"/>
          <w:sz w:val="21"/>
          <w:szCs w:val="21"/>
          <w:highlight w:val="none"/>
          <w:lang w:eastAsia="zh-CN"/>
        </w:rPr>
        <w:t>5.2.1</w:t>
      </w:r>
      <w:r>
        <w:rPr>
          <w:rFonts w:hint="eastAsia" w:ascii="宋体" w:hAnsi="宋体" w:eastAsia="宋体" w:cs="宋体"/>
          <w:color w:val="auto"/>
          <w:sz w:val="21"/>
          <w:szCs w:val="21"/>
          <w:highlight w:val="none"/>
          <w:lang w:eastAsia="zh-CN"/>
        </w:rPr>
        <w:t>本工程发包人无提供任何材料和工程设备。</w:t>
      </w:r>
    </w:p>
    <w:p w14:paraId="5EE96D80">
      <w:pPr>
        <w:pStyle w:val="4"/>
        <w:spacing w:line="460" w:lineRule="exact"/>
        <w:rPr>
          <w:rFonts w:hint="eastAsia" w:ascii="宋体" w:hAnsi="宋体" w:eastAsia="宋体" w:cs="宋体"/>
          <w:color w:val="auto"/>
          <w:sz w:val="21"/>
          <w:szCs w:val="21"/>
          <w:highlight w:val="none"/>
          <w:lang w:eastAsia="zh-CN"/>
        </w:rPr>
      </w:pPr>
      <w:bookmarkStart w:id="2263" w:name="_Toc23748"/>
      <w:bookmarkStart w:id="2264" w:name="_Toc199153023"/>
      <w:bookmarkStart w:id="2265" w:name="_Toc22932"/>
      <w:r>
        <w:rPr>
          <w:rFonts w:hint="eastAsia" w:ascii="宋体" w:hAnsi="宋体" w:eastAsia="宋体" w:cs="宋体"/>
          <w:color w:val="auto"/>
          <w:sz w:val="21"/>
          <w:szCs w:val="21"/>
          <w:highlight w:val="none"/>
          <w:lang w:eastAsia="zh-CN"/>
        </w:rPr>
        <w:t>6施工设备和临时设施</w:t>
      </w:r>
      <w:bookmarkEnd w:id="2257"/>
      <w:bookmarkEnd w:id="2258"/>
      <w:bookmarkEnd w:id="2259"/>
      <w:bookmarkEnd w:id="2260"/>
      <w:bookmarkEnd w:id="2261"/>
      <w:bookmarkEnd w:id="2262"/>
      <w:bookmarkEnd w:id="2263"/>
      <w:bookmarkEnd w:id="2264"/>
      <w:bookmarkEnd w:id="2265"/>
    </w:p>
    <w:p w14:paraId="5EE96D81">
      <w:pPr>
        <w:pStyle w:val="4"/>
        <w:spacing w:line="460" w:lineRule="exact"/>
        <w:rPr>
          <w:rFonts w:hint="eastAsia" w:ascii="宋体" w:hAnsi="宋体" w:eastAsia="宋体" w:cs="宋体"/>
          <w:color w:val="auto"/>
          <w:sz w:val="21"/>
          <w:szCs w:val="21"/>
          <w:highlight w:val="none"/>
          <w:lang w:eastAsia="zh-CN"/>
        </w:rPr>
      </w:pPr>
      <w:bookmarkStart w:id="2266" w:name="_Toc229593367"/>
      <w:bookmarkStart w:id="2267" w:name="_Toc1412"/>
      <w:bookmarkStart w:id="2268" w:name="_Toc199153024"/>
      <w:bookmarkStart w:id="2269" w:name="_Toc8043"/>
      <w:r>
        <w:rPr>
          <w:rFonts w:hint="eastAsia" w:ascii="宋体" w:hAnsi="宋体" w:eastAsia="宋体" w:cs="宋体"/>
          <w:color w:val="auto"/>
          <w:sz w:val="21"/>
          <w:szCs w:val="21"/>
          <w:highlight w:val="none"/>
          <w:lang w:eastAsia="zh-CN"/>
        </w:rPr>
        <w:t>6.1承包人提供的施工设备和临时设施</w:t>
      </w:r>
      <w:bookmarkEnd w:id="2266"/>
      <w:bookmarkEnd w:id="2267"/>
      <w:bookmarkEnd w:id="2268"/>
      <w:bookmarkEnd w:id="2269"/>
    </w:p>
    <w:p w14:paraId="5EE96D82">
      <w:pPr>
        <w:spacing w:line="460" w:lineRule="exact"/>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eastAsia="zh-CN"/>
        </w:rPr>
        <w:t>6.1.2</w:t>
      </w:r>
      <w:r>
        <w:rPr>
          <w:rFonts w:hint="eastAsia" w:ascii="宋体" w:hAnsi="宋体" w:eastAsia="宋体" w:cs="宋体"/>
          <w:color w:val="auto"/>
          <w:sz w:val="21"/>
          <w:szCs w:val="21"/>
          <w:highlight w:val="none"/>
          <w:lang w:eastAsia="zh-CN"/>
        </w:rPr>
        <w:t>承包人自行承担修建临时设施的费用，需要临时占地的，由承包人办理相关申请手续，发包人予以协助，发生的相关费用由承包人承担。</w:t>
      </w:r>
    </w:p>
    <w:p w14:paraId="5EE96D83">
      <w:pPr>
        <w:pStyle w:val="116"/>
        <w:spacing w:line="360" w:lineRule="auto"/>
        <w:rPr>
          <w:rFonts w:hint="eastAsia" w:ascii="宋体" w:hAnsi="宋体" w:eastAsia="宋体" w:cs="宋体"/>
          <w:color w:val="auto"/>
          <w:sz w:val="21"/>
          <w:szCs w:val="21"/>
          <w:highlight w:val="none"/>
          <w:lang w:eastAsia="zh-CN"/>
        </w:rPr>
      </w:pPr>
      <w:bookmarkStart w:id="2270" w:name="_Toc12202"/>
      <w:bookmarkStart w:id="2271" w:name="_Toc199153025"/>
      <w:bookmarkStart w:id="2272" w:name="_Toc8481"/>
      <w:bookmarkStart w:id="2273" w:name="_Toc20581"/>
      <w:bookmarkStart w:id="2274" w:name="_Toc24910"/>
      <w:bookmarkStart w:id="2275" w:name="_Toc1656"/>
      <w:bookmarkStart w:id="2276" w:name="_Toc16046"/>
      <w:r>
        <w:rPr>
          <w:rFonts w:hint="eastAsia" w:ascii="宋体" w:hAnsi="宋体" w:eastAsia="宋体" w:cs="宋体"/>
          <w:color w:val="auto"/>
          <w:sz w:val="21"/>
          <w:szCs w:val="21"/>
          <w:highlight w:val="none"/>
          <w:lang w:eastAsia="zh-CN"/>
        </w:rPr>
        <w:t>7.交通运输</w:t>
      </w:r>
      <w:bookmarkEnd w:id="2270"/>
      <w:bookmarkEnd w:id="2271"/>
      <w:bookmarkEnd w:id="2272"/>
      <w:bookmarkEnd w:id="2273"/>
      <w:bookmarkEnd w:id="2274"/>
      <w:bookmarkEnd w:id="2275"/>
      <w:bookmarkEnd w:id="2276"/>
    </w:p>
    <w:p w14:paraId="5EE96D84">
      <w:pPr>
        <w:pStyle w:val="116"/>
        <w:spacing w:line="360" w:lineRule="auto"/>
        <w:rPr>
          <w:rFonts w:hint="eastAsia" w:ascii="宋体" w:hAnsi="宋体" w:eastAsia="宋体" w:cs="宋体"/>
          <w:color w:val="auto"/>
          <w:sz w:val="21"/>
          <w:szCs w:val="21"/>
          <w:highlight w:val="none"/>
          <w:lang w:eastAsia="zh-CN" w:bidi="en-US"/>
        </w:rPr>
      </w:pPr>
      <w:bookmarkStart w:id="2277" w:name="_Toc23651"/>
      <w:bookmarkStart w:id="2278" w:name="_Toc9349"/>
      <w:bookmarkStart w:id="2279" w:name="_Toc9004"/>
      <w:bookmarkStart w:id="2280" w:name="_Toc13571"/>
      <w:bookmarkStart w:id="2281" w:name="_Toc21833"/>
      <w:bookmarkStart w:id="2282" w:name="_Toc199153026"/>
      <w:bookmarkStart w:id="2283" w:name="_Toc22063"/>
      <w:r>
        <w:rPr>
          <w:rFonts w:hint="eastAsia" w:ascii="宋体" w:hAnsi="宋体" w:eastAsia="宋体" w:cs="宋体"/>
          <w:color w:val="auto"/>
          <w:sz w:val="21"/>
          <w:szCs w:val="21"/>
          <w:highlight w:val="none"/>
          <w:lang w:eastAsia="zh-CN" w:bidi="en-US"/>
        </w:rPr>
        <w:t>7.1道路通行权和场外设施</w:t>
      </w:r>
      <w:bookmarkEnd w:id="2277"/>
      <w:bookmarkEnd w:id="2278"/>
      <w:bookmarkEnd w:id="2279"/>
      <w:bookmarkEnd w:id="2280"/>
      <w:bookmarkEnd w:id="2281"/>
      <w:bookmarkEnd w:id="2282"/>
      <w:bookmarkEnd w:id="2283"/>
    </w:p>
    <w:p w14:paraId="5EE96D85">
      <w:pPr>
        <w:spacing w:before="154" w:line="360" w:lineRule="auto"/>
        <w:rPr>
          <w:rFonts w:hint="eastAsia" w:ascii="宋体" w:hAnsi="宋体" w:eastAsia="宋体" w:cs="宋体"/>
          <w:color w:val="auto"/>
          <w:sz w:val="21"/>
          <w:szCs w:val="21"/>
          <w:highlight w:val="none"/>
          <w:lang w:eastAsia="zh-CN"/>
        </w:rPr>
      </w:pPr>
      <w:bookmarkStart w:id="2284" w:name="_Toc199153027"/>
      <w:bookmarkStart w:id="2285" w:name="_Toc6897"/>
      <w:bookmarkStart w:id="2286" w:name="_Toc6671"/>
      <w:r>
        <w:rPr>
          <w:rFonts w:hint="eastAsia" w:ascii="宋体" w:hAnsi="宋体" w:eastAsia="宋体" w:cs="宋体"/>
          <w:color w:val="auto"/>
          <w:sz w:val="21"/>
          <w:szCs w:val="21"/>
          <w:highlight w:val="none"/>
          <w:lang w:eastAsia="zh-CN"/>
        </w:rPr>
        <w:t>道路通行权和场外设施的约定：</w:t>
      </w:r>
      <w:r>
        <w:rPr>
          <w:rFonts w:hint="eastAsia" w:ascii="宋体" w:hAnsi="宋体" w:eastAsia="宋体" w:cs="宋体"/>
          <w:b/>
          <w:bCs/>
          <w:color w:val="auto"/>
          <w:sz w:val="21"/>
          <w:szCs w:val="21"/>
          <w:highlight w:val="none"/>
          <w:u w:val="single"/>
          <w:lang w:eastAsia="zh-CN"/>
        </w:rPr>
        <w:t>承包人负责并承担费用。</w:t>
      </w:r>
      <w:bookmarkEnd w:id="2284"/>
      <w:bookmarkEnd w:id="2285"/>
      <w:bookmarkEnd w:id="2286"/>
    </w:p>
    <w:p w14:paraId="5EE96D86">
      <w:pPr>
        <w:pStyle w:val="4"/>
        <w:spacing w:line="460" w:lineRule="exact"/>
        <w:rPr>
          <w:rFonts w:hint="eastAsia" w:ascii="宋体" w:hAnsi="宋体" w:eastAsia="宋体" w:cs="宋体"/>
          <w:color w:val="auto"/>
          <w:sz w:val="21"/>
          <w:szCs w:val="21"/>
          <w:highlight w:val="none"/>
          <w:lang w:eastAsia="zh-CN"/>
        </w:rPr>
      </w:pPr>
      <w:bookmarkStart w:id="2287" w:name="_Toc29451"/>
      <w:bookmarkStart w:id="2288" w:name="_Toc199153028"/>
      <w:bookmarkStart w:id="2289" w:name="_Toc16290"/>
      <w:r>
        <w:rPr>
          <w:rFonts w:hint="eastAsia" w:ascii="宋体" w:hAnsi="宋体" w:eastAsia="宋体" w:cs="宋体"/>
          <w:color w:val="auto"/>
          <w:sz w:val="21"/>
          <w:szCs w:val="21"/>
          <w:highlight w:val="none"/>
          <w:lang w:eastAsia="zh-CN"/>
        </w:rPr>
        <w:t>8测量放线</w:t>
      </w:r>
      <w:bookmarkEnd w:id="2287"/>
      <w:bookmarkEnd w:id="2288"/>
      <w:bookmarkEnd w:id="2289"/>
    </w:p>
    <w:p w14:paraId="5EE96D87">
      <w:pPr>
        <w:pStyle w:val="4"/>
        <w:spacing w:line="460" w:lineRule="exact"/>
        <w:rPr>
          <w:rFonts w:hint="eastAsia" w:ascii="宋体" w:hAnsi="宋体" w:eastAsia="宋体" w:cs="宋体"/>
          <w:color w:val="auto"/>
          <w:sz w:val="21"/>
          <w:szCs w:val="21"/>
          <w:highlight w:val="none"/>
          <w:lang w:eastAsia="zh-CN"/>
        </w:rPr>
      </w:pPr>
      <w:bookmarkStart w:id="2290" w:name="_Toc318"/>
      <w:bookmarkStart w:id="2291" w:name="_Toc23682"/>
      <w:bookmarkStart w:id="2292" w:name="_Toc199153029"/>
      <w:r>
        <w:rPr>
          <w:rFonts w:hint="eastAsia" w:ascii="宋体" w:hAnsi="宋体" w:eastAsia="宋体" w:cs="宋体"/>
          <w:color w:val="auto"/>
          <w:sz w:val="21"/>
          <w:szCs w:val="21"/>
          <w:highlight w:val="none"/>
          <w:lang w:eastAsia="zh-CN"/>
        </w:rPr>
        <w:t>8.1施工控制网</w:t>
      </w:r>
      <w:bookmarkEnd w:id="2290"/>
      <w:bookmarkEnd w:id="2291"/>
      <w:bookmarkEnd w:id="2292"/>
    </w:p>
    <w:p w14:paraId="5EE96D88">
      <w:pPr>
        <w:spacing w:line="460" w:lineRule="exact"/>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eastAsia="zh-CN"/>
        </w:rPr>
        <w:t>8.1.1</w:t>
      </w:r>
      <w:r>
        <w:rPr>
          <w:rFonts w:hint="eastAsia" w:ascii="宋体" w:hAnsi="宋体" w:eastAsia="宋体" w:cs="宋体"/>
          <w:color w:val="auto"/>
          <w:sz w:val="21"/>
          <w:szCs w:val="21"/>
          <w:highlight w:val="none"/>
          <w:lang w:eastAsia="zh-CN"/>
        </w:rPr>
        <w:t>施工控制网的约定：由发包人负责交桩，承包人负责复核、测设；发包人应在本合同协议书签订后7天内，向承包人提供基准点、基准线和水准点及相关资料；承包人在收到上述资料后的14天内，将施测的施工控制网资料提交监理人审批；发包人不对提供的测设控制网准确性负责。</w:t>
      </w:r>
    </w:p>
    <w:p w14:paraId="5EE96D89">
      <w:pPr>
        <w:pStyle w:val="4"/>
        <w:spacing w:line="460" w:lineRule="exact"/>
        <w:rPr>
          <w:rFonts w:hint="eastAsia" w:ascii="宋体" w:hAnsi="宋体" w:eastAsia="宋体" w:cs="宋体"/>
          <w:color w:val="auto"/>
          <w:sz w:val="21"/>
          <w:szCs w:val="21"/>
          <w:highlight w:val="none"/>
          <w:lang w:eastAsia="zh-CN"/>
        </w:rPr>
      </w:pPr>
      <w:bookmarkStart w:id="2293" w:name="_Toc6202"/>
      <w:bookmarkStart w:id="2294" w:name="_Toc31075"/>
      <w:bookmarkStart w:id="2295" w:name="_Toc199153030"/>
      <w:r>
        <w:rPr>
          <w:rFonts w:hint="eastAsia" w:ascii="宋体" w:hAnsi="宋体" w:eastAsia="宋体" w:cs="宋体"/>
          <w:color w:val="auto"/>
          <w:sz w:val="21"/>
          <w:szCs w:val="21"/>
          <w:highlight w:val="none"/>
          <w:lang w:eastAsia="zh-CN"/>
        </w:rPr>
        <w:t>9施工安全、治安保卫和环境保护</w:t>
      </w:r>
      <w:bookmarkEnd w:id="2293"/>
      <w:bookmarkEnd w:id="2294"/>
      <w:bookmarkEnd w:id="2295"/>
    </w:p>
    <w:p w14:paraId="5EE96D8A">
      <w:pPr>
        <w:pStyle w:val="115"/>
        <w:tabs>
          <w:tab w:val="left" w:pos="954"/>
        </w:tabs>
        <w:spacing w:line="370" w:lineRule="exact"/>
        <w:ind w:firstLine="447" w:firstLineChars="213"/>
        <w:jc w:val="both"/>
        <w:rPr>
          <w:rFonts w:hint="eastAsia" w:ascii="宋体" w:hAnsi="宋体" w:eastAsia="宋体" w:cs="宋体"/>
          <w:color w:val="auto"/>
          <w:sz w:val="21"/>
          <w:szCs w:val="21"/>
          <w:highlight w:val="none"/>
          <w:lang w:val="en-US" w:eastAsia="zh-CN" w:bidi="en-US"/>
        </w:rPr>
      </w:pPr>
      <w:r>
        <w:rPr>
          <w:rFonts w:hint="eastAsia" w:ascii="宋体" w:hAnsi="宋体" w:eastAsia="宋体" w:cs="宋体"/>
          <w:color w:val="auto"/>
          <w:sz w:val="21"/>
          <w:szCs w:val="21"/>
          <w:highlight w:val="none"/>
          <w:lang w:val="en-US" w:eastAsia="zh-CN" w:bidi="en-US"/>
        </w:rPr>
        <w:t>9.1.3本款补充：但由于承包人原因造成的应由承包人承担责任。</w:t>
      </w:r>
    </w:p>
    <w:p w14:paraId="5EE96D8B">
      <w:pPr>
        <w:pStyle w:val="115"/>
        <w:tabs>
          <w:tab w:val="left" w:pos="954"/>
        </w:tabs>
        <w:spacing w:line="370" w:lineRule="exact"/>
        <w:ind w:firstLine="447" w:firstLineChars="213"/>
        <w:jc w:val="both"/>
        <w:rPr>
          <w:rFonts w:hint="eastAsia" w:ascii="宋体" w:hAnsi="宋体" w:eastAsia="宋体" w:cs="宋体"/>
          <w:color w:val="auto"/>
          <w:sz w:val="21"/>
          <w:szCs w:val="21"/>
          <w:highlight w:val="none"/>
          <w:lang w:val="en-US" w:eastAsia="zh-CN" w:bidi="en-US"/>
        </w:rPr>
      </w:pPr>
      <w:r>
        <w:rPr>
          <w:rFonts w:hint="eastAsia" w:ascii="宋体" w:hAnsi="宋体" w:eastAsia="宋体" w:cs="宋体"/>
          <w:color w:val="auto"/>
          <w:sz w:val="21"/>
          <w:szCs w:val="21"/>
          <w:highlight w:val="none"/>
          <w:lang w:val="en-US" w:eastAsia="zh-CN" w:bidi="en-US"/>
        </w:rPr>
        <w:t>9.1.4本款改为：除专用合同条款另有约定外，承包人应自行调查施工现场及施工可能影响的毗邻区域内供水、排水、供电、供气、供热、通信、广播电视等地下管线资料，气象和水文观测资料，拟建工程可能影响的相邻建筑物地下工程的有关资料，应承包人要求，发包人可以提供协助；由于承包人调查不清楚而造成施工现场及施工可能影响的毗邻区域内工程建筑物或管线损坏的，由承包人负责恢复并承担经济损失，由此造成期延误的责任由承包人承担。</w:t>
      </w:r>
    </w:p>
    <w:p w14:paraId="5EE96D8C">
      <w:pPr>
        <w:pStyle w:val="116"/>
        <w:spacing w:line="360" w:lineRule="auto"/>
        <w:rPr>
          <w:rFonts w:hint="eastAsia" w:ascii="宋体" w:hAnsi="宋体" w:eastAsia="宋体" w:cs="宋体"/>
          <w:color w:val="auto"/>
          <w:sz w:val="21"/>
          <w:szCs w:val="21"/>
          <w:highlight w:val="none"/>
          <w:lang w:eastAsia="zh-CN" w:bidi="en-US"/>
        </w:rPr>
      </w:pPr>
      <w:bookmarkStart w:id="2296" w:name="_Toc21629"/>
      <w:bookmarkStart w:id="2297" w:name="_Toc199153031"/>
      <w:bookmarkStart w:id="2298" w:name="_Toc962"/>
      <w:bookmarkStart w:id="2299" w:name="_Toc9063"/>
      <w:bookmarkStart w:id="2300" w:name="_Toc17966"/>
      <w:bookmarkStart w:id="2301" w:name="_Toc7841"/>
      <w:bookmarkStart w:id="2302" w:name="_Toc26608"/>
      <w:r>
        <w:rPr>
          <w:rFonts w:hint="eastAsia" w:ascii="宋体" w:hAnsi="宋体" w:eastAsia="宋体" w:cs="宋体"/>
          <w:color w:val="auto"/>
          <w:sz w:val="21"/>
          <w:szCs w:val="21"/>
          <w:highlight w:val="none"/>
          <w:lang w:eastAsia="zh-CN" w:bidi="en-US"/>
        </w:rPr>
        <w:t>9.2承包人的施工安全责任</w:t>
      </w:r>
      <w:bookmarkEnd w:id="2296"/>
      <w:bookmarkEnd w:id="2297"/>
      <w:bookmarkEnd w:id="2298"/>
      <w:bookmarkEnd w:id="2299"/>
      <w:bookmarkEnd w:id="2300"/>
      <w:bookmarkEnd w:id="2301"/>
      <w:bookmarkEnd w:id="2302"/>
    </w:p>
    <w:p w14:paraId="5EE96D8D">
      <w:pPr>
        <w:spacing w:before="62" w:line="360" w:lineRule="auto"/>
        <w:ind w:left="448" w:right="42" w:hanging="2"/>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10"/>
          <w:sz w:val="21"/>
          <w:szCs w:val="21"/>
          <w:highlight w:val="none"/>
          <w:lang w:eastAsia="zh-CN"/>
        </w:rPr>
        <w:t>9.</w:t>
      </w:r>
      <w:r>
        <w:rPr>
          <w:rFonts w:hint="eastAsia" w:ascii="宋体" w:hAnsi="宋体" w:eastAsia="宋体" w:cs="宋体"/>
          <w:color w:val="auto"/>
          <w:spacing w:val="5"/>
          <w:sz w:val="21"/>
          <w:szCs w:val="21"/>
          <w:highlight w:val="none"/>
          <w:lang w:eastAsia="zh-CN"/>
        </w:rPr>
        <w:t>2.8安全施工措施所需费用在投标时不得做竞争调整。安全施工措施所需费为人工、材料、机械费的2.5%，由承包人专门用于施工安全措施相关支出，不得挪作他用。</w:t>
      </w:r>
    </w:p>
    <w:p w14:paraId="5EE96D8E">
      <w:pPr>
        <w:pStyle w:val="116"/>
        <w:spacing w:line="360" w:lineRule="auto"/>
        <w:ind w:firstLine="460" w:firstLineChars="200"/>
        <w:rPr>
          <w:rFonts w:hint="eastAsia" w:ascii="宋体" w:hAnsi="宋体" w:eastAsia="宋体" w:cs="宋体"/>
          <w:b w:val="0"/>
          <w:color w:val="auto"/>
          <w:spacing w:val="10"/>
          <w:kern w:val="2"/>
          <w:sz w:val="21"/>
          <w:szCs w:val="21"/>
          <w:highlight w:val="none"/>
          <w:lang w:eastAsia="zh-CN"/>
        </w:rPr>
      </w:pPr>
      <w:bookmarkStart w:id="2303" w:name="_Toc7789"/>
      <w:bookmarkStart w:id="2304" w:name="_Toc17671"/>
      <w:bookmarkStart w:id="2305" w:name="_Toc30838"/>
      <w:bookmarkStart w:id="2306" w:name="_Toc7714"/>
      <w:bookmarkStart w:id="2307" w:name="_Toc10880"/>
      <w:bookmarkStart w:id="2308" w:name="_Toc843"/>
      <w:bookmarkStart w:id="2309" w:name="_Toc199153032"/>
      <w:r>
        <w:rPr>
          <w:rFonts w:hint="eastAsia" w:ascii="宋体" w:hAnsi="宋体" w:eastAsia="宋体" w:cs="宋体"/>
          <w:b w:val="0"/>
          <w:color w:val="auto"/>
          <w:spacing w:val="10"/>
          <w:kern w:val="2"/>
          <w:sz w:val="21"/>
          <w:szCs w:val="21"/>
          <w:highlight w:val="none"/>
          <w:lang w:eastAsia="zh-CN"/>
        </w:rPr>
        <w:t>9.2.12下列工程应编制专项施工方案：由发包人和监理人根据有关规定明确。其中应组织专家论证和审查的专项施工方案：由发包人和监理人根据有关规定明确。</w:t>
      </w:r>
      <w:bookmarkEnd w:id="2303"/>
      <w:bookmarkEnd w:id="2304"/>
      <w:bookmarkEnd w:id="2305"/>
      <w:bookmarkEnd w:id="2306"/>
      <w:bookmarkEnd w:id="2307"/>
      <w:bookmarkEnd w:id="2308"/>
      <w:bookmarkEnd w:id="2309"/>
    </w:p>
    <w:p w14:paraId="5EE96D8F">
      <w:pPr>
        <w:pStyle w:val="4"/>
        <w:spacing w:line="460" w:lineRule="exact"/>
        <w:rPr>
          <w:rFonts w:hint="eastAsia" w:ascii="宋体" w:hAnsi="宋体" w:eastAsia="宋体" w:cs="宋体"/>
          <w:color w:val="auto"/>
          <w:sz w:val="21"/>
          <w:szCs w:val="21"/>
          <w:highlight w:val="none"/>
          <w:lang w:eastAsia="zh-CN"/>
        </w:rPr>
      </w:pPr>
      <w:bookmarkStart w:id="2310" w:name="_Toc8154"/>
      <w:bookmarkStart w:id="2311" w:name="_Toc199153033"/>
      <w:bookmarkStart w:id="2312" w:name="_Toc9288"/>
      <w:r>
        <w:rPr>
          <w:rFonts w:hint="eastAsia" w:ascii="宋体" w:hAnsi="宋体" w:eastAsia="宋体" w:cs="宋体"/>
          <w:color w:val="auto"/>
          <w:sz w:val="21"/>
          <w:szCs w:val="21"/>
          <w:highlight w:val="none"/>
          <w:lang w:eastAsia="zh-CN"/>
        </w:rPr>
        <w:t>9.7文明工地</w:t>
      </w:r>
      <w:bookmarkEnd w:id="2310"/>
      <w:bookmarkEnd w:id="2311"/>
      <w:bookmarkEnd w:id="2312"/>
    </w:p>
    <w:p w14:paraId="5EE96D90">
      <w:pPr>
        <w:spacing w:line="460" w:lineRule="exact"/>
        <w:ind w:right="248" w:firstLine="48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eastAsia="zh-CN"/>
        </w:rPr>
        <w:t>9.7.1</w:t>
      </w:r>
      <w:r>
        <w:rPr>
          <w:rFonts w:hint="eastAsia" w:ascii="宋体" w:hAnsi="宋体" w:eastAsia="宋体" w:cs="宋体"/>
          <w:color w:val="auto"/>
          <w:sz w:val="21"/>
          <w:szCs w:val="21"/>
          <w:highlight w:val="none"/>
          <w:lang w:eastAsia="zh-CN"/>
        </w:rPr>
        <w:t>本合同文明工地的约定：</w:t>
      </w:r>
      <w:r>
        <w:rPr>
          <w:rFonts w:hint="eastAsia" w:ascii="宋体" w:hAnsi="宋体" w:eastAsia="宋体" w:cs="宋体"/>
          <w:bCs/>
          <w:color w:val="auto"/>
          <w:sz w:val="21"/>
          <w:szCs w:val="21"/>
          <w:highlight w:val="none"/>
          <w:u w:val="single"/>
          <w:lang w:eastAsia="zh-CN"/>
        </w:rPr>
        <w:t>按水利部《水利系统文明建设工地评审管理办法》创建文明建设工地</w:t>
      </w:r>
      <w:r>
        <w:rPr>
          <w:rFonts w:hint="eastAsia" w:ascii="宋体" w:hAnsi="宋体" w:eastAsia="宋体" w:cs="宋体"/>
          <w:color w:val="auto"/>
          <w:sz w:val="21"/>
          <w:szCs w:val="21"/>
          <w:highlight w:val="none"/>
          <w:lang w:eastAsia="zh-CN"/>
        </w:rPr>
        <w:t>。</w:t>
      </w:r>
    </w:p>
    <w:p w14:paraId="5EE96D91">
      <w:pPr>
        <w:pStyle w:val="4"/>
        <w:spacing w:line="460" w:lineRule="exact"/>
        <w:rPr>
          <w:rFonts w:hint="eastAsia" w:ascii="宋体" w:hAnsi="宋体" w:eastAsia="宋体" w:cs="宋体"/>
          <w:color w:val="auto"/>
          <w:sz w:val="21"/>
          <w:szCs w:val="21"/>
          <w:highlight w:val="none"/>
          <w:lang w:eastAsia="zh-CN"/>
        </w:rPr>
      </w:pPr>
      <w:bookmarkStart w:id="2313" w:name="_Toc222031038"/>
      <w:bookmarkStart w:id="2314" w:name="_Toc229305394"/>
      <w:bookmarkStart w:id="2315" w:name="_Toc222029536"/>
      <w:bookmarkStart w:id="2316" w:name="_Toc221951188"/>
      <w:bookmarkStart w:id="2317" w:name="_Toc222033887"/>
      <w:bookmarkStart w:id="2318" w:name="_Toc222032705"/>
      <w:bookmarkStart w:id="2319" w:name="_Toc199153034"/>
      <w:bookmarkStart w:id="2320" w:name="_Toc4243"/>
      <w:bookmarkStart w:id="2321" w:name="_Toc12526"/>
      <w:r>
        <w:rPr>
          <w:rFonts w:hint="eastAsia" w:ascii="宋体" w:hAnsi="宋体" w:eastAsia="宋体" w:cs="宋体"/>
          <w:color w:val="auto"/>
          <w:sz w:val="21"/>
          <w:szCs w:val="21"/>
          <w:highlight w:val="none"/>
          <w:lang w:eastAsia="zh-CN"/>
        </w:rPr>
        <w:t>11开工和竣工</w:t>
      </w:r>
      <w:bookmarkEnd w:id="2313"/>
      <w:bookmarkEnd w:id="2314"/>
      <w:bookmarkEnd w:id="2315"/>
      <w:bookmarkEnd w:id="2316"/>
      <w:bookmarkEnd w:id="2317"/>
      <w:bookmarkEnd w:id="2318"/>
      <w:r>
        <w:rPr>
          <w:rFonts w:hint="eastAsia" w:ascii="宋体" w:hAnsi="宋体" w:eastAsia="宋体" w:cs="宋体"/>
          <w:color w:val="auto"/>
          <w:sz w:val="21"/>
          <w:szCs w:val="21"/>
          <w:highlight w:val="none"/>
          <w:lang w:eastAsia="zh-CN"/>
        </w:rPr>
        <w:t>（完工）</w:t>
      </w:r>
      <w:bookmarkEnd w:id="2319"/>
      <w:bookmarkEnd w:id="2320"/>
      <w:bookmarkEnd w:id="2321"/>
    </w:p>
    <w:p w14:paraId="5EE96D92">
      <w:pPr>
        <w:spacing w:line="460" w:lineRule="exact"/>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eastAsia="zh-CN"/>
        </w:rPr>
        <w:t>11.1</w:t>
      </w:r>
      <w:r>
        <w:rPr>
          <w:rFonts w:hint="eastAsia" w:ascii="宋体" w:hAnsi="宋体" w:eastAsia="宋体" w:cs="宋体"/>
          <w:color w:val="auto"/>
          <w:sz w:val="21"/>
          <w:szCs w:val="21"/>
          <w:highlight w:val="none"/>
          <w:lang w:eastAsia="zh-CN"/>
        </w:rPr>
        <w:t>本工程计划开工时间为：</w:t>
      </w:r>
      <w:r>
        <w:rPr>
          <w:rFonts w:hint="eastAsia" w:ascii="宋体" w:hAnsi="宋体" w:eastAsia="宋体" w:cs="宋体"/>
          <w:b/>
          <w:color w:val="auto"/>
          <w:sz w:val="21"/>
          <w:szCs w:val="21"/>
          <w:highlight w:val="none"/>
          <w:u w:val="single"/>
          <w:lang w:eastAsia="zh-CN"/>
        </w:rPr>
        <w:t xml:space="preserve">    年   月   日（以监理开工令为准）。</w:t>
      </w:r>
    </w:p>
    <w:p w14:paraId="5EE96D93">
      <w:pPr>
        <w:spacing w:line="460" w:lineRule="exact"/>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eastAsia="zh-CN"/>
        </w:rPr>
        <w:t>11.2</w:t>
      </w:r>
      <w:r>
        <w:rPr>
          <w:rFonts w:hint="eastAsia" w:ascii="宋体" w:hAnsi="宋体" w:eastAsia="宋体" w:cs="宋体"/>
          <w:color w:val="auto"/>
          <w:sz w:val="21"/>
          <w:szCs w:val="21"/>
          <w:highlight w:val="none"/>
          <w:lang w:eastAsia="zh-CN"/>
        </w:rPr>
        <w:t>本工程计划完工时间为：</w:t>
      </w:r>
      <w:r>
        <w:rPr>
          <w:rFonts w:hint="eastAsia" w:ascii="宋体" w:hAnsi="宋体" w:eastAsia="宋体" w:cs="宋体"/>
          <w:b/>
          <w:color w:val="auto"/>
          <w:sz w:val="21"/>
          <w:szCs w:val="21"/>
          <w:highlight w:val="none"/>
          <w:u w:val="single"/>
          <w:lang w:eastAsia="zh-CN"/>
        </w:rPr>
        <w:t xml:space="preserve">    年   月   日（以监理签发的开工日起</w:t>
      </w:r>
      <w:r>
        <w:rPr>
          <w:rFonts w:hint="eastAsia" w:ascii="宋体"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lang w:eastAsia="zh-CN"/>
        </w:rPr>
        <w:t>日历天为准）。</w:t>
      </w:r>
    </w:p>
    <w:p w14:paraId="5EE96D94">
      <w:pPr>
        <w:pStyle w:val="4"/>
        <w:spacing w:line="460" w:lineRule="exact"/>
        <w:rPr>
          <w:rFonts w:hint="eastAsia" w:ascii="宋体" w:hAnsi="宋体" w:eastAsia="宋体" w:cs="宋体"/>
          <w:color w:val="auto"/>
          <w:sz w:val="21"/>
          <w:szCs w:val="21"/>
          <w:highlight w:val="none"/>
          <w:lang w:eastAsia="zh-CN"/>
        </w:rPr>
      </w:pPr>
      <w:bookmarkStart w:id="2322" w:name="_Toc199153035"/>
      <w:bookmarkStart w:id="2323" w:name="_Toc25710"/>
      <w:bookmarkStart w:id="2324" w:name="_Toc18862"/>
      <w:bookmarkStart w:id="2325" w:name="_Toc221951198"/>
      <w:r>
        <w:rPr>
          <w:rFonts w:hint="eastAsia" w:ascii="宋体" w:hAnsi="宋体" w:eastAsia="宋体" w:cs="宋体"/>
          <w:color w:val="auto"/>
          <w:sz w:val="21"/>
          <w:szCs w:val="21"/>
          <w:highlight w:val="none"/>
          <w:lang w:eastAsia="zh-CN"/>
        </w:rPr>
        <w:t>11.5承包人工期延误</w:t>
      </w:r>
      <w:bookmarkEnd w:id="2322"/>
      <w:bookmarkEnd w:id="2323"/>
      <w:bookmarkEnd w:id="2324"/>
      <w:bookmarkEnd w:id="2325"/>
      <w:bookmarkStart w:id="2326" w:name="_Toc221951200"/>
    </w:p>
    <w:bookmarkEnd w:id="2326"/>
    <w:p w14:paraId="5EE96D95">
      <w:pPr>
        <w:spacing w:line="460" w:lineRule="exact"/>
        <w:ind w:right="248" w:firstLine="420" w:firstLineChars="200"/>
        <w:rPr>
          <w:rFonts w:hint="eastAsia" w:ascii="宋体" w:hAnsi="宋体" w:eastAsia="宋体" w:cs="宋体"/>
          <w:color w:val="auto"/>
          <w:sz w:val="21"/>
          <w:szCs w:val="21"/>
          <w:highlight w:val="none"/>
          <w:lang w:eastAsia="zh-CN"/>
        </w:rPr>
      </w:pPr>
      <w:bookmarkStart w:id="2327" w:name="_Toc221951205"/>
      <w:r>
        <w:rPr>
          <w:rFonts w:hint="eastAsia" w:ascii="宋体" w:hAnsi="宋体" w:eastAsia="宋体" w:cs="宋体"/>
          <w:color w:val="auto"/>
          <w:sz w:val="21"/>
          <w:szCs w:val="21"/>
          <w:highlight w:val="none"/>
          <w:lang w:eastAsia="zh-CN"/>
        </w:rPr>
        <w:t>（1）承包人如未能按要求的完工日期前完工，</w:t>
      </w:r>
      <w:r>
        <w:rPr>
          <w:rFonts w:hint="eastAsia" w:ascii="宋体" w:hAnsi="宋体" w:eastAsia="宋体" w:cs="宋体"/>
          <w:bCs/>
          <w:color w:val="auto"/>
          <w:sz w:val="21"/>
          <w:szCs w:val="21"/>
          <w:highlight w:val="none"/>
          <w:lang w:eastAsia="zh-CN"/>
        </w:rPr>
        <w:t>逾期完工违约金按</w:t>
      </w:r>
      <w:r>
        <w:rPr>
          <w:rFonts w:hint="eastAsia" w:ascii="宋体" w:hAnsi="宋体" w:eastAsia="宋体" w:cs="宋体"/>
          <w:color w:val="auto"/>
          <w:sz w:val="21"/>
          <w:szCs w:val="21"/>
          <w:highlight w:val="none"/>
          <w:u w:val="single"/>
          <w:lang w:eastAsia="zh-CN"/>
        </w:rPr>
        <w:t>1000</w:t>
      </w:r>
      <w:r>
        <w:rPr>
          <w:rFonts w:hint="eastAsia" w:ascii="宋体" w:hAnsi="宋体" w:eastAsia="宋体" w:cs="宋体"/>
          <w:bCs/>
          <w:color w:val="auto"/>
          <w:sz w:val="21"/>
          <w:szCs w:val="21"/>
          <w:highlight w:val="none"/>
          <w:lang w:eastAsia="zh-CN"/>
        </w:rPr>
        <w:t>元/天计算。</w:t>
      </w:r>
    </w:p>
    <w:p w14:paraId="5EE96D96">
      <w:pPr>
        <w:spacing w:line="460" w:lineRule="exact"/>
        <w:ind w:right="248"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（2）全部逾期完工违约金的总限额不超过合同总价的</w:t>
      </w:r>
      <w:r>
        <w:rPr>
          <w:rFonts w:hint="eastAsia" w:ascii="宋体" w:hAnsi="宋体" w:eastAsia="宋体" w:cs="宋体"/>
          <w:color w:val="auto"/>
          <w:sz w:val="21"/>
          <w:szCs w:val="21"/>
          <w:highlight w:val="none"/>
          <w:u w:val="single"/>
          <w:lang w:eastAsia="zh-CN"/>
        </w:rPr>
        <w:t>2</w:t>
      </w:r>
      <w:r>
        <w:rPr>
          <w:rFonts w:hint="eastAsia" w:ascii="宋体" w:hAnsi="宋体" w:eastAsia="宋体" w:cs="宋体"/>
          <w:color w:val="auto"/>
          <w:sz w:val="21"/>
          <w:szCs w:val="21"/>
          <w:highlight w:val="none"/>
          <w:lang w:eastAsia="zh-CN"/>
        </w:rPr>
        <w:t>%，发包人可从应向承包人支付的任何金额中扣除此项违约金，此违约金的支付并不能解除承包人应完成工程的责任和合同规定的其他责任。</w:t>
      </w:r>
      <w:bookmarkEnd w:id="2327"/>
    </w:p>
    <w:p w14:paraId="5EE96D97">
      <w:pPr>
        <w:pStyle w:val="4"/>
        <w:spacing w:line="460" w:lineRule="exact"/>
        <w:rPr>
          <w:rFonts w:hint="eastAsia" w:ascii="宋体" w:hAnsi="宋体" w:eastAsia="宋体" w:cs="宋体"/>
          <w:color w:val="auto"/>
          <w:sz w:val="21"/>
          <w:szCs w:val="21"/>
          <w:highlight w:val="none"/>
          <w:lang w:eastAsia="zh-CN"/>
        </w:rPr>
      </w:pPr>
      <w:bookmarkStart w:id="2328" w:name="_Toc22886"/>
      <w:bookmarkStart w:id="2329" w:name="_Toc199153036"/>
      <w:bookmarkStart w:id="2330" w:name="_Toc13082"/>
      <w:r>
        <w:rPr>
          <w:rFonts w:hint="eastAsia" w:ascii="宋体" w:hAnsi="宋体" w:eastAsia="宋体" w:cs="宋体"/>
          <w:color w:val="auto"/>
          <w:sz w:val="21"/>
          <w:szCs w:val="21"/>
          <w:highlight w:val="none"/>
          <w:lang w:eastAsia="zh-CN"/>
        </w:rPr>
        <w:t>11.6工期提前</w:t>
      </w:r>
      <w:bookmarkEnd w:id="2328"/>
      <w:bookmarkEnd w:id="2329"/>
      <w:bookmarkEnd w:id="2330"/>
    </w:p>
    <w:p w14:paraId="5EE96D98">
      <w:pPr>
        <w:spacing w:line="460" w:lineRule="exact"/>
        <w:ind w:right="248"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工期提前的资金约定：</w:t>
      </w:r>
      <w:r>
        <w:rPr>
          <w:rFonts w:hint="eastAsia" w:ascii="宋体" w:hAnsi="宋体" w:eastAsia="宋体" w:cs="宋体"/>
          <w:bCs/>
          <w:color w:val="auto"/>
          <w:sz w:val="21"/>
          <w:szCs w:val="21"/>
          <w:highlight w:val="none"/>
          <w:u w:val="single"/>
          <w:lang w:eastAsia="zh-CN"/>
        </w:rPr>
        <w:t>在保证工程质量的前提下，发包人鼓励承包人提前完工，但本合同工程无提前工期奖金</w:t>
      </w:r>
      <w:r>
        <w:rPr>
          <w:rFonts w:hint="eastAsia" w:ascii="宋体" w:hAnsi="宋体" w:eastAsia="宋体" w:cs="宋体"/>
          <w:color w:val="auto"/>
          <w:sz w:val="21"/>
          <w:szCs w:val="21"/>
          <w:highlight w:val="none"/>
          <w:lang w:eastAsia="zh-CN"/>
        </w:rPr>
        <w:t>。</w:t>
      </w:r>
    </w:p>
    <w:p w14:paraId="5EE96D99">
      <w:pPr>
        <w:pStyle w:val="4"/>
        <w:spacing w:line="460" w:lineRule="exact"/>
        <w:rPr>
          <w:rFonts w:hint="eastAsia" w:ascii="宋体" w:hAnsi="宋体" w:eastAsia="宋体" w:cs="宋体"/>
          <w:color w:val="auto"/>
          <w:sz w:val="21"/>
          <w:szCs w:val="21"/>
          <w:highlight w:val="none"/>
          <w:lang w:eastAsia="zh-CN"/>
        </w:rPr>
      </w:pPr>
      <w:bookmarkStart w:id="2331" w:name="_Toc199153037"/>
      <w:bookmarkStart w:id="2332" w:name="_Toc16645"/>
      <w:bookmarkStart w:id="2333" w:name="_Toc14448"/>
      <w:r>
        <w:rPr>
          <w:rFonts w:hint="eastAsia" w:ascii="宋体" w:hAnsi="宋体" w:eastAsia="宋体" w:cs="宋体"/>
          <w:color w:val="auto"/>
          <w:sz w:val="21"/>
          <w:szCs w:val="21"/>
          <w:highlight w:val="none"/>
          <w:lang w:eastAsia="zh-CN"/>
        </w:rPr>
        <w:t>14试验和检验</w:t>
      </w:r>
      <w:bookmarkEnd w:id="2331"/>
      <w:bookmarkEnd w:id="2332"/>
      <w:bookmarkEnd w:id="2333"/>
    </w:p>
    <w:p w14:paraId="5EE96D9A">
      <w:pPr>
        <w:pStyle w:val="4"/>
        <w:spacing w:line="460" w:lineRule="exact"/>
        <w:rPr>
          <w:rFonts w:hint="eastAsia" w:ascii="宋体" w:hAnsi="宋体" w:eastAsia="宋体" w:cs="宋体"/>
          <w:color w:val="auto"/>
          <w:sz w:val="21"/>
          <w:szCs w:val="21"/>
          <w:highlight w:val="none"/>
          <w:lang w:eastAsia="zh-CN"/>
        </w:rPr>
      </w:pPr>
      <w:bookmarkStart w:id="2334" w:name="_Toc6085"/>
      <w:bookmarkStart w:id="2335" w:name="_Toc16715"/>
      <w:bookmarkStart w:id="2336" w:name="_Toc199153038"/>
      <w:r>
        <w:rPr>
          <w:rFonts w:hint="eastAsia" w:ascii="宋体" w:hAnsi="宋体" w:eastAsia="宋体" w:cs="宋体"/>
          <w:color w:val="auto"/>
          <w:sz w:val="21"/>
          <w:szCs w:val="21"/>
          <w:highlight w:val="none"/>
          <w:lang w:eastAsia="zh-CN"/>
        </w:rPr>
        <w:t>14.1材料、工程设备和工程的试验和检验</w:t>
      </w:r>
      <w:bookmarkEnd w:id="2334"/>
      <w:bookmarkEnd w:id="2335"/>
      <w:bookmarkEnd w:id="2336"/>
    </w:p>
    <w:p w14:paraId="5EE96D9B">
      <w:pPr>
        <w:spacing w:line="460" w:lineRule="exact"/>
        <w:ind w:firstLine="422"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b/>
          <w:color w:val="auto"/>
          <w:sz w:val="21"/>
          <w:szCs w:val="21"/>
          <w:highlight w:val="none"/>
          <w:lang w:eastAsia="zh-CN"/>
        </w:rPr>
        <w:t>14.1.6</w:t>
      </w:r>
      <w:r>
        <w:rPr>
          <w:rFonts w:hint="eastAsia" w:ascii="宋体" w:hAnsi="宋体" w:eastAsia="宋体" w:cs="宋体"/>
          <w:color w:val="auto"/>
          <w:sz w:val="21"/>
          <w:szCs w:val="21"/>
          <w:highlight w:val="none"/>
          <w:lang w:eastAsia="zh-CN"/>
        </w:rPr>
        <w:t>本工程实行见证取样的试块、试件及有关材料：</w:t>
      </w:r>
      <w:r>
        <w:rPr>
          <w:rFonts w:hint="eastAsia" w:ascii="宋体" w:hAnsi="宋体" w:eastAsia="宋体" w:cs="宋体"/>
          <w:color w:val="auto"/>
          <w:sz w:val="21"/>
          <w:szCs w:val="21"/>
          <w:highlight w:val="none"/>
          <w:u w:val="single"/>
          <w:lang w:eastAsia="zh-CN"/>
        </w:rPr>
        <w:t>水泥、砂、碎（卵）石、钢筋、混凝土及砂浆试块等，除此以外，监理人提出要求实行见证取样的其他材料和中间产品。</w:t>
      </w:r>
      <w:bookmarkStart w:id="2337" w:name="_Toc222033890"/>
      <w:bookmarkStart w:id="2338" w:name="_Toc221951213"/>
      <w:bookmarkStart w:id="2339" w:name="_Toc222031041"/>
      <w:bookmarkStart w:id="2340" w:name="_Toc222032708"/>
      <w:bookmarkStart w:id="2341" w:name="_Toc229305396"/>
      <w:bookmarkStart w:id="2342" w:name="_Toc222029539"/>
    </w:p>
    <w:p w14:paraId="5EE96D9C">
      <w:pPr>
        <w:spacing w:line="460" w:lineRule="exact"/>
        <w:ind w:firstLine="422" w:firstLineChars="200"/>
        <w:rPr>
          <w:rFonts w:hint="eastAsia" w:ascii="宋体" w:hAnsi="宋体" w:eastAsia="宋体" w:cs="宋体"/>
          <w:b/>
          <w:color w:val="auto"/>
          <w:sz w:val="21"/>
          <w:szCs w:val="21"/>
          <w:highlight w:val="none"/>
          <w:lang w:eastAsia="zh-CN"/>
        </w:rPr>
      </w:pPr>
      <w:r>
        <w:rPr>
          <w:rFonts w:hint="eastAsia" w:ascii="宋体" w:hAnsi="宋体" w:eastAsia="宋体" w:cs="宋体"/>
          <w:b/>
          <w:bCs/>
          <w:color w:val="auto"/>
          <w:sz w:val="21"/>
          <w:szCs w:val="21"/>
          <w:highlight w:val="none"/>
          <w:lang w:eastAsia="zh-CN"/>
        </w:rPr>
        <w:t>15变更</w:t>
      </w:r>
      <w:bookmarkEnd w:id="2337"/>
      <w:bookmarkEnd w:id="2338"/>
      <w:bookmarkEnd w:id="2339"/>
      <w:bookmarkEnd w:id="2340"/>
      <w:bookmarkEnd w:id="2341"/>
      <w:bookmarkEnd w:id="2342"/>
    </w:p>
    <w:p w14:paraId="5EE96D9D">
      <w:pPr>
        <w:pStyle w:val="4"/>
        <w:spacing w:line="460" w:lineRule="exact"/>
        <w:rPr>
          <w:rFonts w:hint="eastAsia" w:ascii="宋体" w:hAnsi="宋体" w:eastAsia="宋体" w:cs="宋体"/>
          <w:color w:val="auto"/>
          <w:sz w:val="21"/>
          <w:szCs w:val="21"/>
          <w:highlight w:val="none"/>
          <w:lang w:eastAsia="zh-CN"/>
        </w:rPr>
      </w:pPr>
      <w:bookmarkStart w:id="2343" w:name="_Toc1823"/>
      <w:bookmarkStart w:id="2344" w:name="_Toc221951214"/>
      <w:bookmarkStart w:id="2345" w:name="_Toc789"/>
      <w:bookmarkStart w:id="2346" w:name="_Toc199153039"/>
      <w:r>
        <w:rPr>
          <w:rFonts w:hint="eastAsia" w:ascii="宋体" w:hAnsi="宋体" w:eastAsia="宋体" w:cs="宋体"/>
          <w:color w:val="auto"/>
          <w:sz w:val="21"/>
          <w:szCs w:val="21"/>
          <w:highlight w:val="none"/>
          <w:lang w:eastAsia="zh-CN"/>
        </w:rPr>
        <w:t>15.1变更的范围和内容</w:t>
      </w:r>
      <w:bookmarkEnd w:id="2343"/>
      <w:bookmarkEnd w:id="2344"/>
      <w:bookmarkEnd w:id="2345"/>
      <w:bookmarkEnd w:id="2346"/>
    </w:p>
    <w:p w14:paraId="5EE96D9E">
      <w:pPr>
        <w:pStyle w:val="4"/>
        <w:spacing w:line="460" w:lineRule="exact"/>
        <w:rPr>
          <w:rFonts w:hint="eastAsia" w:ascii="宋体" w:hAnsi="宋体" w:eastAsia="宋体" w:cs="宋体"/>
          <w:color w:val="auto"/>
          <w:sz w:val="21"/>
          <w:szCs w:val="21"/>
          <w:highlight w:val="none"/>
          <w:u w:val="single"/>
          <w:lang w:eastAsia="zh-CN"/>
        </w:rPr>
      </w:pPr>
      <w:bookmarkStart w:id="2347" w:name="_Toc221951216"/>
      <w:bookmarkStart w:id="2348" w:name="_Toc18673"/>
      <w:bookmarkStart w:id="2349" w:name="_Toc199153040"/>
      <w:bookmarkStart w:id="2350" w:name="_Toc29659"/>
      <w:r>
        <w:rPr>
          <w:rFonts w:hint="eastAsia" w:ascii="宋体" w:hAnsi="宋体" w:eastAsia="宋体" w:cs="宋体"/>
          <w:color w:val="auto"/>
          <w:sz w:val="21"/>
          <w:szCs w:val="21"/>
          <w:highlight w:val="none"/>
          <w:lang w:eastAsia="zh-CN"/>
        </w:rPr>
        <w:t>（6）增加或减少合同中关键项目的工程量超过其项目工程总量的</w:t>
      </w:r>
      <w:r>
        <w:rPr>
          <w:rFonts w:hint="eastAsia" w:ascii="宋体" w:hAnsi="宋体" w:eastAsia="宋体" w:cs="宋体"/>
          <w:color w:val="auto"/>
          <w:sz w:val="21"/>
          <w:szCs w:val="21"/>
          <w:highlight w:val="none"/>
          <w:u w:val="single"/>
          <w:lang w:eastAsia="zh-CN"/>
        </w:rPr>
        <w:t>25％</w:t>
      </w:r>
      <w:bookmarkEnd w:id="2347"/>
      <w:r>
        <w:rPr>
          <w:rFonts w:hint="eastAsia" w:ascii="宋体" w:hAnsi="宋体" w:eastAsia="宋体" w:cs="宋体"/>
          <w:color w:val="auto"/>
          <w:sz w:val="21"/>
          <w:szCs w:val="21"/>
          <w:highlight w:val="none"/>
          <w:lang w:eastAsia="zh-CN"/>
        </w:rPr>
        <w:t>，单价调整方式：</w:t>
      </w:r>
      <w:r>
        <w:rPr>
          <w:rFonts w:hint="eastAsia" w:ascii="宋体" w:hAnsi="宋体" w:eastAsia="宋体" w:cs="宋体"/>
          <w:color w:val="auto"/>
          <w:sz w:val="21"/>
          <w:szCs w:val="21"/>
          <w:highlight w:val="none"/>
          <w:u w:val="single"/>
          <w:lang w:eastAsia="zh-CN"/>
        </w:rPr>
        <w:t>不作调整。</w:t>
      </w:r>
      <w:bookmarkEnd w:id="2348"/>
      <w:bookmarkEnd w:id="2349"/>
      <w:bookmarkEnd w:id="2350"/>
    </w:p>
    <w:p w14:paraId="5EE96D9F">
      <w:pPr>
        <w:pStyle w:val="4"/>
        <w:spacing w:line="460" w:lineRule="exact"/>
        <w:rPr>
          <w:rFonts w:hint="eastAsia" w:ascii="宋体" w:hAnsi="宋体" w:eastAsia="宋体" w:cs="宋体"/>
          <w:color w:val="auto"/>
          <w:sz w:val="21"/>
          <w:szCs w:val="21"/>
          <w:highlight w:val="none"/>
          <w:lang w:eastAsia="zh-CN"/>
        </w:rPr>
      </w:pPr>
      <w:bookmarkStart w:id="2351" w:name="_Toc199153041"/>
      <w:bookmarkStart w:id="2352" w:name="_Toc23946"/>
      <w:r>
        <w:rPr>
          <w:rFonts w:hint="eastAsia" w:ascii="宋体" w:hAnsi="宋体" w:eastAsia="宋体" w:cs="宋体"/>
          <w:color w:val="auto"/>
          <w:sz w:val="21"/>
          <w:szCs w:val="21"/>
          <w:highlight w:val="none"/>
          <w:lang w:eastAsia="zh-CN"/>
        </w:rPr>
        <w:t>15.4变更的估价原则</w:t>
      </w:r>
      <w:bookmarkEnd w:id="2351"/>
      <w:bookmarkEnd w:id="2352"/>
    </w:p>
    <w:p w14:paraId="5EE96DA0">
      <w:pPr>
        <w:spacing w:line="460" w:lineRule="exact"/>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eastAsia="zh-CN"/>
        </w:rPr>
        <w:t>15.4.3</w:t>
      </w:r>
      <w:r>
        <w:rPr>
          <w:rFonts w:hint="eastAsia" w:ascii="宋体" w:hAnsi="宋体" w:eastAsia="宋体" w:cs="宋体"/>
          <w:color w:val="auto"/>
          <w:sz w:val="21"/>
          <w:szCs w:val="21"/>
          <w:highlight w:val="none"/>
          <w:lang w:eastAsia="zh-CN"/>
        </w:rPr>
        <w:t>已标价工程量清单中无适用或类似子目的单价，按照以下原则确定：①有定额可套的，套用编制控制价所选定额计算，并乘以中标价下浮系数（中标价下浮系数为中标价与控制价的比值），其中材料价格有信息价的按当地同期信息价，无信息的由发包人、承包人、监理人市场询价确定。②无定额可套的，由发包人、承包人、监理人市场询价确定。</w:t>
      </w:r>
    </w:p>
    <w:p w14:paraId="5EE96DA1">
      <w:pPr>
        <w:pStyle w:val="4"/>
        <w:spacing w:line="460" w:lineRule="exact"/>
        <w:rPr>
          <w:rFonts w:hint="eastAsia" w:ascii="宋体" w:hAnsi="宋体" w:eastAsia="宋体" w:cs="宋体"/>
          <w:color w:val="auto"/>
          <w:sz w:val="21"/>
          <w:szCs w:val="21"/>
          <w:highlight w:val="none"/>
          <w:lang w:eastAsia="zh-CN"/>
        </w:rPr>
      </w:pPr>
      <w:bookmarkStart w:id="2353" w:name="_Toc628"/>
      <w:bookmarkStart w:id="2354" w:name="_Toc229305397"/>
      <w:bookmarkStart w:id="2355" w:name="_Toc4394"/>
      <w:bookmarkStart w:id="2356" w:name="_Toc199153042"/>
      <w:r>
        <w:rPr>
          <w:rFonts w:hint="eastAsia" w:ascii="宋体" w:hAnsi="宋体" w:eastAsia="宋体" w:cs="宋体"/>
          <w:color w:val="auto"/>
          <w:sz w:val="21"/>
          <w:szCs w:val="21"/>
          <w:highlight w:val="none"/>
          <w:lang w:eastAsia="zh-CN"/>
        </w:rPr>
        <w:t>16价格调整</w:t>
      </w:r>
      <w:bookmarkEnd w:id="2353"/>
      <w:bookmarkEnd w:id="2354"/>
      <w:bookmarkEnd w:id="2355"/>
      <w:bookmarkEnd w:id="2356"/>
    </w:p>
    <w:p w14:paraId="5EE96DA2">
      <w:pPr>
        <w:pStyle w:val="4"/>
        <w:spacing w:line="460" w:lineRule="exact"/>
        <w:rPr>
          <w:rFonts w:hint="eastAsia" w:ascii="宋体" w:hAnsi="宋体" w:eastAsia="宋体" w:cs="宋体"/>
          <w:color w:val="auto"/>
          <w:sz w:val="21"/>
          <w:szCs w:val="21"/>
          <w:highlight w:val="none"/>
          <w:lang w:eastAsia="zh-CN"/>
        </w:rPr>
      </w:pPr>
      <w:bookmarkStart w:id="2357" w:name="_Toc30261"/>
      <w:bookmarkStart w:id="2358" w:name="_Toc199153043"/>
      <w:bookmarkStart w:id="2359" w:name="_Toc2112"/>
      <w:r>
        <w:rPr>
          <w:rFonts w:hint="eastAsia" w:ascii="宋体" w:hAnsi="宋体" w:eastAsia="宋体" w:cs="宋体"/>
          <w:color w:val="auto"/>
          <w:sz w:val="21"/>
          <w:szCs w:val="21"/>
          <w:highlight w:val="none"/>
          <w:lang w:eastAsia="zh-CN"/>
        </w:rPr>
        <w:t>16.1物价波动引起的价格调整</w:t>
      </w:r>
      <w:bookmarkEnd w:id="2357"/>
      <w:bookmarkEnd w:id="2358"/>
      <w:bookmarkEnd w:id="2359"/>
    </w:p>
    <w:p w14:paraId="5EE96DA3">
      <w:pPr>
        <w:spacing w:line="460" w:lineRule="exact"/>
        <w:ind w:right="248" w:firstLine="480"/>
        <w:rPr>
          <w:rFonts w:hint="eastAsia" w:ascii="宋体" w:hAnsi="宋体" w:eastAsia="宋体" w:cs="宋体"/>
          <w:b/>
          <w:color w:val="auto"/>
          <w:sz w:val="21"/>
          <w:szCs w:val="21"/>
          <w:highlight w:val="none"/>
          <w:u w:val="single"/>
          <w:lang w:eastAsia="zh-CN"/>
        </w:rPr>
      </w:pPr>
      <w:bookmarkStart w:id="2360" w:name="_Toc222033891"/>
      <w:bookmarkStart w:id="2361" w:name="_Toc222032709"/>
      <w:bookmarkStart w:id="2362" w:name="_Toc222029540"/>
      <w:bookmarkStart w:id="2363" w:name="_Toc222031042"/>
      <w:bookmarkStart w:id="2364" w:name="_Toc229305398"/>
      <w:bookmarkStart w:id="2365" w:name="_Toc221951223"/>
      <w:r>
        <w:rPr>
          <w:rFonts w:hint="eastAsia" w:ascii="宋体" w:hAnsi="宋体" w:eastAsia="宋体" w:cs="宋体"/>
          <w:color w:val="auto"/>
          <w:sz w:val="21"/>
          <w:szCs w:val="21"/>
          <w:highlight w:val="none"/>
          <w:lang w:eastAsia="zh-CN"/>
        </w:rPr>
        <w:t>物价波动引起的价格调整方式：</w:t>
      </w:r>
      <w:r>
        <w:rPr>
          <w:rFonts w:hint="eastAsia" w:ascii="宋体" w:hAnsi="宋体" w:eastAsia="宋体" w:cs="宋体"/>
          <w:b/>
          <w:color w:val="auto"/>
          <w:sz w:val="21"/>
          <w:szCs w:val="21"/>
          <w:highlight w:val="none"/>
          <w:u w:val="single"/>
          <w:lang w:eastAsia="zh-CN"/>
        </w:rPr>
        <w:t>本工程因物价波动引起的价格变化不作调整。</w:t>
      </w:r>
    </w:p>
    <w:p w14:paraId="5EE96DA4">
      <w:pPr>
        <w:pStyle w:val="4"/>
        <w:spacing w:line="460" w:lineRule="exact"/>
        <w:rPr>
          <w:rFonts w:hint="eastAsia" w:ascii="宋体" w:hAnsi="宋体" w:eastAsia="宋体" w:cs="宋体"/>
          <w:color w:val="auto"/>
          <w:sz w:val="21"/>
          <w:szCs w:val="21"/>
          <w:highlight w:val="none"/>
          <w:lang w:eastAsia="zh-CN"/>
        </w:rPr>
      </w:pPr>
      <w:bookmarkStart w:id="2366" w:name="_Toc4478"/>
      <w:bookmarkStart w:id="2367" w:name="_Toc199153044"/>
      <w:bookmarkStart w:id="2368" w:name="_Toc832"/>
      <w:r>
        <w:rPr>
          <w:rFonts w:hint="eastAsia" w:ascii="宋体" w:hAnsi="宋体" w:eastAsia="宋体" w:cs="宋体"/>
          <w:color w:val="auto"/>
          <w:sz w:val="21"/>
          <w:szCs w:val="21"/>
          <w:highlight w:val="none"/>
          <w:lang w:eastAsia="zh-CN"/>
        </w:rPr>
        <w:t>17计量与支付</w:t>
      </w:r>
      <w:bookmarkEnd w:id="2360"/>
      <w:bookmarkEnd w:id="2361"/>
      <w:bookmarkEnd w:id="2362"/>
      <w:bookmarkEnd w:id="2363"/>
      <w:bookmarkEnd w:id="2364"/>
      <w:bookmarkEnd w:id="2365"/>
      <w:bookmarkEnd w:id="2366"/>
      <w:bookmarkEnd w:id="2367"/>
      <w:bookmarkEnd w:id="2368"/>
    </w:p>
    <w:p w14:paraId="5EE96DA5">
      <w:pPr>
        <w:pStyle w:val="4"/>
        <w:spacing w:line="460" w:lineRule="exact"/>
        <w:rPr>
          <w:rFonts w:hint="eastAsia" w:ascii="宋体" w:hAnsi="宋体" w:eastAsia="宋体" w:cs="宋体"/>
          <w:color w:val="auto"/>
          <w:sz w:val="21"/>
          <w:szCs w:val="21"/>
          <w:highlight w:val="none"/>
          <w:lang w:eastAsia="zh-CN"/>
        </w:rPr>
      </w:pPr>
      <w:bookmarkStart w:id="2369" w:name="_Toc26634"/>
      <w:bookmarkStart w:id="2370" w:name="_Toc199153045"/>
      <w:bookmarkStart w:id="2371" w:name="_Toc221951224"/>
      <w:bookmarkStart w:id="2372" w:name="_Toc16855"/>
      <w:r>
        <w:rPr>
          <w:rFonts w:hint="eastAsia" w:ascii="宋体" w:hAnsi="宋体" w:eastAsia="宋体" w:cs="宋体"/>
          <w:color w:val="auto"/>
          <w:sz w:val="21"/>
          <w:szCs w:val="21"/>
          <w:highlight w:val="none"/>
          <w:lang w:eastAsia="zh-CN"/>
        </w:rPr>
        <w:t>17.2预付款</w:t>
      </w:r>
      <w:bookmarkEnd w:id="2369"/>
      <w:bookmarkEnd w:id="2370"/>
      <w:bookmarkEnd w:id="2371"/>
      <w:bookmarkEnd w:id="2372"/>
    </w:p>
    <w:p w14:paraId="5EE96DA6">
      <w:pPr>
        <w:spacing w:line="460" w:lineRule="exact"/>
        <w:ind w:right="248" w:firstLine="480"/>
        <w:rPr>
          <w:rFonts w:hint="eastAsia" w:ascii="宋体" w:hAnsi="宋体" w:eastAsia="宋体" w:cs="宋体"/>
          <w:color w:val="auto"/>
          <w:sz w:val="21"/>
          <w:szCs w:val="21"/>
          <w:highlight w:val="none"/>
          <w:lang w:eastAsia="zh-CN"/>
        </w:rPr>
      </w:pPr>
      <w:bookmarkStart w:id="2373" w:name="_Toc221951260"/>
      <w:r>
        <w:rPr>
          <w:rFonts w:hint="eastAsia" w:ascii="宋体" w:hAnsi="宋体" w:eastAsia="宋体" w:cs="宋体"/>
          <w:b/>
          <w:color w:val="auto"/>
          <w:sz w:val="21"/>
          <w:szCs w:val="21"/>
          <w:highlight w:val="none"/>
          <w:lang w:eastAsia="zh-CN"/>
        </w:rPr>
        <w:t>17.2.1</w:t>
      </w:r>
      <w:r>
        <w:rPr>
          <w:rFonts w:hint="eastAsia" w:ascii="宋体" w:hAnsi="宋体" w:eastAsia="宋体" w:cs="宋体"/>
          <w:b/>
          <w:bCs/>
          <w:color w:val="auto"/>
          <w:sz w:val="21"/>
          <w:szCs w:val="21"/>
          <w:highlight w:val="none"/>
          <w:lang w:eastAsia="zh-CN"/>
        </w:rPr>
        <w:t>预付款</w:t>
      </w:r>
    </w:p>
    <w:p w14:paraId="5EE96DA7">
      <w:pPr>
        <w:spacing w:before="154" w:line="360" w:lineRule="auto"/>
        <w:ind w:left="25" w:firstLine="42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pacing w:val="5"/>
          <w:sz w:val="21"/>
          <w:szCs w:val="21"/>
          <w:highlight w:val="none"/>
          <w:lang w:eastAsia="zh-CN"/>
        </w:rPr>
        <w:t>工程预付款的总金额为签约合同价的</w:t>
      </w:r>
      <w:r>
        <w:rPr>
          <w:rFonts w:hint="eastAsia" w:ascii="宋体" w:hAnsi="宋体" w:eastAsia="宋体" w:cs="宋体"/>
          <w:color w:val="auto"/>
          <w:sz w:val="21"/>
          <w:szCs w:val="21"/>
          <w:highlight w:val="none"/>
          <w:lang w:eastAsia="zh-CN"/>
        </w:rPr>
        <w:t>30%</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4"/>
          <w:sz w:val="21"/>
          <w:szCs w:val="21"/>
          <w:highlight w:val="none"/>
          <w:lang w:eastAsia="zh-CN"/>
        </w:rPr>
        <w:t>付款时间应在合同协议</w:t>
      </w:r>
      <w:r>
        <w:rPr>
          <w:rFonts w:hint="eastAsia" w:ascii="宋体" w:hAnsi="宋体" w:eastAsia="宋体" w:cs="宋体"/>
          <w:color w:val="auto"/>
          <w:spacing w:val="3"/>
          <w:sz w:val="21"/>
          <w:szCs w:val="21"/>
          <w:highlight w:val="none"/>
          <w:lang w:eastAsia="zh-CN"/>
        </w:rPr>
        <w:t>书</w:t>
      </w:r>
      <w:r>
        <w:rPr>
          <w:rFonts w:hint="eastAsia" w:ascii="宋体" w:hAnsi="宋体" w:eastAsia="宋体" w:cs="宋体"/>
          <w:color w:val="auto"/>
          <w:spacing w:val="2"/>
          <w:sz w:val="21"/>
          <w:szCs w:val="21"/>
          <w:highlight w:val="none"/>
          <w:lang w:eastAsia="zh-CN"/>
        </w:rPr>
        <w:t>签订后14天内，由承包人向发包人按规定提交了相应的担保手续，并经监</w:t>
      </w:r>
      <w:r>
        <w:rPr>
          <w:rFonts w:hint="eastAsia" w:ascii="宋体" w:hAnsi="宋体" w:eastAsia="宋体" w:cs="宋体"/>
          <w:color w:val="auto"/>
          <w:spacing w:val="6"/>
          <w:sz w:val="21"/>
          <w:szCs w:val="21"/>
          <w:highlight w:val="none"/>
          <w:lang w:eastAsia="zh-CN"/>
        </w:rPr>
        <w:t>理</w:t>
      </w:r>
      <w:r>
        <w:rPr>
          <w:rFonts w:hint="eastAsia" w:ascii="宋体" w:hAnsi="宋体" w:eastAsia="宋体" w:cs="宋体"/>
          <w:color w:val="auto"/>
          <w:spacing w:val="4"/>
          <w:sz w:val="21"/>
          <w:szCs w:val="21"/>
          <w:highlight w:val="none"/>
          <w:lang w:eastAsia="zh-CN"/>
        </w:rPr>
        <w:t>人出具付款证书报送发包人批准，由发包人报合浦县财政局审批通过后14天内国库集中支付</w:t>
      </w:r>
    </w:p>
    <w:p w14:paraId="5EE96DA8">
      <w:pPr>
        <w:pStyle w:val="115"/>
        <w:ind w:firstLine="420"/>
        <w:rPr>
          <w:rFonts w:hint="eastAsia" w:ascii="宋体" w:hAnsi="宋体" w:eastAsia="宋体" w:cs="宋体"/>
          <w:color w:val="auto"/>
          <w:spacing w:val="11"/>
          <w:sz w:val="21"/>
          <w:szCs w:val="21"/>
          <w:highlight w:val="none"/>
          <w:u w:val="single"/>
        </w:rPr>
      </w:pPr>
      <w:r>
        <w:rPr>
          <w:rFonts w:hint="eastAsia" w:ascii="宋体" w:hAnsi="宋体" w:eastAsia="宋体" w:cs="宋体"/>
          <w:color w:val="auto"/>
          <w:spacing w:val="11"/>
          <w:sz w:val="21"/>
          <w:szCs w:val="21"/>
          <w:highlight w:val="none"/>
        </w:rPr>
        <w:t>(2)工程材料预付款的额度和预付办法约定为：</w:t>
      </w:r>
      <w:r>
        <w:rPr>
          <w:rFonts w:hint="eastAsia" w:ascii="宋体" w:hAnsi="宋体" w:eastAsia="宋体" w:cs="宋体"/>
          <w:color w:val="auto"/>
          <w:spacing w:val="11"/>
          <w:sz w:val="21"/>
          <w:szCs w:val="21"/>
          <w:highlight w:val="none"/>
          <w:u w:val="single"/>
        </w:rPr>
        <w:t>本工程无材料预付款</w:t>
      </w:r>
    </w:p>
    <w:p w14:paraId="5EE96DA9">
      <w:pPr>
        <w:pStyle w:val="115"/>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17.2.2</w:t>
      </w:r>
      <w:r>
        <w:rPr>
          <w:rFonts w:hint="eastAsia" w:ascii="宋体" w:hAnsi="宋体" w:eastAsia="宋体" w:cs="宋体"/>
          <w:color w:val="auto"/>
          <w:sz w:val="21"/>
          <w:szCs w:val="21"/>
          <w:highlight w:val="none"/>
        </w:rPr>
        <w:t>预付款保函(担保)</w:t>
      </w:r>
    </w:p>
    <w:p w14:paraId="5EE96DAA">
      <w:pPr>
        <w:pStyle w:val="115"/>
        <w:tabs>
          <w:tab w:val="left" w:pos="5657"/>
        </w:tabs>
        <w:spacing w:after="12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(2)工程材料预付款的担保约定为：</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lang w:val="en-US" w:bidi="en-US"/>
        </w:rPr>
        <w:t>。</w:t>
      </w:r>
    </w:p>
    <w:p w14:paraId="5EE96DAB">
      <w:pPr>
        <w:pStyle w:val="115"/>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17.2.3</w:t>
      </w:r>
      <w:r>
        <w:rPr>
          <w:rFonts w:hint="eastAsia" w:ascii="宋体" w:hAnsi="宋体" w:eastAsia="宋体" w:cs="宋体"/>
          <w:color w:val="auto"/>
          <w:sz w:val="21"/>
          <w:szCs w:val="21"/>
          <w:highlight w:val="none"/>
        </w:rPr>
        <w:t>预付款的扣回与还清</w:t>
      </w:r>
    </w:p>
    <w:p w14:paraId="5EE96DAC">
      <w:pPr>
        <w:pStyle w:val="115"/>
        <w:ind w:firstLine="420"/>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完</w:t>
      </w:r>
      <w:r>
        <w:rPr>
          <w:rFonts w:hint="eastAsia" w:ascii="宋体" w:hAnsi="宋体" w:eastAsia="宋体" w:cs="宋体"/>
          <w:color w:val="auto"/>
          <w:spacing w:val="7"/>
          <w:sz w:val="21"/>
          <w:szCs w:val="21"/>
          <w:highlight w:val="none"/>
        </w:rPr>
        <w:t>成</w:t>
      </w:r>
      <w:r>
        <w:rPr>
          <w:rFonts w:hint="eastAsia" w:ascii="宋体" w:hAnsi="宋体" w:eastAsia="宋体" w:cs="宋体"/>
          <w:color w:val="auto"/>
          <w:spacing w:val="6"/>
          <w:sz w:val="21"/>
          <w:szCs w:val="21"/>
          <w:highlight w:val="none"/>
        </w:rPr>
        <w:t>工程量达到合同价的</w:t>
      </w:r>
      <w:r>
        <w:rPr>
          <w:rFonts w:hint="eastAsia" w:ascii="宋体" w:hAnsi="宋体" w:eastAsia="宋体" w:cs="宋体"/>
          <w:color w:val="auto"/>
          <w:spacing w:val="6"/>
          <w:sz w:val="21"/>
          <w:szCs w:val="21"/>
          <w:highlight w:val="none"/>
          <w:u w:val="single"/>
          <w:lang w:val="en-US"/>
        </w:rPr>
        <w:t>30</w:t>
      </w:r>
      <w:r>
        <w:rPr>
          <w:rFonts w:hint="eastAsia" w:ascii="宋体" w:hAnsi="宋体" w:eastAsia="宋体" w:cs="宋体"/>
          <w:color w:val="auto"/>
          <w:spacing w:val="6"/>
          <w:sz w:val="21"/>
          <w:szCs w:val="21"/>
          <w:highlight w:val="none"/>
          <w:u w:val="single"/>
        </w:rPr>
        <w:t>%</w:t>
      </w:r>
      <w:r>
        <w:rPr>
          <w:rFonts w:hint="eastAsia" w:ascii="宋体" w:hAnsi="宋体" w:eastAsia="宋体" w:cs="宋体"/>
          <w:color w:val="auto"/>
          <w:spacing w:val="6"/>
          <w:sz w:val="21"/>
          <w:szCs w:val="21"/>
          <w:highlight w:val="none"/>
        </w:rPr>
        <w:t>全额抵扣预付款。</w:t>
      </w:r>
    </w:p>
    <w:p w14:paraId="5EE96DAD">
      <w:pPr>
        <w:spacing w:line="460" w:lineRule="exact"/>
        <w:ind w:right="248"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(2)工程材料预付款的扣回与还清约定为：</w:t>
      </w:r>
      <w:r>
        <w:rPr>
          <w:rFonts w:hint="eastAsia" w:ascii="宋体" w:hAnsi="宋体" w:eastAsia="宋体" w:cs="宋体"/>
          <w:color w:val="auto"/>
          <w:sz w:val="21"/>
          <w:szCs w:val="21"/>
          <w:highlight w:val="none"/>
          <w:u w:val="single"/>
          <w:lang w:eastAsia="zh-CN"/>
        </w:rPr>
        <w:t>无</w:t>
      </w:r>
      <w:r>
        <w:rPr>
          <w:rFonts w:hint="eastAsia" w:ascii="宋体" w:hAnsi="宋体" w:eastAsia="宋体" w:cs="宋体"/>
          <w:color w:val="auto"/>
          <w:sz w:val="21"/>
          <w:szCs w:val="21"/>
          <w:highlight w:val="none"/>
          <w:lang w:eastAsia="zh-CN"/>
        </w:rPr>
        <w:t>。</w:t>
      </w:r>
    </w:p>
    <w:p w14:paraId="5EE96DAE">
      <w:pPr>
        <w:spacing w:line="460" w:lineRule="exact"/>
        <w:ind w:right="248" w:firstLine="48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eastAsia="zh-CN"/>
        </w:rPr>
        <w:t>17.3.3</w:t>
      </w:r>
      <w:r>
        <w:rPr>
          <w:rFonts w:hint="eastAsia" w:ascii="宋体" w:hAnsi="宋体" w:eastAsia="宋体" w:cs="宋体"/>
          <w:b/>
          <w:bCs/>
          <w:color w:val="auto"/>
          <w:sz w:val="21"/>
          <w:szCs w:val="21"/>
          <w:highlight w:val="none"/>
          <w:lang w:eastAsia="zh-CN"/>
        </w:rPr>
        <w:t>进度付款证书和支付时间</w:t>
      </w:r>
    </w:p>
    <w:p w14:paraId="5EE96DAF">
      <w:pPr>
        <w:spacing w:line="460" w:lineRule="exact"/>
        <w:ind w:right="248"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每期进度款经监理人核实后出具付款证书报送发包人批准，由发包人报合浦县财政局审批通过后14天内国库集中支付。本款“专用合同条款的约定支付逾期付款违约金”为按中国人民银行规定的同期贷款最高利率计算的逾期付款金额的利息。</w:t>
      </w:r>
    </w:p>
    <w:p w14:paraId="5EE96DB0">
      <w:pPr>
        <w:spacing w:line="460" w:lineRule="exact"/>
        <w:ind w:right="248" w:firstLine="48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eastAsia="zh-CN"/>
        </w:rPr>
        <w:t>17.3.5</w:t>
      </w:r>
      <w:r>
        <w:rPr>
          <w:rFonts w:hint="eastAsia" w:ascii="宋体" w:hAnsi="宋体" w:eastAsia="宋体" w:cs="宋体"/>
          <w:b/>
          <w:bCs/>
          <w:color w:val="auto"/>
          <w:sz w:val="21"/>
          <w:szCs w:val="21"/>
          <w:highlight w:val="none"/>
          <w:lang w:eastAsia="zh-CN"/>
        </w:rPr>
        <w:t>工程进度付款的支付比例</w:t>
      </w:r>
    </w:p>
    <w:p w14:paraId="5EE96DB1">
      <w:pPr>
        <w:tabs>
          <w:tab w:val="left" w:pos="130"/>
        </w:tabs>
        <w:spacing w:before="124" w:line="360" w:lineRule="auto"/>
        <w:ind w:left="27" w:right="65" w:firstLine="439"/>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6"/>
          <w:sz w:val="21"/>
          <w:szCs w:val="21"/>
          <w:highlight w:val="none"/>
          <w:lang w:eastAsia="zh-CN"/>
        </w:rPr>
        <w:t>（1）完成工程量</w:t>
      </w:r>
      <w:r>
        <w:rPr>
          <w:rFonts w:hint="eastAsia" w:ascii="宋体" w:hAnsi="宋体" w:eastAsia="宋体" w:cs="宋体"/>
          <w:color w:val="auto"/>
          <w:spacing w:val="3"/>
          <w:sz w:val="21"/>
          <w:szCs w:val="21"/>
          <w:highlight w:val="none"/>
          <w:lang w:eastAsia="zh-CN"/>
        </w:rPr>
        <w:t>达到合同价的30%全额抵扣预付款，从完成工程量约达到合</w:t>
      </w:r>
      <w:r>
        <w:rPr>
          <w:rFonts w:hint="eastAsia" w:ascii="宋体" w:hAnsi="宋体" w:eastAsia="宋体" w:cs="宋体"/>
          <w:color w:val="auto"/>
          <w:spacing w:val="20"/>
          <w:sz w:val="21"/>
          <w:szCs w:val="21"/>
          <w:highlight w:val="none"/>
          <w:lang w:eastAsia="zh-CN"/>
        </w:rPr>
        <w:t>同价</w:t>
      </w:r>
      <w:r>
        <w:rPr>
          <w:rFonts w:hint="eastAsia" w:ascii="宋体" w:hAnsi="宋体" w:eastAsia="宋体" w:cs="宋体"/>
          <w:color w:val="auto"/>
          <w:spacing w:val="15"/>
          <w:sz w:val="21"/>
          <w:szCs w:val="21"/>
          <w:highlight w:val="none"/>
          <w:lang w:eastAsia="zh-CN"/>
        </w:rPr>
        <w:t>的3</w:t>
      </w:r>
      <w:r>
        <w:rPr>
          <w:rFonts w:hint="eastAsia" w:ascii="宋体" w:hAnsi="宋体" w:eastAsia="宋体" w:cs="宋体"/>
          <w:color w:val="auto"/>
          <w:spacing w:val="3"/>
          <w:sz w:val="21"/>
          <w:szCs w:val="21"/>
          <w:highlight w:val="none"/>
          <w:lang w:eastAsia="zh-CN"/>
        </w:rPr>
        <w:t>0%</w:t>
      </w:r>
      <w:r>
        <w:rPr>
          <w:rFonts w:hint="eastAsia" w:ascii="宋体" w:hAnsi="宋体" w:eastAsia="宋体" w:cs="宋体"/>
          <w:color w:val="auto"/>
          <w:spacing w:val="10"/>
          <w:sz w:val="21"/>
          <w:szCs w:val="21"/>
          <w:highlight w:val="none"/>
          <w:lang w:eastAsia="zh-CN"/>
        </w:rPr>
        <w:t>(签合同时明确)开始计算和支付工程进度款。从完成工程量达到合同价的3</w:t>
      </w:r>
      <w:r>
        <w:rPr>
          <w:rFonts w:hint="eastAsia" w:ascii="宋体" w:hAnsi="宋体" w:eastAsia="宋体" w:cs="宋体"/>
          <w:color w:val="auto"/>
          <w:spacing w:val="3"/>
          <w:sz w:val="21"/>
          <w:szCs w:val="21"/>
          <w:highlight w:val="none"/>
          <w:lang w:eastAsia="zh-CN"/>
        </w:rPr>
        <w:t>0%</w:t>
      </w:r>
      <w:r>
        <w:rPr>
          <w:rFonts w:hint="eastAsia" w:ascii="宋体" w:hAnsi="宋体" w:eastAsia="宋体" w:cs="宋体"/>
          <w:color w:val="auto"/>
          <w:spacing w:val="6"/>
          <w:sz w:val="21"/>
          <w:szCs w:val="21"/>
          <w:highlight w:val="none"/>
          <w:lang w:eastAsia="zh-CN"/>
        </w:rPr>
        <w:t>开始，按每月完成工程量的90%支付工程进度款(每月工程进度款＝合同累计</w:t>
      </w:r>
      <w:r>
        <w:rPr>
          <w:rFonts w:hint="eastAsia" w:ascii="宋体" w:hAnsi="宋体" w:eastAsia="宋体" w:cs="宋体"/>
          <w:color w:val="auto"/>
          <w:spacing w:val="16"/>
          <w:sz w:val="21"/>
          <w:szCs w:val="21"/>
          <w:highlight w:val="none"/>
          <w:lang w:eastAsia="zh-CN"/>
        </w:rPr>
        <w:t>完</w:t>
      </w:r>
      <w:r>
        <w:rPr>
          <w:rFonts w:hint="eastAsia" w:ascii="宋体" w:hAnsi="宋体" w:eastAsia="宋体" w:cs="宋体"/>
          <w:color w:val="auto"/>
          <w:spacing w:val="11"/>
          <w:sz w:val="21"/>
          <w:szCs w:val="21"/>
          <w:highlight w:val="none"/>
          <w:lang w:eastAsia="zh-CN"/>
        </w:rPr>
        <w:t>成金额×90%-工程预付款总金额-累计已支付工程进度款)。工程完工验收合格及办理结算后支付至结算总价的95%，</w:t>
      </w:r>
      <w:r>
        <w:rPr>
          <w:rFonts w:hint="eastAsia" w:ascii="宋体" w:hAnsi="宋体" w:eastAsia="宋体" w:cs="宋体"/>
          <w:color w:val="auto"/>
          <w:spacing w:val="7"/>
          <w:sz w:val="21"/>
          <w:szCs w:val="21"/>
          <w:highlight w:val="none"/>
          <w:lang w:eastAsia="zh-CN"/>
        </w:rPr>
        <w:t>按政府制定的结算审计办法完成第三方结算审计后，工程款支付至审计结算总价的97%。上述</w:t>
      </w:r>
      <w:r>
        <w:rPr>
          <w:rFonts w:hint="eastAsia" w:ascii="宋体" w:hAnsi="宋体" w:eastAsia="宋体" w:cs="宋体"/>
          <w:color w:val="auto"/>
          <w:spacing w:val="3"/>
          <w:sz w:val="21"/>
          <w:szCs w:val="21"/>
          <w:highlight w:val="none"/>
          <w:lang w:eastAsia="zh-CN"/>
        </w:rPr>
        <w:t>款</w:t>
      </w:r>
      <w:r>
        <w:rPr>
          <w:rFonts w:hint="eastAsia" w:ascii="宋体" w:hAnsi="宋体" w:eastAsia="宋体" w:cs="宋体"/>
          <w:color w:val="auto"/>
          <w:spacing w:val="11"/>
          <w:sz w:val="21"/>
          <w:szCs w:val="21"/>
          <w:highlight w:val="none"/>
          <w:lang w:eastAsia="zh-CN"/>
        </w:rPr>
        <w:t>项</w:t>
      </w:r>
      <w:r>
        <w:rPr>
          <w:rFonts w:hint="eastAsia" w:ascii="宋体" w:hAnsi="宋体" w:eastAsia="宋体" w:cs="宋体"/>
          <w:color w:val="auto"/>
          <w:spacing w:val="8"/>
          <w:sz w:val="21"/>
          <w:szCs w:val="21"/>
          <w:highlight w:val="none"/>
          <w:lang w:eastAsia="zh-CN"/>
        </w:rPr>
        <w:t>的支付时间为资金申请经合浦县财政局审批通过后14天内。</w:t>
      </w:r>
    </w:p>
    <w:p w14:paraId="5EE96DB2">
      <w:pPr>
        <w:tabs>
          <w:tab w:val="left" w:pos="130"/>
        </w:tabs>
        <w:spacing w:before="124" w:line="360" w:lineRule="auto"/>
        <w:ind w:left="27" w:right="65" w:firstLine="439"/>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11"/>
          <w:sz w:val="21"/>
          <w:szCs w:val="21"/>
          <w:highlight w:val="none"/>
          <w:lang w:eastAsia="zh-CN"/>
        </w:rPr>
        <w:t>（2）本</w:t>
      </w:r>
      <w:r>
        <w:rPr>
          <w:rFonts w:hint="eastAsia" w:ascii="宋体" w:hAnsi="宋体" w:eastAsia="宋体" w:cs="宋体"/>
          <w:color w:val="auto"/>
          <w:spacing w:val="6"/>
          <w:sz w:val="21"/>
          <w:szCs w:val="21"/>
          <w:highlight w:val="none"/>
          <w:lang w:eastAsia="zh-CN"/>
        </w:rPr>
        <w:t>工程最终付款以规定的第三方审计结算总价为依据，工程未完成质保期验收且工程进度款支付超出审计结算总价</w:t>
      </w:r>
      <w:r>
        <w:rPr>
          <w:rFonts w:hint="eastAsia" w:ascii="宋体" w:hAnsi="宋体" w:eastAsia="宋体" w:cs="宋体"/>
          <w:color w:val="auto"/>
          <w:spacing w:val="6"/>
          <w:sz w:val="21"/>
          <w:szCs w:val="21"/>
          <w:highlight w:val="none"/>
          <w:lang w:val="en-US" w:eastAsia="zh-CN"/>
        </w:rPr>
        <w:t>97</w:t>
      </w:r>
      <w:r>
        <w:rPr>
          <w:rFonts w:hint="eastAsia" w:ascii="宋体" w:hAnsi="宋体" w:eastAsia="宋体" w:cs="宋体"/>
          <w:color w:val="auto"/>
          <w:spacing w:val="6"/>
          <w:sz w:val="21"/>
          <w:szCs w:val="21"/>
          <w:highlight w:val="none"/>
          <w:lang w:eastAsia="zh-CN"/>
        </w:rPr>
        <w:t>%的或工程完成质保期验收但工程进度款支付超出审计结算总价的，承包人必须在规定的第三方出具审计结果后20天内返还超出金额给发包人（返还方式由发包人指定）。逾期未返还的视为承包人违约，违约金按人民币壹仟元/天计算，同时承包人应承诺放弃在广西水利系统一年的投标资格，发包人有权向有关部门申报将承包人纳入不良记录或失信记录。</w:t>
      </w:r>
    </w:p>
    <w:p w14:paraId="5EE96DB3">
      <w:pPr>
        <w:tabs>
          <w:tab w:val="left" w:pos="130"/>
        </w:tabs>
        <w:spacing w:before="124" w:line="360" w:lineRule="auto"/>
        <w:ind w:left="27" w:right="65" w:firstLine="439"/>
        <w:rPr>
          <w:rFonts w:hint="eastAsia" w:ascii="宋体" w:hAnsi="宋体" w:eastAsia="宋体" w:cs="宋体"/>
          <w:b/>
          <w:color w:val="auto"/>
          <w:sz w:val="21"/>
          <w:szCs w:val="21"/>
          <w:highlight w:val="none"/>
          <w:lang w:eastAsia="zh-CN"/>
        </w:rPr>
      </w:pPr>
      <w:r>
        <w:rPr>
          <w:rFonts w:hint="eastAsia" w:ascii="宋体" w:hAnsi="宋体" w:eastAsia="宋体" w:cs="宋体"/>
          <w:color w:val="auto"/>
          <w:spacing w:val="6"/>
          <w:sz w:val="21"/>
          <w:szCs w:val="21"/>
          <w:highlight w:val="none"/>
          <w:lang w:eastAsia="zh-CN"/>
        </w:rPr>
        <w:t>17.3.6发包人所有付款(含预付款)均转入如下承包人单位基本账户及农民工工资专用账户(签订施工合同时标明，其中80%转入单位基本账户，20%属于农民工工资的部分需转入农民工工资专用账户)，承包人单位基本账户及农民工工资专用账户发生改变时，承包人应书面通知(法定代表人签字并加盖单位公章)发包人。</w:t>
      </w:r>
    </w:p>
    <w:p w14:paraId="5EE96DB4">
      <w:pPr>
        <w:pStyle w:val="4"/>
        <w:spacing w:line="460" w:lineRule="exact"/>
        <w:rPr>
          <w:rFonts w:hint="eastAsia" w:ascii="宋体" w:hAnsi="宋体" w:eastAsia="宋体" w:cs="宋体"/>
          <w:color w:val="auto"/>
          <w:sz w:val="21"/>
          <w:szCs w:val="21"/>
          <w:highlight w:val="none"/>
          <w:lang w:eastAsia="zh-CN"/>
        </w:rPr>
      </w:pPr>
      <w:bookmarkStart w:id="2374" w:name="_Toc1917"/>
      <w:bookmarkStart w:id="2375" w:name="_Toc199153046"/>
      <w:bookmarkStart w:id="2376" w:name="_Toc17890"/>
      <w:r>
        <w:rPr>
          <w:rFonts w:hint="eastAsia" w:ascii="宋体" w:hAnsi="宋体" w:eastAsia="宋体" w:cs="宋体"/>
          <w:color w:val="auto"/>
          <w:sz w:val="21"/>
          <w:szCs w:val="21"/>
          <w:highlight w:val="none"/>
          <w:lang w:eastAsia="zh-CN"/>
        </w:rPr>
        <w:t>17.4质量保证金</w:t>
      </w:r>
      <w:bookmarkEnd w:id="2374"/>
      <w:bookmarkEnd w:id="2375"/>
      <w:bookmarkEnd w:id="2376"/>
    </w:p>
    <w:p w14:paraId="5EE96DB5">
      <w:pPr>
        <w:spacing w:line="460" w:lineRule="exact"/>
        <w:ind w:right="248"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1</w:t>
      </w:r>
      <w:r>
        <w:rPr>
          <w:rFonts w:hint="eastAsia" w:ascii="宋体" w:hAnsi="宋体" w:eastAsia="宋体" w:cs="宋体"/>
          <w:color w:val="auto"/>
          <w:spacing w:val="1"/>
          <w:sz w:val="21"/>
          <w:szCs w:val="21"/>
          <w:highlight w:val="none"/>
          <w:lang w:eastAsia="zh-CN"/>
        </w:rPr>
        <w:t>7.4.1审计结算总价的3%作为工程质量保证金，工程质量保修期满，经发包人、承包人、</w:t>
      </w:r>
      <w:r>
        <w:rPr>
          <w:rFonts w:hint="eastAsia" w:ascii="宋体" w:hAnsi="宋体" w:eastAsia="宋体" w:cs="宋体"/>
          <w:color w:val="auto"/>
          <w:spacing w:val="12"/>
          <w:sz w:val="21"/>
          <w:szCs w:val="21"/>
          <w:highlight w:val="none"/>
          <w:lang w:eastAsia="zh-CN"/>
        </w:rPr>
        <w:t>监理人三方检查无质量缺陷责任后，承包人提出质量保证金支付申请并经合浦县财政局审批</w:t>
      </w:r>
      <w:r>
        <w:rPr>
          <w:rFonts w:hint="eastAsia" w:ascii="宋体" w:hAnsi="宋体" w:eastAsia="宋体" w:cs="宋体"/>
          <w:color w:val="auto"/>
          <w:spacing w:val="8"/>
          <w:sz w:val="21"/>
          <w:szCs w:val="21"/>
          <w:highlight w:val="none"/>
          <w:lang w:eastAsia="zh-CN"/>
        </w:rPr>
        <w:t>通</w:t>
      </w:r>
      <w:r>
        <w:rPr>
          <w:rFonts w:hint="eastAsia" w:ascii="宋体" w:hAnsi="宋体" w:eastAsia="宋体" w:cs="宋体"/>
          <w:color w:val="auto"/>
          <w:spacing w:val="22"/>
          <w:sz w:val="21"/>
          <w:szCs w:val="21"/>
          <w:highlight w:val="none"/>
          <w:lang w:eastAsia="zh-CN"/>
        </w:rPr>
        <w:t>过</w:t>
      </w:r>
      <w:r>
        <w:rPr>
          <w:rFonts w:hint="eastAsia" w:ascii="宋体" w:hAnsi="宋体" w:eastAsia="宋体" w:cs="宋体"/>
          <w:color w:val="auto"/>
          <w:spacing w:val="16"/>
          <w:sz w:val="21"/>
          <w:szCs w:val="21"/>
          <w:highlight w:val="none"/>
          <w:lang w:eastAsia="zh-CN"/>
        </w:rPr>
        <w:t>后</w:t>
      </w:r>
      <w:r>
        <w:rPr>
          <w:rFonts w:hint="eastAsia" w:ascii="宋体" w:hAnsi="宋体" w:eastAsia="宋体" w:cs="宋体"/>
          <w:color w:val="auto"/>
          <w:spacing w:val="11"/>
          <w:sz w:val="21"/>
          <w:szCs w:val="21"/>
          <w:highlight w:val="none"/>
          <w:lang w:eastAsia="zh-CN"/>
        </w:rPr>
        <w:t>14天内付清。为提高财政资金使用效率，如承包人能提供工程质量保证金保函等担保手</w:t>
      </w:r>
      <w:r>
        <w:rPr>
          <w:rFonts w:hint="eastAsia" w:ascii="宋体" w:hAnsi="宋体" w:eastAsia="宋体" w:cs="宋体"/>
          <w:color w:val="auto"/>
          <w:spacing w:val="12"/>
          <w:sz w:val="21"/>
          <w:szCs w:val="21"/>
          <w:highlight w:val="none"/>
          <w:lang w:eastAsia="zh-CN"/>
        </w:rPr>
        <w:t>续，发包人可在收到对应担保手续后提前向承包支付工程质量保证金，质保期满后再按规定</w:t>
      </w:r>
      <w:r>
        <w:rPr>
          <w:rFonts w:hint="eastAsia" w:ascii="宋体" w:hAnsi="宋体" w:eastAsia="宋体" w:cs="宋体"/>
          <w:color w:val="auto"/>
          <w:spacing w:val="11"/>
          <w:sz w:val="21"/>
          <w:szCs w:val="21"/>
          <w:highlight w:val="none"/>
          <w:lang w:eastAsia="zh-CN"/>
        </w:rPr>
        <w:t>程</w:t>
      </w:r>
      <w:r>
        <w:rPr>
          <w:rFonts w:hint="eastAsia" w:ascii="宋体" w:hAnsi="宋体" w:eastAsia="宋体" w:cs="宋体"/>
          <w:color w:val="auto"/>
          <w:spacing w:val="10"/>
          <w:sz w:val="21"/>
          <w:szCs w:val="21"/>
          <w:highlight w:val="none"/>
          <w:lang w:eastAsia="zh-CN"/>
        </w:rPr>
        <w:t>序</w:t>
      </w:r>
      <w:r>
        <w:rPr>
          <w:rFonts w:hint="eastAsia" w:ascii="宋体" w:hAnsi="宋体" w:eastAsia="宋体" w:cs="宋体"/>
          <w:color w:val="auto"/>
          <w:spacing w:val="7"/>
          <w:sz w:val="21"/>
          <w:szCs w:val="21"/>
          <w:highlight w:val="none"/>
          <w:lang w:eastAsia="zh-CN"/>
        </w:rPr>
        <w:t>办</w:t>
      </w:r>
      <w:r>
        <w:rPr>
          <w:rFonts w:hint="eastAsia" w:ascii="宋体" w:hAnsi="宋体" w:eastAsia="宋体" w:cs="宋体"/>
          <w:color w:val="auto"/>
          <w:spacing w:val="5"/>
          <w:sz w:val="21"/>
          <w:szCs w:val="21"/>
          <w:highlight w:val="none"/>
          <w:lang w:eastAsia="zh-CN"/>
        </w:rPr>
        <w:t>理担保退还手续</w:t>
      </w:r>
      <w:r>
        <w:rPr>
          <w:rFonts w:hint="eastAsia" w:ascii="宋体" w:hAnsi="宋体" w:eastAsia="宋体" w:cs="宋体"/>
          <w:color w:val="auto"/>
          <w:sz w:val="21"/>
          <w:szCs w:val="21"/>
          <w:highlight w:val="none"/>
          <w:lang w:eastAsia="zh-CN"/>
        </w:rPr>
        <w:t>。</w:t>
      </w:r>
    </w:p>
    <w:bookmarkEnd w:id="2373"/>
    <w:p w14:paraId="5EE96DB6">
      <w:pPr>
        <w:pStyle w:val="4"/>
        <w:spacing w:line="460" w:lineRule="exact"/>
        <w:rPr>
          <w:rFonts w:hint="eastAsia" w:ascii="宋体" w:hAnsi="宋体" w:eastAsia="宋体" w:cs="宋体"/>
          <w:color w:val="auto"/>
          <w:sz w:val="21"/>
          <w:szCs w:val="21"/>
          <w:highlight w:val="none"/>
          <w:lang w:eastAsia="zh-CN"/>
        </w:rPr>
      </w:pPr>
      <w:bookmarkStart w:id="2377" w:name="_Toc221951265"/>
      <w:bookmarkStart w:id="2378" w:name="_Toc26476"/>
      <w:bookmarkStart w:id="2379" w:name="_Toc199153047"/>
      <w:bookmarkStart w:id="2380" w:name="_Toc4638"/>
      <w:r>
        <w:rPr>
          <w:rFonts w:hint="eastAsia" w:ascii="宋体" w:hAnsi="宋体" w:eastAsia="宋体" w:cs="宋体"/>
          <w:color w:val="auto"/>
          <w:sz w:val="21"/>
          <w:szCs w:val="21"/>
          <w:highlight w:val="none"/>
          <w:lang w:eastAsia="zh-CN"/>
        </w:rPr>
        <w:t>17.5竣工（完工）结算</w:t>
      </w:r>
      <w:bookmarkEnd w:id="2377"/>
      <w:bookmarkEnd w:id="2378"/>
      <w:bookmarkEnd w:id="2379"/>
      <w:bookmarkEnd w:id="2380"/>
    </w:p>
    <w:p w14:paraId="5EE96DB7">
      <w:pPr>
        <w:spacing w:line="460" w:lineRule="exact"/>
        <w:ind w:right="248" w:firstLine="480"/>
        <w:rPr>
          <w:rFonts w:hint="eastAsia" w:ascii="宋体" w:hAnsi="宋体" w:eastAsia="宋体" w:cs="宋体"/>
          <w:color w:val="auto"/>
          <w:sz w:val="21"/>
          <w:szCs w:val="21"/>
          <w:highlight w:val="none"/>
          <w:lang w:eastAsia="zh-CN"/>
        </w:rPr>
      </w:pPr>
      <w:bookmarkStart w:id="2381" w:name="_Toc221951266"/>
      <w:r>
        <w:rPr>
          <w:rFonts w:hint="eastAsia" w:ascii="宋体" w:hAnsi="宋体" w:eastAsia="宋体" w:cs="宋体"/>
          <w:b/>
          <w:color w:val="auto"/>
          <w:sz w:val="21"/>
          <w:szCs w:val="21"/>
          <w:highlight w:val="none"/>
          <w:lang w:eastAsia="zh-CN"/>
        </w:rPr>
        <w:t>17.5.1</w:t>
      </w:r>
      <w:r>
        <w:rPr>
          <w:rFonts w:hint="eastAsia" w:ascii="宋体" w:hAnsi="宋体" w:eastAsia="宋体" w:cs="宋体"/>
          <w:color w:val="auto"/>
          <w:sz w:val="21"/>
          <w:szCs w:val="21"/>
          <w:highlight w:val="none"/>
          <w:lang w:eastAsia="zh-CN"/>
        </w:rPr>
        <w:t>竣工（完工）付款申请单</w:t>
      </w:r>
      <w:bookmarkEnd w:id="2381"/>
    </w:p>
    <w:p w14:paraId="5EE96DB8">
      <w:pPr>
        <w:spacing w:line="460" w:lineRule="exact"/>
        <w:ind w:right="248" w:firstLine="480"/>
        <w:rPr>
          <w:rFonts w:hint="eastAsia" w:ascii="宋体" w:hAnsi="宋体" w:eastAsia="宋体" w:cs="宋体"/>
          <w:color w:val="auto"/>
          <w:sz w:val="21"/>
          <w:szCs w:val="21"/>
          <w:highlight w:val="none"/>
          <w:u w:val="single"/>
          <w:lang w:eastAsia="zh-CN"/>
        </w:rPr>
      </w:pPr>
      <w:bookmarkStart w:id="2382" w:name="_Toc221951267"/>
      <w:r>
        <w:rPr>
          <w:rFonts w:hint="eastAsia" w:ascii="宋体" w:hAnsi="宋体" w:eastAsia="宋体" w:cs="宋体"/>
          <w:color w:val="auto"/>
          <w:sz w:val="21"/>
          <w:szCs w:val="21"/>
          <w:highlight w:val="none"/>
          <w:lang w:eastAsia="zh-CN"/>
        </w:rPr>
        <w:t>（1）承包人应提交竣工付款申请单份数：</w:t>
      </w:r>
      <w:bookmarkEnd w:id="2382"/>
      <w:r>
        <w:rPr>
          <w:rFonts w:hint="eastAsia" w:ascii="宋体" w:hAnsi="宋体" w:eastAsia="宋体" w:cs="宋体"/>
          <w:color w:val="auto"/>
          <w:sz w:val="21"/>
          <w:szCs w:val="21"/>
          <w:highlight w:val="none"/>
          <w:u w:val="single"/>
          <w:lang w:eastAsia="zh-CN"/>
        </w:rPr>
        <w:t>一式捌份。</w:t>
      </w:r>
    </w:p>
    <w:p w14:paraId="5EE96DB9">
      <w:pPr>
        <w:spacing w:line="460" w:lineRule="exact"/>
        <w:ind w:right="248" w:firstLine="48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eastAsia="zh-CN"/>
        </w:rPr>
        <w:t>17.5.3</w:t>
      </w:r>
      <w:r>
        <w:rPr>
          <w:rFonts w:hint="eastAsia" w:ascii="宋体" w:hAnsi="宋体" w:eastAsia="宋体" w:cs="宋体"/>
          <w:color w:val="auto"/>
          <w:sz w:val="21"/>
          <w:szCs w:val="21"/>
          <w:highlight w:val="none"/>
          <w:lang w:eastAsia="zh-CN"/>
        </w:rPr>
        <w:t>除按通用合同条款所说的内容外，增加以下内容：最终结算以财政评审结果或审计部门审计结果为准。</w:t>
      </w:r>
    </w:p>
    <w:p w14:paraId="600E7229">
      <w:pPr>
        <w:spacing w:line="460" w:lineRule="exact"/>
        <w:ind w:right="248" w:firstLine="48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17.5.4 承包人应在工程完工后60天内提交竣工资料及结算资料。</w:t>
      </w:r>
    </w:p>
    <w:p w14:paraId="5A7887A2">
      <w:pPr>
        <w:spacing w:line="460" w:lineRule="exact"/>
        <w:ind w:right="248" w:firstLine="48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17.6 最终结清</w:t>
      </w:r>
    </w:p>
    <w:p w14:paraId="37675C3D">
      <w:pPr>
        <w:spacing w:line="460" w:lineRule="exact"/>
        <w:ind w:right="248" w:firstLine="48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17.6.1 最终结清申请单</w:t>
      </w:r>
    </w:p>
    <w:p w14:paraId="24AD620C">
      <w:pPr>
        <w:spacing w:line="460" w:lineRule="exact"/>
        <w:ind w:right="248" w:firstLine="48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（1）承包人应提交最终结清申请单分数：</w:t>
      </w:r>
      <w:r>
        <w:rPr>
          <w:rFonts w:hint="eastAsia" w:ascii="宋体" w:hAnsi="宋体" w:eastAsia="宋体" w:cs="宋体"/>
          <w:color w:val="auto"/>
          <w:sz w:val="21"/>
          <w:szCs w:val="21"/>
          <w:highlight w:val="none"/>
          <w:u w:val="single"/>
          <w:lang w:val="en-US" w:eastAsia="zh-CN"/>
        </w:rPr>
        <w:t>一式捌份</w:t>
      </w:r>
      <w:r>
        <w:rPr>
          <w:rFonts w:hint="eastAsia" w:ascii="宋体" w:hAnsi="宋体" w:eastAsia="宋体" w:cs="宋体"/>
          <w:color w:val="auto"/>
          <w:sz w:val="21"/>
          <w:szCs w:val="21"/>
          <w:highlight w:val="none"/>
          <w:u w:val="none"/>
          <w:lang w:val="en-US" w:eastAsia="zh-CN"/>
        </w:rPr>
        <w:t>。</w:t>
      </w:r>
    </w:p>
    <w:p w14:paraId="5A716F0A">
      <w:pPr>
        <w:spacing w:line="460" w:lineRule="exact"/>
        <w:ind w:right="248" w:firstLine="48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17.7竣工财务结算</w:t>
      </w:r>
    </w:p>
    <w:p w14:paraId="401763CA">
      <w:pPr>
        <w:spacing w:line="460" w:lineRule="exact"/>
        <w:ind w:right="248" w:firstLine="48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承包人应为竣工财务决算编制提供的资料：</w:t>
      </w:r>
      <w:r>
        <w:rPr>
          <w:rFonts w:hint="eastAsia" w:ascii="宋体" w:hAnsi="宋体" w:eastAsia="宋体" w:cs="宋体"/>
          <w:color w:val="auto"/>
          <w:sz w:val="21"/>
          <w:szCs w:val="21"/>
          <w:highlight w:val="none"/>
          <w:u w:val="single"/>
          <w:lang w:val="en-US" w:eastAsia="zh-CN"/>
        </w:rPr>
        <w:t>财务决算所需的一切资料</w:t>
      </w:r>
      <w:r>
        <w:rPr>
          <w:rFonts w:hint="eastAsia" w:ascii="宋体" w:hAnsi="宋体" w:eastAsia="宋体" w:cs="宋体"/>
          <w:color w:val="auto"/>
          <w:sz w:val="21"/>
          <w:szCs w:val="21"/>
          <w:highlight w:val="none"/>
          <w:u w:val="none"/>
          <w:lang w:val="en-US" w:eastAsia="zh-CN"/>
        </w:rPr>
        <w:t>。</w:t>
      </w:r>
    </w:p>
    <w:p w14:paraId="5EE96DBA">
      <w:pPr>
        <w:pStyle w:val="4"/>
        <w:spacing w:line="460" w:lineRule="exact"/>
        <w:rPr>
          <w:rFonts w:hint="eastAsia" w:ascii="宋体" w:hAnsi="宋体" w:eastAsia="宋体" w:cs="宋体"/>
          <w:color w:val="auto"/>
          <w:sz w:val="21"/>
          <w:szCs w:val="21"/>
          <w:highlight w:val="none"/>
          <w:lang w:eastAsia="zh-CN"/>
        </w:rPr>
      </w:pPr>
      <w:bookmarkStart w:id="2383" w:name="_Toc222031043"/>
      <w:bookmarkStart w:id="2384" w:name="_Toc222029541"/>
      <w:bookmarkStart w:id="2385" w:name="_Toc222032710"/>
      <w:bookmarkStart w:id="2386" w:name="_Toc221951271"/>
      <w:bookmarkStart w:id="2387" w:name="_Toc222033892"/>
      <w:bookmarkStart w:id="2388" w:name="_Toc229305399"/>
      <w:bookmarkStart w:id="2389" w:name="_Toc29433"/>
      <w:bookmarkStart w:id="2390" w:name="_Toc199153048"/>
      <w:bookmarkStart w:id="2391" w:name="_Toc32765"/>
      <w:r>
        <w:rPr>
          <w:rFonts w:hint="eastAsia" w:ascii="宋体" w:hAnsi="宋体" w:eastAsia="宋体" w:cs="宋体"/>
          <w:color w:val="auto"/>
          <w:sz w:val="21"/>
          <w:szCs w:val="21"/>
          <w:highlight w:val="none"/>
          <w:lang w:eastAsia="zh-CN"/>
        </w:rPr>
        <w:t>18竣工验收</w:t>
      </w:r>
      <w:bookmarkEnd w:id="2383"/>
      <w:bookmarkEnd w:id="2384"/>
      <w:bookmarkEnd w:id="2385"/>
      <w:bookmarkEnd w:id="2386"/>
      <w:bookmarkEnd w:id="2387"/>
      <w:bookmarkEnd w:id="2388"/>
      <w:r>
        <w:rPr>
          <w:rFonts w:hint="eastAsia" w:ascii="宋体" w:hAnsi="宋体" w:eastAsia="宋体" w:cs="宋体"/>
          <w:color w:val="auto"/>
          <w:sz w:val="21"/>
          <w:szCs w:val="21"/>
          <w:highlight w:val="none"/>
          <w:lang w:eastAsia="zh-CN"/>
        </w:rPr>
        <w:t>（验收）</w:t>
      </w:r>
      <w:bookmarkEnd w:id="2389"/>
      <w:bookmarkEnd w:id="2390"/>
      <w:bookmarkEnd w:id="2391"/>
    </w:p>
    <w:p w14:paraId="5EE96DBB">
      <w:pPr>
        <w:pStyle w:val="4"/>
        <w:spacing w:line="460" w:lineRule="exact"/>
        <w:rPr>
          <w:rFonts w:hint="eastAsia" w:ascii="宋体" w:hAnsi="宋体" w:eastAsia="宋体" w:cs="宋体"/>
          <w:color w:val="auto"/>
          <w:sz w:val="21"/>
          <w:szCs w:val="21"/>
          <w:highlight w:val="none"/>
          <w:lang w:eastAsia="zh-CN"/>
        </w:rPr>
      </w:pPr>
      <w:bookmarkStart w:id="2392" w:name="_Toc221951272"/>
      <w:bookmarkStart w:id="2393" w:name="_Toc199153049"/>
      <w:bookmarkStart w:id="2394" w:name="_Toc21572"/>
      <w:bookmarkStart w:id="2395" w:name="_Toc29454"/>
      <w:r>
        <w:rPr>
          <w:rFonts w:hint="eastAsia" w:ascii="宋体" w:hAnsi="宋体" w:eastAsia="宋体" w:cs="宋体"/>
          <w:color w:val="auto"/>
          <w:sz w:val="21"/>
          <w:szCs w:val="21"/>
          <w:highlight w:val="none"/>
          <w:lang w:eastAsia="zh-CN"/>
        </w:rPr>
        <w:t>18.1</w:t>
      </w:r>
      <w:bookmarkEnd w:id="2392"/>
      <w:r>
        <w:rPr>
          <w:rFonts w:hint="eastAsia" w:ascii="宋体" w:hAnsi="宋体" w:eastAsia="宋体" w:cs="宋体"/>
          <w:color w:val="auto"/>
          <w:sz w:val="21"/>
          <w:szCs w:val="21"/>
          <w:highlight w:val="none"/>
          <w:lang w:eastAsia="zh-CN"/>
        </w:rPr>
        <w:t>验收工作分类</w:t>
      </w:r>
      <w:bookmarkEnd w:id="2393"/>
      <w:bookmarkEnd w:id="2394"/>
      <w:bookmarkEnd w:id="2395"/>
    </w:p>
    <w:p w14:paraId="5EE96DBC">
      <w:pPr>
        <w:spacing w:line="460" w:lineRule="exact"/>
        <w:ind w:right="248" w:firstLine="480"/>
        <w:rPr>
          <w:rFonts w:hint="eastAsia" w:ascii="宋体" w:hAnsi="宋体" w:eastAsia="宋体" w:cs="宋体"/>
          <w:color w:val="auto"/>
          <w:sz w:val="21"/>
          <w:szCs w:val="21"/>
          <w:highlight w:val="none"/>
          <w:lang w:eastAsia="zh-CN"/>
        </w:rPr>
      </w:pPr>
      <w:bookmarkStart w:id="2396" w:name="_Toc221951274"/>
      <w:r>
        <w:rPr>
          <w:rFonts w:hint="eastAsia" w:ascii="宋体" w:hAnsi="宋体" w:eastAsia="宋体" w:cs="宋体"/>
          <w:color w:val="auto"/>
          <w:sz w:val="21"/>
          <w:szCs w:val="21"/>
          <w:highlight w:val="none"/>
          <w:lang w:eastAsia="zh-CN"/>
        </w:rPr>
        <w:t>根据《水利工程建设项目验收管理规定》(水利部令第30号)和《水利水电建设工程验收规程》（SL223-2008）的相关规定执行。</w:t>
      </w:r>
    </w:p>
    <w:p w14:paraId="641104DA">
      <w:pPr>
        <w:spacing w:line="460" w:lineRule="exact"/>
        <w:ind w:right="248" w:firstLine="480"/>
        <w:rPr>
          <w:rFonts w:hint="eastAsia" w:ascii="宋体" w:hAnsi="宋体" w:eastAsia="宋体" w:cs="宋体"/>
          <w:color w:val="auto"/>
          <w:sz w:val="21"/>
          <w:szCs w:val="21"/>
          <w:highlight w:val="none"/>
          <w:lang w:val="en-US" w:eastAsia="zh-CN"/>
        </w:rPr>
      </w:pPr>
    </w:p>
    <w:p w14:paraId="0F59C15C">
      <w:pPr>
        <w:spacing w:line="460" w:lineRule="exact"/>
        <w:ind w:right="248"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18.2 分部工程验收</w:t>
      </w:r>
    </w:p>
    <w:p w14:paraId="28A3E87C">
      <w:pPr>
        <w:spacing w:line="460" w:lineRule="exact"/>
        <w:ind w:right="248"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18.2.2 本工程分部工程验收由监理主持。</w:t>
      </w:r>
    </w:p>
    <w:p w14:paraId="22BFB50E">
      <w:pPr>
        <w:spacing w:line="460" w:lineRule="exact"/>
        <w:ind w:right="248"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18.3 单位工程验收</w:t>
      </w:r>
    </w:p>
    <w:p w14:paraId="2E33ACF7">
      <w:pPr>
        <w:spacing w:line="460" w:lineRule="exact"/>
        <w:ind w:right="248"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18.3.4 提前投入使用的单位工程包括：</w:t>
      </w:r>
      <w:r>
        <w:rPr>
          <w:rFonts w:hint="eastAsia" w:ascii="宋体" w:hAnsi="宋体" w:eastAsia="宋体" w:cs="宋体"/>
          <w:color w:val="auto"/>
          <w:sz w:val="21"/>
          <w:szCs w:val="21"/>
          <w:highlight w:val="none"/>
          <w:u w:val="single"/>
          <w:lang w:val="en-US" w:eastAsia="zh-CN"/>
        </w:rPr>
        <w:t>另行商定。</w:t>
      </w:r>
    </w:p>
    <w:p w14:paraId="3CE6FA7E">
      <w:pPr>
        <w:spacing w:line="460" w:lineRule="exact"/>
        <w:ind w:right="248"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18.5 阶段验收</w:t>
      </w:r>
    </w:p>
    <w:p w14:paraId="2B9DC7FA">
      <w:pPr>
        <w:spacing w:line="460" w:lineRule="exact"/>
        <w:ind w:right="248"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18.5.1 本合同工程阶段验收类型包括：</w:t>
      </w:r>
      <w:r>
        <w:rPr>
          <w:rFonts w:hint="eastAsia" w:ascii="宋体" w:hAnsi="宋体" w:eastAsia="宋体" w:cs="宋体"/>
          <w:color w:val="auto"/>
          <w:sz w:val="21"/>
          <w:szCs w:val="21"/>
          <w:highlight w:val="none"/>
          <w:u w:val="single"/>
          <w:lang w:val="en-US" w:eastAsia="zh-CN"/>
        </w:rPr>
        <w:t>另行商定。</w:t>
      </w:r>
    </w:p>
    <w:p w14:paraId="72744863">
      <w:pPr>
        <w:spacing w:line="460" w:lineRule="exact"/>
        <w:ind w:right="248"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18.6 专项验收</w:t>
      </w:r>
    </w:p>
    <w:p w14:paraId="7D0AF901">
      <w:pPr>
        <w:spacing w:line="460" w:lineRule="exact"/>
        <w:ind w:right="248"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18.6.2 本合同工程专项验收类别包括：</w:t>
      </w:r>
      <w:r>
        <w:rPr>
          <w:rFonts w:hint="eastAsia" w:ascii="宋体" w:hAnsi="宋体" w:eastAsia="宋体" w:cs="宋体"/>
          <w:color w:val="auto"/>
          <w:sz w:val="21"/>
          <w:szCs w:val="21"/>
          <w:highlight w:val="none"/>
          <w:u w:val="single"/>
          <w:lang w:val="en-US" w:eastAsia="zh-CN"/>
        </w:rPr>
        <w:t>另行商定</w:t>
      </w:r>
      <w:r>
        <w:rPr>
          <w:rFonts w:hint="eastAsia" w:ascii="宋体" w:hAnsi="宋体" w:eastAsia="宋体" w:cs="宋体"/>
          <w:color w:val="auto"/>
          <w:sz w:val="21"/>
          <w:szCs w:val="21"/>
          <w:highlight w:val="none"/>
          <w:lang w:val="en-US" w:eastAsia="zh-CN"/>
        </w:rPr>
        <w:t>。</w:t>
      </w:r>
    </w:p>
    <w:p w14:paraId="5D91C460">
      <w:pPr>
        <w:spacing w:line="460" w:lineRule="exact"/>
        <w:ind w:right="248"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18.7 竣工验收</w:t>
      </w:r>
    </w:p>
    <w:p w14:paraId="78CD51E2">
      <w:pPr>
        <w:spacing w:line="460" w:lineRule="exact"/>
        <w:ind w:right="248"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18.7.3 本工程不需要竣工验收技术鉴定。</w:t>
      </w:r>
    </w:p>
    <w:p w14:paraId="438C3B8D">
      <w:pPr>
        <w:spacing w:line="460" w:lineRule="exact"/>
        <w:ind w:right="248"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18.8 施工期运行</w:t>
      </w:r>
    </w:p>
    <w:p w14:paraId="1BC96FA0">
      <w:pPr>
        <w:spacing w:line="460" w:lineRule="exact"/>
        <w:ind w:right="248"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18.8.1 需要在施工期运行的单位工程或设备为：</w:t>
      </w:r>
      <w:r>
        <w:rPr>
          <w:rFonts w:hint="eastAsia" w:ascii="宋体" w:hAnsi="宋体" w:eastAsia="宋体" w:cs="宋体"/>
          <w:color w:val="auto"/>
          <w:sz w:val="21"/>
          <w:szCs w:val="21"/>
          <w:highlight w:val="none"/>
          <w:u w:val="single"/>
          <w:lang w:val="en-US" w:eastAsia="zh-CN"/>
        </w:rPr>
        <w:t>另行商定</w:t>
      </w:r>
      <w:r>
        <w:rPr>
          <w:rFonts w:hint="eastAsia" w:ascii="宋体" w:hAnsi="宋体" w:eastAsia="宋体" w:cs="宋体"/>
          <w:color w:val="auto"/>
          <w:sz w:val="21"/>
          <w:szCs w:val="21"/>
          <w:highlight w:val="none"/>
          <w:lang w:val="en-US" w:eastAsia="zh-CN"/>
        </w:rPr>
        <w:t>。</w:t>
      </w:r>
    </w:p>
    <w:p w14:paraId="5A738C98">
      <w:pPr>
        <w:spacing w:line="460" w:lineRule="exact"/>
        <w:ind w:right="248"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18.9 试运行</w:t>
      </w:r>
    </w:p>
    <w:p w14:paraId="64573B78">
      <w:pPr>
        <w:spacing w:line="460" w:lineRule="exact"/>
        <w:ind w:right="248"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18.9.1 试运行的组织：</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lang w:val="en-US" w:eastAsia="zh-CN"/>
        </w:rPr>
        <w:t xml:space="preserve"> ；费用承担：</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lang w:val="en-US" w:eastAsia="zh-CN"/>
        </w:rPr>
        <w:t>。</w:t>
      </w:r>
    </w:p>
    <w:bookmarkEnd w:id="2396"/>
    <w:p w14:paraId="5EE96DBD">
      <w:pPr>
        <w:pStyle w:val="4"/>
        <w:spacing w:line="460" w:lineRule="exact"/>
        <w:rPr>
          <w:rFonts w:hint="eastAsia" w:ascii="宋体" w:hAnsi="宋体" w:eastAsia="宋体" w:cs="宋体"/>
          <w:color w:val="auto"/>
          <w:sz w:val="21"/>
          <w:szCs w:val="21"/>
          <w:highlight w:val="none"/>
          <w:lang w:eastAsia="zh-CN"/>
        </w:rPr>
      </w:pPr>
      <w:bookmarkStart w:id="2397" w:name="_Toc199153050"/>
      <w:bookmarkStart w:id="2398" w:name="_Toc29185"/>
      <w:bookmarkStart w:id="2399" w:name="_Toc26432"/>
      <w:r>
        <w:rPr>
          <w:rFonts w:hint="eastAsia" w:ascii="宋体" w:hAnsi="宋体" w:eastAsia="宋体" w:cs="宋体"/>
          <w:color w:val="auto"/>
          <w:sz w:val="21"/>
          <w:szCs w:val="21"/>
          <w:highlight w:val="none"/>
          <w:lang w:eastAsia="zh-CN"/>
        </w:rPr>
        <w:t>19缺陷责任与保修责任</w:t>
      </w:r>
      <w:bookmarkEnd w:id="2397"/>
      <w:bookmarkEnd w:id="2398"/>
      <w:bookmarkEnd w:id="2399"/>
    </w:p>
    <w:p w14:paraId="5EE96DBE">
      <w:pPr>
        <w:pStyle w:val="4"/>
        <w:spacing w:line="460" w:lineRule="exact"/>
        <w:rPr>
          <w:rFonts w:hint="eastAsia" w:ascii="宋体" w:hAnsi="宋体" w:eastAsia="宋体" w:cs="宋体"/>
          <w:color w:val="auto"/>
          <w:sz w:val="21"/>
          <w:szCs w:val="21"/>
          <w:highlight w:val="none"/>
          <w:lang w:eastAsia="zh-CN"/>
        </w:rPr>
      </w:pPr>
      <w:bookmarkStart w:id="2400" w:name="_Toc199153051"/>
      <w:bookmarkStart w:id="2401" w:name="_Toc421"/>
      <w:r>
        <w:rPr>
          <w:rFonts w:hint="eastAsia" w:ascii="宋体" w:hAnsi="宋体" w:eastAsia="宋体" w:cs="宋体"/>
          <w:color w:val="auto"/>
          <w:sz w:val="21"/>
          <w:szCs w:val="21"/>
          <w:highlight w:val="none"/>
          <w:lang w:eastAsia="zh-CN"/>
        </w:rPr>
        <w:t>19.1缺陷责任期（工程质量保修期）的起算时间</w:t>
      </w:r>
      <w:bookmarkEnd w:id="2400"/>
      <w:bookmarkEnd w:id="2401"/>
    </w:p>
    <w:p w14:paraId="5EE96DBF">
      <w:pPr>
        <w:spacing w:line="4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从合同工程完工验收合格后开始计算。</w:t>
      </w:r>
    </w:p>
    <w:p w14:paraId="054B3738">
      <w:pPr>
        <w:spacing w:line="4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19.7 保修责任</w:t>
      </w:r>
    </w:p>
    <w:p w14:paraId="6C0E0431">
      <w:pPr>
        <w:spacing w:line="4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本合同工程的保修期为：</w:t>
      </w:r>
      <w:r>
        <w:rPr>
          <w:rFonts w:hint="eastAsia" w:ascii="宋体" w:hAnsi="宋体" w:eastAsia="宋体" w:cs="宋体"/>
          <w:color w:val="auto"/>
          <w:sz w:val="21"/>
          <w:szCs w:val="21"/>
          <w:highlight w:val="none"/>
          <w:u w:val="single"/>
          <w:lang w:val="en-US" w:eastAsia="zh-CN"/>
        </w:rPr>
        <w:t>1年</w:t>
      </w:r>
      <w:r>
        <w:rPr>
          <w:rFonts w:hint="eastAsia" w:ascii="宋体" w:hAnsi="宋体" w:eastAsia="宋体" w:cs="宋体"/>
          <w:color w:val="auto"/>
          <w:sz w:val="21"/>
          <w:szCs w:val="21"/>
          <w:highlight w:val="none"/>
          <w:lang w:val="en-US" w:eastAsia="zh-CN"/>
        </w:rPr>
        <w:t>。</w:t>
      </w:r>
    </w:p>
    <w:p w14:paraId="6B8505A4">
      <w:pPr>
        <w:spacing w:line="4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保修范围：</w:t>
      </w:r>
      <w:r>
        <w:rPr>
          <w:rFonts w:hint="eastAsia" w:ascii="宋体" w:hAnsi="宋体" w:eastAsia="宋体" w:cs="宋体"/>
          <w:color w:val="auto"/>
          <w:sz w:val="21"/>
          <w:szCs w:val="21"/>
          <w:highlight w:val="none"/>
          <w:u w:val="single"/>
          <w:lang w:val="en-US" w:eastAsia="zh-CN"/>
        </w:rPr>
        <w:t>合同工程全部内容</w:t>
      </w:r>
      <w:r>
        <w:rPr>
          <w:rFonts w:hint="eastAsia" w:ascii="宋体" w:hAnsi="宋体" w:eastAsia="宋体" w:cs="宋体"/>
          <w:color w:val="auto"/>
          <w:sz w:val="21"/>
          <w:szCs w:val="21"/>
          <w:highlight w:val="none"/>
          <w:lang w:val="en-US" w:eastAsia="zh-CN"/>
        </w:rPr>
        <w:t>。</w:t>
      </w:r>
    </w:p>
    <w:p w14:paraId="7A0A1B11">
      <w:pPr>
        <w:spacing w:line="4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保修责任：</w:t>
      </w:r>
      <w:r>
        <w:rPr>
          <w:rFonts w:hint="eastAsia" w:ascii="宋体" w:hAnsi="宋体" w:eastAsia="宋体" w:cs="宋体"/>
          <w:color w:val="auto"/>
          <w:sz w:val="21"/>
          <w:szCs w:val="21"/>
          <w:highlight w:val="none"/>
          <w:u w:val="single"/>
          <w:lang w:val="en-US" w:eastAsia="zh-CN"/>
        </w:rPr>
        <w:t>由承包人负责并承担相关的一切费用</w:t>
      </w:r>
      <w:r>
        <w:rPr>
          <w:rFonts w:hint="eastAsia" w:ascii="宋体" w:hAnsi="宋体" w:eastAsia="宋体" w:cs="宋体"/>
          <w:color w:val="auto"/>
          <w:sz w:val="21"/>
          <w:szCs w:val="21"/>
          <w:highlight w:val="none"/>
          <w:lang w:val="en-US" w:eastAsia="zh-CN"/>
        </w:rPr>
        <w:t>。</w:t>
      </w:r>
    </w:p>
    <w:p w14:paraId="5EE96DC0">
      <w:pPr>
        <w:pStyle w:val="4"/>
        <w:spacing w:line="460" w:lineRule="exact"/>
        <w:rPr>
          <w:rFonts w:hint="eastAsia" w:ascii="宋体" w:hAnsi="宋体" w:eastAsia="宋体" w:cs="宋体"/>
          <w:color w:val="auto"/>
          <w:sz w:val="21"/>
          <w:szCs w:val="21"/>
          <w:highlight w:val="none"/>
          <w:lang w:eastAsia="zh-CN"/>
        </w:rPr>
      </w:pPr>
      <w:bookmarkStart w:id="2402" w:name="_Toc222033893"/>
      <w:bookmarkStart w:id="2403" w:name="_Toc221951299"/>
      <w:bookmarkStart w:id="2404" w:name="_Toc199153052"/>
      <w:bookmarkStart w:id="2405" w:name="_Toc10869"/>
      <w:bookmarkStart w:id="2406" w:name="_Toc229305400"/>
      <w:bookmarkStart w:id="2407" w:name="_Toc222032711"/>
      <w:bookmarkStart w:id="2408" w:name="_Toc4251"/>
      <w:bookmarkStart w:id="2409" w:name="_Toc222029542"/>
      <w:bookmarkStart w:id="2410" w:name="_Toc222031044"/>
      <w:r>
        <w:rPr>
          <w:rFonts w:hint="eastAsia" w:ascii="宋体" w:hAnsi="宋体" w:eastAsia="宋体" w:cs="宋体"/>
          <w:color w:val="auto"/>
          <w:sz w:val="21"/>
          <w:szCs w:val="21"/>
          <w:highlight w:val="none"/>
          <w:lang w:eastAsia="zh-CN"/>
        </w:rPr>
        <w:t>20保险</w:t>
      </w:r>
      <w:bookmarkEnd w:id="2402"/>
      <w:bookmarkEnd w:id="2403"/>
      <w:bookmarkEnd w:id="2404"/>
      <w:bookmarkEnd w:id="2405"/>
      <w:bookmarkEnd w:id="2406"/>
      <w:bookmarkEnd w:id="2407"/>
      <w:bookmarkEnd w:id="2408"/>
      <w:bookmarkEnd w:id="2409"/>
      <w:bookmarkEnd w:id="2410"/>
    </w:p>
    <w:p w14:paraId="5EE96DC1">
      <w:pPr>
        <w:spacing w:line="460" w:lineRule="exact"/>
        <w:ind w:firstLine="422" w:firstLineChars="200"/>
        <w:rPr>
          <w:rFonts w:hint="eastAsia" w:ascii="宋体" w:hAnsi="宋体" w:eastAsia="宋体" w:cs="宋体"/>
          <w:b/>
          <w:color w:val="auto"/>
          <w:sz w:val="21"/>
          <w:szCs w:val="21"/>
          <w:highlight w:val="none"/>
          <w:lang w:eastAsia="zh-CN"/>
        </w:rPr>
      </w:pPr>
      <w:bookmarkStart w:id="2411" w:name="_Toc221951321"/>
      <w:r>
        <w:rPr>
          <w:rFonts w:hint="eastAsia" w:ascii="宋体" w:hAnsi="宋体" w:eastAsia="宋体" w:cs="宋体"/>
          <w:b/>
          <w:color w:val="auto"/>
          <w:sz w:val="21"/>
          <w:szCs w:val="21"/>
          <w:highlight w:val="none"/>
          <w:lang w:eastAsia="zh-CN"/>
        </w:rPr>
        <w:t>20.1工程保险</w:t>
      </w:r>
      <w:bookmarkEnd w:id="2411"/>
    </w:p>
    <w:p w14:paraId="5EE96DC2">
      <w:pPr>
        <w:spacing w:line="460" w:lineRule="exact"/>
        <w:ind w:right="248"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承包人依照有关法律规定参加工伤保险、人身意外保险、第三者责任险等，并负责缴纳保险费。本合同签订之日起7个工作日内，承包人将购买保险的合同、发票等复印件交发包人备案。</w:t>
      </w:r>
    </w:p>
    <w:p w14:paraId="5EE96DC3">
      <w:pPr>
        <w:pStyle w:val="4"/>
        <w:spacing w:line="460" w:lineRule="exact"/>
        <w:rPr>
          <w:rFonts w:hint="eastAsia" w:ascii="宋体" w:hAnsi="宋体" w:eastAsia="宋体" w:cs="宋体"/>
          <w:color w:val="auto"/>
          <w:sz w:val="21"/>
          <w:szCs w:val="21"/>
          <w:highlight w:val="none"/>
          <w:lang w:eastAsia="zh-CN"/>
        </w:rPr>
      </w:pPr>
      <w:bookmarkStart w:id="2412" w:name="_Toc26689"/>
      <w:bookmarkStart w:id="2413" w:name="_Toc199153053"/>
      <w:bookmarkStart w:id="2414" w:name="_Toc180"/>
      <w:bookmarkStart w:id="2415" w:name="_Toc229593394"/>
      <w:bookmarkStart w:id="2416" w:name="_Toc241491287"/>
      <w:bookmarkStart w:id="2417" w:name="_Toc216003201"/>
      <w:r>
        <w:rPr>
          <w:rFonts w:hint="eastAsia" w:ascii="宋体" w:hAnsi="宋体" w:eastAsia="宋体" w:cs="宋体"/>
          <w:color w:val="auto"/>
          <w:sz w:val="21"/>
          <w:szCs w:val="21"/>
          <w:highlight w:val="none"/>
          <w:lang w:eastAsia="zh-CN"/>
        </w:rPr>
        <w:t>21.不可抗力</w:t>
      </w:r>
      <w:bookmarkEnd w:id="2412"/>
      <w:bookmarkEnd w:id="2413"/>
      <w:bookmarkEnd w:id="2414"/>
      <w:bookmarkEnd w:id="2415"/>
      <w:bookmarkEnd w:id="2416"/>
      <w:bookmarkEnd w:id="2417"/>
    </w:p>
    <w:p w14:paraId="5EE96DC4">
      <w:pPr>
        <w:pStyle w:val="4"/>
        <w:spacing w:line="460" w:lineRule="exact"/>
        <w:rPr>
          <w:rFonts w:hint="eastAsia" w:ascii="宋体" w:hAnsi="宋体" w:eastAsia="宋体" w:cs="宋体"/>
          <w:color w:val="auto"/>
          <w:sz w:val="21"/>
          <w:szCs w:val="21"/>
          <w:highlight w:val="none"/>
          <w:lang w:eastAsia="zh-CN"/>
        </w:rPr>
      </w:pPr>
      <w:bookmarkStart w:id="2418" w:name="_Toc29480"/>
      <w:bookmarkStart w:id="2419" w:name="_Toc216003202"/>
      <w:bookmarkStart w:id="2420" w:name="_Toc2005"/>
      <w:bookmarkStart w:id="2421" w:name="_Toc199153054"/>
      <w:bookmarkStart w:id="2422" w:name="_Toc229593395"/>
      <w:r>
        <w:rPr>
          <w:rFonts w:hint="eastAsia" w:ascii="宋体" w:hAnsi="宋体" w:eastAsia="宋体" w:cs="宋体"/>
          <w:color w:val="auto"/>
          <w:sz w:val="21"/>
          <w:szCs w:val="21"/>
          <w:highlight w:val="none"/>
          <w:lang w:eastAsia="zh-CN"/>
        </w:rPr>
        <w:t>21.1不可抗力的确认</w:t>
      </w:r>
      <w:bookmarkEnd w:id="2418"/>
      <w:bookmarkEnd w:id="2419"/>
      <w:bookmarkEnd w:id="2420"/>
      <w:bookmarkEnd w:id="2421"/>
      <w:bookmarkEnd w:id="2422"/>
    </w:p>
    <w:p w14:paraId="5EE96DC5">
      <w:pPr>
        <w:spacing w:line="460" w:lineRule="exact"/>
        <w:ind w:right="248"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eastAsia="zh-CN"/>
        </w:rPr>
        <w:t>21.1.1</w:t>
      </w:r>
      <w:r>
        <w:rPr>
          <w:rFonts w:hint="eastAsia" w:ascii="宋体" w:hAnsi="宋体" w:eastAsia="宋体" w:cs="宋体"/>
          <w:color w:val="auto"/>
          <w:sz w:val="21"/>
          <w:szCs w:val="21"/>
          <w:highlight w:val="none"/>
          <w:lang w:eastAsia="zh-CN"/>
        </w:rPr>
        <w:t>不可抗力是指承包人和发包人在订立合同时不可预见，在工程施工过程中不可避免发生并不能克服的自然灾害和社会性突发事件，如地震、海啸、瘟疫、水灾、骚乱、暴动、战争和本合同专用合同条款第11.4款的约定。</w:t>
      </w:r>
    </w:p>
    <w:p w14:paraId="5EE96DC6">
      <w:pPr>
        <w:spacing w:line="460" w:lineRule="exact"/>
        <w:ind w:right="248" w:firstLine="422" w:firstLineChars="200"/>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24.争议的解决</w:t>
      </w:r>
    </w:p>
    <w:p w14:paraId="5EE96DC7">
      <w:pPr>
        <w:spacing w:line="460" w:lineRule="exact"/>
        <w:ind w:right="248" w:firstLine="422" w:firstLineChars="200"/>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24.1解决的解决方式</w:t>
      </w:r>
    </w:p>
    <w:p w14:paraId="5EE96DC8">
      <w:pPr>
        <w:spacing w:line="460" w:lineRule="exact"/>
        <w:ind w:right="248"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合同当事人友好协商解决不成、不原提请争议评审或不接受争议评审组意见的，约定的合同争议解决方式为：</w:t>
      </w:r>
      <w:r>
        <w:rPr>
          <w:rFonts w:hint="eastAsia" w:ascii="宋体" w:hAnsi="宋体" w:eastAsia="宋体" w:cs="宋体"/>
          <w:b/>
          <w:color w:val="auto"/>
          <w:sz w:val="21"/>
          <w:szCs w:val="21"/>
          <w:highlight w:val="none"/>
          <w:u w:val="single"/>
          <w:lang w:eastAsia="zh-CN"/>
        </w:rPr>
        <w:t>向发包人所在地的人民法院诉讼。</w:t>
      </w:r>
    </w:p>
    <w:p w14:paraId="5EE96DC9">
      <w:pPr>
        <w:pStyle w:val="4"/>
        <w:spacing w:line="460" w:lineRule="exact"/>
        <w:rPr>
          <w:rFonts w:hint="eastAsia" w:ascii="宋体" w:hAnsi="宋体" w:eastAsia="宋体" w:cs="宋体"/>
          <w:color w:val="auto"/>
          <w:sz w:val="21"/>
          <w:szCs w:val="21"/>
          <w:highlight w:val="none"/>
          <w:lang w:eastAsia="zh-CN"/>
        </w:rPr>
      </w:pPr>
      <w:bookmarkStart w:id="2423" w:name="_Toc26274"/>
      <w:bookmarkStart w:id="2424" w:name="_Toc18045"/>
      <w:bookmarkStart w:id="2425" w:name="_Toc199153055"/>
      <w:r>
        <w:rPr>
          <w:rFonts w:hint="eastAsia" w:ascii="宋体" w:hAnsi="宋体" w:eastAsia="宋体" w:cs="宋体"/>
          <w:color w:val="auto"/>
          <w:sz w:val="21"/>
          <w:szCs w:val="21"/>
          <w:highlight w:val="none"/>
          <w:lang w:eastAsia="zh-CN"/>
        </w:rPr>
        <w:t>25.附加条款</w:t>
      </w:r>
      <w:bookmarkEnd w:id="2423"/>
      <w:bookmarkEnd w:id="2424"/>
      <w:bookmarkEnd w:id="2425"/>
    </w:p>
    <w:p w14:paraId="5EE96DCA">
      <w:pPr>
        <w:spacing w:line="460" w:lineRule="exact"/>
        <w:ind w:firstLine="422"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color w:val="auto"/>
          <w:sz w:val="21"/>
          <w:szCs w:val="21"/>
          <w:highlight w:val="none"/>
          <w:lang w:eastAsia="zh-CN"/>
        </w:rPr>
        <w:t>25.1</w:t>
      </w:r>
      <w:r>
        <w:rPr>
          <w:rFonts w:hint="eastAsia" w:ascii="宋体" w:hAnsi="宋体" w:eastAsia="宋体" w:cs="宋体"/>
          <w:b/>
          <w:bCs/>
          <w:color w:val="auto"/>
          <w:sz w:val="21"/>
          <w:szCs w:val="21"/>
          <w:highlight w:val="none"/>
          <w:lang w:eastAsia="zh-CN"/>
        </w:rPr>
        <w:t>对承包人的要求</w:t>
      </w:r>
    </w:p>
    <w:p w14:paraId="5EE96DCB">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bCs/>
          <w:color w:val="auto"/>
          <w:sz w:val="21"/>
          <w:szCs w:val="21"/>
          <w:highlight w:val="none"/>
          <w:lang w:eastAsia="zh-CN"/>
        </w:rPr>
        <w:t>因承包人的原因造成施工进度计划拖后，承包人均应按发包人和监理人的指示，采取有效措施赶上进度。若施工进度仍然满足不了发包人的要求，视为承包人已经构成违约，发包人可通知承包人解除合同。发包人可在发出通知5天后派员进驻工地直接监管工程，使用承包人设备、临时工程和材料，另行组织人员或委托其他承包人施工，但发包人的这一行为不免除承包人按合同规定应负的责任。</w:t>
      </w:r>
    </w:p>
    <w:p w14:paraId="5EE96DCC">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bCs/>
          <w:color w:val="auto"/>
          <w:sz w:val="21"/>
          <w:szCs w:val="21"/>
          <w:highlight w:val="none"/>
          <w:lang w:eastAsia="zh-CN"/>
        </w:rPr>
        <w:t>遵守国务院《建设工程质量管理条例》，根据水利部、自治区和水利厅的有关质量管理规定，建立健全质量管理机构，结合工程实际制定完善的可操作性强的质量管理制度，施工质量等级达到合同约定等级。</w:t>
      </w:r>
    </w:p>
    <w:p w14:paraId="5EE96DCD">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eastAsia="zh-CN"/>
        </w:rPr>
        <w:t>3</w:t>
      </w:r>
      <w:r>
        <w:rPr>
          <w:rFonts w:hint="eastAsia" w:ascii="宋体" w:hAnsi="宋体" w:eastAsia="宋体" w:cs="宋体"/>
          <w:bCs/>
          <w:color w:val="auto"/>
          <w:sz w:val="21"/>
          <w:szCs w:val="21"/>
          <w:highlight w:val="none"/>
          <w:lang w:eastAsia="zh-CN"/>
        </w:rPr>
        <w:t>、按《中华人民共和国生产安全法》、《建设工程安全生产管理条例》、自治区安全生产法规和水利水电工程施工安全操作规程的规定建立健全安全管理机构和安全管理制度，采取安全施工保障措施保障工程施工安全。</w:t>
      </w:r>
    </w:p>
    <w:p w14:paraId="5EE96DCE">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eastAsia="zh-CN"/>
        </w:rPr>
        <w:t>4、</w:t>
      </w:r>
      <w:r>
        <w:rPr>
          <w:rFonts w:hint="eastAsia" w:ascii="宋体" w:hAnsi="宋体" w:eastAsia="宋体" w:cs="宋体"/>
          <w:bCs/>
          <w:color w:val="auto"/>
          <w:sz w:val="21"/>
          <w:szCs w:val="21"/>
          <w:highlight w:val="none"/>
          <w:lang w:eastAsia="zh-CN"/>
        </w:rPr>
        <w:t>按有关施工规程规范及本招标文件技术条款进行组织施工并实施施工过程和移交前工程保护措施。</w:t>
      </w:r>
    </w:p>
    <w:p w14:paraId="5EE96DCF">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eastAsia="zh-CN"/>
        </w:rPr>
        <w:t>5、</w:t>
      </w:r>
      <w:r>
        <w:rPr>
          <w:rFonts w:hint="eastAsia" w:ascii="宋体" w:hAnsi="宋体" w:eastAsia="宋体" w:cs="宋体"/>
          <w:bCs/>
          <w:color w:val="auto"/>
          <w:sz w:val="21"/>
          <w:szCs w:val="21"/>
          <w:highlight w:val="none"/>
          <w:lang w:eastAsia="zh-CN"/>
        </w:rPr>
        <w:t>按水利部《水利系统文明建设工地评审管理办法》创建文明建设工地。</w:t>
      </w:r>
    </w:p>
    <w:p w14:paraId="5EE96DD0">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eastAsia="zh-CN"/>
        </w:rPr>
        <w:t>6、</w:t>
      </w:r>
      <w:r>
        <w:rPr>
          <w:rFonts w:hint="eastAsia" w:ascii="宋体" w:hAnsi="宋体" w:eastAsia="宋体" w:cs="宋体"/>
          <w:bCs/>
          <w:color w:val="auto"/>
          <w:sz w:val="21"/>
          <w:szCs w:val="21"/>
          <w:highlight w:val="none"/>
          <w:lang w:eastAsia="zh-CN"/>
        </w:rPr>
        <w:t>承包人违约有以下情况之一者，发包人有权采取合同规定的以下措施处理，并视情节轻重处予违约金。</w:t>
      </w:r>
    </w:p>
    <w:p w14:paraId="5EE96DD1">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（1）未经发包人批准，施工期内承包人调走主要施工技术人员（包括建造师、专业工程师），经发现不及时调回的，违约金额为履约保证金金额的5%～20%（视情节严重而定）。</w:t>
      </w:r>
    </w:p>
    <w:p w14:paraId="5EE96DD2">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（2）未经发包人批准，施工期内自行调走主要施工机械，经发现不及时调回的，违约金额为履约保证金金额的5%～20%（视情节严重而定）。</w:t>
      </w:r>
    </w:p>
    <w:p w14:paraId="5EE96DD3">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（3）所有以上违约金额均在承包人的履约保证金（包括银行利息）及计量支付款内扣除，承包人履约保证金被扣除后，由发包人从最后一次计量支付时扣相应金额补足履约保证金。</w:t>
      </w:r>
    </w:p>
    <w:p w14:paraId="5EE96DD4">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4）承包人的人员机械进场必须按照合同书附件或根据工程实际经调整后的人员和机械进场时间表进场，承包人不得任意拖延、调换或减少。主要机械的数量、型号和劳动力、材料的投入，应与合同相符，若发包人认为合同规定的进场机械、材料和劳动力不能满足施工进度要求，有权指令承包人增加机械、材料和劳动力投入，承包人不得拒绝。</w:t>
      </w:r>
    </w:p>
    <w:p w14:paraId="5EE96DD5">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（5）合同签订之日起15日内，承包人无法按合同规定进场全部人员和机械时，作为乙方违约，业主有权解除合同，没收其全部履约保证金，另行发包工程。</w:t>
      </w:r>
    </w:p>
    <w:p w14:paraId="5EE96DD6">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eastAsia="zh-CN"/>
        </w:rPr>
        <w:t>7、</w:t>
      </w:r>
      <w:r>
        <w:rPr>
          <w:rFonts w:hint="eastAsia" w:ascii="宋体" w:hAnsi="宋体" w:eastAsia="宋体" w:cs="宋体"/>
          <w:bCs/>
          <w:color w:val="auto"/>
          <w:sz w:val="21"/>
          <w:szCs w:val="21"/>
          <w:highlight w:val="none"/>
          <w:lang w:eastAsia="zh-CN"/>
        </w:rPr>
        <w:t>承包人生活设施及施工场地，应自费配备消防设备，防止火灾发生。</w:t>
      </w:r>
    </w:p>
    <w:p w14:paraId="5EE96DD7">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eastAsia="zh-CN"/>
        </w:rPr>
        <w:t>8、</w:t>
      </w:r>
      <w:r>
        <w:rPr>
          <w:rFonts w:hint="eastAsia" w:ascii="宋体" w:hAnsi="宋体" w:eastAsia="宋体" w:cs="宋体"/>
          <w:bCs/>
          <w:color w:val="auto"/>
          <w:sz w:val="21"/>
          <w:szCs w:val="21"/>
          <w:highlight w:val="none"/>
          <w:lang w:eastAsia="zh-CN"/>
        </w:rPr>
        <w:t>承包人使用的劳动力均应进行保险，否则不准安排工作，禁止使用童工。</w:t>
      </w:r>
    </w:p>
    <w:p w14:paraId="5EE96DD8">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eastAsia="zh-CN"/>
        </w:rPr>
        <w:t>9、</w:t>
      </w:r>
      <w:r>
        <w:rPr>
          <w:rFonts w:hint="eastAsia" w:ascii="宋体" w:hAnsi="宋体" w:eastAsia="宋体" w:cs="宋体"/>
          <w:bCs/>
          <w:color w:val="auto"/>
          <w:sz w:val="21"/>
          <w:szCs w:val="21"/>
          <w:highlight w:val="none"/>
          <w:lang w:eastAsia="zh-CN"/>
        </w:rPr>
        <w:t>凡竞标文件的合同条件、技术规范、设计图纸没有明显提及或明显遗漏或明显错误的，应以国内现行规范解释为依据，或以国内惯例解释处理。承包人发现后应及时向监理工程师报告，防止造成损失，并不利用以上文件的含糊、遗漏、错误或缺点索取利益。</w:t>
      </w:r>
    </w:p>
    <w:p w14:paraId="5EE96DD9">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10、承包人未能按时完成当月合同进度计划70%工程量的，发包人有权自行组织施工，以不超过投标报价的2倍单价扣减承包人的进度款，支付自行组织施工完成的工程款。也有权终止本合同并清退承包人，承包人须在10天内离场，否则发包人将强行撤出所有施工设备，所造成的全部损失由承包人承担。</w:t>
      </w:r>
    </w:p>
    <w:p w14:paraId="5EE96DDA">
      <w:pPr>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11、有关主管部门及发包人检查发现问题时，承包人应按要求整改。在规定时间内不进行整改或整改无效的，发包人有权终止本施工合同并清退承包人。承包人须在10天内离场，否则发包人将强行撤出所有施工设备，所造成的全部损失由承包人承担。</w:t>
      </w:r>
    </w:p>
    <w:p w14:paraId="5EE96DDB">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12、</w:t>
      </w:r>
      <w:r>
        <w:rPr>
          <w:rFonts w:hint="eastAsia" w:ascii="宋体" w:hAnsi="宋体" w:eastAsia="宋体" w:cs="宋体"/>
          <w:color w:val="auto"/>
          <w:sz w:val="21"/>
          <w:szCs w:val="21"/>
          <w:highlight w:val="none"/>
          <w:lang w:eastAsia="zh-CN"/>
        </w:rPr>
        <w:t>承诺若出现以下情况，愿意放弃在广西水利系统一年的投标资格：</w:t>
      </w:r>
    </w:p>
    <w:p w14:paraId="5EE96DDC">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A、在竞标文件中故意改变工程量的；</w:t>
      </w:r>
    </w:p>
    <w:p w14:paraId="5EE96DDD">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B、两个投标人报价完全一致的；</w:t>
      </w:r>
    </w:p>
    <w:p w14:paraId="5EE96DDE">
      <w:pPr>
        <w:pStyle w:val="24"/>
        <w:spacing w:after="0"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C、成交后无正当理由不能按合同工期完工的。</w:t>
      </w:r>
    </w:p>
    <w:p w14:paraId="5EE96DDF">
      <w:pPr>
        <w:spacing w:line="460" w:lineRule="exact"/>
        <w:ind w:firstLine="405" w:firstLineChars="193"/>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D、</w:t>
      </w:r>
      <w:r>
        <w:rPr>
          <w:rFonts w:hint="eastAsia" w:ascii="宋体" w:hAnsi="宋体" w:eastAsia="宋体" w:cs="宋体"/>
          <w:color w:val="auto"/>
          <w:sz w:val="21"/>
          <w:szCs w:val="21"/>
          <w:highlight w:val="none"/>
          <w:lang w:eastAsia="zh-CN"/>
        </w:rPr>
        <w:t>项目经理、技术负责人、质量检查员、安全员和主要机械设备不符合合同承诺的；</w:t>
      </w:r>
    </w:p>
    <w:p w14:paraId="5EE96DE0">
      <w:pPr>
        <w:spacing w:line="460" w:lineRule="exact"/>
        <w:ind w:right="248"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E、</w:t>
      </w:r>
      <w:r>
        <w:rPr>
          <w:rFonts w:hint="eastAsia" w:ascii="宋体" w:hAnsi="宋体" w:eastAsia="宋体" w:cs="宋体"/>
          <w:color w:val="auto"/>
          <w:sz w:val="21"/>
          <w:szCs w:val="21"/>
          <w:highlight w:val="none"/>
          <w:lang w:eastAsia="zh-CN"/>
        </w:rPr>
        <w:t>未履行规定手续，擅自变更项目部主要管理人员的；</w:t>
      </w:r>
    </w:p>
    <w:p w14:paraId="5EE96DE1">
      <w:pPr>
        <w:spacing w:line="460" w:lineRule="exact"/>
        <w:ind w:firstLine="405" w:firstLineChars="193"/>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F、项目经理无故脱岗，或离岗超过3天未报项目法人批准的，或不能正常履行岗位职责的；</w:t>
      </w:r>
    </w:p>
    <w:p w14:paraId="5EE96DE2">
      <w:pPr>
        <w:spacing w:line="460" w:lineRule="exact"/>
        <w:ind w:firstLine="405" w:firstLineChars="193"/>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G、</w:t>
      </w:r>
      <w:r>
        <w:rPr>
          <w:rFonts w:hint="eastAsia" w:ascii="宋体" w:hAnsi="宋体" w:eastAsia="宋体" w:cs="宋体"/>
          <w:color w:val="auto"/>
          <w:sz w:val="21"/>
          <w:szCs w:val="21"/>
          <w:highlight w:val="none"/>
          <w:lang w:eastAsia="zh-CN"/>
        </w:rPr>
        <w:t>不按监理单位要求整改，导致不能及时消除安全事故隐患的；</w:t>
      </w:r>
    </w:p>
    <w:p w14:paraId="5EE96DE3">
      <w:pPr>
        <w:spacing w:line="460" w:lineRule="exact"/>
        <w:ind w:right="248"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L、</w:t>
      </w:r>
      <w:r>
        <w:rPr>
          <w:rFonts w:hint="eastAsia" w:ascii="宋体" w:hAnsi="宋体" w:eastAsia="宋体" w:cs="宋体"/>
          <w:color w:val="auto"/>
          <w:sz w:val="21"/>
          <w:szCs w:val="21"/>
          <w:highlight w:val="none"/>
          <w:lang w:eastAsia="zh-CN"/>
        </w:rPr>
        <w:t>重要隐蔽工程未经联检就擅自施工的。</w:t>
      </w:r>
    </w:p>
    <w:p w14:paraId="5EE96DE4">
      <w:pPr>
        <w:spacing w:line="4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I、发生重大工程质量或重大安全责任事故的</w:t>
      </w:r>
    </w:p>
    <w:p w14:paraId="5EE96DE5">
      <w:pPr>
        <w:spacing w:line="460" w:lineRule="exact"/>
        <w:ind w:right="248"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13、承包人在签订施工合同时，项目经理、技术负责人必须出席签订合同地点，否则发包人有权取消承包人承包资格。</w:t>
      </w:r>
    </w:p>
    <w:p w14:paraId="5EE96DE6">
      <w:pPr>
        <w:spacing w:line="460" w:lineRule="exact"/>
        <w:ind w:right="248" w:firstLine="422" w:firstLineChars="200"/>
        <w:rPr>
          <w:rFonts w:hint="eastAsia" w:ascii="宋体" w:hAnsi="宋体" w:eastAsia="宋体" w:cs="宋体"/>
          <w:bCs/>
          <w:color w:val="auto"/>
          <w:sz w:val="21"/>
          <w:szCs w:val="21"/>
          <w:highlight w:val="none"/>
          <w:lang w:eastAsia="zh-CN"/>
        </w:rPr>
      </w:pPr>
      <w:r>
        <w:rPr>
          <w:rFonts w:hint="eastAsia" w:ascii="宋体" w:hAnsi="宋体" w:eastAsia="宋体" w:cs="宋体"/>
          <w:b/>
          <w:bCs/>
          <w:color w:val="auto"/>
          <w:sz w:val="21"/>
          <w:szCs w:val="21"/>
          <w:highlight w:val="none"/>
          <w:lang w:eastAsia="zh-CN"/>
        </w:rPr>
        <w:t>25.2</w:t>
      </w:r>
      <w:r>
        <w:rPr>
          <w:rFonts w:hint="eastAsia" w:ascii="宋体" w:hAnsi="宋体" w:eastAsia="宋体" w:cs="宋体"/>
          <w:bCs/>
          <w:color w:val="auto"/>
          <w:sz w:val="21"/>
          <w:szCs w:val="21"/>
          <w:highlight w:val="none"/>
          <w:lang w:eastAsia="zh-CN"/>
        </w:rPr>
        <w:t> 发包人所有付款(含预付款)均转入如下承包人单位基本账户 (签订施工合同时标明)，承包人单位基本账户发生改变时，承包人应书面通知（法定代表人签名并加盖单位公章）发包人。</w:t>
      </w:r>
    </w:p>
    <w:p w14:paraId="5EE96DE7">
      <w:pPr>
        <w:spacing w:line="460" w:lineRule="exact"/>
        <w:ind w:right="248" w:firstLine="422" w:firstLineChars="200"/>
        <w:rPr>
          <w:rFonts w:hint="eastAsia" w:ascii="宋体" w:hAnsi="宋体" w:eastAsia="宋体" w:cs="宋体"/>
          <w:bCs/>
          <w:color w:val="auto"/>
          <w:sz w:val="21"/>
          <w:szCs w:val="21"/>
          <w:highlight w:val="none"/>
          <w:lang w:eastAsia="zh-CN"/>
        </w:rPr>
      </w:pPr>
      <w:r>
        <w:rPr>
          <w:rFonts w:hint="eastAsia" w:ascii="宋体" w:hAnsi="宋体" w:eastAsia="宋体" w:cs="宋体"/>
          <w:b/>
          <w:bCs/>
          <w:color w:val="auto"/>
          <w:sz w:val="21"/>
          <w:szCs w:val="21"/>
          <w:highlight w:val="none"/>
          <w:lang w:eastAsia="zh-CN"/>
        </w:rPr>
        <w:t>25.3</w:t>
      </w:r>
      <w:r>
        <w:rPr>
          <w:rFonts w:hint="eastAsia" w:ascii="宋体" w:hAnsi="宋体" w:eastAsia="宋体" w:cs="宋体"/>
          <w:bCs/>
          <w:color w:val="auto"/>
          <w:sz w:val="21"/>
          <w:szCs w:val="21"/>
          <w:highlight w:val="none"/>
          <w:lang w:eastAsia="zh-CN"/>
        </w:rPr>
        <w:t>根据发包人相关部门的档案管理要求提供施工竣工和结算资料，其中竣工资料5份，结算资料3份，所有资料提供电子档1份。</w:t>
      </w:r>
    </w:p>
    <w:p w14:paraId="5EE96DE8">
      <w:pPr>
        <w:spacing w:line="460" w:lineRule="exact"/>
        <w:ind w:right="248" w:firstLine="422" w:firstLineChars="200"/>
        <w:rPr>
          <w:rFonts w:hint="eastAsia" w:ascii="宋体" w:hAnsi="宋体" w:eastAsia="宋体" w:cs="宋体"/>
          <w:bCs/>
          <w:color w:val="auto"/>
          <w:sz w:val="21"/>
          <w:szCs w:val="21"/>
          <w:highlight w:val="none"/>
          <w:lang w:eastAsia="zh-CN"/>
        </w:rPr>
      </w:pPr>
      <w:r>
        <w:rPr>
          <w:rFonts w:hint="eastAsia" w:ascii="宋体" w:hAnsi="宋体" w:eastAsia="宋体" w:cs="宋体"/>
          <w:b/>
          <w:bCs/>
          <w:color w:val="auto"/>
          <w:sz w:val="21"/>
          <w:szCs w:val="21"/>
          <w:highlight w:val="none"/>
          <w:lang w:eastAsia="zh-CN"/>
        </w:rPr>
        <w:t>25.4</w:t>
      </w:r>
      <w:r>
        <w:rPr>
          <w:rFonts w:hint="eastAsia" w:ascii="宋体" w:hAnsi="宋体" w:eastAsia="宋体" w:cs="宋体"/>
          <w:bCs/>
          <w:color w:val="auto"/>
          <w:sz w:val="21"/>
          <w:szCs w:val="21"/>
          <w:highlight w:val="none"/>
          <w:lang w:eastAsia="zh-CN"/>
        </w:rPr>
        <w:t>承包方应在开工前提交所有工程报建报监资料，并按要求办理开工前相应手续，且所有施工签证等相关手续符合当地规范规定；工程过程中涉及的办证由承包方负责并承担相关费用，发包人协助承包人办理。</w:t>
      </w:r>
    </w:p>
    <w:p w14:paraId="5EE96DE9">
      <w:pPr>
        <w:spacing w:line="460" w:lineRule="exact"/>
        <w:ind w:right="248" w:firstLine="422" w:firstLineChars="200"/>
        <w:rPr>
          <w:rFonts w:hint="eastAsia" w:ascii="宋体" w:hAnsi="宋体" w:eastAsia="宋体" w:cs="宋体"/>
          <w:bCs/>
          <w:color w:val="auto"/>
          <w:sz w:val="21"/>
          <w:szCs w:val="21"/>
          <w:highlight w:val="none"/>
          <w:lang w:eastAsia="zh-CN"/>
        </w:rPr>
      </w:pPr>
      <w:r>
        <w:rPr>
          <w:rFonts w:hint="eastAsia" w:ascii="宋体" w:hAnsi="宋体" w:eastAsia="宋体" w:cs="宋体"/>
          <w:b/>
          <w:bCs/>
          <w:color w:val="auto"/>
          <w:sz w:val="21"/>
          <w:szCs w:val="21"/>
          <w:highlight w:val="none"/>
          <w:lang w:eastAsia="zh-CN"/>
        </w:rPr>
        <w:t>25.5</w:t>
      </w:r>
      <w:r>
        <w:rPr>
          <w:rFonts w:hint="eastAsia" w:ascii="宋体" w:hAnsi="宋体" w:eastAsia="宋体" w:cs="宋体"/>
          <w:bCs/>
          <w:color w:val="auto"/>
          <w:sz w:val="21"/>
          <w:szCs w:val="21"/>
          <w:highlight w:val="none"/>
          <w:lang w:eastAsia="zh-CN"/>
        </w:rPr>
        <w:t>承包人须按时参加本工程水土保持和环境保护工程验收，提交本工程工作报告和施工管理报告。</w:t>
      </w:r>
    </w:p>
    <w:p w14:paraId="5EE96DEA">
      <w:pPr>
        <w:spacing w:line="460" w:lineRule="exact"/>
        <w:ind w:right="248" w:firstLine="422" w:firstLineChars="200"/>
        <w:rPr>
          <w:rFonts w:hint="eastAsia" w:ascii="宋体" w:hAnsi="宋体" w:eastAsia="宋体" w:cs="宋体"/>
          <w:bCs/>
          <w:color w:val="auto"/>
          <w:sz w:val="21"/>
          <w:szCs w:val="21"/>
          <w:highlight w:val="none"/>
          <w:lang w:eastAsia="zh-CN"/>
        </w:rPr>
      </w:pPr>
      <w:r>
        <w:rPr>
          <w:rFonts w:hint="eastAsia" w:ascii="宋体" w:hAnsi="宋体" w:eastAsia="宋体" w:cs="宋体"/>
          <w:b/>
          <w:bCs/>
          <w:color w:val="auto"/>
          <w:sz w:val="21"/>
          <w:szCs w:val="21"/>
          <w:highlight w:val="none"/>
          <w:lang w:eastAsia="zh-CN"/>
        </w:rPr>
        <w:t>25.6</w:t>
      </w:r>
      <w:r>
        <w:rPr>
          <w:rFonts w:hint="eastAsia" w:ascii="宋体" w:hAnsi="宋体" w:eastAsia="宋体" w:cs="宋体"/>
          <w:bCs/>
          <w:color w:val="auto"/>
          <w:sz w:val="21"/>
          <w:szCs w:val="21"/>
          <w:highlight w:val="none"/>
          <w:lang w:eastAsia="zh-CN"/>
        </w:rPr>
        <w:t>工程建设中承包人采购的建筑装修材料需向发包人提供采购品牌、型号及样品等参数，经发包人同意后才可采购，结算费用按投标单价结算。</w:t>
      </w:r>
    </w:p>
    <w:p w14:paraId="5EE96DEB">
      <w:pPr>
        <w:spacing w:line="460" w:lineRule="exact"/>
        <w:ind w:right="248" w:firstLine="422" w:firstLineChars="200"/>
        <w:rPr>
          <w:rFonts w:hint="eastAsia" w:ascii="宋体" w:hAnsi="宋体" w:eastAsia="宋体" w:cs="宋体"/>
          <w:bCs/>
          <w:color w:val="auto"/>
          <w:sz w:val="21"/>
          <w:szCs w:val="21"/>
          <w:highlight w:val="none"/>
          <w:lang w:eastAsia="zh-CN"/>
        </w:rPr>
      </w:pPr>
      <w:r>
        <w:rPr>
          <w:rFonts w:hint="eastAsia" w:ascii="宋体" w:hAnsi="宋体" w:eastAsia="宋体" w:cs="宋体"/>
          <w:b/>
          <w:bCs/>
          <w:color w:val="auto"/>
          <w:sz w:val="21"/>
          <w:szCs w:val="21"/>
          <w:highlight w:val="none"/>
          <w:lang w:eastAsia="zh-CN"/>
        </w:rPr>
        <w:t>25.7</w:t>
      </w:r>
      <w:r>
        <w:rPr>
          <w:rFonts w:hint="eastAsia" w:ascii="宋体" w:hAnsi="宋体" w:eastAsia="宋体" w:cs="宋体"/>
          <w:bCs/>
          <w:color w:val="auto"/>
          <w:sz w:val="21"/>
          <w:szCs w:val="21"/>
          <w:highlight w:val="none"/>
          <w:lang w:eastAsia="zh-CN"/>
        </w:rPr>
        <w:t>履约保证金退还时间为工程完工验收合格且工程结算资料通过财政或审计部门审核后30天内。</w:t>
      </w:r>
    </w:p>
    <w:p w14:paraId="5EE96DEC">
      <w:pPr>
        <w:spacing w:line="460" w:lineRule="exact"/>
        <w:ind w:right="248" w:firstLine="422" w:firstLineChars="200"/>
        <w:rPr>
          <w:rFonts w:hint="eastAsia" w:ascii="宋体" w:hAnsi="宋体" w:eastAsia="宋体" w:cs="宋体"/>
          <w:bCs/>
          <w:color w:val="auto"/>
          <w:sz w:val="21"/>
          <w:szCs w:val="21"/>
          <w:highlight w:val="none"/>
          <w:lang w:eastAsia="zh-CN"/>
        </w:rPr>
      </w:pPr>
      <w:r>
        <w:rPr>
          <w:rFonts w:hint="eastAsia" w:ascii="宋体" w:hAnsi="宋体" w:eastAsia="宋体" w:cs="宋体"/>
          <w:b/>
          <w:bCs/>
          <w:color w:val="auto"/>
          <w:sz w:val="21"/>
          <w:szCs w:val="21"/>
          <w:highlight w:val="none"/>
          <w:lang w:eastAsia="zh-CN"/>
        </w:rPr>
        <w:t>25.8</w:t>
      </w:r>
      <w:r>
        <w:rPr>
          <w:rFonts w:hint="eastAsia" w:ascii="宋体" w:hAnsi="宋体" w:eastAsia="宋体" w:cs="宋体"/>
          <w:bCs/>
          <w:color w:val="auto"/>
          <w:sz w:val="21"/>
          <w:szCs w:val="21"/>
          <w:highlight w:val="none"/>
          <w:lang w:eastAsia="zh-CN"/>
        </w:rPr>
        <w:t>本工程取（弃）土运距费用包含办证费、加盖费、取土费、弃土费、处置费等一切相关费用，综合单价包干使用不作调整。</w:t>
      </w:r>
    </w:p>
    <w:p w14:paraId="5EE96DED">
      <w:pPr>
        <w:spacing w:line="460" w:lineRule="exact"/>
        <w:ind w:right="248" w:firstLine="422" w:firstLineChars="200"/>
        <w:rPr>
          <w:rFonts w:hint="eastAsia" w:ascii="宋体" w:hAnsi="宋体" w:eastAsia="宋体" w:cs="宋体"/>
          <w:bCs/>
          <w:color w:val="auto"/>
          <w:sz w:val="21"/>
          <w:szCs w:val="21"/>
          <w:highlight w:val="none"/>
          <w:lang w:eastAsia="zh-CN"/>
        </w:rPr>
      </w:pPr>
      <w:r>
        <w:rPr>
          <w:rFonts w:hint="eastAsia" w:ascii="宋体" w:hAnsi="宋体" w:eastAsia="宋体" w:cs="宋体"/>
          <w:b/>
          <w:bCs/>
          <w:color w:val="auto"/>
          <w:sz w:val="21"/>
          <w:szCs w:val="21"/>
          <w:highlight w:val="none"/>
          <w:lang w:eastAsia="zh-CN"/>
        </w:rPr>
        <w:t>25.9</w:t>
      </w:r>
      <w:r>
        <w:rPr>
          <w:rFonts w:hint="eastAsia" w:ascii="宋体" w:hAnsi="宋体" w:eastAsia="宋体" w:cs="宋体"/>
          <w:bCs/>
          <w:color w:val="auto"/>
          <w:sz w:val="21"/>
          <w:szCs w:val="21"/>
          <w:highlight w:val="none"/>
          <w:lang w:eastAsia="zh-CN"/>
        </w:rPr>
        <w:t>本工程土方开挖已综合考虑施工条件，如承包人施工过程额外增加人工开挖比例，增加的费用由承包人负责，发包人不再另行支付。</w:t>
      </w:r>
    </w:p>
    <w:p w14:paraId="5EE96DEE">
      <w:pPr>
        <w:spacing w:line="460" w:lineRule="exact"/>
        <w:ind w:right="248" w:firstLine="422" w:firstLineChars="200"/>
        <w:rPr>
          <w:rFonts w:hint="eastAsia" w:ascii="宋体" w:hAnsi="宋体" w:eastAsia="宋体" w:cs="宋体"/>
          <w:bCs/>
          <w:color w:val="auto"/>
          <w:sz w:val="21"/>
          <w:szCs w:val="21"/>
          <w:highlight w:val="none"/>
          <w:lang w:eastAsia="zh-CN"/>
        </w:rPr>
      </w:pPr>
      <w:r>
        <w:rPr>
          <w:rFonts w:hint="eastAsia" w:ascii="宋体" w:hAnsi="宋体" w:eastAsia="宋体" w:cs="宋体"/>
          <w:b/>
          <w:bCs/>
          <w:color w:val="auto"/>
          <w:sz w:val="21"/>
          <w:szCs w:val="21"/>
          <w:highlight w:val="none"/>
          <w:lang w:eastAsia="zh-CN"/>
        </w:rPr>
        <w:t>25.10</w:t>
      </w:r>
      <w:r>
        <w:rPr>
          <w:rFonts w:hint="eastAsia" w:ascii="宋体" w:hAnsi="宋体" w:eastAsia="宋体" w:cs="宋体"/>
          <w:bCs/>
          <w:color w:val="auto"/>
          <w:sz w:val="21"/>
          <w:szCs w:val="21"/>
          <w:highlight w:val="none"/>
          <w:lang w:eastAsia="zh-CN"/>
        </w:rPr>
        <w:t>本工程进场及场内道路维修按项计，总价包干不作调整。</w:t>
      </w:r>
    </w:p>
    <w:p w14:paraId="5EE96DEF">
      <w:pPr>
        <w:spacing w:line="460" w:lineRule="exact"/>
        <w:ind w:right="248" w:firstLine="422" w:firstLineChars="200"/>
        <w:rPr>
          <w:rFonts w:hint="eastAsia" w:ascii="宋体" w:hAnsi="宋体" w:eastAsia="宋体" w:cs="宋体"/>
          <w:bCs/>
          <w:color w:val="auto"/>
          <w:sz w:val="21"/>
          <w:szCs w:val="21"/>
          <w:highlight w:val="none"/>
          <w:lang w:eastAsia="zh-CN"/>
        </w:rPr>
      </w:pPr>
      <w:r>
        <w:rPr>
          <w:rFonts w:hint="eastAsia" w:ascii="宋体" w:hAnsi="宋体" w:eastAsia="宋体" w:cs="宋体"/>
          <w:b/>
          <w:bCs/>
          <w:color w:val="auto"/>
          <w:sz w:val="21"/>
          <w:szCs w:val="21"/>
          <w:highlight w:val="none"/>
          <w:lang w:eastAsia="zh-CN"/>
        </w:rPr>
        <w:t>25.11</w:t>
      </w:r>
      <w:r>
        <w:rPr>
          <w:rFonts w:hint="eastAsia" w:ascii="宋体" w:hAnsi="宋体" w:eastAsia="宋体" w:cs="宋体"/>
          <w:bCs/>
          <w:color w:val="auto"/>
          <w:sz w:val="21"/>
          <w:szCs w:val="21"/>
          <w:highlight w:val="none"/>
          <w:lang w:eastAsia="zh-CN"/>
        </w:rPr>
        <w:t>本工程专用条款中所指的招标期《北海市建设工程造价信息》为招标控制价采用的《北海市建设工程造价信息》发布信息价。</w:t>
      </w:r>
    </w:p>
    <w:p w14:paraId="5EE96DF0">
      <w:pPr>
        <w:spacing w:line="460" w:lineRule="exact"/>
        <w:ind w:right="248" w:firstLine="422" w:firstLineChars="200"/>
        <w:rPr>
          <w:rFonts w:hint="eastAsia" w:ascii="宋体" w:hAnsi="宋体" w:eastAsia="宋体" w:cs="宋体"/>
          <w:bCs/>
          <w:color w:val="auto"/>
          <w:sz w:val="21"/>
          <w:szCs w:val="21"/>
          <w:highlight w:val="none"/>
          <w:lang w:eastAsia="zh-CN"/>
        </w:rPr>
      </w:pPr>
      <w:r>
        <w:rPr>
          <w:rFonts w:hint="eastAsia" w:ascii="宋体" w:hAnsi="宋体" w:eastAsia="宋体" w:cs="宋体"/>
          <w:b/>
          <w:bCs/>
          <w:color w:val="auto"/>
          <w:sz w:val="21"/>
          <w:szCs w:val="21"/>
          <w:highlight w:val="none"/>
          <w:lang w:eastAsia="zh-CN"/>
        </w:rPr>
        <w:t>25.12</w:t>
      </w:r>
      <w:r>
        <w:rPr>
          <w:rFonts w:hint="eastAsia" w:ascii="宋体" w:hAnsi="宋体" w:eastAsia="宋体" w:cs="宋体"/>
          <w:bCs/>
          <w:color w:val="auto"/>
          <w:sz w:val="21"/>
          <w:szCs w:val="21"/>
          <w:highlight w:val="none"/>
          <w:lang w:eastAsia="zh-CN"/>
        </w:rPr>
        <w:t>本工程招标代理服务费，完工或竣工验收结算审计所发生的正常费用，已包含在投标报价的单价与总价中，由承包人承担。</w:t>
      </w:r>
      <w:bookmarkEnd w:id="2146"/>
      <w:bookmarkEnd w:id="2147"/>
      <w:bookmarkEnd w:id="2148"/>
      <w:bookmarkEnd w:id="2149"/>
      <w:bookmarkEnd w:id="2150"/>
      <w:bookmarkEnd w:id="2151"/>
      <w:bookmarkEnd w:id="2152"/>
      <w:bookmarkEnd w:id="2153"/>
      <w:bookmarkEnd w:id="2154"/>
      <w:bookmarkEnd w:id="2155"/>
    </w:p>
    <w:p w14:paraId="5EE96DF4">
      <w:pPr>
        <w:spacing w:line="460" w:lineRule="exact"/>
        <w:ind w:right="248"/>
        <w:rPr>
          <w:rFonts w:hint="eastAsia" w:ascii="宋体" w:hAnsi="宋体" w:eastAsia="宋体" w:cs="宋体"/>
          <w:bCs/>
          <w:color w:val="auto"/>
          <w:highlight w:val="none"/>
          <w:lang w:eastAsia="zh-CN"/>
        </w:rPr>
      </w:pPr>
    </w:p>
    <w:p w14:paraId="5EE96DF6">
      <w:pPr>
        <w:spacing w:line="460" w:lineRule="exact"/>
        <w:ind w:right="248"/>
        <w:rPr>
          <w:rFonts w:hint="eastAsia" w:ascii="宋体" w:hAnsi="宋体" w:eastAsia="宋体" w:cs="宋体"/>
          <w:bCs/>
          <w:color w:val="auto"/>
          <w:highlight w:val="none"/>
          <w:lang w:eastAsia="zh-CN"/>
        </w:rPr>
      </w:pPr>
    </w:p>
    <w:p w14:paraId="5EE96DF7">
      <w:pP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br w:type="page"/>
      </w:r>
    </w:p>
    <w:p w14:paraId="5EE96DF8">
      <w:pPr>
        <w:pStyle w:val="47"/>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附件一：履约保函</w:t>
      </w:r>
    </w:p>
    <w:p w14:paraId="5EE96DF9">
      <w:pPr>
        <w:pStyle w:val="47"/>
        <w:jc w:val="center"/>
        <w:rPr>
          <w:rFonts w:hint="eastAsia" w:ascii="宋体" w:hAnsi="宋体" w:eastAsia="宋体" w:cs="宋体"/>
          <w:b/>
          <w:color w:val="auto"/>
          <w:highlight w:val="none"/>
          <w:lang w:eastAsia="zh-CN"/>
        </w:rPr>
      </w:pPr>
      <w:bookmarkStart w:id="2426" w:name="bookmark1918"/>
      <w:bookmarkStart w:id="2427" w:name="bookmark1919"/>
      <w:bookmarkStart w:id="2428" w:name="bookmark1920"/>
    </w:p>
    <w:p w14:paraId="5EE96DFA">
      <w:pPr>
        <w:pStyle w:val="47"/>
        <w:jc w:val="center"/>
        <w:rPr>
          <w:rFonts w:hint="eastAsia" w:ascii="宋体" w:hAnsi="宋体" w:eastAsia="宋体" w:cs="宋体"/>
          <w:b/>
          <w:color w:val="auto"/>
          <w:highlight w:val="none"/>
          <w:lang w:eastAsia="zh-CN"/>
        </w:rPr>
      </w:pPr>
      <w:r>
        <w:rPr>
          <w:rFonts w:hint="eastAsia" w:ascii="宋体" w:hAnsi="宋体" w:eastAsia="宋体" w:cs="宋体"/>
          <w:b/>
          <w:color w:val="auto"/>
          <w:highlight w:val="none"/>
          <w:lang w:eastAsia="zh-CN"/>
        </w:rPr>
        <w:t>履约保函</w:t>
      </w:r>
      <w:bookmarkEnd w:id="2426"/>
      <w:bookmarkEnd w:id="2427"/>
      <w:bookmarkEnd w:id="2428"/>
    </w:p>
    <w:p w14:paraId="5EE96DFB">
      <w:pPr>
        <w:pStyle w:val="47"/>
        <w:jc w:val="center"/>
        <w:rPr>
          <w:rFonts w:hint="eastAsia" w:ascii="宋体" w:hAnsi="宋体" w:eastAsia="宋体" w:cs="宋体"/>
          <w:b/>
          <w:color w:val="auto"/>
          <w:highlight w:val="none"/>
          <w:lang w:eastAsia="zh-CN"/>
        </w:rPr>
      </w:pPr>
    </w:p>
    <w:p w14:paraId="5EE96DFC">
      <w:pPr>
        <w:pStyle w:val="47"/>
        <w:jc w:val="center"/>
        <w:rPr>
          <w:rFonts w:hint="eastAsia" w:ascii="宋体" w:hAnsi="宋体" w:eastAsia="宋体" w:cs="宋体"/>
          <w:b/>
          <w:color w:val="auto"/>
          <w:highlight w:val="none"/>
          <w:lang w:eastAsia="zh-CN"/>
        </w:rPr>
      </w:pPr>
    </w:p>
    <w:p w14:paraId="5EE96DFD">
      <w:pPr>
        <w:pStyle w:val="115"/>
        <w:tabs>
          <w:tab w:val="left" w:pos="1870"/>
        </w:tabs>
        <w:spacing w:after="340"/>
        <w:ind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（发包人名称）：</w:t>
      </w:r>
    </w:p>
    <w:p w14:paraId="5EE96DFE">
      <w:pPr>
        <w:pStyle w:val="115"/>
        <w:tabs>
          <w:tab w:val="left" w:pos="847"/>
          <w:tab w:val="left" w:pos="1870"/>
          <w:tab w:val="left" w:pos="3485"/>
          <w:tab w:val="left" w:pos="3554"/>
          <w:tab w:val="left" w:pos="6878"/>
          <w:tab w:val="left" w:pos="8059"/>
        </w:tabs>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（发包人名称，以下简称“发包人”）接受</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（承包人名称，以下称“承包人”）于</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日递交的（项目名称）（标段名称）的投标文件。我方愿意无条件地、不可撤销地就承包人履行与你方订立的合同，向你方提供担保。</w:t>
      </w:r>
    </w:p>
    <w:p w14:paraId="5EE96DFF">
      <w:pPr>
        <w:pStyle w:val="115"/>
        <w:numPr>
          <w:ilvl w:val="0"/>
          <w:numId w:val="37"/>
        </w:numPr>
        <w:tabs>
          <w:tab w:val="left" w:pos="733"/>
          <w:tab w:val="left" w:pos="4879"/>
          <w:tab w:val="left" w:pos="7402"/>
        </w:tabs>
        <w:ind w:firstLine="420"/>
        <w:jc w:val="both"/>
        <w:rPr>
          <w:rFonts w:hint="eastAsia" w:ascii="宋体" w:hAnsi="宋体" w:eastAsia="宋体" w:cs="宋体"/>
          <w:color w:val="auto"/>
          <w:sz w:val="21"/>
          <w:szCs w:val="21"/>
          <w:highlight w:val="none"/>
        </w:rPr>
      </w:pPr>
      <w:bookmarkStart w:id="2429" w:name="bookmark1921"/>
      <w:bookmarkEnd w:id="2429"/>
      <w:r>
        <w:rPr>
          <w:rFonts w:hint="eastAsia" w:ascii="宋体" w:hAnsi="宋体" w:eastAsia="宋体" w:cs="宋体"/>
          <w:color w:val="auto"/>
          <w:sz w:val="21"/>
          <w:szCs w:val="21"/>
          <w:highlight w:val="none"/>
        </w:rPr>
        <w:t>担保金额人民币（大写）</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lang w:val="en-US" w:bidi="en-US"/>
        </w:rPr>
        <w:t>元）</w:t>
      </w:r>
      <w:r>
        <w:rPr>
          <w:rFonts w:hint="eastAsia" w:ascii="宋体" w:hAnsi="宋体" w:eastAsia="宋体" w:cs="宋体"/>
          <w:color w:val="auto"/>
          <w:sz w:val="21"/>
          <w:szCs w:val="21"/>
          <w:highlight w:val="none"/>
          <w:vertAlign w:val="subscript"/>
          <w:lang w:val="en-US" w:bidi="en-US"/>
        </w:rPr>
        <w:t>o</w:t>
      </w:r>
    </w:p>
    <w:p w14:paraId="5EE96E00">
      <w:pPr>
        <w:pStyle w:val="115"/>
        <w:numPr>
          <w:ilvl w:val="0"/>
          <w:numId w:val="37"/>
        </w:numPr>
        <w:tabs>
          <w:tab w:val="left" w:pos="697"/>
        </w:tabs>
        <w:ind w:firstLine="420"/>
        <w:jc w:val="both"/>
        <w:rPr>
          <w:rFonts w:hint="eastAsia" w:ascii="宋体" w:hAnsi="宋体" w:eastAsia="宋体" w:cs="宋体"/>
          <w:color w:val="auto"/>
          <w:sz w:val="21"/>
          <w:szCs w:val="21"/>
          <w:highlight w:val="none"/>
        </w:rPr>
      </w:pPr>
      <w:bookmarkStart w:id="2430" w:name="bookmark1922"/>
      <w:bookmarkEnd w:id="2430"/>
      <w:r>
        <w:rPr>
          <w:rFonts w:hint="eastAsia" w:ascii="宋体" w:hAnsi="宋体" w:eastAsia="宋体" w:cs="宋体"/>
          <w:color w:val="auto"/>
          <w:sz w:val="21"/>
          <w:szCs w:val="21"/>
          <w:highlight w:val="none"/>
        </w:rPr>
        <w:t>担保有效期自发包人与承包人签订的合同生效之日起至发包人签发工程完工证书之日止。</w:t>
      </w:r>
    </w:p>
    <w:p w14:paraId="5EE96E01">
      <w:pPr>
        <w:pStyle w:val="115"/>
        <w:numPr>
          <w:ilvl w:val="0"/>
          <w:numId w:val="37"/>
        </w:numPr>
        <w:tabs>
          <w:tab w:val="left" w:pos="736"/>
        </w:tabs>
        <w:ind w:firstLine="420"/>
        <w:jc w:val="both"/>
        <w:rPr>
          <w:rFonts w:hint="eastAsia" w:ascii="宋体" w:hAnsi="宋体" w:eastAsia="宋体" w:cs="宋体"/>
          <w:color w:val="auto"/>
          <w:sz w:val="21"/>
          <w:szCs w:val="21"/>
          <w:highlight w:val="none"/>
        </w:rPr>
      </w:pPr>
      <w:bookmarkStart w:id="2431" w:name="bookmark1923"/>
      <w:bookmarkEnd w:id="2431"/>
      <w:r>
        <w:rPr>
          <w:rFonts w:hint="eastAsia" w:ascii="宋体" w:hAnsi="宋体" w:eastAsia="宋体" w:cs="宋体"/>
          <w:color w:val="auto"/>
          <w:sz w:val="21"/>
          <w:szCs w:val="21"/>
          <w:highlight w:val="none"/>
        </w:rPr>
        <w:t>在本担保有效期内，因承包人违反合同约定的义务给你方造成经济损失时，我方在收到你方以书面形式提出的在担保金额内的赔偿要求后，无条件地在7天内予以支付。</w:t>
      </w:r>
    </w:p>
    <w:p w14:paraId="5EE96E02">
      <w:pPr>
        <w:pStyle w:val="115"/>
        <w:numPr>
          <w:ilvl w:val="0"/>
          <w:numId w:val="37"/>
        </w:numPr>
        <w:tabs>
          <w:tab w:val="left" w:pos="740"/>
        </w:tabs>
        <w:spacing w:after="340"/>
        <w:ind w:firstLine="420"/>
        <w:jc w:val="both"/>
        <w:rPr>
          <w:rFonts w:hint="eastAsia" w:ascii="宋体" w:hAnsi="宋体" w:eastAsia="宋体" w:cs="宋体"/>
          <w:color w:val="auto"/>
          <w:sz w:val="21"/>
          <w:szCs w:val="21"/>
          <w:highlight w:val="none"/>
        </w:rPr>
      </w:pPr>
      <w:bookmarkStart w:id="2432" w:name="bookmark1924"/>
      <w:bookmarkEnd w:id="2432"/>
      <w:r>
        <w:rPr>
          <w:rFonts w:hint="eastAsia" w:ascii="宋体" w:hAnsi="宋体" w:eastAsia="宋体" w:cs="宋体"/>
          <w:color w:val="auto"/>
          <w:sz w:val="21"/>
          <w:szCs w:val="21"/>
          <w:highlight w:val="none"/>
        </w:rPr>
        <w:t>发包人和承包人按《通用合同条款》第15条变更合同时，我方承担本担保规定的义务不变。</w:t>
      </w:r>
    </w:p>
    <w:p w14:paraId="5EE96E03">
      <w:pPr>
        <w:pStyle w:val="115"/>
        <w:tabs>
          <w:tab w:val="left" w:pos="740"/>
        </w:tabs>
        <w:spacing w:after="340"/>
        <w:ind w:firstLine="0"/>
        <w:jc w:val="both"/>
        <w:rPr>
          <w:rFonts w:hint="eastAsia" w:ascii="宋体" w:hAnsi="宋体" w:eastAsia="宋体" w:cs="宋体"/>
          <w:color w:val="auto"/>
          <w:sz w:val="21"/>
          <w:szCs w:val="21"/>
          <w:highlight w:val="none"/>
        </w:rPr>
      </w:pPr>
    </w:p>
    <w:p w14:paraId="5EE96E04">
      <w:pPr>
        <w:pStyle w:val="47"/>
        <w:spacing w:line="360" w:lineRule="auto"/>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担保人：</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（盖单位章）</w:t>
      </w:r>
    </w:p>
    <w:p w14:paraId="5EE96E05">
      <w:pPr>
        <w:pStyle w:val="47"/>
        <w:spacing w:line="360" w:lineRule="auto"/>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定代表人(或委托代理人)：</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（签字）</w:t>
      </w:r>
    </w:p>
    <w:p w14:paraId="5EE96E06">
      <w:pPr>
        <w:pStyle w:val="47"/>
        <w:spacing w:line="360" w:lineRule="auto"/>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p>
    <w:p w14:paraId="5EE96E07">
      <w:pPr>
        <w:pStyle w:val="47"/>
        <w:spacing w:line="360" w:lineRule="auto"/>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邮政编码：</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p>
    <w:p w14:paraId="5EE96E08">
      <w:pPr>
        <w:pStyle w:val="47"/>
        <w:spacing w:line="360" w:lineRule="auto"/>
        <w:jc w:val="right"/>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电话：</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p>
    <w:p w14:paraId="5EE96E09">
      <w:pPr>
        <w:pStyle w:val="47"/>
        <w:spacing w:line="360" w:lineRule="auto"/>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传真：</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p>
    <w:p w14:paraId="5EE96E0A">
      <w:pPr>
        <w:pStyle w:val="47"/>
        <w:spacing w:line="360" w:lineRule="auto"/>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日</w:t>
      </w:r>
    </w:p>
    <w:p w14:paraId="5EE96E0B">
      <w:pPr>
        <w:pStyle w:val="47"/>
        <w:rPr>
          <w:rFonts w:hint="eastAsia" w:ascii="宋体" w:hAnsi="宋体" w:eastAsia="宋体" w:cs="宋体"/>
          <w:color w:val="auto"/>
          <w:sz w:val="21"/>
          <w:szCs w:val="21"/>
          <w:highlight w:val="none"/>
          <w:lang w:val="zh-CN" w:eastAsia="zh-CN" w:bidi="zh-CN"/>
        </w:rPr>
      </w:pPr>
    </w:p>
    <w:p w14:paraId="5EE96E0C">
      <w:pPr>
        <w:pStyle w:val="47"/>
        <w:rPr>
          <w:rFonts w:hint="eastAsia" w:ascii="宋体" w:hAnsi="宋体" w:eastAsia="宋体" w:cs="宋体"/>
          <w:color w:val="auto"/>
          <w:sz w:val="21"/>
          <w:szCs w:val="21"/>
          <w:highlight w:val="none"/>
          <w:lang w:val="zh-CN" w:eastAsia="zh-CN" w:bidi="zh-CN"/>
        </w:rPr>
      </w:pPr>
    </w:p>
    <w:p w14:paraId="5EE96E0D">
      <w:pPr>
        <w:pStyle w:val="47"/>
        <w:rPr>
          <w:rFonts w:hint="eastAsia" w:ascii="宋体" w:hAnsi="宋体" w:eastAsia="宋体" w:cs="宋体"/>
          <w:color w:val="auto"/>
          <w:sz w:val="21"/>
          <w:szCs w:val="21"/>
          <w:highlight w:val="none"/>
          <w:lang w:val="zh-CN" w:eastAsia="zh-CN" w:bidi="zh-CN"/>
        </w:rPr>
      </w:pPr>
    </w:p>
    <w:p w14:paraId="5EE96E0E">
      <w:pPr>
        <w:pStyle w:val="47"/>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注：</w:t>
      </w:r>
    </w:p>
    <w:p w14:paraId="5EE96E0F">
      <w:pPr>
        <w:pStyle w:val="115"/>
        <w:numPr>
          <w:ilvl w:val="0"/>
          <w:numId w:val="38"/>
        </w:numPr>
        <w:tabs>
          <w:tab w:val="left" w:pos="733"/>
        </w:tabs>
        <w:spacing w:line="354" w:lineRule="exact"/>
        <w:ind w:firstLine="420"/>
        <w:jc w:val="both"/>
        <w:rPr>
          <w:rFonts w:hint="eastAsia" w:ascii="宋体" w:hAnsi="宋体" w:eastAsia="宋体" w:cs="宋体"/>
          <w:color w:val="auto"/>
          <w:sz w:val="21"/>
          <w:szCs w:val="21"/>
          <w:highlight w:val="none"/>
        </w:rPr>
      </w:pPr>
      <w:bookmarkStart w:id="2433" w:name="bookmark1925"/>
      <w:bookmarkEnd w:id="2433"/>
      <w:r>
        <w:rPr>
          <w:rFonts w:hint="eastAsia" w:ascii="宋体" w:hAnsi="宋体" w:eastAsia="宋体" w:cs="宋体"/>
          <w:color w:val="auto"/>
          <w:sz w:val="21"/>
          <w:szCs w:val="21"/>
          <w:highlight w:val="none"/>
        </w:rPr>
        <w:t>担保人必须是投标人单位基本账户的开户银行。</w:t>
      </w:r>
    </w:p>
    <w:p w14:paraId="5EE96E10">
      <w:pPr>
        <w:pStyle w:val="115"/>
        <w:numPr>
          <w:ilvl w:val="0"/>
          <w:numId w:val="38"/>
        </w:numPr>
        <w:tabs>
          <w:tab w:val="left" w:pos="750"/>
        </w:tabs>
        <w:spacing w:after="340" w:line="354" w:lineRule="exact"/>
        <w:ind w:firstLine="420"/>
        <w:jc w:val="both"/>
        <w:rPr>
          <w:rFonts w:hint="eastAsia" w:ascii="宋体" w:hAnsi="宋体" w:eastAsia="宋体" w:cs="宋体"/>
          <w:color w:val="auto"/>
          <w:sz w:val="21"/>
          <w:szCs w:val="21"/>
          <w:highlight w:val="none"/>
        </w:rPr>
      </w:pPr>
      <w:bookmarkStart w:id="2434" w:name="bookmark1926"/>
      <w:bookmarkEnd w:id="2434"/>
      <w:r>
        <w:rPr>
          <w:rFonts w:hint="eastAsia" w:ascii="宋体" w:hAnsi="宋体" w:eastAsia="宋体" w:cs="宋体"/>
          <w:color w:val="auto"/>
          <w:sz w:val="21"/>
          <w:szCs w:val="21"/>
          <w:highlight w:val="none"/>
        </w:rPr>
        <w:t>委托代理人应附授权委托书。</w:t>
      </w:r>
      <w:bookmarkStart w:id="2435" w:name="_Toc4188"/>
      <w:bookmarkStart w:id="2436" w:name="bookmark1929"/>
      <w:bookmarkStart w:id="2437" w:name="_Toc21423"/>
      <w:bookmarkStart w:id="2438" w:name="bookmark1927"/>
      <w:bookmarkStart w:id="2439" w:name="bookmark1928"/>
    </w:p>
    <w:p w14:paraId="5EE96E11">
      <w:pPr>
        <w:pStyle w:val="47"/>
        <w:rPr>
          <w:rFonts w:hint="eastAsia" w:ascii="宋体" w:hAnsi="宋体" w:eastAsia="宋体" w:cs="宋体"/>
          <w:b/>
          <w:bCs/>
          <w:color w:val="auto"/>
          <w:sz w:val="28"/>
          <w:szCs w:val="28"/>
          <w:highlight w:val="none"/>
          <w:lang w:eastAsia="zh-CN"/>
        </w:rPr>
      </w:pPr>
      <w:bookmarkStart w:id="2440" w:name="_Toc25045"/>
      <w:r>
        <w:rPr>
          <w:rFonts w:hint="eastAsia" w:ascii="宋体" w:hAnsi="宋体" w:eastAsia="宋体" w:cs="宋体"/>
          <w:b/>
          <w:bCs/>
          <w:color w:val="auto"/>
          <w:sz w:val="21"/>
          <w:szCs w:val="21"/>
          <w:highlight w:val="none"/>
          <w:lang w:eastAsia="zh-CN"/>
        </w:rPr>
        <w:br w:type="page"/>
      </w:r>
      <w:r>
        <w:rPr>
          <w:rFonts w:hint="eastAsia" w:ascii="宋体" w:hAnsi="宋体" w:eastAsia="宋体" w:cs="宋体"/>
          <w:b/>
          <w:bCs/>
          <w:color w:val="auto"/>
          <w:sz w:val="28"/>
          <w:szCs w:val="28"/>
          <w:highlight w:val="none"/>
          <w:lang w:eastAsia="zh-CN"/>
        </w:rPr>
        <w:t>附件二：预付款担保函</w:t>
      </w:r>
      <w:bookmarkEnd w:id="2435"/>
      <w:bookmarkEnd w:id="2436"/>
      <w:bookmarkEnd w:id="2437"/>
      <w:bookmarkEnd w:id="2438"/>
      <w:bookmarkEnd w:id="2439"/>
      <w:bookmarkEnd w:id="2440"/>
    </w:p>
    <w:p w14:paraId="5EE96E12">
      <w:pPr>
        <w:pStyle w:val="47"/>
        <w:rPr>
          <w:rFonts w:hint="eastAsia" w:ascii="宋体" w:hAnsi="宋体" w:eastAsia="宋体" w:cs="宋体"/>
          <w:b/>
          <w:bCs/>
          <w:color w:val="auto"/>
          <w:sz w:val="28"/>
          <w:szCs w:val="28"/>
          <w:highlight w:val="none"/>
          <w:lang w:eastAsia="zh-CN"/>
        </w:rPr>
      </w:pPr>
    </w:p>
    <w:p w14:paraId="5EE96E13">
      <w:pPr>
        <w:pStyle w:val="47"/>
        <w:spacing w:before="120" w:beforeLines="50"/>
        <w:jc w:val="center"/>
        <w:rPr>
          <w:rFonts w:hint="eastAsia" w:ascii="宋体" w:hAnsi="宋体" w:eastAsia="宋体" w:cs="宋体"/>
          <w:b/>
          <w:color w:val="auto"/>
          <w:highlight w:val="none"/>
          <w:lang w:eastAsia="zh-CN"/>
        </w:rPr>
      </w:pPr>
      <w:bookmarkStart w:id="2441" w:name="bookmark1932"/>
      <w:bookmarkStart w:id="2442" w:name="bookmark1931"/>
      <w:bookmarkStart w:id="2443" w:name="bookmark1930"/>
      <w:r>
        <w:rPr>
          <w:rFonts w:hint="eastAsia" w:ascii="宋体" w:hAnsi="宋体" w:eastAsia="宋体" w:cs="宋体"/>
          <w:b/>
          <w:color w:val="auto"/>
          <w:highlight w:val="none"/>
          <w:lang w:eastAsia="zh-CN"/>
        </w:rPr>
        <w:t>预付款担保函</w:t>
      </w:r>
      <w:bookmarkEnd w:id="2441"/>
      <w:bookmarkEnd w:id="2442"/>
      <w:bookmarkEnd w:id="2443"/>
    </w:p>
    <w:p w14:paraId="5EE96E14">
      <w:pPr>
        <w:pStyle w:val="47"/>
        <w:jc w:val="center"/>
        <w:rPr>
          <w:rFonts w:hint="eastAsia" w:ascii="宋体" w:hAnsi="宋体" w:eastAsia="宋体" w:cs="宋体"/>
          <w:b/>
          <w:color w:val="auto"/>
          <w:highlight w:val="none"/>
          <w:lang w:eastAsia="zh-CN"/>
        </w:rPr>
      </w:pPr>
    </w:p>
    <w:p w14:paraId="5EE96E15">
      <w:pPr>
        <w:pStyle w:val="47"/>
        <w:jc w:val="center"/>
        <w:rPr>
          <w:rFonts w:hint="eastAsia" w:ascii="宋体" w:hAnsi="宋体" w:eastAsia="宋体" w:cs="宋体"/>
          <w:b/>
          <w:color w:val="auto"/>
          <w:highlight w:val="none"/>
          <w:lang w:eastAsia="zh-CN"/>
        </w:rPr>
      </w:pPr>
    </w:p>
    <w:p w14:paraId="5EE96E16">
      <w:pPr>
        <w:pStyle w:val="115"/>
        <w:tabs>
          <w:tab w:val="left" w:pos="1870"/>
        </w:tabs>
        <w:spacing w:after="340"/>
        <w:ind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（发包人名称）:</w:t>
      </w:r>
    </w:p>
    <w:p w14:paraId="5EE96E17">
      <w:pPr>
        <w:pStyle w:val="115"/>
        <w:tabs>
          <w:tab w:val="left" w:pos="1870"/>
          <w:tab w:val="left" w:pos="2707"/>
          <w:tab w:val="left" w:pos="5004"/>
          <w:tab w:val="left" w:pos="5033"/>
          <w:tab w:val="left" w:pos="6163"/>
          <w:tab w:val="left" w:pos="7322"/>
          <w:tab w:val="left" w:pos="8333"/>
        </w:tabs>
        <w:spacing w:after="120"/>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（发包人名称，以下简称“发包人”）于</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月日签订的</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（标段名称）合同协议书，承包人按约定的金额向发包人提交一份预付款担保，即有权得到发包人支付相等金额的预付款。我方愿意就你方提供给承包人的预付款提供担保。</w:t>
      </w:r>
    </w:p>
    <w:p w14:paraId="5EE96E18">
      <w:pPr>
        <w:pStyle w:val="115"/>
        <w:numPr>
          <w:ilvl w:val="0"/>
          <w:numId w:val="39"/>
        </w:numPr>
        <w:tabs>
          <w:tab w:val="left" w:pos="719"/>
          <w:tab w:val="left" w:pos="4879"/>
          <w:tab w:val="left" w:pos="7402"/>
        </w:tabs>
        <w:ind w:firstLine="420"/>
        <w:jc w:val="both"/>
        <w:rPr>
          <w:rFonts w:hint="eastAsia" w:ascii="宋体" w:hAnsi="宋体" w:eastAsia="宋体" w:cs="宋体"/>
          <w:color w:val="auto"/>
          <w:sz w:val="21"/>
          <w:szCs w:val="21"/>
          <w:highlight w:val="none"/>
        </w:rPr>
      </w:pPr>
      <w:bookmarkStart w:id="2444" w:name="bookmark1933"/>
      <w:bookmarkEnd w:id="2444"/>
      <w:r>
        <w:rPr>
          <w:rFonts w:hint="eastAsia" w:ascii="宋体" w:hAnsi="宋体" w:eastAsia="宋体" w:cs="宋体"/>
          <w:color w:val="auto"/>
          <w:sz w:val="21"/>
          <w:szCs w:val="21"/>
          <w:highlight w:val="none"/>
        </w:rPr>
        <w:t>担保金额人民币（大写）</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lang w:val="en-US" w:bidi="en-US"/>
        </w:rPr>
        <w:t>）</w:t>
      </w:r>
      <w:r>
        <w:rPr>
          <w:rFonts w:hint="eastAsia" w:ascii="宋体" w:hAnsi="宋体" w:eastAsia="宋体" w:cs="宋体"/>
          <w:color w:val="auto"/>
          <w:sz w:val="21"/>
          <w:szCs w:val="21"/>
          <w:highlight w:val="none"/>
          <w:vertAlign w:val="subscript"/>
          <w:lang w:val="en-US" w:bidi="en-US"/>
        </w:rPr>
        <w:t>o</w:t>
      </w:r>
    </w:p>
    <w:p w14:paraId="5EE96E19">
      <w:pPr>
        <w:pStyle w:val="115"/>
        <w:numPr>
          <w:ilvl w:val="0"/>
          <w:numId w:val="39"/>
        </w:numPr>
        <w:tabs>
          <w:tab w:val="left" w:pos="726"/>
        </w:tabs>
        <w:ind w:firstLine="420"/>
        <w:jc w:val="both"/>
        <w:rPr>
          <w:rFonts w:hint="eastAsia" w:ascii="宋体" w:hAnsi="宋体" w:eastAsia="宋体" w:cs="宋体"/>
          <w:color w:val="auto"/>
          <w:sz w:val="21"/>
          <w:szCs w:val="21"/>
          <w:highlight w:val="none"/>
        </w:rPr>
      </w:pPr>
      <w:bookmarkStart w:id="2445" w:name="bookmark1934"/>
      <w:bookmarkEnd w:id="2445"/>
      <w:r>
        <w:rPr>
          <w:rFonts w:hint="eastAsia" w:ascii="宋体" w:hAnsi="宋体" w:eastAsia="宋体" w:cs="宋体"/>
          <w:color w:val="auto"/>
          <w:sz w:val="21"/>
          <w:szCs w:val="21"/>
          <w:highlight w:val="none"/>
        </w:rPr>
        <w:t>担保有效期自预付款支付给承包人起生效，至发包人签发的进度付款证书说明已完全扣清止。</w:t>
      </w:r>
    </w:p>
    <w:p w14:paraId="5EE96E1A">
      <w:pPr>
        <w:pStyle w:val="115"/>
        <w:numPr>
          <w:ilvl w:val="0"/>
          <w:numId w:val="39"/>
        </w:numPr>
        <w:tabs>
          <w:tab w:val="left" w:pos="731"/>
        </w:tabs>
        <w:ind w:firstLine="420"/>
        <w:jc w:val="both"/>
        <w:rPr>
          <w:rFonts w:hint="eastAsia" w:ascii="宋体" w:hAnsi="宋体" w:eastAsia="宋体" w:cs="宋体"/>
          <w:color w:val="auto"/>
          <w:sz w:val="21"/>
          <w:szCs w:val="21"/>
          <w:highlight w:val="none"/>
        </w:rPr>
      </w:pPr>
      <w:bookmarkStart w:id="2446" w:name="bookmark1935"/>
      <w:bookmarkEnd w:id="2446"/>
      <w:r>
        <w:rPr>
          <w:rFonts w:hint="eastAsia" w:ascii="宋体" w:hAnsi="宋体" w:eastAsia="宋体" w:cs="宋体"/>
          <w:color w:val="auto"/>
          <w:sz w:val="21"/>
          <w:szCs w:val="21"/>
          <w:highlight w:val="none"/>
        </w:rPr>
        <w:t>在本担保有效期内，因承包人违反合同约定的义务而要求收回预付款时，我方在收到你方的书面通知后，无条件地在7天内予以支付。但本担保的担保金额，在任何时候不应超过预付款金额减去发包人按合同约定在向承包人签发的进度付款证书中已扣回的金额。</w:t>
      </w:r>
      <w:bookmarkStart w:id="2447" w:name="bookmark1936"/>
      <w:bookmarkEnd w:id="2447"/>
    </w:p>
    <w:p w14:paraId="5EE96E1B">
      <w:pPr>
        <w:pStyle w:val="115"/>
        <w:numPr>
          <w:ilvl w:val="0"/>
          <w:numId w:val="39"/>
        </w:numPr>
        <w:tabs>
          <w:tab w:val="left" w:pos="731"/>
        </w:tabs>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发包人和承包人按《通用合同条款》第15条变更合同时，我方承担本担保规定的义务不变。</w:t>
      </w:r>
    </w:p>
    <w:p w14:paraId="5EE96E1C">
      <w:pPr>
        <w:pStyle w:val="115"/>
        <w:tabs>
          <w:tab w:val="left" w:pos="731"/>
        </w:tabs>
        <w:ind w:firstLine="0"/>
        <w:jc w:val="both"/>
        <w:rPr>
          <w:rFonts w:hint="eastAsia" w:ascii="宋体" w:hAnsi="宋体" w:eastAsia="宋体" w:cs="宋体"/>
          <w:color w:val="auto"/>
          <w:sz w:val="21"/>
          <w:szCs w:val="21"/>
          <w:highlight w:val="none"/>
        </w:rPr>
      </w:pPr>
    </w:p>
    <w:p w14:paraId="5EE96E1D">
      <w:pPr>
        <w:pStyle w:val="115"/>
        <w:tabs>
          <w:tab w:val="left" w:pos="731"/>
        </w:tabs>
        <w:ind w:left="420" w:firstLine="0"/>
        <w:jc w:val="both"/>
        <w:rPr>
          <w:rFonts w:hint="eastAsia" w:ascii="宋体" w:hAnsi="宋体" w:eastAsia="宋体" w:cs="宋体"/>
          <w:color w:val="auto"/>
          <w:sz w:val="21"/>
          <w:szCs w:val="21"/>
          <w:highlight w:val="none"/>
        </w:rPr>
      </w:pPr>
    </w:p>
    <w:p w14:paraId="5EE96E1E">
      <w:pPr>
        <w:pStyle w:val="47"/>
        <w:spacing w:line="360" w:lineRule="auto"/>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担保人：</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（盖单位公章）</w:t>
      </w:r>
    </w:p>
    <w:p w14:paraId="5EE96E1F">
      <w:pPr>
        <w:pStyle w:val="47"/>
        <w:spacing w:line="360" w:lineRule="auto"/>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定代表人(或委托代理人)：</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（签字）</w:t>
      </w:r>
    </w:p>
    <w:p w14:paraId="5EE96E20">
      <w:pPr>
        <w:pStyle w:val="47"/>
        <w:spacing w:line="360" w:lineRule="auto"/>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p>
    <w:p w14:paraId="5EE96E21">
      <w:pPr>
        <w:pStyle w:val="47"/>
        <w:spacing w:line="360" w:lineRule="auto"/>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邮政编码：</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p>
    <w:p w14:paraId="5EE96E22">
      <w:pPr>
        <w:pStyle w:val="47"/>
        <w:spacing w:line="360" w:lineRule="auto"/>
        <w:jc w:val="right"/>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电话：</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p>
    <w:p w14:paraId="5EE96E23">
      <w:pPr>
        <w:pStyle w:val="47"/>
        <w:spacing w:line="360" w:lineRule="auto"/>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传真：</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p>
    <w:p w14:paraId="5EE96E24">
      <w:pPr>
        <w:pStyle w:val="47"/>
        <w:spacing w:line="360" w:lineRule="auto"/>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日</w:t>
      </w:r>
    </w:p>
    <w:p w14:paraId="5EE96E25">
      <w:pPr>
        <w:pStyle w:val="115"/>
        <w:tabs>
          <w:tab w:val="left" w:pos="726"/>
        </w:tabs>
        <w:spacing w:after="340" w:line="355" w:lineRule="exact"/>
        <w:ind w:firstLine="0"/>
        <w:jc w:val="both"/>
        <w:rPr>
          <w:rFonts w:hint="eastAsia" w:ascii="宋体" w:hAnsi="宋体" w:eastAsia="宋体" w:cs="宋体"/>
          <w:color w:val="auto"/>
          <w:sz w:val="21"/>
          <w:szCs w:val="21"/>
          <w:highlight w:val="none"/>
        </w:rPr>
      </w:pPr>
    </w:p>
    <w:p w14:paraId="5EE96E26">
      <w:pPr>
        <w:pStyle w:val="115"/>
        <w:tabs>
          <w:tab w:val="left" w:pos="726"/>
        </w:tabs>
        <w:spacing w:after="340" w:line="355" w:lineRule="exact"/>
        <w:ind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5EE96E27">
      <w:pPr>
        <w:pStyle w:val="115"/>
        <w:numPr>
          <w:ilvl w:val="0"/>
          <w:numId w:val="40"/>
        </w:numPr>
        <w:tabs>
          <w:tab w:val="left" w:pos="699"/>
        </w:tabs>
        <w:spacing w:line="372" w:lineRule="auto"/>
        <w:jc w:val="both"/>
        <w:rPr>
          <w:rFonts w:hint="eastAsia" w:ascii="宋体" w:hAnsi="宋体" w:eastAsia="宋体" w:cs="宋体"/>
          <w:color w:val="auto"/>
          <w:sz w:val="21"/>
          <w:szCs w:val="21"/>
          <w:highlight w:val="none"/>
        </w:rPr>
      </w:pPr>
      <w:bookmarkStart w:id="2448" w:name="bookmark1937"/>
      <w:bookmarkEnd w:id="2448"/>
      <w:r>
        <w:rPr>
          <w:rFonts w:hint="eastAsia" w:ascii="宋体" w:hAnsi="宋体" w:eastAsia="宋体" w:cs="宋体"/>
          <w:color w:val="auto"/>
          <w:sz w:val="21"/>
          <w:szCs w:val="21"/>
          <w:highlight w:val="none"/>
        </w:rPr>
        <w:t>担保人必须是投标人单位基本账户的开户银行。</w:t>
      </w:r>
    </w:p>
    <w:p w14:paraId="5EE96E28">
      <w:pPr>
        <w:pStyle w:val="115"/>
        <w:numPr>
          <w:ilvl w:val="0"/>
          <w:numId w:val="40"/>
        </w:numPr>
        <w:tabs>
          <w:tab w:val="left" w:pos="716"/>
        </w:tabs>
        <w:spacing w:after="340" w:line="372" w:lineRule="auto"/>
        <w:jc w:val="both"/>
        <w:rPr>
          <w:rFonts w:hint="eastAsia" w:ascii="宋体" w:hAnsi="宋体" w:eastAsia="宋体" w:cs="宋体"/>
          <w:color w:val="auto"/>
          <w:sz w:val="21"/>
          <w:szCs w:val="21"/>
          <w:highlight w:val="none"/>
        </w:rPr>
      </w:pPr>
      <w:bookmarkStart w:id="2449" w:name="bookmark1938"/>
      <w:bookmarkEnd w:id="2449"/>
      <w:r>
        <w:rPr>
          <w:rFonts w:hint="eastAsia" w:ascii="宋体" w:hAnsi="宋体" w:eastAsia="宋体" w:cs="宋体"/>
          <w:color w:val="auto"/>
          <w:sz w:val="21"/>
          <w:szCs w:val="21"/>
          <w:highlight w:val="none"/>
        </w:rPr>
        <w:t>委托代理人应附授权委托书</w:t>
      </w:r>
    </w:p>
    <w:p w14:paraId="5EE96E29">
      <w:pPr>
        <w:pStyle w:val="47"/>
        <w:rPr>
          <w:rFonts w:hint="eastAsia" w:ascii="宋体" w:hAnsi="宋体" w:eastAsia="宋体" w:cs="宋体"/>
          <w:b/>
          <w:bCs/>
          <w:color w:val="auto"/>
          <w:sz w:val="28"/>
          <w:szCs w:val="28"/>
          <w:highlight w:val="none"/>
          <w:lang w:eastAsia="zh-CN"/>
        </w:rPr>
      </w:pPr>
      <w:r>
        <w:rPr>
          <w:rFonts w:hint="eastAsia" w:ascii="宋体" w:hAnsi="宋体" w:eastAsia="宋体" w:cs="宋体"/>
          <w:color w:val="auto"/>
          <w:highlight w:val="none"/>
          <w:lang w:eastAsia="zh-CN"/>
        </w:rPr>
        <w:br w:type="page"/>
      </w:r>
      <w:r>
        <w:rPr>
          <w:rFonts w:hint="eastAsia" w:ascii="宋体" w:hAnsi="宋体" w:eastAsia="宋体" w:cs="宋体"/>
          <w:b/>
          <w:bCs/>
          <w:color w:val="auto"/>
          <w:sz w:val="28"/>
          <w:szCs w:val="28"/>
          <w:highlight w:val="none"/>
          <w:lang w:eastAsia="zh-CN"/>
        </w:rPr>
        <w:t>附件三：关于实行农民工工资支付专用账户管理的补充协议</w:t>
      </w:r>
    </w:p>
    <w:p w14:paraId="5EE96E2A">
      <w:pPr>
        <w:pStyle w:val="47"/>
        <w:rPr>
          <w:rFonts w:hint="eastAsia" w:ascii="宋体" w:hAnsi="宋体" w:eastAsia="宋体" w:cs="宋体"/>
          <w:color w:val="auto"/>
          <w:highlight w:val="none"/>
          <w:lang w:eastAsia="zh-CN"/>
        </w:rPr>
      </w:pPr>
    </w:p>
    <w:p w14:paraId="5EE96E2B">
      <w:pPr>
        <w:pStyle w:val="4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关于实行农民工工资支付专用账户管理的补充协议</w:t>
      </w:r>
    </w:p>
    <w:p w14:paraId="5EE96E2C">
      <w:pPr>
        <w:pStyle w:val="120"/>
        <w:tabs>
          <w:tab w:val="left" w:pos="1590"/>
          <w:tab w:val="left" w:pos="2648"/>
          <w:tab w:val="left" w:pos="3704"/>
          <w:tab w:val="left" w:pos="5089"/>
          <w:tab w:val="left" w:pos="6018"/>
          <w:tab w:val="left" w:pos="7074"/>
          <w:tab w:val="left" w:pos="8132"/>
        </w:tabs>
        <w:rPr>
          <w:rFonts w:hint="eastAsia" w:ascii="宋体" w:hAnsi="宋体" w:eastAsia="宋体" w:cs="宋体"/>
          <w:color w:val="auto"/>
          <w:sz w:val="21"/>
          <w:szCs w:val="21"/>
          <w:highlight w:val="none"/>
        </w:rPr>
      </w:pPr>
    </w:p>
    <w:p w14:paraId="5EE96E2D">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根据《国务院办公厅关于全面治理拖欠农民工工资问题的意见》（国办发【2016】1号）、</w:t>
      </w:r>
    </w:p>
    <w:p w14:paraId="5EE96E2E">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务院办公厅关于印发保障农民工工资支付工作考核办法的通知》（国办发〔2017〕96号）、《关于优先解决政府工程拖欠农民工工资问题的通知》（财建【2017】623号）、《广西壮族自治区财政厅关于印发加强政府工程农民工工资支付工作指导意见的通知》（桂财社【2018】62号）、《关于全面治理拖欠农民工工资问题的实施意见》（桂政办发〔2016〕113号）和《关于印发广西壮族自治区工程建设领域工人工资支付专用账户管理办法的通知》</w:t>
      </w:r>
    </w:p>
    <w:p w14:paraId="5EE96E2F">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（桂薪联发〔2016〕1号），为进一步明确双方的权利和义务，经双方协调，一致同意签订本补充协议。具体内容如下：</w:t>
      </w:r>
    </w:p>
    <w:p w14:paraId="5EE96E30">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一、加强农民工劳动合同管理</w:t>
      </w:r>
    </w:p>
    <w:p w14:paraId="5EE96E31">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承包人应与农民工签订劳动合同，实行先签订劳动合同后进场施工制度，建立职工名册并办理劳动用工备案。</w:t>
      </w:r>
    </w:p>
    <w:p w14:paraId="5EE96E32">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承包人与农民工终止或解除劳动关系时，要及时结清工资并出具证明。</w:t>
      </w:r>
    </w:p>
    <w:p w14:paraId="5EE96E33">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承包人要按月将用工情况向用工项目所在地人力资源社会保障部门备案。相关劳动合同在合同终止或解除劳动关系后至少保存两年以上备查。</w:t>
      </w:r>
    </w:p>
    <w:p w14:paraId="5EE96E34">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发包人不定期对相关劳动合同及相关材料核查、监督，承包人要无条件配合核查、监督。</w:t>
      </w:r>
    </w:p>
    <w:p w14:paraId="5EE96E35">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二、实行农民工实名制管理</w:t>
      </w:r>
    </w:p>
    <w:p w14:paraId="5EE96E36">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承包人要实行农民工实名制管理，编制进场施工农民工用工手册，记录农民工身份、劳动考勤和工资支付等信息，相关材料、凭证至少保存两年以上备查。</w:t>
      </w:r>
    </w:p>
    <w:p w14:paraId="5EE96E37">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发包人不定期对相关材料及凭证核查、监督，承包人要无条件配合核查、监督。</w:t>
      </w:r>
    </w:p>
    <w:p w14:paraId="5EE96E38">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三、开立农民工工资专用账户</w:t>
      </w:r>
    </w:p>
    <w:p w14:paraId="5EE96E39">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承包人要在本地银行开设农民工工资支付专用账户，实行工人工资和其他工程款分账户管理、拨付。在中间结算工程款时，承包人将人工费用数额单列，优先拨付农民工工资，专用账户专门用于发放农民工工资。</w:t>
      </w:r>
    </w:p>
    <w:p w14:paraId="5EE96E3A">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专用账户开立后，承包人要向当地人力资源社会保障部门和发包人备案。</w:t>
      </w:r>
    </w:p>
    <w:p w14:paraId="5EE96E3B">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因发包人未将农民工工资拨付到专用账户的，出现拖欠农民工工资问题时，由发包人承担农民工工资的连带清偿责任。</w:t>
      </w:r>
    </w:p>
    <w:p w14:paraId="5EE96E3C">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因承包人未将农民工工资及时拨付的，出现拖欠农民工工资问题时，由承包人承担农民工工资清偿责任。</w:t>
      </w:r>
    </w:p>
    <w:p w14:paraId="5EE96E3D">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四、推行银行代发工资制度</w:t>
      </w:r>
    </w:p>
    <w:p w14:paraId="5EE96E3E">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对具备代发工资条件的农民工，承包人需为农民工办理实名制工资支付银行卡，按月考核工作量并编制工资支付表，经农民工本人签字确认后委托银行将工资直接划入农民工个人工资账户。</w:t>
      </w:r>
    </w:p>
    <w:p w14:paraId="5EE96E3F">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对不具备代发工资条件的农民工，承包人需按月考核工作量并编制工资支付表，并经农民工本人签字确认。严禁将工资通过不具备用工主体资格的组织和个人进行转发放。</w:t>
      </w:r>
    </w:p>
    <w:p w14:paraId="5EE96E40">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承包人按期将工人工资支付明细表报发包人和当地劳动保障监察部门备案，并将农民工签字确认的工资支付记录至少保存两年以上备查。</w:t>
      </w:r>
    </w:p>
    <w:p w14:paraId="5EE96E41">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发包人不定期对相关材料及凭证核查、监督，承包人要无条件配合核查、监督。</w:t>
      </w:r>
    </w:p>
    <w:p w14:paraId="5EE96E42">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五、本补充协议与原合同具有同等法律效力。</w:t>
      </w:r>
    </w:p>
    <w:p w14:paraId="5EE96E43">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六、本协议签字盖章后生效，共陆份，合同三方方各执两份。</w:t>
      </w:r>
    </w:p>
    <w:p w14:paraId="5EE96E44">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p>
    <w:p w14:paraId="5EE96E45">
      <w:pPr>
        <w:pStyle w:val="121"/>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zh-CN" w:eastAsia="zh-CN" w:bidi="zh-CN"/>
        </w:rPr>
        <w:t>发包人：（盖单位公章）</w:t>
      </w:r>
    </w:p>
    <w:p w14:paraId="5EE96E46">
      <w:pPr>
        <w:pStyle w:val="120"/>
        <w:tabs>
          <w:tab w:val="left" w:pos="1590"/>
          <w:tab w:val="left" w:pos="2648"/>
          <w:tab w:val="left" w:pos="3704"/>
          <w:tab w:val="left" w:pos="5089"/>
          <w:tab w:val="left" w:pos="6018"/>
          <w:tab w:val="left" w:pos="7074"/>
          <w:tab w:val="left" w:pos="8132"/>
        </w:tabs>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法定代表人或其委托代理人：（签字）</w:t>
      </w:r>
    </w:p>
    <w:p w14:paraId="5EE96E47">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p>
    <w:p w14:paraId="5EE96E48">
      <w:pPr>
        <w:pStyle w:val="121"/>
        <w:ind w:firstLine="420" w:firstLineChars="200"/>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承包人：（盖单位公章）</w:t>
      </w:r>
    </w:p>
    <w:p w14:paraId="5EE96E49">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法定代表人或其委托代理人：（签字）</w:t>
      </w:r>
    </w:p>
    <w:p w14:paraId="5EE96E4A">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p>
    <w:p w14:paraId="5EE96E4B">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合同签订时间：合同签订地点：</w:t>
      </w:r>
    </w:p>
    <w:p w14:paraId="5EE96E4C">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rPr>
      </w:pPr>
    </w:p>
    <w:p w14:paraId="5EE96E4D">
      <w:pPr>
        <w:pStyle w:val="120"/>
        <w:tabs>
          <w:tab w:val="left" w:pos="1590"/>
          <w:tab w:val="left" w:pos="2648"/>
          <w:tab w:val="left" w:pos="3704"/>
          <w:tab w:val="left" w:pos="5089"/>
          <w:tab w:val="left" w:pos="6018"/>
          <w:tab w:val="left" w:pos="7074"/>
          <w:tab w:val="left" w:pos="8132"/>
        </w:tabs>
        <w:ind w:firstLine="403"/>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备注：上述附件</w:t>
      </w:r>
      <w:r>
        <w:rPr>
          <w:rFonts w:hint="eastAsia" w:ascii="宋体" w:hAnsi="宋体" w:eastAsia="宋体" w:cs="宋体"/>
          <w:color w:val="auto"/>
          <w:sz w:val="21"/>
          <w:szCs w:val="21"/>
          <w:highlight w:val="none"/>
          <w:lang w:val="en-US"/>
        </w:rPr>
        <w:t>四</w:t>
      </w:r>
      <w:r>
        <w:rPr>
          <w:rFonts w:hint="eastAsia" w:ascii="宋体" w:hAnsi="宋体" w:eastAsia="宋体" w:cs="宋体"/>
          <w:color w:val="auto"/>
          <w:sz w:val="21"/>
          <w:szCs w:val="21"/>
          <w:highlight w:val="none"/>
        </w:rPr>
        <w:t>《关于实行农民工工资支付专用账户管理的补充协议》相关条款如与当地相关部门的规定有冲突时，以当地相关部门的规定为准，同时修改本协议相关条款。</w:t>
      </w:r>
    </w:p>
    <w:p w14:paraId="5EE96E4E">
      <w:pPr>
        <w:kinsoku/>
        <w:autoSpaceDE/>
        <w:autoSpaceDN/>
        <w:adjustRightInd/>
        <w:snapToGrid/>
        <w:textAlignment w:val="auto"/>
        <w:rPr>
          <w:rFonts w:cs="宋体" w:asciiTheme="minorEastAsia" w:hAnsiTheme="minorEastAsia" w:eastAsiaTheme="minorEastAsia"/>
          <w:color w:val="auto"/>
          <w:sz w:val="43"/>
          <w:szCs w:val="43"/>
          <w:highlight w:val="none"/>
          <w:lang w:eastAsia="zh-CN"/>
        </w:rPr>
      </w:pPr>
    </w:p>
    <w:p w14:paraId="437A2144">
      <w:pPr>
        <w:rPr>
          <w:rFonts w:hAnsi="宋体" w:cs="宋体"/>
          <w:b/>
          <w:color w:val="auto"/>
          <w:kern w:val="0"/>
          <w:sz w:val="30"/>
          <w:szCs w:val="30"/>
          <w:highlight w:val="none"/>
        </w:rPr>
      </w:pPr>
    </w:p>
    <w:p w14:paraId="1F916C47">
      <w:pPr>
        <w:rPr>
          <w:rFonts w:hAnsi="宋体" w:cs="宋体"/>
          <w:b/>
          <w:color w:val="auto"/>
          <w:kern w:val="0"/>
          <w:sz w:val="30"/>
          <w:szCs w:val="30"/>
          <w:highlight w:val="none"/>
        </w:rPr>
      </w:pPr>
    </w:p>
    <w:p w14:paraId="534767E0">
      <w:pPr>
        <w:rPr>
          <w:rFonts w:hAnsi="宋体" w:cs="宋体"/>
          <w:b/>
          <w:color w:val="auto"/>
          <w:kern w:val="0"/>
          <w:sz w:val="30"/>
          <w:szCs w:val="30"/>
          <w:highlight w:val="none"/>
        </w:rPr>
      </w:pPr>
      <w:r>
        <w:rPr>
          <w:rFonts w:hAnsi="宋体" w:cs="宋体"/>
          <w:b/>
          <w:color w:val="auto"/>
          <w:kern w:val="0"/>
          <w:sz w:val="30"/>
          <w:szCs w:val="30"/>
          <w:highlight w:val="none"/>
        </w:rPr>
        <w:br w:type="page"/>
      </w:r>
    </w:p>
    <w:p w14:paraId="45486AE7">
      <w:pPr>
        <w:pStyle w:val="22"/>
        <w:spacing w:line="460" w:lineRule="exact"/>
        <w:jc w:val="both"/>
        <w:outlineLvl w:val="0"/>
        <w:rPr>
          <w:rFonts w:hAnsi="宋体" w:cs="宋体"/>
          <w:b/>
          <w:color w:val="auto"/>
          <w:kern w:val="0"/>
          <w:sz w:val="30"/>
          <w:szCs w:val="30"/>
          <w:highlight w:val="none"/>
        </w:rPr>
        <w:sectPr>
          <w:headerReference r:id="rId8" w:type="default"/>
          <w:footerReference r:id="rId9" w:type="default"/>
          <w:pgSz w:w="11907" w:h="16840"/>
          <w:pgMar w:top="1304" w:right="1304" w:bottom="1247" w:left="1304" w:header="720" w:footer="720" w:gutter="0"/>
          <w:cols w:space="720" w:num="1"/>
          <w:docGrid w:linePitch="286" w:charSpace="0"/>
        </w:sectPr>
      </w:pPr>
    </w:p>
    <w:p w14:paraId="534767E1">
      <w:pPr>
        <w:autoSpaceDE w:val="0"/>
        <w:autoSpaceDN w:val="0"/>
        <w:adjustRightInd w:val="0"/>
        <w:snapToGrid w:val="0"/>
        <w:spacing w:line="300" w:lineRule="auto"/>
        <w:ind w:firstLine="3264" w:firstLineChars="739"/>
        <w:rPr>
          <w:rFonts w:ascii="仿宋_GB2312" w:hAnsi="宋体" w:eastAsia="仿宋_GB2312"/>
          <w:b/>
          <w:color w:val="auto"/>
          <w:kern w:val="0"/>
          <w:sz w:val="44"/>
          <w:szCs w:val="44"/>
          <w:highlight w:val="none"/>
        </w:rPr>
      </w:pPr>
    </w:p>
    <w:p w14:paraId="534767E2">
      <w:pPr>
        <w:autoSpaceDE w:val="0"/>
        <w:autoSpaceDN w:val="0"/>
        <w:adjustRightInd w:val="0"/>
        <w:snapToGrid w:val="0"/>
        <w:spacing w:line="300" w:lineRule="auto"/>
        <w:ind w:firstLine="3264" w:firstLineChars="739"/>
        <w:rPr>
          <w:rFonts w:ascii="仿宋_GB2312" w:hAnsi="宋体" w:eastAsia="仿宋_GB2312"/>
          <w:b/>
          <w:color w:val="auto"/>
          <w:kern w:val="0"/>
          <w:sz w:val="44"/>
          <w:szCs w:val="44"/>
          <w:highlight w:val="none"/>
        </w:rPr>
      </w:pPr>
    </w:p>
    <w:p w14:paraId="534767E3">
      <w:pPr>
        <w:autoSpaceDE w:val="0"/>
        <w:autoSpaceDN w:val="0"/>
        <w:adjustRightInd w:val="0"/>
        <w:snapToGrid w:val="0"/>
        <w:spacing w:line="300" w:lineRule="auto"/>
        <w:rPr>
          <w:rFonts w:ascii="仿宋_GB2312" w:hAnsi="宋体" w:eastAsia="仿宋_GB2312"/>
          <w:b/>
          <w:color w:val="auto"/>
          <w:kern w:val="0"/>
          <w:sz w:val="44"/>
          <w:szCs w:val="44"/>
          <w:highlight w:val="none"/>
        </w:rPr>
      </w:pPr>
    </w:p>
    <w:p w14:paraId="534767E4">
      <w:pPr>
        <w:autoSpaceDE w:val="0"/>
        <w:autoSpaceDN w:val="0"/>
        <w:adjustRightInd w:val="0"/>
        <w:snapToGrid w:val="0"/>
        <w:spacing w:line="300" w:lineRule="auto"/>
        <w:rPr>
          <w:rFonts w:ascii="仿宋_GB2312" w:hAnsi="宋体" w:eastAsia="仿宋_GB2312"/>
          <w:b/>
          <w:color w:val="auto"/>
          <w:kern w:val="0"/>
          <w:sz w:val="44"/>
          <w:szCs w:val="44"/>
          <w:highlight w:val="none"/>
        </w:rPr>
      </w:pPr>
    </w:p>
    <w:p w14:paraId="534767E5">
      <w:pPr>
        <w:autoSpaceDE w:val="0"/>
        <w:autoSpaceDN w:val="0"/>
        <w:adjustRightInd w:val="0"/>
        <w:snapToGrid w:val="0"/>
        <w:spacing w:line="300" w:lineRule="auto"/>
        <w:rPr>
          <w:rFonts w:ascii="仿宋_GB2312" w:hAnsi="宋体" w:eastAsia="仿宋_GB2312"/>
          <w:b/>
          <w:color w:val="auto"/>
          <w:kern w:val="0"/>
          <w:sz w:val="44"/>
          <w:szCs w:val="44"/>
          <w:highlight w:val="none"/>
        </w:rPr>
      </w:pPr>
    </w:p>
    <w:p w14:paraId="534767E6">
      <w:pPr>
        <w:autoSpaceDE w:val="0"/>
        <w:autoSpaceDN w:val="0"/>
        <w:adjustRightInd w:val="0"/>
        <w:snapToGrid w:val="0"/>
        <w:spacing w:line="300" w:lineRule="auto"/>
        <w:rPr>
          <w:rFonts w:ascii="仿宋_GB2312" w:hAnsi="宋体" w:eastAsia="仿宋_GB2312"/>
          <w:b/>
          <w:color w:val="auto"/>
          <w:kern w:val="0"/>
          <w:sz w:val="44"/>
          <w:szCs w:val="44"/>
          <w:highlight w:val="none"/>
        </w:rPr>
      </w:pPr>
    </w:p>
    <w:p w14:paraId="534767E7">
      <w:pPr>
        <w:autoSpaceDE w:val="0"/>
        <w:autoSpaceDN w:val="0"/>
        <w:adjustRightInd w:val="0"/>
        <w:snapToGrid w:val="0"/>
        <w:spacing w:line="300" w:lineRule="auto"/>
        <w:ind w:firstLine="3264" w:firstLineChars="739"/>
        <w:rPr>
          <w:rFonts w:ascii="仿宋_GB2312" w:hAnsi="宋体" w:eastAsia="仿宋_GB2312"/>
          <w:b/>
          <w:color w:val="auto"/>
          <w:kern w:val="0"/>
          <w:sz w:val="44"/>
          <w:szCs w:val="44"/>
          <w:highlight w:val="none"/>
        </w:rPr>
      </w:pPr>
    </w:p>
    <w:p w14:paraId="534767E8">
      <w:pPr>
        <w:autoSpaceDE w:val="0"/>
        <w:autoSpaceDN w:val="0"/>
        <w:adjustRightInd w:val="0"/>
        <w:snapToGrid w:val="0"/>
        <w:spacing w:line="300" w:lineRule="auto"/>
        <w:ind w:firstLine="3264" w:firstLineChars="739"/>
        <w:outlineLvl w:val="0"/>
        <w:rPr>
          <w:rFonts w:ascii="宋体" w:hAnsi="宋体"/>
          <w:b/>
          <w:color w:val="auto"/>
          <w:kern w:val="0"/>
          <w:sz w:val="44"/>
          <w:szCs w:val="44"/>
          <w:highlight w:val="none"/>
        </w:rPr>
      </w:pPr>
      <w:bookmarkStart w:id="2450" w:name="_Toc29416"/>
      <w:bookmarkStart w:id="2451" w:name="_Toc3994508"/>
      <w:bookmarkStart w:id="2452" w:name="_Toc176861412"/>
      <w:r>
        <w:rPr>
          <w:rFonts w:hint="eastAsia" w:ascii="宋体" w:hAnsi="宋体"/>
          <w:b/>
          <w:color w:val="auto"/>
          <w:kern w:val="0"/>
          <w:sz w:val="44"/>
          <w:szCs w:val="44"/>
          <w:highlight w:val="none"/>
        </w:rPr>
        <w:t>第七章  评定标准</w:t>
      </w:r>
      <w:bookmarkEnd w:id="2450"/>
      <w:bookmarkEnd w:id="2451"/>
      <w:bookmarkEnd w:id="2452"/>
    </w:p>
    <w:p w14:paraId="534767E9">
      <w:pPr>
        <w:pStyle w:val="22"/>
        <w:spacing w:line="440" w:lineRule="exact"/>
        <w:rPr>
          <w:rFonts w:ascii="黑体" w:hAnsi="宋体" w:eastAsia="黑体"/>
          <w:b/>
          <w:color w:val="auto"/>
          <w:kern w:val="0"/>
          <w:sz w:val="32"/>
          <w:szCs w:val="32"/>
          <w:highlight w:val="none"/>
        </w:rPr>
      </w:pPr>
    </w:p>
    <w:p w14:paraId="534767EA">
      <w:pPr>
        <w:pStyle w:val="22"/>
        <w:spacing w:line="440" w:lineRule="exact"/>
        <w:rPr>
          <w:rFonts w:ascii="黑体" w:hAnsi="宋体" w:eastAsia="黑体"/>
          <w:b/>
          <w:color w:val="auto"/>
          <w:kern w:val="0"/>
          <w:sz w:val="32"/>
          <w:szCs w:val="32"/>
          <w:highlight w:val="none"/>
        </w:rPr>
      </w:pPr>
    </w:p>
    <w:p w14:paraId="534767EB">
      <w:pPr>
        <w:pStyle w:val="22"/>
        <w:spacing w:line="440" w:lineRule="exact"/>
        <w:rPr>
          <w:rFonts w:ascii="黑体" w:hAnsi="宋体" w:eastAsia="黑体"/>
          <w:b/>
          <w:color w:val="auto"/>
          <w:kern w:val="0"/>
          <w:sz w:val="32"/>
          <w:szCs w:val="32"/>
          <w:highlight w:val="none"/>
        </w:rPr>
      </w:pPr>
    </w:p>
    <w:p w14:paraId="534767EC">
      <w:pPr>
        <w:pStyle w:val="22"/>
        <w:spacing w:line="440" w:lineRule="exact"/>
        <w:rPr>
          <w:rFonts w:ascii="黑体" w:hAnsi="宋体" w:eastAsia="黑体"/>
          <w:b/>
          <w:color w:val="auto"/>
          <w:kern w:val="0"/>
          <w:sz w:val="32"/>
          <w:szCs w:val="32"/>
          <w:highlight w:val="none"/>
        </w:rPr>
      </w:pPr>
    </w:p>
    <w:p w14:paraId="534767ED">
      <w:pPr>
        <w:pStyle w:val="22"/>
        <w:spacing w:line="440" w:lineRule="exact"/>
        <w:rPr>
          <w:rFonts w:ascii="黑体" w:hAnsi="宋体" w:eastAsia="黑体"/>
          <w:b/>
          <w:color w:val="auto"/>
          <w:kern w:val="0"/>
          <w:sz w:val="32"/>
          <w:szCs w:val="32"/>
          <w:highlight w:val="none"/>
        </w:rPr>
      </w:pPr>
    </w:p>
    <w:p w14:paraId="534767EE">
      <w:pPr>
        <w:pStyle w:val="22"/>
        <w:spacing w:line="440" w:lineRule="exact"/>
        <w:rPr>
          <w:rFonts w:ascii="黑体" w:hAnsi="宋体" w:eastAsia="黑体"/>
          <w:b/>
          <w:color w:val="auto"/>
          <w:kern w:val="0"/>
          <w:sz w:val="32"/>
          <w:szCs w:val="32"/>
          <w:highlight w:val="none"/>
        </w:rPr>
      </w:pPr>
    </w:p>
    <w:p w14:paraId="534767EF">
      <w:pPr>
        <w:pStyle w:val="22"/>
        <w:spacing w:line="440" w:lineRule="exact"/>
        <w:rPr>
          <w:rFonts w:ascii="黑体" w:hAnsi="宋体" w:eastAsia="黑体"/>
          <w:b/>
          <w:color w:val="auto"/>
          <w:kern w:val="0"/>
          <w:sz w:val="32"/>
          <w:szCs w:val="32"/>
          <w:highlight w:val="none"/>
        </w:rPr>
      </w:pPr>
    </w:p>
    <w:p w14:paraId="534767F0">
      <w:pPr>
        <w:pStyle w:val="22"/>
        <w:spacing w:line="440" w:lineRule="exact"/>
        <w:rPr>
          <w:rFonts w:ascii="黑体" w:hAnsi="宋体" w:eastAsia="黑体"/>
          <w:b/>
          <w:color w:val="auto"/>
          <w:kern w:val="0"/>
          <w:sz w:val="32"/>
          <w:szCs w:val="32"/>
          <w:highlight w:val="none"/>
        </w:rPr>
      </w:pPr>
    </w:p>
    <w:p w14:paraId="534767F1">
      <w:pPr>
        <w:pStyle w:val="22"/>
        <w:spacing w:line="440" w:lineRule="exact"/>
        <w:rPr>
          <w:rFonts w:ascii="黑体" w:hAnsi="宋体" w:eastAsia="黑体"/>
          <w:b/>
          <w:color w:val="auto"/>
          <w:kern w:val="0"/>
          <w:sz w:val="32"/>
          <w:szCs w:val="32"/>
          <w:highlight w:val="none"/>
        </w:rPr>
      </w:pPr>
    </w:p>
    <w:p w14:paraId="534767F2">
      <w:pPr>
        <w:pStyle w:val="22"/>
        <w:spacing w:line="440" w:lineRule="exact"/>
        <w:rPr>
          <w:rFonts w:ascii="黑体" w:hAnsi="宋体" w:eastAsia="黑体"/>
          <w:b/>
          <w:color w:val="auto"/>
          <w:kern w:val="0"/>
          <w:sz w:val="32"/>
          <w:szCs w:val="32"/>
          <w:highlight w:val="none"/>
        </w:rPr>
      </w:pPr>
    </w:p>
    <w:p w14:paraId="534767F3">
      <w:pPr>
        <w:pStyle w:val="22"/>
        <w:spacing w:line="440" w:lineRule="exact"/>
        <w:rPr>
          <w:rFonts w:ascii="黑体" w:hAnsi="宋体" w:eastAsia="黑体"/>
          <w:b/>
          <w:color w:val="auto"/>
          <w:kern w:val="0"/>
          <w:sz w:val="32"/>
          <w:szCs w:val="32"/>
          <w:highlight w:val="none"/>
        </w:rPr>
      </w:pPr>
    </w:p>
    <w:p w14:paraId="534767F4">
      <w:pPr>
        <w:pStyle w:val="22"/>
        <w:spacing w:line="440" w:lineRule="exact"/>
        <w:rPr>
          <w:rFonts w:ascii="黑体" w:hAnsi="宋体" w:eastAsia="黑体"/>
          <w:b/>
          <w:color w:val="auto"/>
          <w:kern w:val="0"/>
          <w:sz w:val="32"/>
          <w:szCs w:val="32"/>
          <w:highlight w:val="none"/>
        </w:rPr>
      </w:pPr>
    </w:p>
    <w:p w14:paraId="534767F5">
      <w:pPr>
        <w:pStyle w:val="22"/>
        <w:spacing w:line="440" w:lineRule="exact"/>
        <w:rPr>
          <w:rFonts w:ascii="黑体" w:hAnsi="宋体" w:eastAsia="黑体"/>
          <w:b/>
          <w:color w:val="auto"/>
          <w:kern w:val="0"/>
          <w:sz w:val="32"/>
          <w:szCs w:val="32"/>
          <w:highlight w:val="none"/>
        </w:rPr>
      </w:pPr>
    </w:p>
    <w:p w14:paraId="534767F6">
      <w:pPr>
        <w:pStyle w:val="22"/>
        <w:spacing w:line="440" w:lineRule="exact"/>
        <w:jc w:val="center"/>
        <w:rPr>
          <w:rFonts w:hAnsi="宋体"/>
          <w:color w:val="auto"/>
          <w:sz w:val="30"/>
          <w:szCs w:val="30"/>
          <w:highlight w:val="none"/>
        </w:rPr>
      </w:pPr>
      <w:r>
        <w:rPr>
          <w:rFonts w:ascii="仿宋_GB2312" w:hAnsi="宋体" w:eastAsia="仿宋_GB2312"/>
          <w:b/>
          <w:color w:val="auto"/>
          <w:kern w:val="0"/>
          <w:sz w:val="32"/>
          <w:szCs w:val="32"/>
          <w:highlight w:val="none"/>
        </w:rPr>
        <w:br w:type="page"/>
      </w:r>
      <w:r>
        <w:rPr>
          <w:rFonts w:hint="eastAsia" w:hAnsi="宋体"/>
          <w:b/>
          <w:color w:val="auto"/>
          <w:kern w:val="0"/>
          <w:sz w:val="30"/>
          <w:szCs w:val="30"/>
          <w:highlight w:val="none"/>
        </w:rPr>
        <w:t>评定标准</w:t>
      </w:r>
    </w:p>
    <w:p w14:paraId="534767F7">
      <w:pPr>
        <w:pStyle w:val="22"/>
        <w:numPr>
          <w:ilvl w:val="0"/>
          <w:numId w:val="41"/>
        </w:numPr>
        <w:adjustRightInd w:val="0"/>
        <w:spacing w:line="360" w:lineRule="auto"/>
        <w:ind w:firstLine="482" w:firstLineChars="200"/>
        <w:contextualSpacing/>
        <w:rPr>
          <w:rFonts w:hAnsi="宋体"/>
          <w:b/>
          <w:bCs/>
          <w:color w:val="auto"/>
          <w:sz w:val="24"/>
          <w:szCs w:val="24"/>
          <w:highlight w:val="none"/>
        </w:rPr>
      </w:pPr>
      <w:r>
        <w:rPr>
          <w:rFonts w:hAnsi="宋体"/>
          <w:b/>
          <w:bCs/>
          <w:color w:val="auto"/>
          <w:sz w:val="24"/>
          <w:szCs w:val="24"/>
          <w:highlight w:val="none"/>
        </w:rPr>
        <w:t>评标原则</w:t>
      </w:r>
    </w:p>
    <w:p w14:paraId="534767F8">
      <w:pPr>
        <w:pStyle w:val="22"/>
        <w:keepNext w:val="0"/>
        <w:keepLines w:val="0"/>
        <w:pageBreakBefore w:val="0"/>
        <w:widowControl w:val="0"/>
        <w:kinsoku/>
        <w:wordWrap/>
        <w:overflowPunct/>
        <w:topLinePunct w:val="0"/>
        <w:bidi w:val="0"/>
        <w:adjustRightInd w:val="0"/>
        <w:snapToGrid/>
        <w:spacing w:line="400" w:lineRule="exact"/>
        <w:ind w:firstLine="480" w:firstLineChars="200"/>
        <w:contextualSpacing/>
        <w:textAlignment w:val="auto"/>
        <w:rPr>
          <w:rFonts w:hAnsi="宋体" w:cs="宋体"/>
          <w:color w:val="auto"/>
          <w:sz w:val="24"/>
          <w:szCs w:val="24"/>
          <w:highlight w:val="none"/>
        </w:rPr>
      </w:pPr>
      <w:r>
        <w:rPr>
          <w:rFonts w:hint="eastAsia" w:hAnsi="宋体" w:cs="宋体"/>
          <w:color w:val="auto"/>
          <w:sz w:val="24"/>
          <w:szCs w:val="24"/>
          <w:highlight w:val="none"/>
        </w:rPr>
        <w:t>(一)磋商小组组成：本磋商采购项目的磋商小组由采购人代表、技术和经济等方面的专家共3人以上单数组成。其中，专家磋商小组成员不得少于成员总数的三分之二。</w:t>
      </w:r>
    </w:p>
    <w:p w14:paraId="534767F9">
      <w:pPr>
        <w:pStyle w:val="22"/>
        <w:keepNext w:val="0"/>
        <w:keepLines w:val="0"/>
        <w:pageBreakBefore w:val="0"/>
        <w:widowControl w:val="0"/>
        <w:kinsoku/>
        <w:wordWrap/>
        <w:overflowPunct/>
        <w:topLinePunct w:val="0"/>
        <w:bidi w:val="0"/>
        <w:adjustRightInd w:val="0"/>
        <w:snapToGrid/>
        <w:spacing w:line="400" w:lineRule="exact"/>
        <w:ind w:firstLine="480" w:firstLineChars="200"/>
        <w:contextualSpacing/>
        <w:textAlignment w:val="auto"/>
        <w:rPr>
          <w:rFonts w:hAnsi="宋体" w:cs="宋体"/>
          <w:color w:val="auto"/>
          <w:sz w:val="24"/>
          <w:szCs w:val="24"/>
          <w:highlight w:val="none"/>
        </w:rPr>
      </w:pPr>
      <w:r>
        <w:rPr>
          <w:rFonts w:hint="eastAsia" w:hAnsi="宋体" w:cs="宋体"/>
          <w:color w:val="auto"/>
          <w:sz w:val="24"/>
          <w:szCs w:val="24"/>
          <w:highlight w:val="none"/>
        </w:rPr>
        <w:t>(二)评审依据：磋商小组成员将以采购文件为评审依据，对供应商的最终报价、</w:t>
      </w:r>
      <w:r>
        <w:rPr>
          <w:rFonts w:hint="eastAsia" w:hAnsi="宋体" w:cs="宋体"/>
          <w:color w:val="auto"/>
          <w:sz w:val="24"/>
          <w:highlight w:val="none"/>
        </w:rPr>
        <w:t>项目管理机构</w:t>
      </w:r>
      <w:r>
        <w:rPr>
          <w:rFonts w:hint="eastAsia" w:hAnsi="宋体" w:cs="宋体"/>
          <w:color w:val="auto"/>
          <w:sz w:val="24"/>
          <w:szCs w:val="24"/>
          <w:highlight w:val="none"/>
        </w:rPr>
        <w:t>、</w:t>
      </w:r>
      <w:r>
        <w:rPr>
          <w:rFonts w:hint="eastAsia" w:hAnsi="宋体" w:cs="宋体"/>
          <w:color w:val="auto"/>
          <w:sz w:val="24"/>
          <w:highlight w:val="none"/>
        </w:rPr>
        <w:t>施工组织设计</w:t>
      </w:r>
      <w:r>
        <w:rPr>
          <w:rFonts w:hint="eastAsia" w:hAnsi="宋体" w:cs="宋体"/>
          <w:color w:val="auto"/>
          <w:sz w:val="24"/>
          <w:szCs w:val="24"/>
          <w:highlight w:val="none"/>
        </w:rPr>
        <w:t>等方面内容按百分制打分。</w:t>
      </w:r>
    </w:p>
    <w:p w14:paraId="534767FA">
      <w:pPr>
        <w:pStyle w:val="22"/>
        <w:keepNext w:val="0"/>
        <w:keepLines w:val="0"/>
        <w:pageBreakBefore w:val="0"/>
        <w:widowControl w:val="0"/>
        <w:kinsoku/>
        <w:wordWrap/>
        <w:overflowPunct/>
        <w:topLinePunct w:val="0"/>
        <w:bidi w:val="0"/>
        <w:adjustRightInd w:val="0"/>
        <w:snapToGrid/>
        <w:spacing w:line="400" w:lineRule="exact"/>
        <w:ind w:firstLine="480" w:firstLineChars="200"/>
        <w:contextualSpacing/>
        <w:textAlignment w:val="auto"/>
        <w:rPr>
          <w:rFonts w:hAnsi="宋体" w:cs="宋体"/>
          <w:color w:val="auto"/>
          <w:sz w:val="24"/>
          <w:szCs w:val="24"/>
          <w:highlight w:val="none"/>
        </w:rPr>
      </w:pPr>
      <w:r>
        <w:rPr>
          <w:rFonts w:hint="eastAsia" w:hAnsi="宋体" w:cs="宋体"/>
          <w:color w:val="auto"/>
          <w:sz w:val="24"/>
          <w:szCs w:val="24"/>
          <w:highlight w:val="none"/>
        </w:rPr>
        <w:t>(三)评审方式：以封闭方式进行。</w:t>
      </w:r>
    </w:p>
    <w:p w14:paraId="534767FB">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bCs/>
          <w:color w:val="auto"/>
          <w:kern w:val="0"/>
          <w:sz w:val="24"/>
          <w:highlight w:val="none"/>
          <w:lang w:eastAsia="zh-CN"/>
        </w:rPr>
      </w:pPr>
      <w:r>
        <w:rPr>
          <w:rFonts w:hint="eastAsia" w:ascii="宋体" w:hAnsi="宋体" w:cs="宋体"/>
          <w:color w:val="auto"/>
          <w:kern w:val="0"/>
          <w:sz w:val="24"/>
          <w:highlight w:val="none"/>
        </w:rPr>
        <w:t>(四)按《政府采购促进中小企业发展管理办法》(财库〔2020〕46号)的规定，</w:t>
      </w:r>
      <w:r>
        <w:rPr>
          <w:rFonts w:hint="eastAsia" w:ascii="宋体" w:hAnsi="宋体" w:cs="宋体"/>
          <w:color w:val="auto"/>
          <w:sz w:val="24"/>
          <w:highlight w:val="none"/>
        </w:rPr>
        <w:t>对于未预留份额专门面向中小企业采购的政府采购工程项目，以及预留份额政府采购工程项目中的非预留部分标项，对小型和微型企业的最后报价给予3%</w:t>
      </w:r>
      <w:r>
        <w:rPr>
          <w:rFonts w:ascii="宋体" w:hAnsi="宋体" w:cs="宋体"/>
          <w:color w:val="auto"/>
          <w:sz w:val="24"/>
          <w:highlight w:val="none"/>
        </w:rPr>
        <w:t>—</w:t>
      </w:r>
      <w:r>
        <w:rPr>
          <w:rFonts w:hint="eastAsia" w:ascii="宋体" w:hAnsi="宋体" w:cs="宋体"/>
          <w:color w:val="auto"/>
          <w:sz w:val="24"/>
          <w:highlight w:val="none"/>
        </w:rPr>
        <w:t>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w:t>
      </w:r>
      <w:r>
        <w:rPr>
          <w:rFonts w:ascii="宋体" w:hAnsi="宋体" w:cs="宋体"/>
          <w:color w:val="auto"/>
          <w:sz w:val="24"/>
          <w:highlight w:val="none"/>
        </w:rPr>
        <w:t>1%—2%</w:t>
      </w:r>
      <w:r>
        <w:rPr>
          <w:rFonts w:hint="eastAsia" w:ascii="宋体" w:hAnsi="宋体" w:cs="宋体"/>
          <w:color w:val="auto"/>
          <w:sz w:val="24"/>
          <w:highlight w:val="none"/>
        </w:rPr>
        <w:t>的扣除，用扣除后的价格参加评审。中小企业参加政府采购活动，应当出具《中小企业声明函》，否则不得享受相关中小企业扶持政策。</w:t>
      </w:r>
      <w:r>
        <w:rPr>
          <w:rFonts w:hint="eastAsia" w:ascii="宋体" w:hAnsi="宋体" w:cs="宋体"/>
          <w:b/>
          <w:bCs/>
          <w:color w:val="auto"/>
          <w:sz w:val="24"/>
          <w:highlight w:val="none"/>
          <w:lang w:val="en-US" w:eastAsia="zh-CN"/>
        </w:rPr>
        <w:t>本项目为</w:t>
      </w:r>
      <w:r>
        <w:rPr>
          <w:rFonts w:hint="eastAsia" w:ascii="宋体" w:hAnsi="宋体" w:cs="宋体"/>
          <w:b/>
          <w:bCs/>
          <w:color w:val="auto"/>
          <w:sz w:val="24"/>
          <w:highlight w:val="none"/>
        </w:rPr>
        <w:t>专门面向中小企业采购的项目，不再执行价格评审优惠的扶持政策</w:t>
      </w:r>
      <w:r>
        <w:rPr>
          <w:rFonts w:hint="eastAsia" w:ascii="宋体" w:hAnsi="宋体" w:cs="宋体"/>
          <w:b/>
          <w:bCs/>
          <w:color w:val="auto"/>
          <w:sz w:val="24"/>
          <w:highlight w:val="none"/>
          <w:lang w:eastAsia="zh-CN"/>
        </w:rPr>
        <w:t>。</w:t>
      </w:r>
    </w:p>
    <w:p w14:paraId="534767FC">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(五)磋商供应商按《关于政府采购支持监狱企业发展有关问题的通知》(财库〔2014〕68 号)认定为监狱企业的，在政府采购活动中，监狱企业视同小型、微型企业。监狱企业以提供由省级以上监狱管理局、戒毒管理局(含新疆生产建设兵团)出具的属于监狱企业的证明文件为准。</w:t>
      </w:r>
    </w:p>
    <w:p w14:paraId="534767FD">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六)磋商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534767FE">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Courier New"/>
          <w:bCs/>
          <w:color w:val="auto"/>
          <w:sz w:val="24"/>
          <w:highlight w:val="none"/>
        </w:rPr>
      </w:pPr>
      <w:r>
        <w:rPr>
          <w:rFonts w:hint="eastAsia" w:ascii="宋体" w:hAnsi="宋体" w:cs="宋体"/>
          <w:color w:val="auto"/>
          <w:kern w:val="0"/>
          <w:sz w:val="24"/>
          <w:highlight w:val="none"/>
        </w:rPr>
        <w:t>(七)未享受优惠政策的供应商的磋商最终报价即为评审价。</w:t>
      </w:r>
    </w:p>
    <w:p w14:paraId="534767FF">
      <w:pPr>
        <w:spacing w:line="360" w:lineRule="auto"/>
        <w:ind w:firstLine="472" w:firstLineChars="196"/>
        <w:rPr>
          <w:rFonts w:ascii="宋体" w:hAnsi="宋体" w:cs="Courier New"/>
          <w:b/>
          <w:color w:val="auto"/>
          <w:sz w:val="24"/>
          <w:highlight w:val="none"/>
        </w:rPr>
      </w:pPr>
      <w:r>
        <w:rPr>
          <w:rFonts w:hint="eastAsia" w:ascii="宋体" w:hAnsi="宋体" w:cs="Courier New"/>
          <w:b/>
          <w:color w:val="auto"/>
          <w:sz w:val="24"/>
          <w:highlight w:val="none"/>
        </w:rPr>
        <w:t>二、评标方法</w:t>
      </w:r>
    </w:p>
    <w:tbl>
      <w:tblPr>
        <w:tblStyle w:val="37"/>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031"/>
        <w:gridCol w:w="912"/>
        <w:gridCol w:w="1039"/>
        <w:gridCol w:w="5774"/>
      </w:tblGrid>
      <w:tr w14:paraId="2DD5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80" w:type="dxa"/>
            <w:shd w:val="clear" w:color="auto" w:fill="E6E6E6"/>
            <w:vAlign w:val="center"/>
          </w:tcPr>
          <w:p w14:paraId="6542D140">
            <w:pPr>
              <w:spacing w:line="360" w:lineRule="auto"/>
              <w:jc w:val="center"/>
              <w:rPr>
                <w:rFonts w:ascii="宋体"/>
                <w:color w:val="auto"/>
                <w:sz w:val="24"/>
                <w:highlight w:val="none"/>
              </w:rPr>
            </w:pPr>
            <w:r>
              <w:rPr>
                <w:rFonts w:hint="eastAsia" w:ascii="宋体" w:hAnsi="宋体" w:cs="宋体"/>
                <w:color w:val="auto"/>
                <w:sz w:val="24"/>
                <w:highlight w:val="none"/>
              </w:rPr>
              <w:t>条款号</w:t>
            </w:r>
          </w:p>
        </w:tc>
        <w:tc>
          <w:tcPr>
            <w:tcW w:w="2982" w:type="dxa"/>
            <w:gridSpan w:val="3"/>
            <w:shd w:val="clear" w:color="auto" w:fill="E6E6E6"/>
            <w:vAlign w:val="center"/>
          </w:tcPr>
          <w:p w14:paraId="5EED0D76">
            <w:pPr>
              <w:spacing w:line="360" w:lineRule="auto"/>
              <w:jc w:val="center"/>
              <w:rPr>
                <w:rFonts w:ascii="宋体"/>
                <w:color w:val="auto"/>
                <w:sz w:val="24"/>
                <w:highlight w:val="none"/>
              </w:rPr>
            </w:pPr>
            <w:r>
              <w:rPr>
                <w:rFonts w:hint="eastAsia" w:ascii="宋体" w:hAnsi="宋体" w:cs="宋体"/>
                <w:color w:val="auto"/>
                <w:sz w:val="24"/>
                <w:highlight w:val="none"/>
              </w:rPr>
              <w:t>评审因素</w:t>
            </w:r>
          </w:p>
        </w:tc>
        <w:tc>
          <w:tcPr>
            <w:tcW w:w="5774" w:type="dxa"/>
            <w:shd w:val="clear" w:color="auto" w:fill="E6E6E6"/>
            <w:vAlign w:val="center"/>
          </w:tcPr>
          <w:p w14:paraId="56A75B3C">
            <w:pPr>
              <w:spacing w:line="360" w:lineRule="auto"/>
              <w:jc w:val="center"/>
              <w:rPr>
                <w:rFonts w:ascii="宋体"/>
                <w:color w:val="auto"/>
                <w:sz w:val="24"/>
                <w:highlight w:val="none"/>
              </w:rPr>
            </w:pPr>
            <w:r>
              <w:rPr>
                <w:rFonts w:hint="eastAsia" w:ascii="宋体" w:hAnsi="宋体" w:cs="宋体"/>
                <w:color w:val="auto"/>
                <w:sz w:val="24"/>
                <w:highlight w:val="none"/>
              </w:rPr>
              <w:t>评审标准</w:t>
            </w:r>
          </w:p>
        </w:tc>
      </w:tr>
      <w:tr w14:paraId="3B590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80" w:type="dxa"/>
            <w:vMerge w:val="restart"/>
            <w:vAlign w:val="center"/>
          </w:tcPr>
          <w:p w14:paraId="302BEE37">
            <w:pPr>
              <w:spacing w:line="360" w:lineRule="auto"/>
              <w:jc w:val="center"/>
              <w:rPr>
                <w:rFonts w:ascii="宋体"/>
                <w:color w:val="auto"/>
                <w:sz w:val="24"/>
                <w:highlight w:val="none"/>
              </w:rPr>
            </w:pPr>
          </w:p>
          <w:p w14:paraId="200F2BF8">
            <w:pPr>
              <w:spacing w:line="360" w:lineRule="auto"/>
              <w:jc w:val="center"/>
              <w:rPr>
                <w:rFonts w:ascii="宋体"/>
                <w:color w:val="auto"/>
                <w:sz w:val="24"/>
                <w:highlight w:val="none"/>
              </w:rPr>
            </w:pPr>
          </w:p>
          <w:p w14:paraId="31CE0ACD">
            <w:pPr>
              <w:spacing w:line="360" w:lineRule="auto"/>
              <w:jc w:val="center"/>
              <w:rPr>
                <w:rFonts w:ascii="宋体"/>
                <w:color w:val="auto"/>
                <w:sz w:val="24"/>
                <w:highlight w:val="none"/>
              </w:rPr>
            </w:pPr>
          </w:p>
          <w:p w14:paraId="64C212B8">
            <w:pPr>
              <w:spacing w:line="360" w:lineRule="auto"/>
              <w:jc w:val="center"/>
              <w:rPr>
                <w:rFonts w:ascii="宋体"/>
                <w:color w:val="auto"/>
                <w:sz w:val="24"/>
                <w:highlight w:val="none"/>
              </w:rPr>
            </w:pPr>
          </w:p>
          <w:p w14:paraId="765E84A4">
            <w:pPr>
              <w:spacing w:line="360" w:lineRule="auto"/>
              <w:jc w:val="center"/>
              <w:rPr>
                <w:rFonts w:ascii="宋体"/>
                <w:color w:val="auto"/>
                <w:sz w:val="24"/>
                <w:highlight w:val="none"/>
              </w:rPr>
            </w:pPr>
          </w:p>
          <w:p w14:paraId="48F45FD6">
            <w:pPr>
              <w:spacing w:line="360" w:lineRule="auto"/>
              <w:jc w:val="center"/>
              <w:rPr>
                <w:rFonts w:ascii="宋体"/>
                <w:color w:val="auto"/>
                <w:sz w:val="24"/>
                <w:highlight w:val="none"/>
              </w:rPr>
            </w:pPr>
          </w:p>
          <w:p w14:paraId="154198D8">
            <w:pPr>
              <w:spacing w:line="360" w:lineRule="auto"/>
              <w:jc w:val="center"/>
              <w:rPr>
                <w:rFonts w:ascii="宋体"/>
                <w:color w:val="auto"/>
                <w:sz w:val="24"/>
                <w:highlight w:val="none"/>
              </w:rPr>
            </w:pPr>
          </w:p>
          <w:p w14:paraId="7945DC81">
            <w:pPr>
              <w:spacing w:line="360" w:lineRule="auto"/>
              <w:jc w:val="center"/>
              <w:rPr>
                <w:rFonts w:ascii="宋体"/>
                <w:color w:val="auto"/>
                <w:sz w:val="24"/>
                <w:highlight w:val="none"/>
              </w:rPr>
            </w:pPr>
          </w:p>
          <w:p w14:paraId="0BCE458F">
            <w:pPr>
              <w:spacing w:line="360" w:lineRule="auto"/>
              <w:jc w:val="center"/>
              <w:rPr>
                <w:rFonts w:ascii="宋体"/>
                <w:color w:val="auto"/>
                <w:sz w:val="24"/>
                <w:highlight w:val="none"/>
              </w:rPr>
            </w:pPr>
          </w:p>
          <w:p w14:paraId="7C42DBAF">
            <w:pPr>
              <w:spacing w:line="360" w:lineRule="auto"/>
              <w:jc w:val="center"/>
              <w:rPr>
                <w:rFonts w:ascii="宋体"/>
                <w:color w:val="auto"/>
                <w:sz w:val="24"/>
                <w:highlight w:val="none"/>
              </w:rPr>
            </w:pPr>
          </w:p>
          <w:p w14:paraId="00C31DDF">
            <w:pPr>
              <w:spacing w:line="360" w:lineRule="auto"/>
              <w:jc w:val="center"/>
              <w:rPr>
                <w:rFonts w:ascii="宋体"/>
                <w:color w:val="auto"/>
                <w:sz w:val="24"/>
                <w:highlight w:val="none"/>
              </w:rPr>
            </w:pPr>
            <w:r>
              <w:rPr>
                <w:rFonts w:ascii="宋体" w:hAnsi="宋体"/>
                <w:color w:val="auto"/>
                <w:sz w:val="24"/>
                <w:highlight w:val="none"/>
              </w:rPr>
              <w:t>1</w:t>
            </w:r>
          </w:p>
        </w:tc>
        <w:tc>
          <w:tcPr>
            <w:tcW w:w="1031" w:type="dxa"/>
            <w:vMerge w:val="restart"/>
            <w:vAlign w:val="center"/>
          </w:tcPr>
          <w:p w14:paraId="66471CC1">
            <w:pPr>
              <w:spacing w:line="360" w:lineRule="auto"/>
              <w:jc w:val="center"/>
              <w:rPr>
                <w:rFonts w:ascii="宋体"/>
                <w:color w:val="auto"/>
                <w:sz w:val="24"/>
                <w:highlight w:val="none"/>
              </w:rPr>
            </w:pPr>
          </w:p>
          <w:p w14:paraId="2A700E42">
            <w:pPr>
              <w:spacing w:line="360" w:lineRule="auto"/>
              <w:jc w:val="center"/>
              <w:rPr>
                <w:rFonts w:ascii="宋体"/>
                <w:color w:val="auto"/>
                <w:sz w:val="24"/>
                <w:highlight w:val="none"/>
              </w:rPr>
            </w:pPr>
          </w:p>
          <w:p w14:paraId="4A93FDAE">
            <w:pPr>
              <w:spacing w:line="360" w:lineRule="auto"/>
              <w:jc w:val="center"/>
              <w:rPr>
                <w:rFonts w:ascii="宋体"/>
                <w:color w:val="auto"/>
                <w:sz w:val="24"/>
                <w:highlight w:val="none"/>
              </w:rPr>
            </w:pPr>
          </w:p>
          <w:p w14:paraId="71BF8A68">
            <w:pPr>
              <w:spacing w:line="360" w:lineRule="auto"/>
              <w:jc w:val="center"/>
              <w:rPr>
                <w:rFonts w:ascii="宋体"/>
                <w:color w:val="auto"/>
                <w:sz w:val="24"/>
                <w:highlight w:val="none"/>
              </w:rPr>
            </w:pPr>
          </w:p>
          <w:p w14:paraId="2AEE1F72">
            <w:pPr>
              <w:spacing w:line="360" w:lineRule="auto"/>
              <w:jc w:val="center"/>
              <w:rPr>
                <w:rFonts w:ascii="宋体"/>
                <w:color w:val="auto"/>
                <w:sz w:val="24"/>
                <w:highlight w:val="none"/>
              </w:rPr>
            </w:pPr>
          </w:p>
          <w:p w14:paraId="6929FE0D">
            <w:pPr>
              <w:spacing w:line="360" w:lineRule="auto"/>
              <w:jc w:val="center"/>
              <w:rPr>
                <w:rFonts w:ascii="宋体"/>
                <w:color w:val="auto"/>
                <w:sz w:val="24"/>
                <w:highlight w:val="none"/>
              </w:rPr>
            </w:pPr>
          </w:p>
          <w:p w14:paraId="3F72C7C5">
            <w:pPr>
              <w:spacing w:line="360" w:lineRule="auto"/>
              <w:jc w:val="center"/>
              <w:rPr>
                <w:rFonts w:ascii="宋体"/>
                <w:color w:val="auto"/>
                <w:sz w:val="24"/>
                <w:highlight w:val="none"/>
              </w:rPr>
            </w:pPr>
            <w:r>
              <w:rPr>
                <w:rFonts w:hint="eastAsia" w:ascii="宋体" w:hAnsi="宋体"/>
                <w:color w:val="auto"/>
                <w:sz w:val="24"/>
                <w:highlight w:val="none"/>
              </w:rPr>
              <w:t>技术分</w:t>
            </w:r>
          </w:p>
          <w:p w14:paraId="48B12AA8">
            <w:pPr>
              <w:spacing w:line="360" w:lineRule="auto"/>
              <w:jc w:val="center"/>
              <w:rPr>
                <w:rFonts w:ascii="宋体"/>
                <w:color w:val="auto"/>
                <w:sz w:val="24"/>
                <w:highlight w:val="none"/>
              </w:rPr>
            </w:pPr>
          </w:p>
          <w:p w14:paraId="2316775B">
            <w:pPr>
              <w:spacing w:line="360" w:lineRule="auto"/>
              <w:jc w:val="center"/>
              <w:rPr>
                <w:rFonts w:ascii="宋体"/>
                <w:color w:val="auto"/>
                <w:sz w:val="24"/>
                <w:highlight w:val="none"/>
              </w:rPr>
            </w:pPr>
            <w:r>
              <w:rPr>
                <w:rFonts w:hint="eastAsia" w:ascii="宋体" w:hAnsi="宋体" w:cs="宋体"/>
                <w:b/>
                <w:color w:val="auto"/>
                <w:szCs w:val="21"/>
                <w:highlight w:val="none"/>
              </w:rPr>
              <w:t>由磋商小组成员根据供应商提供技术部分内容独立评审、打分</w:t>
            </w:r>
          </w:p>
        </w:tc>
        <w:tc>
          <w:tcPr>
            <w:tcW w:w="912" w:type="dxa"/>
            <w:vMerge w:val="restart"/>
            <w:vAlign w:val="center"/>
          </w:tcPr>
          <w:p w14:paraId="5DDC0545">
            <w:pPr>
              <w:spacing w:line="360" w:lineRule="auto"/>
              <w:jc w:val="center"/>
              <w:rPr>
                <w:rFonts w:ascii="宋体" w:cs="宋体"/>
                <w:color w:val="auto"/>
                <w:sz w:val="24"/>
                <w:highlight w:val="none"/>
              </w:rPr>
            </w:pPr>
          </w:p>
          <w:p w14:paraId="1EF43167">
            <w:pPr>
              <w:spacing w:line="360" w:lineRule="auto"/>
              <w:jc w:val="center"/>
              <w:rPr>
                <w:rFonts w:ascii="宋体" w:cs="宋体"/>
                <w:color w:val="auto"/>
                <w:sz w:val="24"/>
                <w:highlight w:val="none"/>
              </w:rPr>
            </w:pPr>
          </w:p>
          <w:p w14:paraId="5DC9CA5D">
            <w:pPr>
              <w:spacing w:line="360" w:lineRule="auto"/>
              <w:jc w:val="center"/>
              <w:rPr>
                <w:rFonts w:ascii="宋体" w:cs="宋体"/>
                <w:color w:val="auto"/>
                <w:sz w:val="24"/>
                <w:highlight w:val="none"/>
              </w:rPr>
            </w:pPr>
          </w:p>
          <w:p w14:paraId="11985089">
            <w:pPr>
              <w:spacing w:line="360" w:lineRule="auto"/>
              <w:jc w:val="center"/>
              <w:rPr>
                <w:rFonts w:ascii="宋体" w:cs="宋体"/>
                <w:color w:val="auto"/>
                <w:sz w:val="24"/>
                <w:highlight w:val="none"/>
              </w:rPr>
            </w:pPr>
          </w:p>
          <w:p w14:paraId="436E30E8">
            <w:pPr>
              <w:spacing w:line="360" w:lineRule="auto"/>
              <w:jc w:val="center"/>
              <w:rPr>
                <w:rFonts w:ascii="宋体" w:cs="宋体"/>
                <w:color w:val="auto"/>
                <w:sz w:val="24"/>
                <w:highlight w:val="none"/>
              </w:rPr>
            </w:pPr>
          </w:p>
          <w:p w14:paraId="58986278">
            <w:pPr>
              <w:spacing w:line="360" w:lineRule="auto"/>
              <w:jc w:val="center"/>
              <w:rPr>
                <w:rFonts w:ascii="宋体" w:cs="宋体"/>
                <w:color w:val="auto"/>
                <w:sz w:val="24"/>
                <w:highlight w:val="none"/>
              </w:rPr>
            </w:pPr>
          </w:p>
          <w:p w14:paraId="0E7DFA0C">
            <w:pPr>
              <w:spacing w:line="360" w:lineRule="auto"/>
              <w:jc w:val="center"/>
              <w:rPr>
                <w:rFonts w:ascii="宋体" w:cs="宋体"/>
                <w:color w:val="auto"/>
                <w:sz w:val="24"/>
                <w:highlight w:val="none"/>
              </w:rPr>
            </w:pPr>
          </w:p>
          <w:p w14:paraId="2D971D25">
            <w:pPr>
              <w:spacing w:line="360" w:lineRule="auto"/>
              <w:jc w:val="center"/>
              <w:rPr>
                <w:rFonts w:ascii="宋体" w:cs="宋体"/>
                <w:color w:val="auto"/>
                <w:sz w:val="24"/>
                <w:highlight w:val="none"/>
              </w:rPr>
            </w:pPr>
          </w:p>
          <w:p w14:paraId="4DE41506">
            <w:pPr>
              <w:spacing w:line="360" w:lineRule="auto"/>
              <w:jc w:val="center"/>
              <w:rPr>
                <w:rFonts w:hint="eastAsia" w:ascii="宋体" w:eastAsia="宋体"/>
                <w:color w:val="auto"/>
                <w:sz w:val="24"/>
                <w:highlight w:val="none"/>
                <w:lang w:eastAsia="zh-CN"/>
              </w:rPr>
            </w:pPr>
            <w:r>
              <w:rPr>
                <w:rFonts w:hint="eastAsia" w:ascii="宋体" w:hAnsi="宋体" w:cs="宋体"/>
                <w:color w:val="auto"/>
                <w:sz w:val="24"/>
                <w:highlight w:val="none"/>
              </w:rPr>
              <w:t>施工组织设计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58分</w:t>
            </w:r>
            <w:r>
              <w:rPr>
                <w:rFonts w:hint="eastAsia" w:ascii="宋体" w:hAnsi="宋体" w:cs="宋体"/>
                <w:color w:val="auto"/>
                <w:sz w:val="24"/>
                <w:highlight w:val="none"/>
                <w:lang w:eastAsia="zh-CN"/>
              </w:rPr>
              <w:t>）</w:t>
            </w:r>
          </w:p>
        </w:tc>
        <w:tc>
          <w:tcPr>
            <w:tcW w:w="1039" w:type="dxa"/>
            <w:vAlign w:val="center"/>
          </w:tcPr>
          <w:p w14:paraId="33545E0B">
            <w:pPr>
              <w:spacing w:line="360" w:lineRule="auto"/>
              <w:rPr>
                <w:rFonts w:ascii="宋体" w:cs="宋体"/>
                <w:color w:val="auto"/>
                <w:kern w:val="0"/>
                <w:sz w:val="24"/>
                <w:highlight w:val="none"/>
              </w:rPr>
            </w:pPr>
          </w:p>
          <w:p w14:paraId="680D7B7E">
            <w:pPr>
              <w:spacing w:line="360" w:lineRule="auto"/>
              <w:rPr>
                <w:rFonts w:ascii="宋体" w:cs="宋体"/>
                <w:color w:val="auto"/>
                <w:kern w:val="0"/>
                <w:sz w:val="24"/>
                <w:highlight w:val="none"/>
              </w:rPr>
            </w:pPr>
          </w:p>
          <w:p w14:paraId="166AF523">
            <w:pPr>
              <w:spacing w:line="360" w:lineRule="auto"/>
              <w:rPr>
                <w:rFonts w:ascii="宋体" w:cs="宋体"/>
                <w:color w:val="auto"/>
                <w:kern w:val="0"/>
                <w:sz w:val="24"/>
                <w:highlight w:val="none"/>
              </w:rPr>
            </w:pPr>
          </w:p>
          <w:p w14:paraId="0C91B068">
            <w:pPr>
              <w:spacing w:line="360" w:lineRule="auto"/>
              <w:rPr>
                <w:rFonts w:ascii="宋体"/>
                <w:color w:val="auto"/>
                <w:kern w:val="0"/>
                <w:sz w:val="24"/>
                <w:highlight w:val="none"/>
              </w:rPr>
            </w:pPr>
            <w:r>
              <w:rPr>
                <w:rFonts w:hint="eastAsia" w:ascii="宋体" w:hAnsi="宋体" w:cs="宋体"/>
                <w:color w:val="auto"/>
                <w:kern w:val="0"/>
                <w:sz w:val="24"/>
                <w:highlight w:val="none"/>
              </w:rPr>
              <w:t>主要施工方法</w:t>
            </w:r>
          </w:p>
          <w:p w14:paraId="10A47BF4">
            <w:pPr>
              <w:spacing w:line="360" w:lineRule="auto"/>
              <w:rPr>
                <w:rFonts w:ascii="宋体"/>
                <w:color w:val="auto"/>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9</w:t>
            </w:r>
            <w:r>
              <w:rPr>
                <w:rFonts w:hint="eastAsia" w:ascii="宋体" w:hAnsi="宋体" w:cs="宋体"/>
                <w:color w:val="auto"/>
                <w:kern w:val="0"/>
                <w:sz w:val="24"/>
                <w:highlight w:val="none"/>
              </w:rPr>
              <w:t>分）</w:t>
            </w:r>
          </w:p>
        </w:tc>
        <w:tc>
          <w:tcPr>
            <w:tcW w:w="5774" w:type="dxa"/>
            <w:vAlign w:val="center"/>
          </w:tcPr>
          <w:p w14:paraId="304D0675">
            <w:pPr>
              <w:widowControl/>
              <w:spacing w:line="360" w:lineRule="exact"/>
              <w:rPr>
                <w:rFonts w:ascii="宋体"/>
                <w:color w:val="auto"/>
                <w:sz w:val="24"/>
                <w:highlight w:val="none"/>
              </w:rPr>
            </w:pPr>
            <w:r>
              <w:rPr>
                <w:rFonts w:hint="eastAsia" w:ascii="宋体" w:hAnsi="宋体"/>
                <w:b/>
                <w:bCs/>
                <w:color w:val="auto"/>
                <w:sz w:val="24"/>
                <w:highlight w:val="none"/>
                <w:lang w:val="en-US" w:eastAsia="zh-CN"/>
              </w:rPr>
              <w:t>优</w:t>
            </w:r>
            <w:r>
              <w:rPr>
                <w:rFonts w:hint="eastAsia" w:ascii="宋体" w:hAnsi="宋体"/>
                <w:b/>
                <w:bCs/>
                <w:color w:val="auto"/>
                <w:sz w:val="24"/>
                <w:highlight w:val="none"/>
              </w:rPr>
              <w:t>（</w:t>
            </w:r>
            <w:r>
              <w:rPr>
                <w:rFonts w:ascii="宋体" w:hAnsi="宋体"/>
                <w:b/>
                <w:bCs/>
                <w:color w:val="auto"/>
                <w:sz w:val="24"/>
                <w:highlight w:val="none"/>
              </w:rPr>
              <w:t>9</w:t>
            </w:r>
            <w:r>
              <w:rPr>
                <w:rFonts w:hint="eastAsia" w:ascii="宋体" w:hAnsi="宋体"/>
                <w:b/>
                <w:bCs/>
                <w:color w:val="auto"/>
                <w:sz w:val="24"/>
                <w:highlight w:val="none"/>
              </w:rPr>
              <w:t>分）：</w:t>
            </w:r>
            <w:r>
              <w:rPr>
                <w:rFonts w:hint="eastAsia" w:ascii="宋体" w:hAnsi="宋体"/>
                <w:color w:val="auto"/>
                <w:sz w:val="24"/>
                <w:highlight w:val="none"/>
              </w:rPr>
              <w:t>各主要分部施工方法符合项目实际，有详尽的施工技术方案，工艺先进、方法科学合理、可行，能指导具体施工并确保安全；</w:t>
            </w:r>
            <w:r>
              <w:rPr>
                <w:rFonts w:ascii="宋体" w:hAnsi="宋体"/>
                <w:color w:val="auto"/>
                <w:sz w:val="24"/>
                <w:highlight w:val="none"/>
              </w:rPr>
              <w:t xml:space="preserve"> </w:t>
            </w:r>
          </w:p>
          <w:p w14:paraId="31F70319">
            <w:pPr>
              <w:widowControl/>
              <w:spacing w:line="360" w:lineRule="exact"/>
              <w:rPr>
                <w:rFonts w:ascii="宋体"/>
                <w:color w:val="auto"/>
                <w:sz w:val="24"/>
                <w:highlight w:val="none"/>
              </w:rPr>
            </w:pPr>
            <w:r>
              <w:rPr>
                <w:rFonts w:hint="eastAsia" w:ascii="宋体" w:hAnsi="宋体" w:eastAsia="宋体"/>
                <w:b/>
                <w:bCs/>
                <w:color w:val="auto"/>
                <w:sz w:val="24"/>
                <w:highlight w:val="none"/>
                <w:lang w:val="en-US" w:eastAsia="zh-CN"/>
              </w:rPr>
              <w:t>良（6分）：</w:t>
            </w:r>
            <w:r>
              <w:rPr>
                <w:rFonts w:hint="eastAsia" w:ascii="宋体" w:hAnsi="宋体"/>
                <w:color w:val="auto"/>
                <w:sz w:val="24"/>
                <w:highlight w:val="none"/>
              </w:rPr>
              <w:t>各主要分部施工方法符合项目实际，有详尽的施工技术方案，工艺、方法可行，能指导具体施工并确保安全；</w:t>
            </w:r>
            <w:r>
              <w:rPr>
                <w:rFonts w:ascii="宋体" w:hAnsi="宋体"/>
                <w:color w:val="auto"/>
                <w:sz w:val="24"/>
                <w:highlight w:val="none"/>
              </w:rPr>
              <w:t xml:space="preserve"> </w:t>
            </w:r>
          </w:p>
          <w:p w14:paraId="724EDA0C">
            <w:pPr>
              <w:widowControl/>
              <w:spacing w:line="360" w:lineRule="exact"/>
              <w:rPr>
                <w:rFonts w:ascii="宋体"/>
                <w:color w:val="auto"/>
                <w:sz w:val="24"/>
                <w:highlight w:val="none"/>
              </w:rPr>
            </w:pPr>
            <w:r>
              <w:rPr>
                <w:rFonts w:hint="eastAsia" w:ascii="宋体" w:hAnsi="宋体" w:eastAsia="宋体"/>
                <w:b/>
                <w:bCs/>
                <w:color w:val="auto"/>
                <w:sz w:val="24"/>
                <w:highlight w:val="none"/>
                <w:lang w:val="en-US" w:eastAsia="zh-CN"/>
              </w:rPr>
              <w:t>中（3分）：</w:t>
            </w:r>
            <w:r>
              <w:rPr>
                <w:rFonts w:hint="eastAsia" w:ascii="宋体" w:hAnsi="宋体"/>
                <w:color w:val="auto"/>
                <w:sz w:val="24"/>
                <w:highlight w:val="none"/>
              </w:rPr>
              <w:t>各主要分部施工方法基本符合项目实际，须有施工技术方案，工艺、方法可行，基本能指导具体施工并确保安全；</w:t>
            </w:r>
          </w:p>
          <w:p w14:paraId="56F06440">
            <w:pPr>
              <w:widowControl/>
              <w:spacing w:line="360" w:lineRule="exact"/>
              <w:rPr>
                <w:rFonts w:ascii="宋体"/>
                <w:color w:val="auto"/>
                <w:sz w:val="24"/>
                <w:highlight w:val="none"/>
              </w:rPr>
            </w:pPr>
            <w:r>
              <w:rPr>
                <w:rFonts w:hint="eastAsia" w:ascii="宋体" w:hAnsi="宋体" w:eastAsia="宋体"/>
                <w:b/>
                <w:bCs/>
                <w:color w:val="auto"/>
                <w:sz w:val="24"/>
                <w:highlight w:val="none"/>
                <w:lang w:val="en-US" w:eastAsia="zh-CN"/>
              </w:rPr>
              <w:t>差（0分）：</w:t>
            </w:r>
            <w:r>
              <w:rPr>
                <w:rFonts w:hint="eastAsia" w:ascii="宋体" w:hAnsi="宋体"/>
                <w:color w:val="auto"/>
                <w:sz w:val="24"/>
                <w:highlight w:val="none"/>
              </w:rPr>
              <w:t>各主要分部施工方法不符合项目实际，无详尽的施工技术方案，不能指导具体施工并确保安全；</w:t>
            </w:r>
          </w:p>
        </w:tc>
      </w:tr>
      <w:tr w14:paraId="588C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Merge w:val="continue"/>
            <w:vAlign w:val="center"/>
          </w:tcPr>
          <w:p w14:paraId="1074D945">
            <w:pPr>
              <w:spacing w:line="360" w:lineRule="auto"/>
              <w:jc w:val="center"/>
              <w:rPr>
                <w:rFonts w:ascii="宋体"/>
                <w:color w:val="auto"/>
                <w:sz w:val="24"/>
                <w:highlight w:val="none"/>
              </w:rPr>
            </w:pPr>
          </w:p>
        </w:tc>
        <w:tc>
          <w:tcPr>
            <w:tcW w:w="1031" w:type="dxa"/>
            <w:vMerge w:val="continue"/>
            <w:vAlign w:val="center"/>
          </w:tcPr>
          <w:p w14:paraId="1508DBD2">
            <w:pPr>
              <w:spacing w:line="360" w:lineRule="auto"/>
              <w:jc w:val="center"/>
              <w:rPr>
                <w:rFonts w:ascii="宋体"/>
                <w:color w:val="auto"/>
                <w:sz w:val="24"/>
                <w:highlight w:val="none"/>
              </w:rPr>
            </w:pPr>
          </w:p>
        </w:tc>
        <w:tc>
          <w:tcPr>
            <w:tcW w:w="912" w:type="dxa"/>
            <w:vMerge w:val="continue"/>
            <w:vAlign w:val="center"/>
          </w:tcPr>
          <w:p w14:paraId="60E31271">
            <w:pPr>
              <w:spacing w:line="360" w:lineRule="auto"/>
              <w:jc w:val="center"/>
              <w:rPr>
                <w:rFonts w:ascii="宋体"/>
                <w:color w:val="auto"/>
                <w:sz w:val="24"/>
                <w:highlight w:val="none"/>
              </w:rPr>
            </w:pPr>
          </w:p>
        </w:tc>
        <w:tc>
          <w:tcPr>
            <w:tcW w:w="1039" w:type="dxa"/>
            <w:vAlign w:val="center"/>
          </w:tcPr>
          <w:p w14:paraId="40788E1B">
            <w:pPr>
              <w:widowControl/>
              <w:spacing w:line="360" w:lineRule="auto"/>
              <w:rPr>
                <w:rFonts w:ascii="宋体" w:cs="宋体"/>
                <w:color w:val="auto"/>
                <w:kern w:val="0"/>
                <w:sz w:val="24"/>
                <w:highlight w:val="none"/>
              </w:rPr>
            </w:pPr>
            <w:r>
              <w:rPr>
                <w:rFonts w:hint="eastAsia" w:ascii="宋体" w:hAnsi="宋体" w:cs="宋体"/>
                <w:color w:val="auto"/>
                <w:kern w:val="0"/>
                <w:sz w:val="24"/>
                <w:highlight w:val="none"/>
              </w:rPr>
              <w:t>拟投入的主要物资计划（</w:t>
            </w:r>
            <w:r>
              <w:rPr>
                <w:rFonts w:ascii="宋体" w:hAnsi="宋体" w:cs="宋体"/>
                <w:color w:val="auto"/>
                <w:kern w:val="0"/>
                <w:sz w:val="24"/>
                <w:highlight w:val="none"/>
              </w:rPr>
              <w:t>6</w:t>
            </w:r>
            <w:r>
              <w:rPr>
                <w:rFonts w:hint="eastAsia" w:ascii="宋体" w:hAnsi="宋体" w:cs="宋体"/>
                <w:color w:val="auto"/>
                <w:kern w:val="0"/>
                <w:sz w:val="24"/>
                <w:highlight w:val="none"/>
              </w:rPr>
              <w:t>分）</w:t>
            </w:r>
          </w:p>
        </w:tc>
        <w:tc>
          <w:tcPr>
            <w:tcW w:w="5774" w:type="dxa"/>
            <w:vAlign w:val="center"/>
          </w:tcPr>
          <w:p w14:paraId="0A884FC2">
            <w:pPr>
              <w:widowControl/>
              <w:spacing w:line="360" w:lineRule="exact"/>
              <w:rPr>
                <w:rFonts w:ascii="宋体"/>
                <w:color w:val="auto"/>
                <w:sz w:val="24"/>
                <w:highlight w:val="none"/>
              </w:rPr>
            </w:pPr>
            <w:r>
              <w:rPr>
                <w:rFonts w:hint="eastAsia" w:ascii="宋体" w:hAnsi="宋体"/>
                <w:b/>
                <w:bCs/>
                <w:color w:val="auto"/>
                <w:sz w:val="24"/>
                <w:highlight w:val="none"/>
                <w:lang w:eastAsia="zh-CN"/>
              </w:rPr>
              <w:t>优</w:t>
            </w:r>
            <w:r>
              <w:rPr>
                <w:rFonts w:hint="eastAsia" w:ascii="宋体" w:hAnsi="宋体"/>
                <w:b/>
                <w:bCs/>
                <w:color w:val="auto"/>
                <w:sz w:val="24"/>
                <w:highlight w:val="none"/>
              </w:rPr>
              <w:t>（</w:t>
            </w:r>
            <w:r>
              <w:rPr>
                <w:rFonts w:ascii="宋体" w:hAnsi="宋体"/>
                <w:b/>
                <w:bCs/>
                <w:color w:val="auto"/>
                <w:sz w:val="24"/>
                <w:highlight w:val="none"/>
              </w:rPr>
              <w:t>6</w:t>
            </w:r>
            <w:r>
              <w:rPr>
                <w:rFonts w:hint="eastAsia" w:ascii="宋体" w:hAnsi="宋体"/>
                <w:b/>
                <w:bCs/>
                <w:color w:val="auto"/>
                <w:sz w:val="24"/>
                <w:highlight w:val="none"/>
              </w:rPr>
              <w:t>分）：</w:t>
            </w:r>
            <w:r>
              <w:rPr>
                <w:rFonts w:hint="eastAsia" w:ascii="宋体" w:hAnsi="宋体"/>
                <w:color w:val="auto"/>
                <w:sz w:val="24"/>
                <w:highlight w:val="none"/>
              </w:rPr>
              <w:t>投入的施工材料有详细的组织计划且计划周密，数量、选型配置、进场时间安排合理，满足施工需要；</w:t>
            </w:r>
            <w:r>
              <w:rPr>
                <w:rFonts w:ascii="宋体" w:hAnsi="宋体"/>
                <w:color w:val="auto"/>
                <w:sz w:val="24"/>
                <w:highlight w:val="none"/>
              </w:rPr>
              <w:t xml:space="preserve"> </w:t>
            </w:r>
          </w:p>
          <w:p w14:paraId="3F0AD1AE">
            <w:pPr>
              <w:widowControl/>
              <w:spacing w:line="360" w:lineRule="exact"/>
              <w:rPr>
                <w:rFonts w:ascii="宋体"/>
                <w:color w:val="auto"/>
                <w:sz w:val="24"/>
                <w:highlight w:val="none"/>
              </w:rPr>
            </w:pPr>
            <w:r>
              <w:rPr>
                <w:rFonts w:hint="eastAsia" w:ascii="宋体" w:hAnsi="宋体"/>
                <w:b/>
                <w:bCs/>
                <w:color w:val="auto"/>
                <w:sz w:val="24"/>
                <w:highlight w:val="none"/>
                <w:lang w:eastAsia="zh-CN"/>
              </w:rPr>
              <w:t>良</w:t>
            </w:r>
            <w:r>
              <w:rPr>
                <w:rFonts w:hint="eastAsia" w:ascii="宋体" w:hAnsi="宋体"/>
                <w:b/>
                <w:bCs/>
                <w:color w:val="auto"/>
                <w:sz w:val="24"/>
                <w:highlight w:val="none"/>
              </w:rPr>
              <w:t>（</w:t>
            </w:r>
            <w:r>
              <w:rPr>
                <w:rFonts w:ascii="宋体" w:hAnsi="宋体"/>
                <w:b/>
                <w:bCs/>
                <w:color w:val="auto"/>
                <w:sz w:val="24"/>
                <w:highlight w:val="none"/>
              </w:rPr>
              <w:t>4</w:t>
            </w:r>
            <w:r>
              <w:rPr>
                <w:rFonts w:hint="eastAsia" w:ascii="宋体" w:hAnsi="宋体"/>
                <w:b/>
                <w:bCs/>
                <w:color w:val="auto"/>
                <w:sz w:val="24"/>
                <w:highlight w:val="none"/>
              </w:rPr>
              <w:t>分）：</w:t>
            </w:r>
            <w:r>
              <w:rPr>
                <w:rFonts w:hint="eastAsia" w:ascii="宋体" w:hAnsi="宋体"/>
                <w:color w:val="auto"/>
                <w:sz w:val="24"/>
                <w:highlight w:val="none"/>
              </w:rPr>
              <w:t>投入的施工材料有详细的组织计划且计划周密，投入计划与进度计划对应，调配投入计划合理、准确，较好满足施工需要。</w:t>
            </w:r>
            <w:r>
              <w:rPr>
                <w:rFonts w:ascii="宋体" w:hAnsi="宋体"/>
                <w:color w:val="auto"/>
                <w:sz w:val="24"/>
                <w:highlight w:val="none"/>
              </w:rPr>
              <w:t xml:space="preserve"> </w:t>
            </w:r>
          </w:p>
          <w:p w14:paraId="717E7617">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中（2分）：</w:t>
            </w:r>
            <w:r>
              <w:rPr>
                <w:rFonts w:hint="eastAsia" w:ascii="宋体" w:hAnsi="宋体"/>
                <w:color w:val="auto"/>
                <w:sz w:val="24"/>
                <w:highlight w:val="none"/>
              </w:rPr>
              <w:t>投入的施工材料有详细的组织计划，投入计划与进度计划对应，调配投入计划基本合理、准确，基本满足施工需要。</w:t>
            </w:r>
          </w:p>
          <w:p w14:paraId="0106912A">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差（0分）：</w:t>
            </w:r>
            <w:r>
              <w:rPr>
                <w:rFonts w:hint="eastAsia" w:ascii="宋体" w:hAnsi="宋体"/>
                <w:color w:val="auto"/>
                <w:sz w:val="24"/>
                <w:highlight w:val="none"/>
              </w:rPr>
              <w:t>投入的施工材料无详细组织计划，数量、选型配置、进场时间安排不合理，不能满足施工需要</w:t>
            </w:r>
            <w:r>
              <w:rPr>
                <w:rFonts w:hint="eastAsia" w:ascii="宋体" w:hAnsi="宋体"/>
                <w:b/>
                <w:bCs/>
                <w:color w:val="auto"/>
                <w:sz w:val="24"/>
                <w:highlight w:val="none"/>
              </w:rPr>
              <w:t>或未提供拟投入的主要物资计划。</w:t>
            </w:r>
          </w:p>
        </w:tc>
      </w:tr>
      <w:tr w14:paraId="0C0FA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Merge w:val="continue"/>
            <w:vAlign w:val="center"/>
          </w:tcPr>
          <w:p w14:paraId="4AF1FFC8">
            <w:pPr>
              <w:spacing w:line="360" w:lineRule="auto"/>
              <w:jc w:val="center"/>
              <w:rPr>
                <w:rFonts w:ascii="宋体"/>
                <w:color w:val="auto"/>
                <w:sz w:val="24"/>
                <w:highlight w:val="none"/>
              </w:rPr>
            </w:pPr>
          </w:p>
        </w:tc>
        <w:tc>
          <w:tcPr>
            <w:tcW w:w="1031" w:type="dxa"/>
            <w:vMerge w:val="continue"/>
            <w:vAlign w:val="center"/>
          </w:tcPr>
          <w:p w14:paraId="0D90A4A3">
            <w:pPr>
              <w:spacing w:line="360" w:lineRule="auto"/>
              <w:jc w:val="center"/>
              <w:rPr>
                <w:rFonts w:ascii="宋体"/>
                <w:color w:val="auto"/>
                <w:sz w:val="24"/>
                <w:highlight w:val="none"/>
              </w:rPr>
            </w:pPr>
          </w:p>
        </w:tc>
        <w:tc>
          <w:tcPr>
            <w:tcW w:w="912" w:type="dxa"/>
            <w:vMerge w:val="continue"/>
            <w:vAlign w:val="center"/>
          </w:tcPr>
          <w:p w14:paraId="32A41ADB">
            <w:pPr>
              <w:spacing w:line="360" w:lineRule="auto"/>
              <w:jc w:val="center"/>
              <w:rPr>
                <w:rFonts w:ascii="宋体"/>
                <w:color w:val="auto"/>
                <w:sz w:val="24"/>
                <w:highlight w:val="none"/>
              </w:rPr>
            </w:pPr>
          </w:p>
        </w:tc>
        <w:tc>
          <w:tcPr>
            <w:tcW w:w="1039" w:type="dxa"/>
            <w:vAlign w:val="center"/>
          </w:tcPr>
          <w:p w14:paraId="42B1D0A6">
            <w:pPr>
              <w:widowControl/>
              <w:spacing w:line="360" w:lineRule="auto"/>
              <w:rPr>
                <w:rFonts w:ascii="宋体"/>
                <w:color w:val="auto"/>
                <w:sz w:val="24"/>
                <w:highlight w:val="none"/>
              </w:rPr>
            </w:pPr>
            <w:r>
              <w:rPr>
                <w:rFonts w:hint="eastAsia" w:ascii="宋体" w:hAnsi="宋体" w:cs="宋体"/>
                <w:color w:val="auto"/>
                <w:kern w:val="0"/>
                <w:sz w:val="24"/>
                <w:highlight w:val="none"/>
              </w:rPr>
              <w:t>劳动力安排计划（</w:t>
            </w:r>
            <w:r>
              <w:rPr>
                <w:rFonts w:ascii="宋体" w:hAnsi="宋体"/>
                <w:color w:val="auto"/>
                <w:kern w:val="0"/>
                <w:sz w:val="24"/>
                <w:highlight w:val="none"/>
              </w:rPr>
              <w:t>6</w:t>
            </w:r>
            <w:r>
              <w:rPr>
                <w:rFonts w:hint="eastAsia" w:ascii="宋体" w:hAnsi="宋体" w:cs="宋体"/>
                <w:color w:val="auto"/>
                <w:kern w:val="0"/>
                <w:sz w:val="24"/>
                <w:highlight w:val="none"/>
              </w:rPr>
              <w:t>分）</w:t>
            </w:r>
          </w:p>
        </w:tc>
        <w:tc>
          <w:tcPr>
            <w:tcW w:w="5774" w:type="dxa"/>
            <w:vAlign w:val="center"/>
          </w:tcPr>
          <w:p w14:paraId="5E7E212F">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优（6分）：</w:t>
            </w:r>
            <w:r>
              <w:rPr>
                <w:rFonts w:hint="eastAsia" w:ascii="宋体" w:hAnsi="宋体"/>
                <w:color w:val="auto"/>
                <w:sz w:val="24"/>
                <w:highlight w:val="none"/>
              </w:rPr>
              <w:t>各主要施工工序有详细周密的劳动力安排计划，有各工种劳动力安排计划，劳动力投入合理，完全满足施工需要。</w:t>
            </w:r>
            <w:r>
              <w:rPr>
                <w:rFonts w:ascii="宋体" w:hAnsi="宋体"/>
                <w:color w:val="auto"/>
                <w:sz w:val="24"/>
                <w:highlight w:val="none"/>
              </w:rPr>
              <w:t xml:space="preserve"> </w:t>
            </w:r>
          </w:p>
          <w:p w14:paraId="24FADF30">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良（4分）：</w:t>
            </w:r>
            <w:r>
              <w:rPr>
                <w:rFonts w:hint="eastAsia" w:ascii="宋体" w:hAnsi="宋体"/>
                <w:color w:val="auto"/>
                <w:sz w:val="24"/>
                <w:highlight w:val="none"/>
              </w:rPr>
              <w:t>各主要施工工序有劳动力安排计划，有各工种劳动力安排计划，劳动力投入合理，满足施工需要。</w:t>
            </w:r>
            <w:r>
              <w:rPr>
                <w:rFonts w:ascii="宋体" w:hAnsi="宋体"/>
                <w:color w:val="auto"/>
                <w:sz w:val="24"/>
                <w:highlight w:val="none"/>
              </w:rPr>
              <w:t xml:space="preserve"> </w:t>
            </w:r>
          </w:p>
          <w:p w14:paraId="575C7CA7">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中（2分）：</w:t>
            </w:r>
            <w:r>
              <w:rPr>
                <w:rFonts w:hint="eastAsia" w:ascii="宋体" w:hAnsi="宋体"/>
                <w:color w:val="auto"/>
                <w:sz w:val="24"/>
                <w:highlight w:val="none"/>
              </w:rPr>
              <w:t>各主要施工工序有劳动力安排计划，有各工种劳动力安排计划，劳动力投入基本能满足施工需要。</w:t>
            </w:r>
            <w:r>
              <w:rPr>
                <w:rFonts w:ascii="宋体" w:hAnsi="宋体"/>
                <w:color w:val="auto"/>
                <w:sz w:val="24"/>
                <w:highlight w:val="none"/>
              </w:rPr>
              <w:t xml:space="preserve"> </w:t>
            </w:r>
          </w:p>
          <w:p w14:paraId="2734CFE2">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差（0分）：</w:t>
            </w:r>
            <w:r>
              <w:rPr>
                <w:rFonts w:hint="eastAsia" w:ascii="宋体" w:hAnsi="宋体"/>
                <w:color w:val="auto"/>
                <w:sz w:val="24"/>
                <w:highlight w:val="none"/>
              </w:rPr>
              <w:t>各主要施工工序劳动力安排计划不全，无各工种劳动力安排计划或计划不全，劳动力投入不合理，不能满足施工需要</w:t>
            </w:r>
            <w:r>
              <w:rPr>
                <w:rFonts w:hint="eastAsia" w:ascii="宋体" w:hAnsi="宋体"/>
                <w:b/>
                <w:bCs/>
                <w:color w:val="auto"/>
                <w:sz w:val="24"/>
                <w:highlight w:val="none"/>
              </w:rPr>
              <w:t>或未提供劳动力安排计划。</w:t>
            </w:r>
          </w:p>
        </w:tc>
      </w:tr>
      <w:tr w14:paraId="37291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vMerge w:val="continue"/>
            <w:vAlign w:val="center"/>
          </w:tcPr>
          <w:p w14:paraId="62747E1B">
            <w:pPr>
              <w:spacing w:line="360" w:lineRule="auto"/>
              <w:jc w:val="center"/>
              <w:rPr>
                <w:rFonts w:ascii="宋体"/>
                <w:color w:val="auto"/>
                <w:sz w:val="24"/>
                <w:highlight w:val="none"/>
              </w:rPr>
            </w:pPr>
          </w:p>
        </w:tc>
        <w:tc>
          <w:tcPr>
            <w:tcW w:w="1031" w:type="dxa"/>
            <w:vMerge w:val="continue"/>
            <w:vAlign w:val="center"/>
          </w:tcPr>
          <w:p w14:paraId="40ECEA8D">
            <w:pPr>
              <w:spacing w:line="360" w:lineRule="auto"/>
              <w:jc w:val="center"/>
              <w:rPr>
                <w:rFonts w:ascii="宋体"/>
                <w:color w:val="auto"/>
                <w:sz w:val="24"/>
                <w:highlight w:val="none"/>
              </w:rPr>
            </w:pPr>
          </w:p>
        </w:tc>
        <w:tc>
          <w:tcPr>
            <w:tcW w:w="912" w:type="dxa"/>
            <w:vMerge w:val="continue"/>
            <w:vAlign w:val="center"/>
          </w:tcPr>
          <w:p w14:paraId="546B1619">
            <w:pPr>
              <w:spacing w:line="360" w:lineRule="auto"/>
              <w:jc w:val="center"/>
              <w:rPr>
                <w:rFonts w:ascii="宋体"/>
                <w:color w:val="auto"/>
                <w:sz w:val="24"/>
                <w:highlight w:val="none"/>
              </w:rPr>
            </w:pPr>
          </w:p>
        </w:tc>
        <w:tc>
          <w:tcPr>
            <w:tcW w:w="1039" w:type="dxa"/>
            <w:vAlign w:val="center"/>
          </w:tcPr>
          <w:p w14:paraId="359B8B49">
            <w:pPr>
              <w:widowControl/>
              <w:spacing w:line="360" w:lineRule="auto"/>
              <w:rPr>
                <w:rFonts w:ascii="宋体" w:cs="宋体"/>
                <w:color w:val="auto"/>
                <w:kern w:val="0"/>
                <w:sz w:val="24"/>
                <w:highlight w:val="none"/>
              </w:rPr>
            </w:pPr>
          </w:p>
          <w:p w14:paraId="1BB04B44">
            <w:pPr>
              <w:widowControl/>
              <w:spacing w:line="360" w:lineRule="auto"/>
              <w:rPr>
                <w:rFonts w:ascii="宋体" w:cs="宋体"/>
                <w:color w:val="auto"/>
                <w:kern w:val="0"/>
                <w:sz w:val="24"/>
                <w:highlight w:val="none"/>
              </w:rPr>
            </w:pPr>
          </w:p>
          <w:p w14:paraId="65052871">
            <w:pPr>
              <w:widowControl/>
              <w:spacing w:line="360" w:lineRule="auto"/>
              <w:rPr>
                <w:rFonts w:ascii="宋体"/>
                <w:color w:val="auto"/>
                <w:sz w:val="24"/>
                <w:highlight w:val="none"/>
              </w:rPr>
            </w:pPr>
            <w:r>
              <w:rPr>
                <w:rFonts w:hint="eastAsia" w:ascii="宋体" w:hAnsi="宋体" w:cs="宋体"/>
                <w:color w:val="auto"/>
                <w:kern w:val="0"/>
                <w:sz w:val="24"/>
                <w:highlight w:val="none"/>
              </w:rPr>
              <w:t>确保工程质量的技术组织措施</w:t>
            </w:r>
            <w:r>
              <w:rPr>
                <w:rFonts w:ascii="宋体" w:hAnsi="宋体" w:cs="宋体"/>
                <w:color w:val="auto"/>
                <w:kern w:val="0"/>
                <w:sz w:val="24"/>
                <w:highlight w:val="none"/>
              </w:rPr>
              <w:t>(9</w:t>
            </w:r>
            <w:r>
              <w:rPr>
                <w:rFonts w:hint="eastAsia" w:ascii="宋体" w:hAnsi="宋体" w:cs="宋体"/>
                <w:color w:val="auto"/>
                <w:kern w:val="0"/>
                <w:sz w:val="24"/>
                <w:highlight w:val="none"/>
              </w:rPr>
              <w:t>分）</w:t>
            </w:r>
          </w:p>
        </w:tc>
        <w:tc>
          <w:tcPr>
            <w:tcW w:w="5774" w:type="dxa"/>
            <w:vAlign w:val="center"/>
          </w:tcPr>
          <w:p w14:paraId="315E679B">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优（</w:t>
            </w:r>
            <w:r>
              <w:rPr>
                <w:rFonts w:hint="eastAsia" w:ascii="宋体" w:hAnsi="宋体"/>
                <w:b/>
                <w:bCs/>
                <w:color w:val="auto"/>
                <w:sz w:val="24"/>
                <w:highlight w:val="none"/>
                <w:lang w:val="en-US" w:eastAsia="zh-CN"/>
              </w:rPr>
              <w:t>9</w:t>
            </w:r>
            <w:r>
              <w:rPr>
                <w:rFonts w:hint="eastAsia" w:ascii="宋体" w:hAnsi="宋体" w:eastAsia="宋体"/>
                <w:b/>
                <w:bCs/>
                <w:color w:val="auto"/>
                <w:sz w:val="24"/>
                <w:highlight w:val="none"/>
                <w:lang w:eastAsia="zh-CN"/>
              </w:rPr>
              <w:t>分）：</w:t>
            </w:r>
            <w:r>
              <w:rPr>
                <w:rFonts w:hint="eastAsia" w:ascii="宋体" w:hAnsi="宋体"/>
                <w:color w:val="auto"/>
                <w:sz w:val="24"/>
                <w:highlight w:val="none"/>
              </w:rPr>
              <w:t>有专门的质量技术管理班子和制度，且人员配备合理，制度健全。主要工序质量技术保证措施和手段科学合理，自控体系完整，能有效保证技术质量，达到承诺的质量标准。</w:t>
            </w:r>
            <w:r>
              <w:rPr>
                <w:rFonts w:ascii="宋体" w:hAnsi="宋体"/>
                <w:color w:val="auto"/>
                <w:sz w:val="24"/>
                <w:highlight w:val="none"/>
              </w:rPr>
              <w:t xml:space="preserve"> </w:t>
            </w:r>
          </w:p>
          <w:p w14:paraId="0D8485CE">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良（</w:t>
            </w:r>
            <w:r>
              <w:rPr>
                <w:rFonts w:hint="eastAsia" w:ascii="宋体" w:hAnsi="宋体"/>
                <w:b/>
                <w:bCs/>
                <w:color w:val="auto"/>
                <w:sz w:val="24"/>
                <w:highlight w:val="none"/>
                <w:lang w:val="en-US" w:eastAsia="zh-CN"/>
              </w:rPr>
              <w:t>6</w:t>
            </w:r>
            <w:r>
              <w:rPr>
                <w:rFonts w:hint="eastAsia" w:ascii="宋体" w:hAnsi="宋体" w:eastAsia="宋体"/>
                <w:b/>
                <w:bCs/>
                <w:color w:val="auto"/>
                <w:sz w:val="24"/>
                <w:highlight w:val="none"/>
                <w:lang w:eastAsia="zh-CN"/>
              </w:rPr>
              <w:t>分）：</w:t>
            </w:r>
            <w:r>
              <w:rPr>
                <w:rFonts w:hint="eastAsia" w:ascii="宋体" w:hAnsi="宋体"/>
                <w:color w:val="auto"/>
                <w:sz w:val="24"/>
                <w:highlight w:val="none"/>
              </w:rPr>
              <w:t>有专门的质量技术管理班子和制度，且人员配备合理，制度健全。主要工序的质量技术保证措施和手段，有自控体系，能有效保证技术质量，达到承诺的质量标准。</w:t>
            </w:r>
            <w:r>
              <w:rPr>
                <w:rFonts w:ascii="宋体" w:hAnsi="宋体"/>
                <w:color w:val="auto"/>
                <w:sz w:val="24"/>
                <w:highlight w:val="none"/>
              </w:rPr>
              <w:t xml:space="preserve"> </w:t>
            </w:r>
          </w:p>
          <w:p w14:paraId="70B10628">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中（</w:t>
            </w:r>
            <w:r>
              <w:rPr>
                <w:rFonts w:hint="eastAsia" w:ascii="宋体" w:hAnsi="宋体"/>
                <w:b/>
                <w:bCs/>
                <w:color w:val="auto"/>
                <w:sz w:val="24"/>
                <w:highlight w:val="none"/>
                <w:lang w:val="en-US" w:eastAsia="zh-CN"/>
              </w:rPr>
              <w:t>3</w:t>
            </w:r>
            <w:r>
              <w:rPr>
                <w:rFonts w:hint="eastAsia" w:ascii="宋体" w:hAnsi="宋体" w:eastAsia="宋体"/>
                <w:b/>
                <w:bCs/>
                <w:color w:val="auto"/>
                <w:sz w:val="24"/>
                <w:highlight w:val="none"/>
                <w:lang w:eastAsia="zh-CN"/>
              </w:rPr>
              <w:t>分）：</w:t>
            </w:r>
            <w:r>
              <w:rPr>
                <w:rFonts w:hint="eastAsia" w:ascii="宋体" w:hAnsi="宋体"/>
                <w:color w:val="auto"/>
                <w:sz w:val="24"/>
                <w:highlight w:val="none"/>
              </w:rPr>
              <w:t>有专门的质量技术管理班子和制度，且人员配备基本合理，主要工序的质量技术保证措施和手段，基本保证技术质量，基本达到承诺的质量标准。</w:t>
            </w:r>
          </w:p>
          <w:p w14:paraId="09CC9E46">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差（0分）：</w:t>
            </w:r>
            <w:r>
              <w:rPr>
                <w:rFonts w:hint="eastAsia" w:ascii="宋体" w:hAnsi="宋体"/>
                <w:color w:val="auto"/>
                <w:sz w:val="24"/>
                <w:highlight w:val="none"/>
              </w:rPr>
              <w:t>有专门的质量技术管理班子和制度，人员配备不合理，制度不健全。主要工序无质量技术保证措施和手段，自控体系不完整，不能有效保证技术质量，达不到承诺的质量标准或</w:t>
            </w:r>
            <w:r>
              <w:rPr>
                <w:rFonts w:hint="eastAsia" w:ascii="宋体" w:hAnsi="宋体"/>
                <w:b/>
                <w:bCs/>
                <w:color w:val="auto"/>
                <w:sz w:val="24"/>
                <w:highlight w:val="none"/>
              </w:rPr>
              <w:t>未提供</w:t>
            </w:r>
            <w:r>
              <w:rPr>
                <w:rFonts w:hint="eastAsia" w:ascii="宋体" w:hAnsi="宋体" w:cs="宋体"/>
                <w:b/>
                <w:bCs/>
                <w:color w:val="auto"/>
                <w:kern w:val="0"/>
                <w:sz w:val="24"/>
                <w:highlight w:val="none"/>
              </w:rPr>
              <w:t>确保工程质量的技术组织措施</w:t>
            </w:r>
            <w:r>
              <w:rPr>
                <w:rFonts w:hint="eastAsia" w:ascii="宋体" w:hAnsi="宋体"/>
                <w:color w:val="auto"/>
                <w:sz w:val="24"/>
                <w:highlight w:val="none"/>
              </w:rPr>
              <w:t>。</w:t>
            </w:r>
          </w:p>
        </w:tc>
      </w:tr>
      <w:tr w14:paraId="2F00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Merge w:val="continue"/>
            <w:vAlign w:val="center"/>
          </w:tcPr>
          <w:p w14:paraId="07315903">
            <w:pPr>
              <w:spacing w:line="360" w:lineRule="auto"/>
              <w:jc w:val="center"/>
              <w:rPr>
                <w:rFonts w:ascii="宋体"/>
                <w:color w:val="auto"/>
                <w:sz w:val="24"/>
                <w:highlight w:val="none"/>
              </w:rPr>
            </w:pPr>
          </w:p>
        </w:tc>
        <w:tc>
          <w:tcPr>
            <w:tcW w:w="1031" w:type="dxa"/>
            <w:vMerge w:val="continue"/>
            <w:vAlign w:val="center"/>
          </w:tcPr>
          <w:p w14:paraId="284AA13C">
            <w:pPr>
              <w:spacing w:line="360" w:lineRule="auto"/>
              <w:jc w:val="center"/>
              <w:rPr>
                <w:rFonts w:ascii="宋体"/>
                <w:color w:val="auto"/>
                <w:sz w:val="24"/>
                <w:highlight w:val="none"/>
              </w:rPr>
            </w:pPr>
          </w:p>
        </w:tc>
        <w:tc>
          <w:tcPr>
            <w:tcW w:w="912" w:type="dxa"/>
            <w:vMerge w:val="continue"/>
            <w:vAlign w:val="center"/>
          </w:tcPr>
          <w:p w14:paraId="776ABB1D">
            <w:pPr>
              <w:spacing w:line="360" w:lineRule="auto"/>
              <w:jc w:val="center"/>
              <w:rPr>
                <w:rFonts w:ascii="宋体"/>
                <w:color w:val="auto"/>
                <w:sz w:val="24"/>
                <w:highlight w:val="none"/>
              </w:rPr>
            </w:pPr>
          </w:p>
        </w:tc>
        <w:tc>
          <w:tcPr>
            <w:tcW w:w="1039" w:type="dxa"/>
            <w:vAlign w:val="center"/>
          </w:tcPr>
          <w:p w14:paraId="06EFBCD7">
            <w:pPr>
              <w:widowControl/>
              <w:spacing w:line="360" w:lineRule="auto"/>
              <w:rPr>
                <w:rFonts w:ascii="宋体"/>
                <w:color w:val="auto"/>
                <w:kern w:val="0"/>
                <w:sz w:val="24"/>
                <w:highlight w:val="none"/>
              </w:rPr>
            </w:pPr>
            <w:bookmarkStart w:id="2453" w:name="OLE_LINK9"/>
            <w:r>
              <w:rPr>
                <w:rFonts w:hint="eastAsia" w:ascii="宋体" w:hAnsi="宋体" w:cs="宋体"/>
                <w:color w:val="auto"/>
                <w:kern w:val="0"/>
                <w:sz w:val="24"/>
                <w:highlight w:val="none"/>
              </w:rPr>
              <w:t>确保安全生产的技术组织措施</w:t>
            </w:r>
            <w:bookmarkEnd w:id="2453"/>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分）</w:t>
            </w:r>
          </w:p>
          <w:p w14:paraId="4AC4EB51">
            <w:pPr>
              <w:widowControl/>
              <w:spacing w:line="360" w:lineRule="auto"/>
              <w:rPr>
                <w:rFonts w:ascii="宋体"/>
                <w:color w:val="auto"/>
                <w:sz w:val="24"/>
                <w:highlight w:val="none"/>
              </w:rPr>
            </w:pPr>
          </w:p>
        </w:tc>
        <w:tc>
          <w:tcPr>
            <w:tcW w:w="5774" w:type="dxa"/>
            <w:vAlign w:val="center"/>
          </w:tcPr>
          <w:p w14:paraId="29DD0DCC">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优（</w:t>
            </w:r>
            <w:r>
              <w:rPr>
                <w:rFonts w:hint="eastAsia" w:ascii="宋体" w:hAnsi="宋体"/>
                <w:b/>
                <w:bCs/>
                <w:color w:val="auto"/>
                <w:sz w:val="24"/>
                <w:highlight w:val="none"/>
                <w:lang w:val="en-US" w:eastAsia="zh-CN"/>
              </w:rPr>
              <w:t>6</w:t>
            </w:r>
            <w:r>
              <w:rPr>
                <w:rFonts w:hint="eastAsia" w:ascii="宋体" w:hAnsi="宋体" w:eastAsia="宋体"/>
                <w:b/>
                <w:bCs/>
                <w:color w:val="auto"/>
                <w:sz w:val="24"/>
                <w:highlight w:val="none"/>
                <w:lang w:eastAsia="zh-CN"/>
              </w:rPr>
              <w:t>分）：</w:t>
            </w:r>
            <w:r>
              <w:rPr>
                <w:rFonts w:hint="eastAsia" w:ascii="宋体" w:hAnsi="宋体"/>
                <w:color w:val="auto"/>
                <w:sz w:val="24"/>
                <w:highlight w:val="none"/>
              </w:rPr>
              <w:t>有专门的安全管理人员和制度，且人员配备合理，制度健全，各道工序安全技术措施针对性强，确保工程质量的技术组织措施符合实际且满足有关安全技术标准要求。现场防火、应急救援、社会治安安全措施得力。</w:t>
            </w:r>
            <w:r>
              <w:rPr>
                <w:rFonts w:ascii="宋体" w:hAnsi="宋体"/>
                <w:color w:val="auto"/>
                <w:sz w:val="24"/>
                <w:highlight w:val="none"/>
              </w:rPr>
              <w:t xml:space="preserve"> </w:t>
            </w:r>
          </w:p>
          <w:p w14:paraId="56934642">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良（</w:t>
            </w:r>
            <w:r>
              <w:rPr>
                <w:rFonts w:hint="eastAsia" w:ascii="宋体" w:hAnsi="宋体"/>
                <w:b/>
                <w:bCs/>
                <w:color w:val="auto"/>
                <w:sz w:val="24"/>
                <w:highlight w:val="none"/>
                <w:lang w:val="en-US" w:eastAsia="zh-CN"/>
              </w:rPr>
              <w:t>4</w:t>
            </w:r>
            <w:r>
              <w:rPr>
                <w:rFonts w:hint="eastAsia" w:ascii="宋体" w:hAnsi="宋体" w:eastAsia="宋体"/>
                <w:b/>
                <w:bCs/>
                <w:color w:val="auto"/>
                <w:sz w:val="24"/>
                <w:highlight w:val="none"/>
                <w:lang w:eastAsia="zh-CN"/>
              </w:rPr>
              <w:t>分）：</w:t>
            </w:r>
            <w:r>
              <w:rPr>
                <w:rFonts w:hint="eastAsia" w:ascii="宋体" w:hAnsi="宋体"/>
                <w:color w:val="auto"/>
                <w:sz w:val="24"/>
                <w:highlight w:val="none"/>
              </w:rPr>
              <w:t>有专门的安全管理人员和制度，人员配备合理，制度健全，各道工序安全技术措施有针对性，基本满足有关安全技术标准要求。现场防火、应急救援、社会治安安全措施合理。</w:t>
            </w:r>
            <w:r>
              <w:rPr>
                <w:rFonts w:ascii="宋体" w:hAnsi="宋体"/>
                <w:color w:val="auto"/>
                <w:sz w:val="24"/>
                <w:highlight w:val="none"/>
              </w:rPr>
              <w:t xml:space="preserve"> </w:t>
            </w:r>
          </w:p>
          <w:p w14:paraId="4A062526">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中（</w:t>
            </w:r>
            <w:r>
              <w:rPr>
                <w:rFonts w:hint="eastAsia" w:ascii="宋体" w:hAnsi="宋体"/>
                <w:b/>
                <w:bCs/>
                <w:color w:val="auto"/>
                <w:sz w:val="24"/>
                <w:highlight w:val="none"/>
                <w:lang w:val="en-US" w:eastAsia="zh-CN"/>
              </w:rPr>
              <w:t>2</w:t>
            </w:r>
            <w:r>
              <w:rPr>
                <w:rFonts w:hint="eastAsia" w:ascii="宋体" w:hAnsi="宋体" w:eastAsia="宋体"/>
                <w:b/>
                <w:bCs/>
                <w:color w:val="auto"/>
                <w:sz w:val="24"/>
                <w:highlight w:val="none"/>
                <w:lang w:eastAsia="zh-CN"/>
              </w:rPr>
              <w:t>分）：</w:t>
            </w:r>
            <w:r>
              <w:rPr>
                <w:rFonts w:hint="eastAsia" w:ascii="宋体" w:hAnsi="宋体"/>
                <w:color w:val="auto"/>
                <w:sz w:val="24"/>
                <w:highlight w:val="none"/>
              </w:rPr>
              <w:t>有专门的安全管理人员和制度，管理人员配备合理，制度健全，各道工序安全技术措施针对性不强，基本满足有关安全技术标准要求。现场防火、应急救援、社会治安安全措施合理。</w:t>
            </w:r>
            <w:r>
              <w:rPr>
                <w:rFonts w:ascii="宋体" w:hAnsi="宋体"/>
                <w:color w:val="auto"/>
                <w:sz w:val="24"/>
                <w:highlight w:val="none"/>
              </w:rPr>
              <w:t xml:space="preserve"> </w:t>
            </w:r>
          </w:p>
          <w:p w14:paraId="00EA2366">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差（0分）：</w:t>
            </w:r>
            <w:r>
              <w:rPr>
                <w:rFonts w:hint="eastAsia" w:ascii="宋体" w:hAnsi="宋体"/>
                <w:color w:val="auto"/>
                <w:sz w:val="24"/>
                <w:highlight w:val="none"/>
              </w:rPr>
              <w:t>有专门的安全管理人员和制度，人员配备不合理，制度不健全，各道工序安全技术措施针无对性，不满足有关安全技术标准要求。现场防火、应急救援、社会治安安全措施不得力</w:t>
            </w:r>
            <w:r>
              <w:rPr>
                <w:rFonts w:hint="eastAsia" w:ascii="宋体" w:hAnsi="宋体"/>
                <w:b/>
                <w:bCs/>
                <w:color w:val="auto"/>
                <w:sz w:val="24"/>
                <w:highlight w:val="none"/>
              </w:rPr>
              <w:t>或未提供</w:t>
            </w:r>
            <w:r>
              <w:rPr>
                <w:rFonts w:hint="eastAsia" w:ascii="宋体" w:hAnsi="宋体" w:cs="宋体"/>
                <w:b/>
                <w:bCs/>
                <w:color w:val="auto"/>
                <w:kern w:val="0"/>
                <w:sz w:val="24"/>
                <w:highlight w:val="none"/>
              </w:rPr>
              <w:t>确保安全生产的技术组织措施</w:t>
            </w:r>
            <w:r>
              <w:rPr>
                <w:rFonts w:hint="eastAsia" w:ascii="宋体" w:hAnsi="宋体"/>
                <w:color w:val="auto"/>
                <w:sz w:val="24"/>
                <w:highlight w:val="none"/>
              </w:rPr>
              <w:t>。</w:t>
            </w:r>
          </w:p>
        </w:tc>
      </w:tr>
      <w:tr w14:paraId="56BD0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Merge w:val="continue"/>
            <w:vAlign w:val="center"/>
          </w:tcPr>
          <w:p w14:paraId="6A9A6669">
            <w:pPr>
              <w:spacing w:line="360" w:lineRule="auto"/>
              <w:jc w:val="center"/>
              <w:rPr>
                <w:rFonts w:ascii="宋体"/>
                <w:color w:val="auto"/>
                <w:sz w:val="24"/>
                <w:highlight w:val="none"/>
              </w:rPr>
            </w:pPr>
          </w:p>
        </w:tc>
        <w:tc>
          <w:tcPr>
            <w:tcW w:w="1031" w:type="dxa"/>
            <w:vMerge w:val="continue"/>
            <w:vAlign w:val="center"/>
          </w:tcPr>
          <w:p w14:paraId="5987AA79">
            <w:pPr>
              <w:spacing w:line="360" w:lineRule="auto"/>
              <w:jc w:val="center"/>
              <w:rPr>
                <w:rFonts w:ascii="宋体"/>
                <w:color w:val="auto"/>
                <w:sz w:val="24"/>
                <w:highlight w:val="none"/>
              </w:rPr>
            </w:pPr>
          </w:p>
        </w:tc>
        <w:tc>
          <w:tcPr>
            <w:tcW w:w="912" w:type="dxa"/>
            <w:vMerge w:val="continue"/>
            <w:vAlign w:val="center"/>
          </w:tcPr>
          <w:p w14:paraId="54069ADE">
            <w:pPr>
              <w:spacing w:line="360" w:lineRule="auto"/>
              <w:jc w:val="center"/>
              <w:rPr>
                <w:rFonts w:ascii="宋体"/>
                <w:color w:val="auto"/>
                <w:sz w:val="24"/>
                <w:highlight w:val="none"/>
              </w:rPr>
            </w:pPr>
          </w:p>
        </w:tc>
        <w:tc>
          <w:tcPr>
            <w:tcW w:w="1039" w:type="dxa"/>
            <w:vAlign w:val="center"/>
          </w:tcPr>
          <w:p w14:paraId="19D8601D">
            <w:pPr>
              <w:widowControl/>
              <w:spacing w:line="360" w:lineRule="auto"/>
              <w:rPr>
                <w:rFonts w:ascii="宋体"/>
                <w:color w:val="auto"/>
                <w:sz w:val="24"/>
                <w:highlight w:val="none"/>
              </w:rPr>
            </w:pPr>
            <w:r>
              <w:rPr>
                <w:rFonts w:hint="eastAsia" w:ascii="宋体" w:hAnsi="宋体" w:cs="宋体"/>
                <w:color w:val="auto"/>
                <w:kern w:val="0"/>
                <w:sz w:val="24"/>
                <w:highlight w:val="none"/>
              </w:rPr>
              <w:t>确保工期的技术组织措施（</w:t>
            </w:r>
            <w:r>
              <w:rPr>
                <w:rFonts w:ascii="宋体" w:hAnsi="宋体" w:cs="宋体"/>
                <w:color w:val="auto"/>
                <w:kern w:val="0"/>
                <w:sz w:val="24"/>
                <w:highlight w:val="none"/>
              </w:rPr>
              <w:t>6</w:t>
            </w:r>
            <w:r>
              <w:rPr>
                <w:rFonts w:hint="eastAsia" w:ascii="宋体" w:hAnsi="宋体" w:cs="宋体"/>
                <w:color w:val="auto"/>
                <w:kern w:val="0"/>
                <w:sz w:val="24"/>
                <w:highlight w:val="none"/>
              </w:rPr>
              <w:t>分）</w:t>
            </w:r>
          </w:p>
        </w:tc>
        <w:tc>
          <w:tcPr>
            <w:tcW w:w="5774" w:type="dxa"/>
            <w:vAlign w:val="center"/>
          </w:tcPr>
          <w:p w14:paraId="060EA16B">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优（6分）：</w:t>
            </w:r>
            <w:r>
              <w:rPr>
                <w:rFonts w:hint="eastAsia" w:ascii="宋体" w:hAnsi="宋体"/>
                <w:color w:val="auto"/>
                <w:sz w:val="24"/>
                <w:highlight w:val="none"/>
              </w:rPr>
              <w:t>技术组织措施的方法或方案完善有效、更优化、切实可行的作出深入分析，完整周全，主要内容的编制思路明晰，利于项目实际。</w:t>
            </w:r>
            <w:r>
              <w:rPr>
                <w:rFonts w:ascii="宋体" w:hAnsi="宋体"/>
                <w:color w:val="auto"/>
                <w:sz w:val="24"/>
                <w:highlight w:val="none"/>
              </w:rPr>
              <w:t xml:space="preserve"> </w:t>
            </w:r>
          </w:p>
          <w:p w14:paraId="03EAA013">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良（4分）：</w:t>
            </w:r>
            <w:r>
              <w:rPr>
                <w:rFonts w:hint="eastAsia" w:ascii="宋体" w:hAnsi="宋体"/>
                <w:color w:val="auto"/>
                <w:sz w:val="24"/>
                <w:highlight w:val="none"/>
              </w:rPr>
              <w:t>技术组织措施的方法或方案完善有效、更优化、切实可行的作出深入分析，完整较周全，主要内容的编制思路明晰，符合项目实际。</w:t>
            </w:r>
            <w:r>
              <w:rPr>
                <w:rFonts w:ascii="宋体" w:hAnsi="宋体"/>
                <w:color w:val="auto"/>
                <w:sz w:val="24"/>
                <w:highlight w:val="none"/>
              </w:rPr>
              <w:t xml:space="preserve"> </w:t>
            </w:r>
          </w:p>
          <w:p w14:paraId="417DA488">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中（2分）：</w:t>
            </w:r>
            <w:r>
              <w:rPr>
                <w:rFonts w:hint="eastAsia" w:ascii="宋体" w:hAnsi="宋体"/>
                <w:color w:val="auto"/>
                <w:sz w:val="24"/>
                <w:highlight w:val="none"/>
              </w:rPr>
              <w:t>技术组织措施的方法或方案完善有效、更优化、切实可行的作出深入分析，较完整较周全，主要内容的编制思路合理，符合项目实际。</w:t>
            </w:r>
            <w:r>
              <w:rPr>
                <w:rFonts w:ascii="宋体" w:hAnsi="宋体"/>
                <w:color w:val="auto"/>
                <w:sz w:val="24"/>
                <w:highlight w:val="none"/>
              </w:rPr>
              <w:t xml:space="preserve"> </w:t>
            </w:r>
          </w:p>
          <w:p w14:paraId="2B9C53CF">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差（0分）：</w:t>
            </w:r>
            <w:r>
              <w:rPr>
                <w:rFonts w:hint="eastAsia" w:ascii="宋体" w:hAnsi="宋体"/>
                <w:color w:val="auto"/>
                <w:sz w:val="24"/>
                <w:highlight w:val="none"/>
              </w:rPr>
              <w:t>技术组织措施的方法或方案不完善，主要内容的编制思路不合理，不符合项目实际</w:t>
            </w:r>
            <w:r>
              <w:rPr>
                <w:rFonts w:hint="eastAsia" w:ascii="宋体" w:hAnsi="宋体"/>
                <w:b/>
                <w:bCs/>
                <w:color w:val="auto"/>
                <w:sz w:val="24"/>
                <w:highlight w:val="none"/>
              </w:rPr>
              <w:t>或未提供</w:t>
            </w:r>
            <w:r>
              <w:rPr>
                <w:rFonts w:hint="eastAsia" w:ascii="宋体" w:hAnsi="宋体" w:cs="宋体"/>
                <w:b/>
                <w:bCs/>
                <w:color w:val="auto"/>
                <w:kern w:val="0"/>
                <w:sz w:val="24"/>
                <w:highlight w:val="none"/>
              </w:rPr>
              <w:t>确保工期的技术组织措施</w:t>
            </w:r>
            <w:r>
              <w:rPr>
                <w:rFonts w:hint="eastAsia" w:ascii="宋体" w:hAnsi="宋体"/>
                <w:color w:val="auto"/>
                <w:sz w:val="24"/>
                <w:highlight w:val="none"/>
              </w:rPr>
              <w:t>。</w:t>
            </w:r>
          </w:p>
        </w:tc>
      </w:tr>
      <w:tr w14:paraId="377C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vMerge w:val="continue"/>
            <w:vAlign w:val="center"/>
          </w:tcPr>
          <w:p w14:paraId="05E675E6">
            <w:pPr>
              <w:spacing w:line="360" w:lineRule="auto"/>
              <w:jc w:val="center"/>
              <w:rPr>
                <w:rFonts w:ascii="宋体"/>
                <w:color w:val="auto"/>
                <w:sz w:val="24"/>
                <w:highlight w:val="none"/>
              </w:rPr>
            </w:pPr>
          </w:p>
        </w:tc>
        <w:tc>
          <w:tcPr>
            <w:tcW w:w="1031" w:type="dxa"/>
            <w:vMerge w:val="continue"/>
            <w:vAlign w:val="center"/>
          </w:tcPr>
          <w:p w14:paraId="462AC4EF">
            <w:pPr>
              <w:spacing w:line="360" w:lineRule="auto"/>
              <w:jc w:val="center"/>
              <w:rPr>
                <w:rFonts w:ascii="宋体"/>
                <w:color w:val="auto"/>
                <w:sz w:val="24"/>
                <w:highlight w:val="none"/>
              </w:rPr>
            </w:pPr>
          </w:p>
        </w:tc>
        <w:tc>
          <w:tcPr>
            <w:tcW w:w="912" w:type="dxa"/>
            <w:vMerge w:val="continue"/>
            <w:vAlign w:val="center"/>
          </w:tcPr>
          <w:p w14:paraId="3B40FCCA">
            <w:pPr>
              <w:spacing w:line="360" w:lineRule="auto"/>
              <w:jc w:val="center"/>
              <w:rPr>
                <w:rFonts w:ascii="宋体"/>
                <w:color w:val="auto"/>
                <w:sz w:val="24"/>
                <w:highlight w:val="none"/>
              </w:rPr>
            </w:pPr>
          </w:p>
        </w:tc>
        <w:tc>
          <w:tcPr>
            <w:tcW w:w="1039" w:type="dxa"/>
            <w:vAlign w:val="center"/>
          </w:tcPr>
          <w:p w14:paraId="4C54A499">
            <w:pPr>
              <w:widowControl/>
              <w:spacing w:line="360" w:lineRule="auto"/>
              <w:rPr>
                <w:rFonts w:ascii="宋体" w:cs="宋体"/>
                <w:color w:val="auto"/>
                <w:kern w:val="0"/>
                <w:sz w:val="24"/>
                <w:highlight w:val="none"/>
              </w:rPr>
            </w:pPr>
          </w:p>
          <w:p w14:paraId="06DA5958">
            <w:pPr>
              <w:widowControl/>
              <w:spacing w:line="360" w:lineRule="auto"/>
              <w:rPr>
                <w:rFonts w:ascii="宋体"/>
                <w:color w:val="auto"/>
                <w:sz w:val="24"/>
                <w:highlight w:val="none"/>
              </w:rPr>
            </w:pPr>
            <w:r>
              <w:rPr>
                <w:rFonts w:hint="eastAsia" w:ascii="宋体" w:hAnsi="宋体" w:cs="宋体"/>
                <w:color w:val="auto"/>
                <w:kern w:val="0"/>
                <w:sz w:val="24"/>
                <w:highlight w:val="none"/>
              </w:rPr>
              <w:t>确保文明施工的技术组织措施（</w:t>
            </w:r>
            <w:r>
              <w:rPr>
                <w:rFonts w:ascii="宋体" w:hAnsi="宋体"/>
                <w:color w:val="auto"/>
                <w:kern w:val="0"/>
                <w:sz w:val="24"/>
                <w:highlight w:val="none"/>
              </w:rPr>
              <w:t>6</w:t>
            </w:r>
            <w:r>
              <w:rPr>
                <w:rFonts w:hint="eastAsia" w:ascii="宋体" w:hAnsi="宋体" w:cs="宋体"/>
                <w:color w:val="auto"/>
                <w:kern w:val="0"/>
                <w:sz w:val="24"/>
                <w:highlight w:val="none"/>
              </w:rPr>
              <w:t>分）</w:t>
            </w:r>
          </w:p>
        </w:tc>
        <w:tc>
          <w:tcPr>
            <w:tcW w:w="5774" w:type="dxa"/>
            <w:vAlign w:val="center"/>
          </w:tcPr>
          <w:p w14:paraId="788F84B9">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优（6分）：</w:t>
            </w:r>
            <w:r>
              <w:rPr>
                <w:rFonts w:hint="eastAsia" w:ascii="宋体" w:hAnsi="宋体"/>
                <w:color w:val="auto"/>
                <w:sz w:val="24"/>
                <w:highlight w:val="none"/>
              </w:rPr>
              <w:t>针对本工程项目特点，有现场文明施工、环境保护措施，且措施内容达到合格标准并符合要求。各项措施周全、具体、有效。有具体实现现场文明施工目标的承诺。</w:t>
            </w:r>
            <w:r>
              <w:rPr>
                <w:rFonts w:ascii="宋体" w:hAnsi="宋体"/>
                <w:color w:val="auto"/>
                <w:sz w:val="24"/>
                <w:highlight w:val="none"/>
              </w:rPr>
              <w:t xml:space="preserve"> </w:t>
            </w:r>
          </w:p>
          <w:p w14:paraId="08707AFE">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良（4分）：</w:t>
            </w:r>
            <w:r>
              <w:rPr>
                <w:rFonts w:hint="eastAsia" w:ascii="宋体" w:hAnsi="宋体"/>
                <w:color w:val="auto"/>
                <w:sz w:val="24"/>
                <w:highlight w:val="none"/>
              </w:rPr>
              <w:t>针对本工程项目特点，有现场文明施工、环境保护措施，且措施内容达到合格标准并符合要求。各项措施基本全面、有效。有具体实现现场文明施工目标的承诺。</w:t>
            </w:r>
            <w:r>
              <w:rPr>
                <w:rFonts w:ascii="宋体" w:hAnsi="宋体"/>
                <w:color w:val="auto"/>
                <w:sz w:val="24"/>
                <w:highlight w:val="none"/>
              </w:rPr>
              <w:t xml:space="preserve"> </w:t>
            </w:r>
          </w:p>
          <w:p w14:paraId="73AA881A">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中（2分）：</w:t>
            </w:r>
            <w:r>
              <w:rPr>
                <w:rFonts w:hint="eastAsia" w:ascii="宋体" w:hAnsi="宋体"/>
                <w:color w:val="auto"/>
                <w:sz w:val="24"/>
                <w:highlight w:val="none"/>
              </w:rPr>
              <w:t>针对本工程项目特点，有现场文明施工、环境保护措施，且措施内容基本达到合格标准并基本符合要求。各项措施基本可行。有具体实现现场文明施工目标的承诺。</w:t>
            </w:r>
            <w:r>
              <w:rPr>
                <w:rFonts w:ascii="宋体" w:hAnsi="宋体"/>
                <w:color w:val="auto"/>
                <w:sz w:val="24"/>
                <w:highlight w:val="none"/>
              </w:rPr>
              <w:t xml:space="preserve"> </w:t>
            </w:r>
          </w:p>
          <w:p w14:paraId="028549F2">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差（0分）：</w:t>
            </w:r>
            <w:r>
              <w:rPr>
                <w:rFonts w:hint="eastAsia" w:ascii="宋体" w:hAnsi="宋体"/>
                <w:color w:val="auto"/>
                <w:sz w:val="24"/>
                <w:highlight w:val="none"/>
              </w:rPr>
              <w:t>针对本工程项目特点，有现场文明施工、环境保护措施，但措施内容没有达到合格标准并不符合要求。各项措施不合理。没有具体实现现场文明施工目标的承诺</w:t>
            </w:r>
            <w:r>
              <w:rPr>
                <w:rFonts w:hint="eastAsia" w:ascii="宋体" w:hAnsi="宋体"/>
                <w:b/>
                <w:bCs/>
                <w:color w:val="auto"/>
                <w:sz w:val="24"/>
                <w:highlight w:val="none"/>
              </w:rPr>
              <w:t>或未提供</w:t>
            </w:r>
            <w:r>
              <w:rPr>
                <w:rFonts w:hint="eastAsia" w:ascii="宋体" w:hAnsi="宋体" w:cs="宋体"/>
                <w:b/>
                <w:bCs/>
                <w:color w:val="auto"/>
                <w:kern w:val="0"/>
                <w:sz w:val="24"/>
                <w:highlight w:val="none"/>
              </w:rPr>
              <w:t>确保文明施工的技术组织措施</w:t>
            </w:r>
            <w:r>
              <w:rPr>
                <w:rFonts w:hint="eastAsia" w:ascii="宋体" w:hAnsi="宋体"/>
                <w:color w:val="auto"/>
                <w:sz w:val="24"/>
                <w:highlight w:val="none"/>
              </w:rPr>
              <w:t>。</w:t>
            </w:r>
          </w:p>
        </w:tc>
      </w:tr>
      <w:tr w14:paraId="5542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vMerge w:val="continue"/>
            <w:vAlign w:val="center"/>
          </w:tcPr>
          <w:p w14:paraId="60258B36">
            <w:pPr>
              <w:spacing w:line="360" w:lineRule="auto"/>
              <w:jc w:val="center"/>
              <w:rPr>
                <w:rFonts w:ascii="宋体"/>
                <w:color w:val="auto"/>
                <w:sz w:val="24"/>
                <w:highlight w:val="none"/>
              </w:rPr>
            </w:pPr>
          </w:p>
        </w:tc>
        <w:tc>
          <w:tcPr>
            <w:tcW w:w="1031" w:type="dxa"/>
            <w:vMerge w:val="continue"/>
            <w:vAlign w:val="center"/>
          </w:tcPr>
          <w:p w14:paraId="30AA4BB6">
            <w:pPr>
              <w:spacing w:line="360" w:lineRule="auto"/>
              <w:jc w:val="center"/>
              <w:rPr>
                <w:rFonts w:ascii="宋体"/>
                <w:color w:val="auto"/>
                <w:sz w:val="24"/>
                <w:highlight w:val="none"/>
              </w:rPr>
            </w:pPr>
          </w:p>
        </w:tc>
        <w:tc>
          <w:tcPr>
            <w:tcW w:w="912" w:type="dxa"/>
            <w:vMerge w:val="continue"/>
            <w:vAlign w:val="center"/>
          </w:tcPr>
          <w:p w14:paraId="6311C5F9">
            <w:pPr>
              <w:spacing w:line="360" w:lineRule="auto"/>
              <w:jc w:val="center"/>
              <w:rPr>
                <w:rFonts w:ascii="宋体"/>
                <w:color w:val="auto"/>
                <w:sz w:val="24"/>
                <w:highlight w:val="none"/>
              </w:rPr>
            </w:pPr>
          </w:p>
        </w:tc>
        <w:tc>
          <w:tcPr>
            <w:tcW w:w="1039" w:type="dxa"/>
            <w:vAlign w:val="center"/>
          </w:tcPr>
          <w:p w14:paraId="5C4DB4B5">
            <w:pPr>
              <w:widowControl/>
              <w:spacing w:line="360" w:lineRule="auto"/>
              <w:rPr>
                <w:rFonts w:ascii="宋体"/>
                <w:color w:val="auto"/>
                <w:sz w:val="24"/>
                <w:highlight w:val="none"/>
              </w:rPr>
            </w:pPr>
            <w:r>
              <w:rPr>
                <w:rFonts w:hint="eastAsia" w:ascii="宋体" w:hAnsi="宋体" w:cs="宋体"/>
                <w:color w:val="auto"/>
                <w:kern w:val="0"/>
                <w:sz w:val="24"/>
                <w:highlight w:val="none"/>
              </w:rPr>
              <w:t>工程施工的重点和难点及保证措施（</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分）</w:t>
            </w:r>
          </w:p>
        </w:tc>
        <w:tc>
          <w:tcPr>
            <w:tcW w:w="5774" w:type="dxa"/>
            <w:vAlign w:val="center"/>
          </w:tcPr>
          <w:p w14:paraId="6484FC1D">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优（</w:t>
            </w:r>
            <w:r>
              <w:rPr>
                <w:rFonts w:hint="eastAsia" w:ascii="宋体" w:hAnsi="宋体"/>
                <w:b/>
                <w:bCs/>
                <w:color w:val="auto"/>
                <w:sz w:val="24"/>
                <w:highlight w:val="none"/>
                <w:lang w:val="en-US" w:eastAsia="zh-CN"/>
              </w:rPr>
              <w:t>6</w:t>
            </w:r>
            <w:r>
              <w:rPr>
                <w:rFonts w:hint="eastAsia" w:ascii="宋体" w:hAnsi="宋体" w:eastAsia="宋体"/>
                <w:b/>
                <w:bCs/>
                <w:color w:val="auto"/>
                <w:sz w:val="24"/>
                <w:highlight w:val="none"/>
                <w:lang w:eastAsia="zh-CN"/>
              </w:rPr>
              <w:t>分）：</w:t>
            </w:r>
            <w:r>
              <w:rPr>
                <w:rFonts w:hint="eastAsia" w:ascii="宋体" w:hAnsi="宋体"/>
                <w:color w:val="auto"/>
                <w:sz w:val="24"/>
                <w:highlight w:val="none"/>
              </w:rPr>
              <w:t>针对本工程的特点，阐述本工程的重点和难点，解决重点和难点问题的方法科学合理。</w:t>
            </w:r>
            <w:r>
              <w:rPr>
                <w:rFonts w:ascii="宋体" w:hAnsi="宋体"/>
                <w:color w:val="auto"/>
                <w:sz w:val="24"/>
                <w:highlight w:val="none"/>
              </w:rPr>
              <w:t xml:space="preserve"> </w:t>
            </w:r>
          </w:p>
          <w:p w14:paraId="04C39EB5">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良（</w:t>
            </w:r>
            <w:r>
              <w:rPr>
                <w:rFonts w:hint="eastAsia" w:ascii="宋体" w:hAnsi="宋体"/>
                <w:b/>
                <w:bCs/>
                <w:color w:val="auto"/>
                <w:sz w:val="24"/>
                <w:highlight w:val="none"/>
                <w:lang w:val="en-US" w:eastAsia="zh-CN"/>
              </w:rPr>
              <w:t>4</w:t>
            </w:r>
            <w:r>
              <w:rPr>
                <w:rFonts w:hint="eastAsia" w:ascii="宋体" w:hAnsi="宋体" w:eastAsia="宋体"/>
                <w:b/>
                <w:bCs/>
                <w:color w:val="auto"/>
                <w:sz w:val="24"/>
                <w:highlight w:val="none"/>
                <w:lang w:eastAsia="zh-CN"/>
              </w:rPr>
              <w:t>分）：</w:t>
            </w:r>
            <w:r>
              <w:rPr>
                <w:rFonts w:hint="eastAsia" w:ascii="宋体" w:hAnsi="宋体"/>
                <w:color w:val="auto"/>
                <w:sz w:val="24"/>
                <w:highlight w:val="none"/>
              </w:rPr>
              <w:t>针对本工程的特点，阐述本工程的重点和难点，解决重点和难点问题的方法合理。</w:t>
            </w:r>
            <w:r>
              <w:rPr>
                <w:rFonts w:ascii="宋体" w:hAnsi="宋体"/>
                <w:color w:val="auto"/>
                <w:sz w:val="24"/>
                <w:highlight w:val="none"/>
              </w:rPr>
              <w:t xml:space="preserve"> </w:t>
            </w:r>
          </w:p>
          <w:p w14:paraId="06CDA862">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中（</w:t>
            </w:r>
            <w:r>
              <w:rPr>
                <w:rFonts w:hint="eastAsia" w:ascii="宋体" w:hAnsi="宋体"/>
                <w:b/>
                <w:bCs/>
                <w:color w:val="auto"/>
                <w:sz w:val="24"/>
                <w:highlight w:val="none"/>
                <w:lang w:val="en-US" w:eastAsia="zh-CN"/>
              </w:rPr>
              <w:t>2</w:t>
            </w:r>
            <w:r>
              <w:rPr>
                <w:rFonts w:hint="eastAsia" w:ascii="宋体" w:hAnsi="宋体" w:eastAsia="宋体"/>
                <w:b/>
                <w:bCs/>
                <w:color w:val="auto"/>
                <w:sz w:val="24"/>
                <w:highlight w:val="none"/>
                <w:lang w:eastAsia="zh-CN"/>
              </w:rPr>
              <w:t>分）：</w:t>
            </w:r>
            <w:r>
              <w:rPr>
                <w:rFonts w:hint="eastAsia" w:ascii="宋体" w:hAnsi="宋体"/>
                <w:color w:val="auto"/>
                <w:sz w:val="24"/>
                <w:highlight w:val="none"/>
              </w:rPr>
              <w:t>针对本工程的特点，阐述本工程的重点和难点，解决重点和难点问题的方法基本合理。</w:t>
            </w:r>
            <w:r>
              <w:rPr>
                <w:rFonts w:ascii="宋体" w:hAnsi="宋体"/>
                <w:color w:val="auto"/>
                <w:sz w:val="24"/>
                <w:highlight w:val="none"/>
              </w:rPr>
              <w:t xml:space="preserve"> </w:t>
            </w:r>
          </w:p>
          <w:p w14:paraId="5D8B758F">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差（0分）：</w:t>
            </w:r>
            <w:r>
              <w:rPr>
                <w:rFonts w:hint="eastAsia" w:ascii="宋体" w:hAnsi="宋体"/>
                <w:color w:val="auto"/>
                <w:sz w:val="24"/>
                <w:highlight w:val="none"/>
              </w:rPr>
              <w:t>针对本工程的特点，阐述本工程的重点和难点，解决重点和难点问题的方法不合理</w:t>
            </w:r>
            <w:r>
              <w:rPr>
                <w:rFonts w:hint="eastAsia" w:ascii="宋体" w:hAnsi="宋体"/>
                <w:b/>
                <w:bCs/>
                <w:color w:val="auto"/>
                <w:sz w:val="24"/>
                <w:highlight w:val="none"/>
              </w:rPr>
              <w:t>或未提供</w:t>
            </w:r>
            <w:r>
              <w:rPr>
                <w:rFonts w:hint="eastAsia" w:ascii="宋体" w:hAnsi="宋体" w:cs="宋体"/>
                <w:b/>
                <w:bCs/>
                <w:color w:val="auto"/>
                <w:kern w:val="0"/>
                <w:sz w:val="24"/>
                <w:highlight w:val="none"/>
              </w:rPr>
              <w:t>工程施工的重点和难点及保证措施</w:t>
            </w:r>
            <w:r>
              <w:rPr>
                <w:rFonts w:hint="eastAsia" w:ascii="宋体" w:hAnsi="宋体"/>
                <w:b/>
                <w:bCs/>
                <w:color w:val="auto"/>
                <w:sz w:val="24"/>
                <w:highlight w:val="none"/>
              </w:rPr>
              <w:t>。</w:t>
            </w:r>
          </w:p>
        </w:tc>
      </w:tr>
      <w:tr w14:paraId="55FA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vMerge w:val="continue"/>
            <w:vAlign w:val="center"/>
          </w:tcPr>
          <w:p w14:paraId="2E944097">
            <w:pPr>
              <w:spacing w:line="360" w:lineRule="auto"/>
              <w:jc w:val="center"/>
              <w:rPr>
                <w:rFonts w:ascii="宋体"/>
                <w:color w:val="auto"/>
                <w:sz w:val="24"/>
                <w:highlight w:val="none"/>
              </w:rPr>
            </w:pPr>
          </w:p>
        </w:tc>
        <w:tc>
          <w:tcPr>
            <w:tcW w:w="1031" w:type="dxa"/>
            <w:vMerge w:val="continue"/>
            <w:vAlign w:val="center"/>
          </w:tcPr>
          <w:p w14:paraId="6AEE1F15">
            <w:pPr>
              <w:spacing w:line="360" w:lineRule="auto"/>
              <w:jc w:val="center"/>
              <w:rPr>
                <w:rFonts w:ascii="宋体"/>
                <w:color w:val="auto"/>
                <w:sz w:val="24"/>
                <w:highlight w:val="none"/>
              </w:rPr>
            </w:pPr>
          </w:p>
        </w:tc>
        <w:tc>
          <w:tcPr>
            <w:tcW w:w="912" w:type="dxa"/>
            <w:vMerge w:val="continue"/>
            <w:vAlign w:val="center"/>
          </w:tcPr>
          <w:p w14:paraId="669E8E26">
            <w:pPr>
              <w:spacing w:line="360" w:lineRule="auto"/>
              <w:jc w:val="center"/>
              <w:rPr>
                <w:rFonts w:ascii="宋体"/>
                <w:color w:val="auto"/>
                <w:sz w:val="24"/>
                <w:highlight w:val="none"/>
              </w:rPr>
            </w:pPr>
          </w:p>
        </w:tc>
        <w:tc>
          <w:tcPr>
            <w:tcW w:w="1039" w:type="dxa"/>
            <w:vAlign w:val="center"/>
          </w:tcPr>
          <w:p w14:paraId="3C6DB4EF">
            <w:pPr>
              <w:widowControl/>
              <w:spacing w:line="360" w:lineRule="auto"/>
              <w:rPr>
                <w:rFonts w:ascii="宋体"/>
                <w:color w:val="auto"/>
                <w:sz w:val="24"/>
                <w:highlight w:val="none"/>
              </w:rPr>
            </w:pPr>
            <w:r>
              <w:rPr>
                <w:rFonts w:hint="eastAsia" w:ascii="宋体" w:hAnsi="宋体" w:cs="宋体"/>
                <w:color w:val="auto"/>
                <w:kern w:val="0"/>
                <w:sz w:val="24"/>
                <w:highlight w:val="none"/>
              </w:rPr>
              <w:t>施工总平面布置图（</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分）</w:t>
            </w:r>
          </w:p>
        </w:tc>
        <w:tc>
          <w:tcPr>
            <w:tcW w:w="5774" w:type="dxa"/>
            <w:vAlign w:val="center"/>
          </w:tcPr>
          <w:p w14:paraId="57F1E1B8">
            <w:pPr>
              <w:widowControl/>
              <w:spacing w:line="360" w:lineRule="exact"/>
              <w:rPr>
                <w:rFonts w:ascii="宋体" w:hAnsi="宋体"/>
                <w:color w:val="auto"/>
                <w:sz w:val="24"/>
                <w:highlight w:val="none"/>
              </w:rPr>
            </w:pPr>
            <w:r>
              <w:rPr>
                <w:rFonts w:hint="eastAsia" w:ascii="宋体" w:hAnsi="宋体" w:eastAsia="宋体"/>
                <w:b/>
                <w:bCs/>
                <w:color w:val="auto"/>
                <w:sz w:val="24"/>
                <w:highlight w:val="none"/>
                <w:lang w:eastAsia="zh-CN"/>
              </w:rPr>
              <w:t>优（</w:t>
            </w:r>
            <w:r>
              <w:rPr>
                <w:rFonts w:hint="eastAsia" w:ascii="宋体" w:hAnsi="宋体"/>
                <w:b/>
                <w:bCs/>
                <w:color w:val="auto"/>
                <w:sz w:val="24"/>
                <w:highlight w:val="none"/>
                <w:lang w:val="en-US" w:eastAsia="zh-CN"/>
              </w:rPr>
              <w:t>4</w:t>
            </w:r>
            <w:r>
              <w:rPr>
                <w:rFonts w:hint="eastAsia" w:ascii="宋体" w:hAnsi="宋体" w:eastAsia="宋体"/>
                <w:b/>
                <w:bCs/>
                <w:color w:val="auto"/>
                <w:sz w:val="24"/>
                <w:highlight w:val="none"/>
                <w:lang w:eastAsia="zh-CN"/>
              </w:rPr>
              <w:t>分）：</w:t>
            </w:r>
            <w:r>
              <w:rPr>
                <w:rFonts w:hint="eastAsia" w:ascii="宋体" w:hAnsi="宋体"/>
                <w:color w:val="auto"/>
                <w:sz w:val="24"/>
                <w:highlight w:val="none"/>
              </w:rPr>
              <w:t>总体布置有针对性、合理，很好满足施工需要，符合安全、文明生产要求。</w:t>
            </w:r>
            <w:r>
              <w:rPr>
                <w:rFonts w:ascii="宋体" w:hAnsi="宋体"/>
                <w:color w:val="auto"/>
                <w:sz w:val="24"/>
                <w:highlight w:val="none"/>
              </w:rPr>
              <w:t xml:space="preserve"> </w:t>
            </w:r>
          </w:p>
          <w:p w14:paraId="1B598B15">
            <w:pPr>
              <w:widowControl/>
              <w:spacing w:line="360" w:lineRule="exact"/>
              <w:rPr>
                <w:rFonts w:ascii="宋体" w:hAnsi="宋体"/>
                <w:color w:val="auto"/>
                <w:sz w:val="24"/>
                <w:highlight w:val="none"/>
              </w:rPr>
            </w:pPr>
            <w:r>
              <w:rPr>
                <w:rFonts w:hint="eastAsia" w:ascii="宋体" w:hAnsi="宋体" w:eastAsia="宋体"/>
                <w:b/>
                <w:bCs/>
                <w:color w:val="auto"/>
                <w:sz w:val="24"/>
                <w:highlight w:val="none"/>
                <w:lang w:eastAsia="zh-CN"/>
              </w:rPr>
              <w:t>良（</w:t>
            </w:r>
            <w:r>
              <w:rPr>
                <w:rFonts w:hint="eastAsia" w:ascii="宋体" w:hAnsi="宋体"/>
                <w:b/>
                <w:bCs/>
                <w:color w:val="auto"/>
                <w:sz w:val="24"/>
                <w:highlight w:val="none"/>
                <w:lang w:val="en-US" w:eastAsia="zh-CN"/>
              </w:rPr>
              <w:t>2</w:t>
            </w:r>
            <w:r>
              <w:rPr>
                <w:rFonts w:hint="eastAsia" w:ascii="宋体" w:hAnsi="宋体" w:eastAsia="宋体"/>
                <w:b/>
                <w:bCs/>
                <w:color w:val="auto"/>
                <w:sz w:val="24"/>
                <w:highlight w:val="none"/>
                <w:lang w:eastAsia="zh-CN"/>
              </w:rPr>
              <w:t>分）：</w:t>
            </w:r>
            <w:r>
              <w:rPr>
                <w:rFonts w:hint="eastAsia" w:ascii="宋体" w:hAnsi="宋体"/>
                <w:color w:val="auto"/>
                <w:sz w:val="24"/>
                <w:highlight w:val="none"/>
              </w:rPr>
              <w:t>总体布置合理，能满足施工需要，符合安全、文明生产要求。</w:t>
            </w:r>
            <w:r>
              <w:rPr>
                <w:rFonts w:ascii="宋体" w:hAnsi="宋体"/>
                <w:color w:val="auto"/>
                <w:sz w:val="24"/>
                <w:highlight w:val="none"/>
              </w:rPr>
              <w:t xml:space="preserve"> </w:t>
            </w:r>
          </w:p>
          <w:p w14:paraId="594A75D0">
            <w:pPr>
              <w:widowControl/>
              <w:spacing w:line="360" w:lineRule="exact"/>
              <w:rPr>
                <w:rFonts w:ascii="宋体" w:hAnsi="宋体"/>
                <w:color w:val="auto"/>
                <w:sz w:val="24"/>
                <w:highlight w:val="none"/>
              </w:rPr>
            </w:pPr>
            <w:r>
              <w:rPr>
                <w:rFonts w:hint="eastAsia" w:ascii="宋体" w:hAnsi="宋体" w:eastAsia="宋体"/>
                <w:b/>
                <w:bCs/>
                <w:color w:val="auto"/>
                <w:sz w:val="24"/>
                <w:highlight w:val="none"/>
                <w:lang w:eastAsia="zh-CN"/>
              </w:rPr>
              <w:t>中（1分）：</w:t>
            </w:r>
            <w:r>
              <w:rPr>
                <w:rFonts w:hint="eastAsia" w:ascii="宋体" w:hAnsi="宋体"/>
                <w:color w:val="auto"/>
                <w:sz w:val="24"/>
                <w:highlight w:val="none"/>
              </w:rPr>
              <w:t>总体布置能满足施工需要，基本符合安全、文明生产要求。</w:t>
            </w:r>
            <w:r>
              <w:rPr>
                <w:rFonts w:ascii="宋体" w:hAnsi="宋体"/>
                <w:color w:val="auto"/>
                <w:sz w:val="24"/>
                <w:highlight w:val="none"/>
              </w:rPr>
              <w:t xml:space="preserve"> </w:t>
            </w:r>
          </w:p>
          <w:p w14:paraId="4E4AFF2F">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差（0分）：</w:t>
            </w:r>
            <w:r>
              <w:rPr>
                <w:rFonts w:hint="eastAsia" w:ascii="宋体" w:hAnsi="宋体"/>
                <w:color w:val="auto"/>
                <w:sz w:val="24"/>
                <w:highlight w:val="none"/>
              </w:rPr>
              <w:t>总体布置不合理，不符合安全、文明生产要求</w:t>
            </w:r>
            <w:r>
              <w:rPr>
                <w:rFonts w:hint="eastAsia" w:ascii="宋体" w:hAnsi="宋体"/>
                <w:b/>
                <w:bCs/>
                <w:color w:val="auto"/>
                <w:sz w:val="24"/>
                <w:highlight w:val="none"/>
              </w:rPr>
              <w:t>或未提供</w:t>
            </w:r>
            <w:r>
              <w:rPr>
                <w:rFonts w:hint="eastAsia" w:ascii="宋体" w:hAnsi="宋体" w:cs="宋体"/>
                <w:b/>
                <w:bCs/>
                <w:color w:val="auto"/>
                <w:kern w:val="0"/>
                <w:sz w:val="24"/>
                <w:highlight w:val="none"/>
              </w:rPr>
              <w:t>施工总平面布置图</w:t>
            </w:r>
            <w:r>
              <w:rPr>
                <w:rFonts w:hint="eastAsia" w:ascii="宋体" w:hAnsi="宋体"/>
                <w:color w:val="auto"/>
                <w:sz w:val="24"/>
                <w:highlight w:val="none"/>
              </w:rPr>
              <w:t>。</w:t>
            </w:r>
          </w:p>
        </w:tc>
      </w:tr>
      <w:tr w14:paraId="0DF6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Align w:val="center"/>
          </w:tcPr>
          <w:p w14:paraId="363E1710">
            <w:pPr>
              <w:spacing w:line="360" w:lineRule="auto"/>
              <w:jc w:val="center"/>
              <w:rPr>
                <w:rFonts w:ascii="宋体"/>
                <w:color w:val="auto"/>
                <w:sz w:val="24"/>
                <w:highlight w:val="none"/>
              </w:rPr>
            </w:pPr>
            <w:r>
              <w:rPr>
                <w:rFonts w:ascii="宋体" w:hAnsi="宋体"/>
                <w:color w:val="auto"/>
                <w:sz w:val="24"/>
                <w:highlight w:val="none"/>
              </w:rPr>
              <w:t>2</w:t>
            </w:r>
          </w:p>
        </w:tc>
        <w:tc>
          <w:tcPr>
            <w:tcW w:w="1031" w:type="dxa"/>
            <w:vAlign w:val="center"/>
          </w:tcPr>
          <w:p w14:paraId="46F5EC3E">
            <w:pPr>
              <w:spacing w:line="360" w:lineRule="auto"/>
              <w:jc w:val="center"/>
              <w:rPr>
                <w:rFonts w:ascii="宋体"/>
                <w:color w:val="auto"/>
                <w:sz w:val="24"/>
                <w:highlight w:val="none"/>
              </w:rPr>
            </w:pPr>
            <w:r>
              <w:rPr>
                <w:rFonts w:hint="eastAsia" w:ascii="宋体" w:hAnsi="宋体" w:cs="宋体"/>
                <w:color w:val="auto"/>
                <w:sz w:val="24"/>
                <w:highlight w:val="none"/>
              </w:rPr>
              <w:t>报价分</w:t>
            </w:r>
          </w:p>
          <w:p w14:paraId="79CCB4F6">
            <w:pPr>
              <w:spacing w:line="360" w:lineRule="auto"/>
              <w:jc w:val="center"/>
              <w:rPr>
                <w:rFonts w:ascii="宋体"/>
                <w:color w:val="auto"/>
                <w:sz w:val="24"/>
                <w:highlight w:val="none"/>
              </w:rPr>
            </w:pPr>
            <w:r>
              <w:rPr>
                <w:rFonts w:ascii="宋体" w:hAnsi="宋体"/>
                <w:color w:val="auto"/>
                <w:sz w:val="24"/>
                <w:highlight w:val="none"/>
              </w:rPr>
              <w:t>(3</w:t>
            </w:r>
            <w:r>
              <w:rPr>
                <w:rFonts w:ascii="宋体"/>
                <w:color w:val="auto"/>
                <w:sz w:val="24"/>
                <w:highlight w:val="none"/>
              </w:rPr>
              <w:t>0</w:t>
            </w:r>
            <w:r>
              <w:rPr>
                <w:rFonts w:hint="eastAsia" w:ascii="宋体" w:hAnsi="宋体"/>
                <w:color w:val="auto"/>
                <w:sz w:val="24"/>
                <w:highlight w:val="none"/>
              </w:rPr>
              <w:t>分</w:t>
            </w:r>
            <w:r>
              <w:rPr>
                <w:rFonts w:ascii="宋体" w:hAnsi="宋体"/>
                <w:color w:val="auto"/>
                <w:sz w:val="24"/>
                <w:highlight w:val="none"/>
              </w:rPr>
              <w:t>)</w:t>
            </w:r>
          </w:p>
        </w:tc>
        <w:tc>
          <w:tcPr>
            <w:tcW w:w="7725" w:type="dxa"/>
            <w:gridSpan w:val="3"/>
            <w:vAlign w:val="center"/>
          </w:tcPr>
          <w:p w14:paraId="45FC03DC">
            <w:pPr>
              <w:spacing w:line="360" w:lineRule="auto"/>
              <w:rPr>
                <w:rFonts w:ascii="宋体"/>
                <w:color w:val="auto"/>
                <w:sz w:val="24"/>
                <w:highlight w:val="none"/>
              </w:rPr>
            </w:pPr>
            <w:r>
              <w:rPr>
                <w:rFonts w:hint="eastAsia" w:ascii="宋体" w:hAnsi="宋体"/>
                <w:color w:val="auto"/>
                <w:sz w:val="24"/>
                <w:highlight w:val="none"/>
              </w:rPr>
              <w:t>价格分：</w:t>
            </w:r>
            <w:r>
              <w:rPr>
                <w:rFonts w:ascii="宋体" w:hAnsi="宋体"/>
                <w:color w:val="auto"/>
                <w:sz w:val="24"/>
                <w:highlight w:val="none"/>
              </w:rPr>
              <w:t>3</w:t>
            </w:r>
            <w:r>
              <w:rPr>
                <w:rFonts w:ascii="宋体"/>
                <w:color w:val="auto"/>
                <w:sz w:val="24"/>
                <w:highlight w:val="none"/>
              </w:rPr>
              <w:t>0</w:t>
            </w:r>
            <w:r>
              <w:rPr>
                <w:rFonts w:hint="eastAsia" w:ascii="宋体" w:hAnsi="宋体"/>
                <w:color w:val="auto"/>
                <w:sz w:val="24"/>
                <w:highlight w:val="none"/>
              </w:rPr>
              <w:t>分</w:t>
            </w:r>
          </w:p>
          <w:p w14:paraId="200614A6">
            <w:pPr>
              <w:spacing w:line="360" w:lineRule="auto"/>
              <w:ind w:firstLine="480" w:firstLineChars="200"/>
              <w:rPr>
                <w:rFonts w:ascii="宋体"/>
                <w:color w:val="auto"/>
                <w:sz w:val="24"/>
                <w:highlight w:val="none"/>
              </w:rPr>
            </w:pPr>
            <w:r>
              <w:rPr>
                <w:rFonts w:hint="eastAsia" w:ascii="宋体" w:hAnsi="宋体"/>
                <w:color w:val="auto"/>
                <w:sz w:val="24"/>
                <w:highlight w:val="none"/>
              </w:rPr>
              <w:t>有效磋商报价的最低价作为评标基准价，其最低报价为满分；按［某磋商报价得分</w:t>
            </w:r>
            <w:r>
              <w:rPr>
                <w:rFonts w:ascii="宋体" w:hAnsi="宋体"/>
                <w:color w:val="auto"/>
                <w:sz w:val="24"/>
                <w:highlight w:val="none"/>
              </w:rPr>
              <w:t>=</w:t>
            </w:r>
            <w:r>
              <w:rPr>
                <w:rFonts w:hint="eastAsia" w:ascii="宋体" w:hAnsi="宋体"/>
                <w:color w:val="auto"/>
                <w:sz w:val="24"/>
                <w:highlight w:val="none"/>
              </w:rPr>
              <w:t>（磋商基准价</w:t>
            </w:r>
            <w:r>
              <w:rPr>
                <w:rFonts w:ascii="宋体" w:hAnsi="宋体"/>
                <w:color w:val="auto"/>
                <w:sz w:val="24"/>
                <w:highlight w:val="none"/>
              </w:rPr>
              <w:t>/</w:t>
            </w:r>
            <w:r>
              <w:rPr>
                <w:rFonts w:hint="eastAsia" w:ascii="宋体" w:hAnsi="宋体"/>
                <w:color w:val="auto"/>
                <w:sz w:val="24"/>
                <w:highlight w:val="none"/>
              </w:rPr>
              <w:t>磋商报价）</w:t>
            </w:r>
            <w:r>
              <w:rPr>
                <w:rFonts w:ascii="宋体" w:hAnsi="宋体"/>
                <w:color w:val="auto"/>
                <w:sz w:val="24"/>
                <w:highlight w:val="none"/>
              </w:rPr>
              <w:t>*3</w:t>
            </w:r>
            <w:r>
              <w:rPr>
                <w:rFonts w:ascii="宋体"/>
                <w:color w:val="auto"/>
                <w:sz w:val="24"/>
                <w:highlight w:val="none"/>
              </w:rPr>
              <w:t>0</w:t>
            </w:r>
            <w:r>
              <w:rPr>
                <w:rFonts w:hint="eastAsia" w:ascii="宋体" w:hAnsi="宋体"/>
                <w:color w:val="auto"/>
                <w:sz w:val="24"/>
                <w:highlight w:val="none"/>
              </w:rPr>
              <w:t>］的计算公式计算。</w:t>
            </w:r>
          </w:p>
          <w:p w14:paraId="6E3B4F20">
            <w:pPr>
              <w:spacing w:line="360" w:lineRule="auto"/>
              <w:ind w:firstLine="480" w:firstLineChars="200"/>
              <w:rPr>
                <w:rFonts w:ascii="宋体"/>
                <w:color w:val="auto"/>
                <w:sz w:val="24"/>
                <w:highlight w:val="none"/>
              </w:rPr>
            </w:pPr>
            <w:r>
              <w:rPr>
                <w:rFonts w:hint="eastAsia" w:ascii="宋体" w:hAnsi="宋体"/>
                <w:color w:val="auto"/>
                <w:sz w:val="24"/>
                <w:highlight w:val="none"/>
              </w:rPr>
              <w:t>评审过程中，不得去掉报价中的最高报价和最低报价。</w:t>
            </w:r>
          </w:p>
          <w:p w14:paraId="016574B5">
            <w:pPr>
              <w:spacing w:line="360" w:lineRule="auto"/>
              <w:ind w:firstLine="480" w:firstLineChars="200"/>
              <w:rPr>
                <w:rFonts w:ascii="宋体" w:cs="宋体"/>
                <w:bCs/>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1</w:t>
            </w:r>
            <w:r>
              <w:rPr>
                <w:rFonts w:hint="eastAsia" w:ascii="宋体" w:hAnsi="宋体" w:cs="宋体"/>
                <w:bCs/>
                <w:color w:val="auto"/>
                <w:sz w:val="24"/>
                <w:highlight w:val="none"/>
              </w:rPr>
              <w:t>）本项目为专门面向中小企业采购的项目，按照《政府采购促进中小企业发展管理办法》（财库〔</w:t>
            </w:r>
            <w:r>
              <w:rPr>
                <w:rFonts w:ascii="宋体" w:hAnsi="宋体" w:cs="宋体"/>
                <w:bCs/>
                <w:color w:val="auto"/>
                <w:sz w:val="24"/>
                <w:highlight w:val="none"/>
              </w:rPr>
              <w:t>2020</w:t>
            </w:r>
            <w:r>
              <w:rPr>
                <w:rFonts w:hint="eastAsia" w:ascii="宋体" w:hAnsi="宋体" w:cs="宋体"/>
                <w:bCs/>
                <w:color w:val="auto"/>
                <w:sz w:val="24"/>
                <w:highlight w:val="none"/>
              </w:rPr>
              <w:t>〕</w:t>
            </w:r>
            <w:r>
              <w:rPr>
                <w:rFonts w:ascii="宋体" w:hAnsi="宋体" w:cs="宋体"/>
                <w:bCs/>
                <w:color w:val="auto"/>
                <w:sz w:val="24"/>
                <w:highlight w:val="none"/>
              </w:rPr>
              <w:t xml:space="preserve">46 </w:t>
            </w:r>
            <w:r>
              <w:rPr>
                <w:rFonts w:hint="eastAsia" w:ascii="宋体" w:hAnsi="宋体" w:cs="宋体"/>
                <w:bCs/>
                <w:color w:val="auto"/>
                <w:sz w:val="24"/>
                <w:highlight w:val="none"/>
              </w:rPr>
              <w:t>号）的规定，对供应商的磋商报价不再执行价格评审优惠的扶持政策。</w:t>
            </w:r>
          </w:p>
          <w:p w14:paraId="03783736">
            <w:pPr>
              <w:spacing w:line="360" w:lineRule="auto"/>
              <w:ind w:firstLine="480" w:firstLineChars="200"/>
              <w:rPr>
                <w:rFonts w:ascii="宋体" w:cs="宋体"/>
                <w:bCs/>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）磋商供应商提供企业按《关于政府采购支持监狱企业发展有关问题的通知》</w:t>
            </w:r>
            <w:r>
              <w:rPr>
                <w:rFonts w:ascii="宋体" w:hAnsi="宋体" w:cs="宋体"/>
                <w:bCs/>
                <w:color w:val="auto"/>
                <w:sz w:val="24"/>
                <w:highlight w:val="none"/>
              </w:rPr>
              <w:t>(</w:t>
            </w:r>
            <w:r>
              <w:rPr>
                <w:rFonts w:hint="eastAsia" w:ascii="宋体" w:hAnsi="宋体" w:cs="宋体"/>
                <w:bCs/>
                <w:color w:val="auto"/>
                <w:sz w:val="24"/>
                <w:highlight w:val="none"/>
              </w:rPr>
              <w:t>财库〔</w:t>
            </w:r>
            <w:r>
              <w:rPr>
                <w:rFonts w:ascii="宋体" w:hAnsi="宋体" w:cs="宋体"/>
                <w:bCs/>
                <w:color w:val="auto"/>
                <w:sz w:val="24"/>
                <w:highlight w:val="none"/>
              </w:rPr>
              <w:t>2014</w:t>
            </w:r>
            <w:r>
              <w:rPr>
                <w:rFonts w:hint="eastAsia" w:ascii="宋体" w:hAnsi="宋体" w:cs="宋体"/>
                <w:bCs/>
                <w:color w:val="auto"/>
                <w:sz w:val="24"/>
                <w:highlight w:val="none"/>
              </w:rPr>
              <w:t>〕</w:t>
            </w:r>
            <w:r>
              <w:rPr>
                <w:rFonts w:ascii="宋体" w:hAnsi="宋体" w:cs="宋体"/>
                <w:bCs/>
                <w:color w:val="auto"/>
                <w:sz w:val="24"/>
                <w:highlight w:val="none"/>
              </w:rPr>
              <w:t xml:space="preserve">68 </w:t>
            </w:r>
            <w:r>
              <w:rPr>
                <w:rFonts w:hint="eastAsia" w:ascii="宋体" w:hAnsi="宋体" w:cs="宋体"/>
                <w:bCs/>
                <w:color w:val="auto"/>
                <w:sz w:val="24"/>
                <w:highlight w:val="none"/>
              </w:rPr>
              <w:t>号</w:t>
            </w:r>
            <w:r>
              <w:rPr>
                <w:rFonts w:ascii="宋体" w:hAnsi="宋体" w:cs="宋体"/>
                <w:bCs/>
                <w:color w:val="auto"/>
                <w:sz w:val="24"/>
                <w:highlight w:val="none"/>
              </w:rPr>
              <w:t>)</w:t>
            </w:r>
            <w:r>
              <w:rPr>
                <w:rFonts w:hint="eastAsia" w:ascii="宋体" w:hAnsi="宋体" w:cs="宋体"/>
                <w:bCs/>
                <w:color w:val="auto"/>
                <w:sz w:val="24"/>
                <w:highlight w:val="none"/>
              </w:rPr>
              <w:t>认定为监狱企业的，在政府采购活动中，监狱企业视同小型、微型企业。监狱企业以提供由省级以上监狱管理局、戒毒管理局</w:t>
            </w:r>
            <w:r>
              <w:rPr>
                <w:rFonts w:ascii="宋体" w:hAnsi="宋体" w:cs="宋体"/>
                <w:bCs/>
                <w:color w:val="auto"/>
                <w:sz w:val="24"/>
                <w:highlight w:val="none"/>
              </w:rPr>
              <w:t>(</w:t>
            </w:r>
            <w:r>
              <w:rPr>
                <w:rFonts w:hint="eastAsia" w:ascii="宋体" w:hAnsi="宋体" w:cs="宋体"/>
                <w:bCs/>
                <w:color w:val="auto"/>
                <w:sz w:val="24"/>
                <w:highlight w:val="none"/>
              </w:rPr>
              <w:t>含新疆生产建设兵团</w:t>
            </w:r>
            <w:r>
              <w:rPr>
                <w:rFonts w:ascii="宋体" w:hAnsi="宋体" w:cs="宋体"/>
                <w:bCs/>
                <w:color w:val="auto"/>
                <w:sz w:val="24"/>
                <w:highlight w:val="none"/>
              </w:rPr>
              <w:t>)</w:t>
            </w:r>
            <w:r>
              <w:rPr>
                <w:rFonts w:hint="eastAsia" w:ascii="宋体" w:hAnsi="宋体" w:cs="宋体"/>
                <w:bCs/>
                <w:color w:val="auto"/>
                <w:sz w:val="24"/>
                <w:highlight w:val="none"/>
              </w:rPr>
              <w:t>出具的属于监狱企业的证明文件为准。</w:t>
            </w:r>
          </w:p>
          <w:p w14:paraId="12520AB6">
            <w:pPr>
              <w:spacing w:line="360" w:lineRule="auto"/>
              <w:ind w:firstLine="480" w:firstLineChars="200"/>
              <w:rPr>
                <w:rFonts w:ascii="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3</w:t>
            </w:r>
            <w:r>
              <w:rPr>
                <w:rFonts w:hint="eastAsia" w:ascii="宋体" w:hAnsi="宋体" w:cs="宋体"/>
                <w:bCs/>
                <w:color w:val="auto"/>
                <w:sz w:val="24"/>
                <w:highlight w:val="none"/>
              </w:rPr>
              <w:t>）磋商供应商提供企业按《关于促进残疾人就业政府采购政策的通知》</w:t>
            </w:r>
            <w:r>
              <w:rPr>
                <w:rFonts w:ascii="宋体" w:hAnsi="宋体" w:cs="宋体"/>
                <w:bCs/>
                <w:color w:val="auto"/>
                <w:sz w:val="24"/>
                <w:highlight w:val="none"/>
              </w:rPr>
              <w:t>(</w:t>
            </w:r>
            <w:r>
              <w:rPr>
                <w:rFonts w:hint="eastAsia" w:ascii="宋体" w:hAnsi="宋体" w:cs="宋体"/>
                <w:bCs/>
                <w:color w:val="auto"/>
                <w:sz w:val="24"/>
                <w:highlight w:val="none"/>
              </w:rPr>
              <w:t>财库〔</w:t>
            </w:r>
            <w:r>
              <w:rPr>
                <w:rFonts w:ascii="宋体" w:hAnsi="宋体" w:cs="宋体"/>
                <w:bCs/>
                <w:color w:val="auto"/>
                <w:sz w:val="24"/>
                <w:highlight w:val="none"/>
              </w:rPr>
              <w:t>2017</w:t>
            </w:r>
            <w:r>
              <w:rPr>
                <w:rFonts w:hint="eastAsia" w:ascii="宋体" w:hAnsi="宋体" w:cs="宋体"/>
                <w:bCs/>
                <w:color w:val="auto"/>
                <w:sz w:val="24"/>
                <w:highlight w:val="none"/>
              </w:rPr>
              <w:t>〕</w:t>
            </w:r>
            <w:r>
              <w:rPr>
                <w:rFonts w:ascii="宋体" w:hAnsi="宋体" w:cs="宋体"/>
                <w:bCs/>
                <w:color w:val="auto"/>
                <w:sz w:val="24"/>
                <w:highlight w:val="none"/>
              </w:rPr>
              <w:t>141</w:t>
            </w:r>
            <w:r>
              <w:rPr>
                <w:rFonts w:hint="eastAsia" w:ascii="宋体" w:hAnsi="宋体" w:cs="宋体"/>
                <w:bCs/>
                <w:color w:val="auto"/>
                <w:sz w:val="24"/>
                <w:highlight w:val="none"/>
              </w:rPr>
              <w:t>号</w:t>
            </w:r>
            <w:r>
              <w:rPr>
                <w:rFonts w:ascii="宋体" w:hAnsi="宋体" w:cs="宋体"/>
                <w:bCs/>
                <w:color w:val="auto"/>
                <w:sz w:val="24"/>
                <w:highlight w:val="none"/>
              </w:rPr>
              <w:t>)</w:t>
            </w:r>
            <w:r>
              <w:rPr>
                <w:rFonts w:hint="eastAsia" w:ascii="宋体" w:hAnsi="宋体" w:cs="宋体"/>
                <w:bCs/>
                <w:color w:val="auto"/>
                <w:sz w:val="24"/>
                <w:highlight w:val="none"/>
              </w:rPr>
              <w:t>认定为残疾人福利性单位的，在政府采购活动中，残疾人福利性单位视同小型、微型企业。残疾人福利性单位参加政府采购活动时，应当提供该通知规定的《残疾人福利性单位声明函》，并对声明的真实性负责。</w:t>
            </w:r>
          </w:p>
        </w:tc>
      </w:tr>
      <w:tr w14:paraId="2233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80" w:type="dxa"/>
            <w:vAlign w:val="center"/>
          </w:tcPr>
          <w:p w14:paraId="650A4885">
            <w:pPr>
              <w:spacing w:line="360" w:lineRule="auto"/>
              <w:jc w:val="center"/>
              <w:rPr>
                <w:rFonts w:ascii="宋体"/>
                <w:color w:val="auto"/>
                <w:sz w:val="24"/>
                <w:highlight w:val="none"/>
              </w:rPr>
            </w:pPr>
            <w:r>
              <w:rPr>
                <w:rFonts w:ascii="宋体" w:hAnsi="宋体"/>
                <w:color w:val="auto"/>
                <w:sz w:val="24"/>
                <w:highlight w:val="none"/>
              </w:rPr>
              <w:t>3</w:t>
            </w:r>
          </w:p>
        </w:tc>
        <w:tc>
          <w:tcPr>
            <w:tcW w:w="1031" w:type="dxa"/>
            <w:vAlign w:val="center"/>
          </w:tcPr>
          <w:p w14:paraId="5F90FD21">
            <w:pPr>
              <w:spacing w:line="360" w:lineRule="auto"/>
              <w:jc w:val="center"/>
              <w:rPr>
                <w:rFonts w:ascii="宋体" w:cs="宋体"/>
                <w:color w:val="auto"/>
                <w:sz w:val="24"/>
                <w:highlight w:val="none"/>
              </w:rPr>
            </w:pPr>
            <w:r>
              <w:rPr>
                <w:rFonts w:hint="eastAsia" w:ascii="宋体" w:hAnsi="宋体" w:cs="宋体"/>
                <w:color w:val="auto"/>
                <w:sz w:val="24"/>
                <w:highlight w:val="none"/>
              </w:rPr>
              <w:t>商务分</w:t>
            </w:r>
          </w:p>
          <w:p w14:paraId="663594FE">
            <w:pPr>
              <w:spacing w:line="360" w:lineRule="auto"/>
              <w:jc w:val="center"/>
              <w:rPr>
                <w:rFonts w:ascii="宋体"/>
                <w:color w:val="auto"/>
                <w:sz w:val="24"/>
                <w:highlight w:val="none"/>
              </w:rPr>
            </w:pPr>
            <w:r>
              <w:rPr>
                <w:rFonts w:ascii="宋体" w:hAnsi="宋体" w:cs="宋体"/>
                <w:color w:val="auto"/>
                <w:sz w:val="24"/>
                <w:highlight w:val="none"/>
              </w:rPr>
              <w:t>(</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w:t>
            </w:r>
            <w:r>
              <w:rPr>
                <w:rFonts w:ascii="宋体" w:hAnsi="宋体" w:cs="宋体"/>
                <w:color w:val="auto"/>
                <w:sz w:val="24"/>
                <w:highlight w:val="none"/>
              </w:rPr>
              <w:t>)</w:t>
            </w:r>
          </w:p>
        </w:tc>
        <w:tc>
          <w:tcPr>
            <w:tcW w:w="7725" w:type="dxa"/>
            <w:gridSpan w:val="3"/>
            <w:vAlign w:val="center"/>
          </w:tcPr>
          <w:p w14:paraId="301092E7">
            <w:pPr>
              <w:spacing w:line="380" w:lineRule="exact"/>
              <w:rPr>
                <w:rFonts w:ascii="宋体"/>
                <w:b/>
                <w:color w:val="auto"/>
                <w:sz w:val="24"/>
                <w:highlight w:val="none"/>
              </w:rPr>
            </w:pPr>
            <w:r>
              <w:rPr>
                <w:rFonts w:hint="eastAsia" w:ascii="宋体" w:hAnsi="宋体"/>
                <w:b/>
                <w:color w:val="auto"/>
                <w:kern w:val="0"/>
                <w:szCs w:val="18"/>
                <w:highlight w:val="none"/>
                <w:lang w:val="en-US" w:eastAsia="zh-CN"/>
              </w:rPr>
              <w:t>1.</w:t>
            </w:r>
            <w:r>
              <w:rPr>
                <w:rFonts w:hint="eastAsia" w:ascii="宋体" w:hAnsi="宋体"/>
                <w:b/>
                <w:color w:val="auto"/>
                <w:sz w:val="24"/>
                <w:highlight w:val="none"/>
              </w:rPr>
              <w:t>业绩分（满分</w:t>
            </w:r>
            <w:r>
              <w:rPr>
                <w:rFonts w:hint="eastAsia" w:ascii="宋体" w:hAnsi="宋体"/>
                <w:b/>
                <w:color w:val="auto"/>
                <w:sz w:val="24"/>
                <w:highlight w:val="none"/>
                <w:lang w:val="en-US" w:eastAsia="zh-CN"/>
              </w:rPr>
              <w:t>5</w:t>
            </w:r>
            <w:r>
              <w:rPr>
                <w:rFonts w:hint="eastAsia" w:ascii="宋体" w:hAnsi="宋体"/>
                <w:b/>
                <w:color w:val="auto"/>
                <w:sz w:val="24"/>
                <w:highlight w:val="none"/>
              </w:rPr>
              <w:t>分）</w:t>
            </w:r>
          </w:p>
          <w:p w14:paraId="19732AA8">
            <w:pPr>
              <w:widowControl/>
              <w:spacing w:line="38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2022 年 1 月 1 日至提交响应文件截止日供应商承接过</w:t>
            </w:r>
            <w:r>
              <w:rPr>
                <w:rFonts w:hint="eastAsia" w:ascii="宋体" w:hAnsi="宋体"/>
                <w:color w:val="auto"/>
                <w:sz w:val="24"/>
                <w:highlight w:val="none"/>
                <w:lang w:val="en-US" w:eastAsia="zh-CN"/>
              </w:rPr>
              <w:t>类似</w:t>
            </w:r>
            <w:r>
              <w:rPr>
                <w:rFonts w:hint="eastAsia" w:ascii="宋体" w:hAnsi="宋体"/>
                <w:color w:val="auto"/>
                <w:sz w:val="24"/>
                <w:highlight w:val="none"/>
              </w:rPr>
              <w:t>项目业绩，每提供 1 份符合要求的业绩得 1 分，满分 5 分。</w:t>
            </w:r>
          </w:p>
          <w:p w14:paraId="051B101A">
            <w:pPr>
              <w:widowControl/>
              <w:spacing w:line="38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(注：类似工程</w:t>
            </w:r>
            <w:r>
              <w:rPr>
                <w:rFonts w:hint="eastAsia" w:ascii="宋体" w:hAnsi="宋体"/>
                <w:color w:val="auto"/>
                <w:sz w:val="24"/>
                <w:highlight w:val="none"/>
                <w:lang w:val="en-US" w:eastAsia="zh-CN"/>
              </w:rPr>
              <w:t>是指水利水电工程项目，</w:t>
            </w:r>
            <w:r>
              <w:rPr>
                <w:rFonts w:hint="eastAsia" w:ascii="宋体" w:hAnsi="宋体"/>
                <w:color w:val="auto"/>
                <w:sz w:val="24"/>
                <w:highlight w:val="none"/>
              </w:rPr>
              <w:t>项目业绩须提供中标(成交)通知书或合同等证明材料，日期以中标(成交)通知书或合同签订时间为准，复印件加盖供应商公章)。</w:t>
            </w:r>
          </w:p>
          <w:p w14:paraId="2B2EFC15">
            <w:pPr>
              <w:widowControl/>
              <w:spacing w:line="380" w:lineRule="exact"/>
              <w:jc w:val="left"/>
              <w:rPr>
                <w:rFonts w:hint="default" w:ascii="宋体" w:hAnsi="宋体"/>
                <w:b/>
                <w:bCs/>
                <w:color w:val="auto"/>
                <w:sz w:val="24"/>
                <w:highlight w:val="none"/>
                <w:lang w:val="en-US" w:eastAsia="zh-CN"/>
              </w:rPr>
            </w:pPr>
            <w:r>
              <w:rPr>
                <w:rFonts w:hint="eastAsia" w:ascii="宋体" w:hAnsi="宋体"/>
                <w:b/>
                <w:bCs/>
                <w:color w:val="auto"/>
                <w:sz w:val="24"/>
                <w:highlight w:val="none"/>
                <w:lang w:val="en-US" w:eastAsia="zh-CN"/>
              </w:rPr>
              <w:t>2.项目经理任职资格与业绩等（4分）</w:t>
            </w:r>
          </w:p>
          <w:p w14:paraId="6F357872">
            <w:pPr>
              <w:widowControl/>
              <w:spacing w:line="38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拟派任项目经理（或注册建造师）必须与资格审查合格通过的项目经理（或注册建造师）在名称、专业、资格等方面一致。</w:t>
            </w:r>
          </w:p>
          <w:p w14:paraId="7FD0FE2C">
            <w:pPr>
              <w:widowControl/>
              <w:spacing w:line="380" w:lineRule="exact"/>
              <w:ind w:firstLine="480" w:firstLineChars="200"/>
              <w:jc w:val="left"/>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w:t>
            </w:r>
            <w:r>
              <w:rPr>
                <w:rFonts w:hint="eastAsia" w:ascii="宋体" w:hAnsi="宋体"/>
                <w:color w:val="auto"/>
                <w:sz w:val="24"/>
                <w:highlight w:val="none"/>
              </w:rPr>
              <w:t>项目经理</w:t>
            </w:r>
            <w:r>
              <w:rPr>
                <w:rFonts w:hint="eastAsia" w:ascii="宋体" w:hAnsi="宋体"/>
                <w:color w:val="auto"/>
                <w:sz w:val="24"/>
                <w:highlight w:val="none"/>
                <w:lang w:val="en-US" w:eastAsia="zh-CN"/>
              </w:rPr>
              <w:t>职称</w:t>
            </w:r>
            <w:r>
              <w:rPr>
                <w:rFonts w:hint="eastAsia" w:ascii="宋体" w:hAnsi="宋体"/>
                <w:color w:val="auto"/>
                <w:sz w:val="24"/>
                <w:highlight w:val="none"/>
              </w:rPr>
              <w:t>：具备初级职称的</w:t>
            </w:r>
            <w:r>
              <w:rPr>
                <w:rFonts w:hint="eastAsia" w:ascii="宋体" w:hAnsi="宋体"/>
                <w:color w:val="auto"/>
                <w:sz w:val="24"/>
                <w:highlight w:val="none"/>
                <w:lang w:val="en-US" w:eastAsia="zh-CN"/>
              </w:rPr>
              <w:t>得2分，具有中级职称或以上的得4分</w:t>
            </w:r>
            <w:r>
              <w:rPr>
                <w:rFonts w:hint="eastAsia" w:ascii="宋体" w:hAnsi="宋体"/>
                <w:color w:val="auto"/>
                <w:sz w:val="24"/>
                <w:highlight w:val="none"/>
              </w:rPr>
              <w:t>；</w:t>
            </w:r>
            <w:r>
              <w:rPr>
                <w:rFonts w:hint="eastAsia" w:ascii="宋体" w:hAnsi="宋体"/>
                <w:color w:val="auto"/>
                <w:sz w:val="24"/>
                <w:highlight w:val="none"/>
                <w:lang w:val="en-US" w:eastAsia="zh-CN"/>
              </w:rPr>
              <w:t>满分4分。</w:t>
            </w:r>
          </w:p>
          <w:p w14:paraId="4167AE4E">
            <w:pPr>
              <w:widowControl/>
              <w:spacing w:line="380" w:lineRule="exact"/>
              <w:jc w:val="left"/>
              <w:rPr>
                <w:rFonts w:ascii="宋体"/>
                <w:b/>
                <w:bCs/>
                <w:color w:val="auto"/>
                <w:sz w:val="24"/>
                <w:highlight w:val="none"/>
              </w:rPr>
            </w:pPr>
            <w:r>
              <w:rPr>
                <w:rFonts w:hint="eastAsia" w:ascii="宋体" w:hAnsi="宋体"/>
                <w:b/>
                <w:bCs/>
                <w:color w:val="auto"/>
                <w:sz w:val="24"/>
                <w:highlight w:val="none"/>
                <w:lang w:val="en-US" w:eastAsia="zh-CN"/>
              </w:rPr>
              <w:t>3.</w:t>
            </w:r>
            <w:r>
              <w:rPr>
                <w:rFonts w:hint="eastAsia" w:ascii="宋体" w:hAnsi="宋体"/>
                <w:b/>
                <w:bCs/>
                <w:color w:val="auto"/>
                <w:sz w:val="24"/>
                <w:highlight w:val="none"/>
              </w:rPr>
              <w:t>团队人员分（满分</w:t>
            </w:r>
            <w:r>
              <w:rPr>
                <w:rFonts w:hint="eastAsia" w:ascii="宋体" w:hAnsi="宋体"/>
                <w:b/>
                <w:bCs/>
                <w:color w:val="auto"/>
                <w:sz w:val="24"/>
                <w:highlight w:val="none"/>
                <w:lang w:val="en-US" w:eastAsia="zh-CN"/>
              </w:rPr>
              <w:t>3</w:t>
            </w:r>
            <w:r>
              <w:rPr>
                <w:rFonts w:hint="eastAsia" w:ascii="宋体" w:hAnsi="宋体"/>
                <w:b/>
                <w:bCs/>
                <w:color w:val="auto"/>
                <w:sz w:val="24"/>
                <w:highlight w:val="none"/>
              </w:rPr>
              <w:t>分）</w:t>
            </w:r>
          </w:p>
          <w:p w14:paraId="761A4441">
            <w:pPr>
              <w:widowControl/>
              <w:spacing w:line="38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人员齐备、专业配套，具备相关岗位证书，拟派驻本项目的技术负责人应具有中级及以上职称证件，安全员、施工员、质量员、材料员应具有相应岗位资格证书，且拟投入的项目管理人员符合国家及广西壮族自治区的规定。</w:t>
            </w:r>
          </w:p>
          <w:p w14:paraId="2B0ED5C1">
            <w:pPr>
              <w:widowControl/>
              <w:spacing w:line="38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拟投入本工程施工员、质量员、安全员、材料员配备齐全且全部持证上岗的，按以下标准计分：</w:t>
            </w:r>
          </w:p>
          <w:p w14:paraId="42E50F86">
            <w:pPr>
              <w:widowControl/>
              <w:spacing w:line="380" w:lineRule="exact"/>
              <w:ind w:firstLine="480" w:firstLineChars="200"/>
              <w:jc w:val="left"/>
              <w:rPr>
                <w:rFonts w:asci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拟投入本工程的安全员、施工员、质量员、材料员具有初级职称的，每人得0.5分，中级及以上职称的每人得1分，满分</w:t>
            </w:r>
            <w:r>
              <w:rPr>
                <w:rFonts w:hint="eastAsia" w:ascii="宋体" w:hAnsi="宋体"/>
                <w:color w:val="auto"/>
                <w:sz w:val="24"/>
                <w:highlight w:val="none"/>
                <w:lang w:val="en-US" w:eastAsia="zh-CN"/>
              </w:rPr>
              <w:t>3</w:t>
            </w:r>
            <w:r>
              <w:rPr>
                <w:rFonts w:hint="eastAsia" w:ascii="宋体" w:hAnsi="宋体"/>
                <w:color w:val="auto"/>
                <w:sz w:val="24"/>
                <w:highlight w:val="none"/>
              </w:rPr>
              <w:t>分。</w:t>
            </w:r>
          </w:p>
        </w:tc>
      </w:tr>
      <w:tr w14:paraId="6D81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jc w:val="center"/>
        </w:trPr>
        <w:tc>
          <w:tcPr>
            <w:tcW w:w="1811" w:type="dxa"/>
            <w:gridSpan w:val="2"/>
            <w:vAlign w:val="center"/>
          </w:tcPr>
          <w:p w14:paraId="3541072E">
            <w:pPr>
              <w:spacing w:line="360" w:lineRule="auto"/>
              <w:jc w:val="center"/>
              <w:rPr>
                <w:rFonts w:ascii="宋体" w:cs="宋体"/>
                <w:color w:val="auto"/>
                <w:sz w:val="24"/>
                <w:highlight w:val="none"/>
              </w:rPr>
            </w:pPr>
            <w:r>
              <w:rPr>
                <w:rFonts w:hint="eastAsia" w:ascii="宋体" w:hAnsi="宋体" w:cs="宋体"/>
                <w:color w:val="auto"/>
                <w:sz w:val="24"/>
                <w:highlight w:val="none"/>
              </w:rPr>
              <w:t>磋商供应商汇总得分</w:t>
            </w:r>
          </w:p>
          <w:p w14:paraId="4DE1F3EC">
            <w:pPr>
              <w:spacing w:line="360" w:lineRule="auto"/>
              <w:jc w:val="center"/>
              <w:rPr>
                <w:rFonts w:ascii="宋体"/>
                <w:color w:val="auto"/>
                <w:sz w:val="24"/>
                <w:highlight w:val="none"/>
              </w:rPr>
            </w:pPr>
            <w:r>
              <w:rPr>
                <w:rFonts w:hint="eastAsia" w:ascii="宋体" w:hAnsi="宋体" w:cs="宋体"/>
                <w:color w:val="auto"/>
                <w:sz w:val="24"/>
                <w:highlight w:val="none"/>
              </w:rPr>
              <w:t>（满分</w:t>
            </w:r>
            <w:r>
              <w:rPr>
                <w:rFonts w:ascii="宋体" w:hAnsi="宋体" w:cs="宋体"/>
                <w:color w:val="auto"/>
                <w:sz w:val="24"/>
                <w:highlight w:val="none"/>
              </w:rPr>
              <w:t>100</w:t>
            </w:r>
            <w:r>
              <w:rPr>
                <w:rFonts w:hint="eastAsia" w:ascii="宋体" w:hAnsi="宋体" w:cs="宋体"/>
                <w:color w:val="auto"/>
                <w:sz w:val="24"/>
                <w:highlight w:val="none"/>
              </w:rPr>
              <w:t>分）</w:t>
            </w:r>
          </w:p>
        </w:tc>
        <w:tc>
          <w:tcPr>
            <w:tcW w:w="7725" w:type="dxa"/>
            <w:gridSpan w:val="3"/>
            <w:vAlign w:val="center"/>
          </w:tcPr>
          <w:p w14:paraId="198F52CF">
            <w:pPr>
              <w:spacing w:line="360" w:lineRule="auto"/>
              <w:jc w:val="center"/>
              <w:rPr>
                <w:rFonts w:ascii="宋体"/>
                <w:color w:val="auto"/>
                <w:sz w:val="24"/>
                <w:highlight w:val="none"/>
              </w:rPr>
            </w:pPr>
            <w:r>
              <w:rPr>
                <w:rFonts w:hint="eastAsia" w:ascii="宋体" w:hAnsi="宋体" w:cs="宋体"/>
                <w:color w:val="auto"/>
                <w:sz w:val="24"/>
                <w:highlight w:val="none"/>
              </w:rPr>
              <w:t>磋商供应商汇总得分</w:t>
            </w:r>
            <w:r>
              <w:rPr>
                <w:rFonts w:ascii="宋体" w:hAnsi="宋体"/>
                <w:color w:val="auto"/>
                <w:sz w:val="24"/>
                <w:highlight w:val="none"/>
              </w:rPr>
              <w:t>=</w:t>
            </w:r>
            <w:r>
              <w:rPr>
                <w:rFonts w:ascii="宋体" w:hAnsi="宋体" w:cs="宋体"/>
                <w:color w:val="auto"/>
                <w:sz w:val="24"/>
                <w:highlight w:val="none"/>
              </w:rPr>
              <w:t xml:space="preserve"> </w:t>
            </w:r>
            <w:r>
              <w:rPr>
                <w:rFonts w:hint="eastAsia" w:ascii="宋体" w:hAnsi="宋体" w:cs="宋体"/>
                <w:color w:val="auto"/>
                <w:sz w:val="24"/>
                <w:highlight w:val="none"/>
              </w:rPr>
              <w:t>技术分</w:t>
            </w:r>
            <w:r>
              <w:rPr>
                <w:rFonts w:ascii="宋体" w:hAnsi="宋体" w:cs="宋体"/>
                <w:color w:val="auto"/>
                <w:sz w:val="24"/>
                <w:highlight w:val="none"/>
              </w:rPr>
              <w:t xml:space="preserve"> </w:t>
            </w:r>
            <w:r>
              <w:rPr>
                <w:rFonts w:ascii="宋体" w:hAnsi="宋体"/>
                <w:color w:val="auto"/>
                <w:sz w:val="24"/>
                <w:highlight w:val="none"/>
              </w:rPr>
              <w:t>+</w:t>
            </w:r>
            <w:r>
              <w:rPr>
                <w:rFonts w:hint="eastAsia" w:ascii="宋体" w:hAnsi="宋体" w:cs="宋体"/>
                <w:color w:val="auto"/>
                <w:sz w:val="24"/>
                <w:highlight w:val="none"/>
              </w:rPr>
              <w:t>商务分</w:t>
            </w:r>
            <w:r>
              <w:rPr>
                <w:rFonts w:ascii="宋体" w:hAnsi="宋体" w:cs="宋体"/>
                <w:color w:val="auto"/>
                <w:sz w:val="24"/>
                <w:highlight w:val="none"/>
              </w:rPr>
              <w:t xml:space="preserve"> +</w:t>
            </w:r>
            <w:r>
              <w:rPr>
                <w:rFonts w:hint="eastAsia" w:ascii="宋体" w:hAnsi="宋体" w:cs="宋体"/>
                <w:color w:val="auto"/>
                <w:sz w:val="24"/>
                <w:highlight w:val="none"/>
              </w:rPr>
              <w:t>报价分</w:t>
            </w:r>
          </w:p>
        </w:tc>
      </w:tr>
      <w:tr w14:paraId="41DE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9536" w:type="dxa"/>
            <w:gridSpan w:val="5"/>
            <w:vAlign w:val="center"/>
          </w:tcPr>
          <w:p w14:paraId="2133D431">
            <w:pPr>
              <w:spacing w:line="360" w:lineRule="auto"/>
              <w:rPr>
                <w:rFonts w:ascii="宋体"/>
                <w:color w:val="auto"/>
                <w:sz w:val="24"/>
                <w:highlight w:val="none"/>
              </w:rPr>
            </w:pPr>
            <w:r>
              <w:rPr>
                <w:rFonts w:hint="eastAsia" w:ascii="宋体" w:hAnsi="宋体"/>
                <w:color w:val="auto"/>
                <w:sz w:val="24"/>
                <w:highlight w:val="none"/>
              </w:rPr>
              <w:t>评标方法的设定要求：</w:t>
            </w:r>
          </w:p>
          <w:p w14:paraId="600C5684">
            <w:pPr>
              <w:spacing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采购人应当建立公平竞争审查机制，制定评标方法，应当进行公平竞争审查，促进市场公平竞争，优化营商环境，建设全国统一大市场。制定的评标方法不得设置限制公平竞争的评审因素。</w:t>
            </w:r>
          </w:p>
          <w:p w14:paraId="7EC63001">
            <w:pPr>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评审因素应当按照采购需求和与实现项目目标相关的其他因素确定。采购需求客观、明确的采购项目，采购需求中客观但不可量化的指标应当作为实质性要求，不得作为评分项；参与评分的指标应当是采购需求中的量化指标，评分项应当按照量化指标的等次，设置对应的不同分值。不能完全确定客观指标，需由供应商提供设计方案、解决方案或者组织方案的采购项目，可以结合需求调查的情况，尽可能明确不同技术路线、组织形式及相关指标的重要性和优先级，设定客观、量化的评审因素、分值和权重。价格因素应当按照相关规定确定分值和权重。</w:t>
            </w:r>
          </w:p>
          <w:p w14:paraId="3FBC63BA">
            <w:pPr>
              <w:spacing w:line="360" w:lineRule="auto"/>
              <w:ind w:firstLine="480" w:firstLineChars="20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需由供应商提供设计方案、解决方案或者组织方案，且供应商经验和能力对履约有直接影响的，如订购、设计等采购项目，可以在评审因素中适当考虑供应商的履约能力要求，并合理设置分值和权重。需由供应商提供设计方案、解决方案或者组织方案，采购人认为有必要考虑全生命周期成本的，可以明确使用年限，要求供应商报出安装调试费用、使用期间能源管理、废弃处置等全生命周期成本，作为评审时考虑的因素。</w:t>
            </w:r>
          </w:p>
          <w:p w14:paraId="4DE73DAC">
            <w:pPr>
              <w:spacing w:line="360" w:lineRule="auto"/>
              <w:ind w:firstLine="480" w:firstLineChars="200"/>
              <w:rPr>
                <w:rFonts w:ascii="宋体"/>
                <w:color w:val="auto"/>
                <w:sz w:val="24"/>
                <w:highlight w:val="none"/>
              </w:rPr>
            </w:pPr>
            <w:r>
              <w:rPr>
                <w:rFonts w:ascii="宋体" w:hAnsi="宋体"/>
                <w:color w:val="auto"/>
                <w:sz w:val="24"/>
                <w:highlight w:val="none"/>
              </w:rPr>
              <w:t>4.</w:t>
            </w:r>
            <w:r>
              <w:rPr>
                <w:rFonts w:hint="eastAsia" w:ascii="宋体" w:hAnsi="宋体"/>
                <w:color w:val="auto"/>
                <w:sz w:val="24"/>
                <w:highlight w:val="none"/>
              </w:rPr>
              <w:t>评审因素不得设置《北海市政府采购负面清单》所禁止的条款。</w:t>
            </w:r>
          </w:p>
          <w:p w14:paraId="18B85C07">
            <w:pPr>
              <w:spacing w:line="360" w:lineRule="auto"/>
              <w:ind w:firstLine="480" w:firstLineChars="200"/>
              <w:rPr>
                <w:rFonts w:ascii="宋体"/>
                <w:color w:val="auto"/>
                <w:sz w:val="24"/>
                <w:highlight w:val="none"/>
              </w:rPr>
            </w:pPr>
            <w:r>
              <w:rPr>
                <w:rFonts w:ascii="宋体" w:hAnsi="宋体"/>
                <w:color w:val="auto"/>
                <w:sz w:val="24"/>
                <w:highlight w:val="none"/>
              </w:rPr>
              <w:t>5.</w:t>
            </w:r>
            <w:r>
              <w:rPr>
                <w:rFonts w:hint="eastAsia" w:ascii="宋体" w:hAnsi="宋体"/>
                <w:color w:val="auto"/>
                <w:sz w:val="24"/>
                <w:highlight w:val="none"/>
              </w:rPr>
              <w:t>评审因素的设定应当与磋商供应商所提供货物、服务或工程的质量相关，包括磋商报价、技术或者服务水平、履约能力、售后服务等。资格条件不得作为评审因素。评审因素应当在磋商文件中规定。不得将磋商供应商的注册资本、资产总额、营业收入、从业人员、利润、纳税额等规模条件作为评审因素。</w:t>
            </w:r>
          </w:p>
          <w:p w14:paraId="1C0D9636">
            <w:pPr>
              <w:spacing w:line="360" w:lineRule="auto"/>
              <w:ind w:firstLine="480" w:firstLineChars="200"/>
              <w:rPr>
                <w:rFonts w:ascii="宋体" w:cs="宋体"/>
                <w:color w:val="auto"/>
                <w:sz w:val="24"/>
                <w:highlight w:val="none"/>
              </w:rPr>
            </w:pPr>
            <w:r>
              <w:rPr>
                <w:rFonts w:ascii="宋体" w:hAnsi="宋体"/>
                <w:color w:val="auto"/>
                <w:sz w:val="24"/>
                <w:highlight w:val="none"/>
              </w:rPr>
              <w:t>6.</w:t>
            </w:r>
            <w:r>
              <w:rPr>
                <w:rFonts w:hint="eastAsia" w:ascii="宋体" w:hAnsi="宋体"/>
                <w:color w:val="auto"/>
                <w:sz w:val="24"/>
                <w:highlight w:val="none"/>
              </w:rPr>
              <w:t>评审因素要严格落实以下政府采购政策：（</w:t>
            </w:r>
            <w:r>
              <w:rPr>
                <w:rFonts w:ascii="宋体" w:hAnsi="宋体"/>
                <w:color w:val="auto"/>
                <w:sz w:val="24"/>
                <w:highlight w:val="none"/>
              </w:rPr>
              <w:t>1</w:t>
            </w:r>
            <w:r>
              <w:rPr>
                <w:rFonts w:hint="eastAsia" w:ascii="宋体" w:hAnsi="宋体"/>
                <w:color w:val="auto"/>
                <w:sz w:val="24"/>
                <w:highlight w:val="none"/>
              </w:rPr>
              <w:t>）支持采用本国产品：政府采购应当采购本国产品，确需采购进口产品的，实行审核管理。优先采购向我国企业转让技术、与我国企业签订消化吸收再创新方案的供应商的进口产品。（</w:t>
            </w:r>
            <w:r>
              <w:rPr>
                <w:rFonts w:ascii="宋体" w:hAnsi="宋体"/>
                <w:color w:val="auto"/>
                <w:sz w:val="24"/>
                <w:highlight w:val="none"/>
              </w:rPr>
              <w:t>2</w:t>
            </w:r>
            <w:r>
              <w:rPr>
                <w:rFonts w:hint="eastAsia" w:ascii="宋体" w:hAnsi="宋体"/>
                <w:color w:val="auto"/>
                <w:sz w:val="24"/>
                <w:highlight w:val="none"/>
              </w:rPr>
              <w:t>）支持绿色发展：落实强制采购节能产品、鼓励节能政策；鼓励环保政策；推广使用绿色包装；采购绿色建材等。（</w:t>
            </w:r>
            <w:r>
              <w:rPr>
                <w:rFonts w:ascii="宋体" w:hAnsi="宋体"/>
                <w:color w:val="auto"/>
                <w:sz w:val="24"/>
                <w:highlight w:val="none"/>
              </w:rPr>
              <w:t>3</w:t>
            </w:r>
            <w:r>
              <w:rPr>
                <w:rFonts w:hint="eastAsia" w:ascii="宋体" w:hAnsi="宋体"/>
                <w:color w:val="auto"/>
                <w:sz w:val="24"/>
                <w:highlight w:val="none"/>
              </w:rPr>
              <w:t>）支持中小企业发展：采购限额标准以上，</w:t>
            </w:r>
            <w:r>
              <w:rPr>
                <w:rFonts w:ascii="宋体" w:hAnsi="宋体"/>
                <w:color w:val="auto"/>
                <w:sz w:val="24"/>
                <w:highlight w:val="none"/>
              </w:rPr>
              <w:t xml:space="preserve">200 </w:t>
            </w:r>
            <w:r>
              <w:rPr>
                <w:rFonts w:hint="eastAsia" w:ascii="宋体" w:hAnsi="宋体"/>
                <w:color w:val="auto"/>
                <w:sz w:val="24"/>
                <w:highlight w:val="none"/>
              </w:rPr>
              <w:t>万元以下的货物和服务采购项目、</w:t>
            </w:r>
            <w:r>
              <w:rPr>
                <w:rFonts w:ascii="宋体" w:hAnsi="宋体"/>
                <w:color w:val="auto"/>
                <w:sz w:val="24"/>
                <w:highlight w:val="none"/>
              </w:rPr>
              <w:t>400</w:t>
            </w:r>
            <w:r>
              <w:rPr>
                <w:rFonts w:hint="eastAsia" w:ascii="宋体" w:hAnsi="宋体"/>
                <w:color w:val="auto"/>
                <w:sz w:val="24"/>
                <w:highlight w:val="none"/>
              </w:rPr>
              <w:t>万元以下的工程采购项目，适宜由中小企业提供的，采购人应当专门面向中小企业采购。超过</w:t>
            </w:r>
            <w:r>
              <w:rPr>
                <w:rFonts w:ascii="宋体" w:hAnsi="宋体"/>
                <w:color w:val="auto"/>
                <w:sz w:val="24"/>
                <w:highlight w:val="none"/>
              </w:rPr>
              <w:t xml:space="preserve"> 200</w:t>
            </w:r>
            <w:r>
              <w:rPr>
                <w:rFonts w:hint="eastAsia" w:ascii="宋体" w:hAnsi="宋体"/>
                <w:color w:val="auto"/>
                <w:sz w:val="24"/>
                <w:highlight w:val="none"/>
              </w:rPr>
              <w:t>万元的货物和服务采购项目、超过</w:t>
            </w:r>
            <w:r>
              <w:rPr>
                <w:rFonts w:ascii="宋体" w:hAnsi="宋体"/>
                <w:color w:val="auto"/>
                <w:sz w:val="24"/>
                <w:highlight w:val="none"/>
              </w:rPr>
              <w:t xml:space="preserve">400 </w:t>
            </w:r>
            <w:r>
              <w:rPr>
                <w:rFonts w:hint="eastAsia" w:ascii="宋体" w:hAnsi="宋体"/>
                <w:color w:val="auto"/>
                <w:sz w:val="24"/>
                <w:highlight w:val="none"/>
              </w:rPr>
              <w:t>万元的工程采购项目中适宜由中小企业提供的，预留该部分采购项目预算总额的</w:t>
            </w:r>
            <w:r>
              <w:rPr>
                <w:rFonts w:ascii="宋体" w:hAnsi="宋体"/>
                <w:color w:val="auto"/>
                <w:sz w:val="24"/>
                <w:highlight w:val="none"/>
              </w:rPr>
              <w:t xml:space="preserve"> 30%</w:t>
            </w:r>
            <w:r>
              <w:rPr>
                <w:rFonts w:hint="eastAsia" w:ascii="宋体" w:hAnsi="宋体"/>
                <w:color w:val="auto"/>
                <w:sz w:val="24"/>
                <w:highlight w:val="none"/>
              </w:rPr>
              <w:t>以上专门面向中小企业采购，其中预留给小微企业的比例不低于</w:t>
            </w:r>
            <w:r>
              <w:rPr>
                <w:rFonts w:ascii="宋体" w:hAnsi="宋体"/>
                <w:color w:val="auto"/>
                <w:sz w:val="24"/>
                <w:highlight w:val="none"/>
              </w:rPr>
              <w:t>60%</w:t>
            </w:r>
            <w:r>
              <w:rPr>
                <w:rFonts w:hint="eastAsia" w:ascii="宋体" w:hAnsi="宋体"/>
                <w:color w:val="auto"/>
                <w:sz w:val="24"/>
                <w:highlight w:val="none"/>
              </w:rPr>
              <w:t>。对于未预留份额专门面向中小企业采购的政府采购项目，以及预留份额政府采购项目中的非预留部分标项，对小型和微型企业的磋商报价给予</w:t>
            </w:r>
            <w:r>
              <w:rPr>
                <w:rFonts w:ascii="宋体" w:hAnsi="宋体"/>
                <w:color w:val="auto"/>
                <w:sz w:val="24"/>
                <w:highlight w:val="none"/>
              </w:rPr>
              <w:t>3%</w:t>
            </w:r>
            <w:r>
              <w:rPr>
                <w:rFonts w:ascii="宋体" w:hAnsi="宋体" w:cs="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的扣除，用扣除后的价格参与评审。（</w:t>
            </w:r>
            <w:r>
              <w:rPr>
                <w:rFonts w:ascii="宋体" w:hAnsi="宋体"/>
                <w:color w:val="auto"/>
                <w:sz w:val="24"/>
                <w:highlight w:val="none"/>
              </w:rPr>
              <w:t>4</w:t>
            </w:r>
            <w:r>
              <w:rPr>
                <w:rFonts w:hint="eastAsia" w:ascii="宋体" w:hAnsi="宋体"/>
                <w:color w:val="auto"/>
                <w:sz w:val="24"/>
                <w:highlight w:val="none"/>
              </w:rPr>
              <w:t>）支持监狱企业、残疾人福利性单位发展：监狱企业、残疾人福利性单位视同小型和微型企业。（</w:t>
            </w:r>
            <w:r>
              <w:rPr>
                <w:rFonts w:ascii="宋体" w:hAnsi="宋体"/>
                <w:color w:val="auto"/>
                <w:sz w:val="24"/>
                <w:highlight w:val="none"/>
              </w:rPr>
              <w:t>5</w:t>
            </w:r>
            <w:r>
              <w:rPr>
                <w:rFonts w:hint="eastAsia" w:ascii="宋体" w:hAnsi="宋体"/>
                <w:color w:val="auto"/>
                <w:sz w:val="24"/>
                <w:highlight w:val="none"/>
              </w:rPr>
              <w:t>）支持创新发展：优先采购被认定为首台套产品和“制造精品”的自主创新产品。（</w:t>
            </w:r>
            <w:r>
              <w:rPr>
                <w:rFonts w:ascii="宋体" w:hAnsi="宋体"/>
                <w:color w:val="auto"/>
                <w:sz w:val="24"/>
                <w:highlight w:val="none"/>
              </w:rPr>
              <w:t>6</w:t>
            </w:r>
            <w:r>
              <w:rPr>
                <w:rFonts w:hint="eastAsia" w:ascii="宋体" w:hAnsi="宋体"/>
                <w:color w:val="auto"/>
                <w:sz w:val="24"/>
                <w:highlight w:val="none"/>
              </w:rPr>
              <w:t>）平等对待内外资企业和符合条件的破产重整企业。</w:t>
            </w:r>
          </w:p>
        </w:tc>
      </w:tr>
    </w:tbl>
    <w:p w14:paraId="11AFD988">
      <w:pPr>
        <w:spacing w:line="360" w:lineRule="auto"/>
        <w:rPr>
          <w:rFonts w:hint="eastAsia" w:ascii="宋体" w:hAnsi="宋体"/>
          <w:b/>
          <w:bCs/>
          <w:color w:val="auto"/>
          <w:sz w:val="24"/>
          <w:highlight w:val="none"/>
        </w:rPr>
      </w:pPr>
    </w:p>
    <w:p w14:paraId="53476889">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三、推荐成交候选供应商原则</w:t>
      </w:r>
    </w:p>
    <w:p w14:paraId="5347688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根据《财政部关于政府采购竞争性磋商采购方式管理暂行办法有关问题的补充通知》财库[2015]124号文件的规定，采购过程中符合要求的供应商只有2家的，竞争性磋商采购活动可以继续进行。</w:t>
      </w:r>
    </w:p>
    <w:p w14:paraId="5347688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磋商小组将根据得分由高到低排列次序（得分相同时，以磋商报价由低到高顺序排列；得分相同且磋商报价相同的，按技术指标优劣顺序排列）并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w:t>
      </w:r>
    </w:p>
    <w:p w14:paraId="5347688C">
      <w:pPr>
        <w:pStyle w:val="22"/>
        <w:adjustRightIn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四、</w:t>
      </w:r>
      <w:r>
        <w:rPr>
          <w:rFonts w:hAnsi="宋体"/>
          <w:b/>
          <w:bCs/>
          <w:color w:val="auto"/>
          <w:sz w:val="24"/>
          <w:szCs w:val="24"/>
          <w:highlight w:val="none"/>
        </w:rPr>
        <w:t>成交标准：</w:t>
      </w:r>
    </w:p>
    <w:p w14:paraId="5347688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根据《财政部关于政府采购竞争性磋商采购方式管理暂行办法有关问题的补充通知》财库[2015]124号文件的规定，采购过程中符合要求的供应商只有2家的，竞争性磋商采购活动可以继续进行。</w:t>
      </w:r>
    </w:p>
    <w:p w14:paraId="5347688E">
      <w:pPr>
        <w:pStyle w:val="86"/>
        <w:widowControl/>
        <w:ind w:firstLine="480"/>
        <w:rPr>
          <w:rFonts w:hint="eastAsia" w:ascii="宋体" w:hAnsi="宋体"/>
          <w:color w:val="auto"/>
          <w:sz w:val="24"/>
          <w:highlight w:val="none"/>
        </w:rPr>
      </w:pPr>
      <w:r>
        <w:rPr>
          <w:rFonts w:hint="eastAsia" w:ascii="宋体" w:hAnsi="宋体"/>
          <w:color w:val="auto"/>
          <w:sz w:val="24"/>
          <w:highlight w:val="none"/>
        </w:rPr>
        <w:t>磋商小组将根据得分由高到低排列次序（得分相同时，以磋商报价由低到高顺序排列；得分相同且磋商报价相同的，按技术指标优劣顺序排列）并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w:t>
      </w:r>
    </w:p>
    <w:p w14:paraId="102C7F43">
      <w:pPr>
        <w:pStyle w:val="86"/>
        <w:widowControl/>
        <w:ind w:firstLine="480"/>
        <w:rPr>
          <w:rFonts w:hint="eastAsia" w:ascii="宋体" w:hAnsi="宋体"/>
          <w:color w:val="auto"/>
          <w:sz w:val="24"/>
          <w:highlight w:val="none"/>
        </w:rPr>
      </w:pPr>
    </w:p>
    <w:sectPr>
      <w:footerReference r:id="rId10" w:type="default"/>
      <w:pgSz w:w="11906" w:h="16838"/>
      <w:pgMar w:top="1247" w:right="1247" w:bottom="1247" w:left="124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方正小标宋简体">
    <w:altName w:val="黑体"/>
    <w:panose1 w:val="00000000000000000000"/>
    <w:charset w:val="86"/>
    <w:family w:val="script"/>
    <w:pitch w:val="default"/>
    <w:sig w:usb0="00000000" w:usb1="00000000" w:usb2="00000000" w:usb3="00000000" w:csb0="00040000" w:csb1="00000000"/>
  </w:font>
  <w:font w:name="方正宋黑简体">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6896">
    <w:pPr>
      <w:pStyle w:val="26"/>
      <w:jc w:val="center"/>
      <w:rPr>
        <w:rFonts w:ascii="仿宋_GB2312" w:eastAsia="仿宋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768AF">
                          <w:pPr>
                            <w:pStyle w:val="2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34768AF">
                    <w:pPr>
                      <w:pStyle w:val="2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53476897">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6898">
    <w:pPr>
      <w:pStyle w:val="26"/>
      <w:jc w:val="center"/>
      <w:rPr>
        <w:rFonts w:ascii="仿宋_GB2312" w:eastAsia="仿宋_GB23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768B0">
                          <w:pPr>
                            <w:pStyle w:val="26"/>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34768B0">
                    <w:pPr>
                      <w:pStyle w:val="26"/>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p w14:paraId="53476899">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93BB5">
    <w:pPr>
      <w:pStyle w:val="26"/>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47650" cy="115570"/>
              <wp:effectExtent l="0" t="0" r="0" b="0"/>
              <wp:wrapNone/>
              <wp:docPr id="11" name="文本框 5121"/>
              <wp:cNvGraphicFramePr/>
              <a:graphic xmlns:a="http://schemas.openxmlformats.org/drawingml/2006/main">
                <a:graphicData uri="http://schemas.microsoft.com/office/word/2010/wordprocessingShape">
                  <wps:wsp>
                    <wps:cNvSpPr txBox="1"/>
                    <wps:spPr>
                      <a:xfrm>
                        <a:off x="0" y="0"/>
                        <a:ext cx="247650" cy="115570"/>
                      </a:xfrm>
                      <a:prstGeom prst="rect">
                        <a:avLst/>
                      </a:prstGeom>
                      <a:noFill/>
                      <a:ln>
                        <a:noFill/>
                      </a:ln>
                    </wps:spPr>
                    <wps:txbx>
                      <w:txbxContent>
                        <w:p w14:paraId="38293BCA">
                          <w:pPr>
                            <w:pStyle w:val="26"/>
                            <w:jc w:val="center"/>
                          </w:pPr>
                          <w:r>
                            <w:fldChar w:fldCharType="begin"/>
                          </w:r>
                          <w:r>
                            <w:instrText xml:space="preserve"> PAGE  \* MERGEFORMAT </w:instrText>
                          </w:r>
                          <w:r>
                            <w:fldChar w:fldCharType="separate"/>
                          </w:r>
                          <w:r>
                            <w:t>58</w:t>
                          </w:r>
                          <w:r>
                            <w:fldChar w:fldCharType="end"/>
                          </w:r>
                        </w:p>
                      </w:txbxContent>
                    </wps:txbx>
                    <wps:bodyPr wrap="square" lIns="0" tIns="0" rIns="0" bIns="0"/>
                  </wps:wsp>
                </a:graphicData>
              </a:graphic>
            </wp:anchor>
          </w:drawing>
        </mc:Choice>
        <mc:Fallback>
          <w:pict>
            <v:shape id="文本框 5121" o:spid="_x0000_s1026" o:spt="202" type="#_x0000_t202" style="position:absolute;left:0pt;margin-top:0pt;height:9.1pt;width:19.5pt;mso-position-horizontal:center;mso-position-horizontal-relative:margin;z-index:251663360;mso-width-relative:page;mso-height-relative:page;" filled="f" stroked="f" coordsize="21600,21600" o:gfxdata="UEsDBAoAAAAAAIdO4kAAAAAAAAAAAAAAAAAEAAAAZHJzL1BLAwQUAAAACACHTuJAFgK16dMAAAAD&#10;AQAADwAAAGRycy9kb3ducmV2LnhtbE2PzWrDMBCE74W+g9hCb42UFELiWg4ltKdCqeMccpStjS1i&#10;rRxL+enbd9tLc1kYZpj9Jl9dfS/OOEYXSMN0okAgNcE6ajVsq/enBYiYDFnTB0IN3xhhVdzf5Saz&#10;4UIlnjepFVxCMTMaupSGTMrYdOhNnIQBib19GL1JLMdW2tFcuNz3cqbUXHrjiD90ZsB1h81hc/Ia&#10;XndUvrnjZ/1V7ktXVUtFH/OD1o8PU/UCIuE1/YfhF5/RoWCmOpzIRtFr4CHp77L3vGRVc2YxA1nk&#10;8pa9+AFQSwMEFAAAAAgAh07iQDojGgjAAQAAdwMAAA4AAABkcnMvZTJvRG9jLnhtbK1TS27bMBDd&#10;F8gdCO5jWkacFILlAIWRIEDRFkh7AJoiLQL8hUNb8gXaG3TVTfc9l8/RIS07bbrJohtqODN6fO8N&#10;ubgdrCE7GUF719BqMqVEOuFb7TYN/fL57vItJZC4a7nxTjZ0L4HeLi/eLPpQy5nvvGllJAjioO5D&#10;Q7uUQs0YiE5aDhMfpMOi8tHyhNu4YW3kPaJbw2bT6TXrfWxD9EICYHZ1LNIRMb4G0CulhVx5sbXS&#10;pSNqlIYnlASdDkCXha1SUqSPSoFMxDQUlaay4iEYr/PKlgtebyIPnRYjBf4aCi80Wa4dHnqGWvHE&#10;yTbqf6CsFtGDV2kivGVHIcURVFFNX3jz2PEgixa0GsLZdPh/sOLD7lMkusWbUFHiuMWJH75/O/z4&#10;dfj5lcyrWZUt6gPU2PkYsDcN7/yA7ac8YDIrH1S0+YuaCNbR4P3ZYDkkIjA5u7q5nmNFYKmq5vOb&#10;MgD2/HOIkO6ltyQHDY04v2Ir372HhESw9dSSz3L+ThtTZmjcXwlszBmWmR8Z5igN62GUs/btHtX0&#10;OPqGwtOWR0mJeXDobb4npyCegvUYZBIZCudR6Ix3Jw/8z33pen4v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WArXp0wAAAAMBAAAPAAAAAAAAAAEAIAAAACIAAABkcnMvZG93bnJldi54bWxQSwEC&#10;FAAUAAAACACHTuJAOiMaCMABAAB3AwAADgAAAAAAAAABACAAAAAiAQAAZHJzL2Uyb0RvYy54bWxQ&#10;SwUGAAAAAAYABgBZAQAAVAUAAAAA&#10;">
              <v:fill on="f" focussize="0,0"/>
              <v:stroke on="f"/>
              <v:imagedata o:title=""/>
              <o:lock v:ext="edit" aspectratio="f"/>
              <v:textbox inset="0mm,0mm,0mm,0mm">
                <w:txbxContent>
                  <w:p w14:paraId="38293BCA">
                    <w:pPr>
                      <w:pStyle w:val="26"/>
                      <w:jc w:val="center"/>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689E">
    <w:pPr>
      <w:pStyle w:val="26"/>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4768B3">
                          <w:pPr>
                            <w:pStyle w:val="26"/>
                          </w:pPr>
                          <w:r>
                            <w:fldChar w:fldCharType="begin"/>
                          </w:r>
                          <w:r>
                            <w:instrText xml:space="preserve"> PAGE  \* MERGEFORMAT </w:instrText>
                          </w:r>
                          <w:r>
                            <w:fldChar w:fldCharType="separate"/>
                          </w:r>
                          <w:r>
                            <w:t>60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534768B3">
                    <w:pPr>
                      <w:pStyle w:val="26"/>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689F">
    <w:pPr>
      <w:pStyle w:val="26"/>
      <w:jc w:val="center"/>
      <w:rPr>
        <w:rFonts w:ascii="仿宋_GB2312" w:eastAsia="仿宋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768B4">
                          <w:pPr>
                            <w:pStyle w:val="26"/>
                          </w:pPr>
                          <w:r>
                            <w:t xml:space="preserve">第 </w:t>
                          </w:r>
                          <w:r>
                            <w:fldChar w:fldCharType="begin"/>
                          </w:r>
                          <w:r>
                            <w:instrText xml:space="preserve"> PAGE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34768B4">
                    <w:pPr>
                      <w:pStyle w:val="26"/>
                    </w:pPr>
                    <w:r>
                      <w:t xml:space="preserve">第 </w:t>
                    </w:r>
                    <w:r>
                      <w:fldChar w:fldCharType="begin"/>
                    </w:r>
                    <w:r>
                      <w:instrText xml:space="preserve"> PAGE  \* MERGEFORMAT </w:instrText>
                    </w:r>
                    <w:r>
                      <w:fldChar w:fldCharType="separate"/>
                    </w:r>
                    <w:r>
                      <w:t>63</w:t>
                    </w:r>
                    <w:r>
                      <w:fldChar w:fldCharType="end"/>
                    </w:r>
                    <w:r>
                      <w:t xml:space="preserve"> 页</w:t>
                    </w:r>
                  </w:p>
                </w:txbxContent>
              </v:textbox>
            </v:shape>
          </w:pict>
        </mc:Fallback>
      </mc:AlternateContent>
    </w:r>
  </w:p>
  <w:p w14:paraId="534768A0">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96E87">
    <w:pPr>
      <w:jc w:val="right"/>
      <w:rPr>
        <w:lang w:eastAsia="zh-CN"/>
      </w:rPr>
    </w:pPr>
    <w:r>
      <w:rPr>
        <w:snapToGrid/>
      </w:rPr>
      <w:drawing>
        <wp:anchor distT="0" distB="0" distL="114300" distR="114300" simplePos="0" relativeHeight="251662336" behindDoc="0" locked="0" layoutInCell="1" allowOverlap="1">
          <wp:simplePos x="0" y="0"/>
          <wp:positionH relativeFrom="column">
            <wp:posOffset>6985</wp:posOffset>
          </wp:positionH>
          <wp:positionV relativeFrom="paragraph">
            <wp:posOffset>-116205</wp:posOffset>
          </wp:positionV>
          <wp:extent cx="2129790" cy="318770"/>
          <wp:effectExtent l="0" t="0" r="3810" b="5080"/>
          <wp:wrapNone/>
          <wp:docPr id="7" name="图片 1"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文本&#10;&#10;AI 生成的内容可能不正确。"/>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29790" cy="318770"/>
                  </a:xfrm>
                  <a:prstGeom prst="rect">
                    <a:avLst/>
                  </a:prstGeom>
                  <a:noFill/>
                  <a:ln>
                    <a:noFill/>
                  </a:ln>
                </pic:spPr>
              </pic:pic>
            </a:graphicData>
          </a:graphic>
        </wp:anchor>
      </w:drawing>
    </w:r>
    <w:r>
      <w:rPr>
        <w:rFonts w:hint="eastAsia" w:ascii="宋体" w:hAnsi="宋体" w:eastAsia="宋体" w:cs="宋体"/>
        <w:lang w:eastAsia="zh-CN"/>
      </w:rPr>
      <w:t>北海市政府采购竞争性谈判文件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6893">
    <w:r>
      <w:drawing>
        <wp:anchor distT="0" distB="0" distL="114300" distR="114300" simplePos="0" relativeHeight="251665408" behindDoc="0" locked="0" layoutInCell="1" allowOverlap="1">
          <wp:simplePos x="0" y="0"/>
          <wp:positionH relativeFrom="column">
            <wp:posOffset>6985</wp:posOffset>
          </wp:positionH>
          <wp:positionV relativeFrom="paragraph">
            <wp:posOffset>-116840</wp:posOffset>
          </wp:positionV>
          <wp:extent cx="2129790" cy="318770"/>
          <wp:effectExtent l="0" t="0" r="3810" b="5080"/>
          <wp:wrapNone/>
          <wp:docPr id="1205177076" name="图片 1"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177076" name="图片 1" descr="文本&#10;&#10;AI 生成的内容可能不正确。"/>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29790" cy="31877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689D">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3F82"/>
    <w:multiLevelType w:val="multilevel"/>
    <w:tmpl w:val="00003F82"/>
    <w:lvl w:ilvl="0" w:tentative="0">
      <w:start w:val="1"/>
      <w:numFmt w:val="decimal"/>
      <w:pStyle w:val="20"/>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pStyle w:val="8"/>
      <w:lvlText w:val="%6."/>
      <w:lvlJc w:val="right"/>
      <w:pPr>
        <w:tabs>
          <w:tab w:val="left" w:pos="2520"/>
        </w:tabs>
        <w:ind w:left="2520" w:hanging="420"/>
      </w:pPr>
    </w:lvl>
    <w:lvl w:ilvl="6" w:tentative="0">
      <w:start w:val="1"/>
      <w:numFmt w:val="decimal"/>
      <w:pStyle w:val="9"/>
      <w:lvlText w:val="%7."/>
      <w:lvlJc w:val="left"/>
      <w:pPr>
        <w:tabs>
          <w:tab w:val="left" w:pos="2940"/>
        </w:tabs>
        <w:ind w:left="2940" w:hanging="420"/>
      </w:pPr>
    </w:lvl>
    <w:lvl w:ilvl="7" w:tentative="0">
      <w:start w:val="1"/>
      <w:numFmt w:val="lowerLetter"/>
      <w:pStyle w:val="10"/>
      <w:lvlText w:val="%8)"/>
      <w:lvlJc w:val="left"/>
      <w:pPr>
        <w:tabs>
          <w:tab w:val="left" w:pos="3360"/>
        </w:tabs>
        <w:ind w:left="3360" w:hanging="420"/>
      </w:pPr>
    </w:lvl>
    <w:lvl w:ilvl="8" w:tentative="0">
      <w:start w:val="1"/>
      <w:numFmt w:val="lowerRoman"/>
      <w:pStyle w:val="11"/>
      <w:lvlText w:val="%9."/>
      <w:lvlJc w:val="right"/>
      <w:pPr>
        <w:tabs>
          <w:tab w:val="left" w:pos="3780"/>
        </w:tabs>
        <w:ind w:left="3780" w:hanging="420"/>
      </w:pPr>
    </w:lvl>
  </w:abstractNum>
  <w:abstractNum w:abstractNumId="1">
    <w:nsid w:val="4D844C20"/>
    <w:multiLevelType w:val="singleLevel"/>
    <w:tmpl w:val="4D844C20"/>
    <w:lvl w:ilvl="0" w:tentative="0">
      <w:start w:val="10"/>
      <w:numFmt w:val="chineseCounting"/>
      <w:suff w:val="nothing"/>
      <w:lvlText w:val="%1、"/>
      <w:lvlJc w:val="left"/>
      <w:rPr>
        <w:rFonts w:hint="eastAsia"/>
      </w:rPr>
    </w:lvl>
  </w:abstractNum>
  <w:abstractNum w:abstractNumId="2">
    <w:nsid w:val="4F7D1618"/>
    <w:multiLevelType w:val="singleLevel"/>
    <w:tmpl w:val="4F7D1618"/>
    <w:lvl w:ilvl="0" w:tentative="0">
      <w:start w:val="6"/>
      <w:numFmt w:val="decimal"/>
      <w:suff w:val="nothing"/>
      <w:lvlText w:val="（%1）"/>
      <w:lvlJc w:val="left"/>
    </w:lvl>
  </w:abstractNum>
  <w:abstractNum w:abstractNumId="3">
    <w:nsid w:val="5DF9E985"/>
    <w:multiLevelType w:val="singleLevel"/>
    <w:tmpl w:val="5DF9E985"/>
    <w:lvl w:ilvl="0" w:tentative="0">
      <w:start w:val="1"/>
      <w:numFmt w:val="chineseCounting"/>
      <w:suff w:val="nothing"/>
      <w:lvlText w:val="%1、"/>
      <w:lvlJc w:val="left"/>
      <w:rPr>
        <w:rFonts w:hint="eastAsia"/>
      </w:rPr>
    </w:lvl>
  </w:abstractNum>
  <w:abstractNum w:abstractNumId="4">
    <w:nsid w:val="77633219"/>
    <w:multiLevelType w:val="singleLevel"/>
    <w:tmpl w:val="7763321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5">
    <w:nsid w:val="7763321A"/>
    <w:multiLevelType w:val="singleLevel"/>
    <w:tmpl w:val="7763321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6">
    <w:nsid w:val="7763321B"/>
    <w:multiLevelType w:val="singleLevel"/>
    <w:tmpl w:val="7763321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7">
    <w:nsid w:val="7763321C"/>
    <w:multiLevelType w:val="singleLevel"/>
    <w:tmpl w:val="7763321C"/>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8">
    <w:nsid w:val="7763321D"/>
    <w:multiLevelType w:val="singleLevel"/>
    <w:tmpl w:val="7763321D"/>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9">
    <w:nsid w:val="7763321E"/>
    <w:multiLevelType w:val="singleLevel"/>
    <w:tmpl w:val="7763321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0">
    <w:nsid w:val="7763321F"/>
    <w:multiLevelType w:val="singleLevel"/>
    <w:tmpl w:val="7763321F"/>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1">
    <w:nsid w:val="77633220"/>
    <w:multiLevelType w:val="singleLevel"/>
    <w:tmpl w:val="77633220"/>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2">
    <w:nsid w:val="77633221"/>
    <w:multiLevelType w:val="singleLevel"/>
    <w:tmpl w:val="7763322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3">
    <w:nsid w:val="77633222"/>
    <w:multiLevelType w:val="singleLevel"/>
    <w:tmpl w:val="77633222"/>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4">
    <w:nsid w:val="77633223"/>
    <w:multiLevelType w:val="singleLevel"/>
    <w:tmpl w:val="7763322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5">
    <w:nsid w:val="77633224"/>
    <w:multiLevelType w:val="singleLevel"/>
    <w:tmpl w:val="7763322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6">
    <w:nsid w:val="77633225"/>
    <w:multiLevelType w:val="singleLevel"/>
    <w:tmpl w:val="7763322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7">
    <w:nsid w:val="77633226"/>
    <w:multiLevelType w:val="singleLevel"/>
    <w:tmpl w:val="7763322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8">
    <w:nsid w:val="77633227"/>
    <w:multiLevelType w:val="singleLevel"/>
    <w:tmpl w:val="7763322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9">
    <w:nsid w:val="77633228"/>
    <w:multiLevelType w:val="singleLevel"/>
    <w:tmpl w:val="7763322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0">
    <w:nsid w:val="77633229"/>
    <w:multiLevelType w:val="singleLevel"/>
    <w:tmpl w:val="7763322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1">
    <w:nsid w:val="7763322A"/>
    <w:multiLevelType w:val="singleLevel"/>
    <w:tmpl w:val="7763322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2">
    <w:nsid w:val="7763322B"/>
    <w:multiLevelType w:val="singleLevel"/>
    <w:tmpl w:val="7763322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3">
    <w:nsid w:val="7763322C"/>
    <w:multiLevelType w:val="singleLevel"/>
    <w:tmpl w:val="7763322C"/>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4">
    <w:nsid w:val="7763322D"/>
    <w:multiLevelType w:val="singleLevel"/>
    <w:tmpl w:val="7763322D"/>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5">
    <w:nsid w:val="7763322E"/>
    <w:multiLevelType w:val="singleLevel"/>
    <w:tmpl w:val="7763322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6">
    <w:nsid w:val="7763322F"/>
    <w:multiLevelType w:val="singleLevel"/>
    <w:tmpl w:val="7763322F"/>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7">
    <w:nsid w:val="77633230"/>
    <w:multiLevelType w:val="singleLevel"/>
    <w:tmpl w:val="77633230"/>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8">
    <w:nsid w:val="77633231"/>
    <w:multiLevelType w:val="singleLevel"/>
    <w:tmpl w:val="7763323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9">
    <w:nsid w:val="77633232"/>
    <w:multiLevelType w:val="singleLevel"/>
    <w:tmpl w:val="77633232"/>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0">
    <w:nsid w:val="77633233"/>
    <w:multiLevelType w:val="singleLevel"/>
    <w:tmpl w:val="7763323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1">
    <w:nsid w:val="77633234"/>
    <w:multiLevelType w:val="singleLevel"/>
    <w:tmpl w:val="7763323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2">
    <w:nsid w:val="77633235"/>
    <w:multiLevelType w:val="singleLevel"/>
    <w:tmpl w:val="7763323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3">
    <w:nsid w:val="77633236"/>
    <w:multiLevelType w:val="singleLevel"/>
    <w:tmpl w:val="7763323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4">
    <w:nsid w:val="77633237"/>
    <w:multiLevelType w:val="singleLevel"/>
    <w:tmpl w:val="77633237"/>
    <w:lvl w:ilvl="0" w:tentative="0">
      <w:start w:val="2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abstractNum>
  <w:abstractNum w:abstractNumId="35">
    <w:nsid w:val="77633238"/>
    <w:multiLevelType w:val="singleLevel"/>
    <w:tmpl w:val="7763323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6">
    <w:nsid w:val="77633243"/>
    <w:multiLevelType w:val="singleLevel"/>
    <w:tmpl w:val="7763324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37">
    <w:nsid w:val="77633244"/>
    <w:multiLevelType w:val="singleLevel"/>
    <w:tmpl w:val="77633244"/>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8">
    <w:nsid w:val="77633245"/>
    <w:multiLevelType w:val="singleLevel"/>
    <w:tmpl w:val="77633245"/>
    <w:lvl w:ilvl="0" w:tentative="0">
      <w:start w:val="2"/>
      <w:numFmt w:val="chineseCounting"/>
      <w:suff w:val="nothing"/>
      <w:lvlText w:val="（%1）"/>
      <w:lvlJc w:val="left"/>
      <w:rPr>
        <w:rFonts w:hint="eastAsia"/>
      </w:rPr>
    </w:lvl>
  </w:abstractNum>
  <w:abstractNum w:abstractNumId="39">
    <w:nsid w:val="77633246"/>
    <w:multiLevelType w:val="singleLevel"/>
    <w:tmpl w:val="7763324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40">
    <w:nsid w:val="77633247"/>
    <w:multiLevelType w:val="singleLevel"/>
    <w:tmpl w:val="7763324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num w:numId="1">
    <w:abstractNumId w:val="0"/>
  </w:num>
  <w:num w:numId="2">
    <w:abstractNumId w:val="2"/>
  </w:num>
  <w:num w:numId="3">
    <w:abstractNumId w:val="1"/>
  </w:num>
  <w:num w:numId="4">
    <w:abstractNumId w:val="36"/>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7"/>
  </w:num>
  <w:num w:numId="38">
    <w:abstractNumId w:val="38"/>
  </w:num>
  <w:num w:numId="39">
    <w:abstractNumId w:val="39"/>
  </w:num>
  <w:num w:numId="40">
    <w:abstractNumId w:val="40"/>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iYjdmYTVhNWFiMjE1Y2E1NDNlZTdhNDMzMjk2M2EifQ=="/>
  </w:docVars>
  <w:rsids>
    <w:rsidRoot w:val="00172A27"/>
    <w:rsid w:val="000001E7"/>
    <w:rsid w:val="00000366"/>
    <w:rsid w:val="0000048D"/>
    <w:rsid w:val="00000716"/>
    <w:rsid w:val="00000A97"/>
    <w:rsid w:val="00000FE5"/>
    <w:rsid w:val="000010F5"/>
    <w:rsid w:val="000013BB"/>
    <w:rsid w:val="0000160B"/>
    <w:rsid w:val="0000181F"/>
    <w:rsid w:val="00002027"/>
    <w:rsid w:val="000026A8"/>
    <w:rsid w:val="0000279E"/>
    <w:rsid w:val="000027A3"/>
    <w:rsid w:val="00002A66"/>
    <w:rsid w:val="00002D43"/>
    <w:rsid w:val="00002DD8"/>
    <w:rsid w:val="00003301"/>
    <w:rsid w:val="000033B4"/>
    <w:rsid w:val="00003461"/>
    <w:rsid w:val="00003C25"/>
    <w:rsid w:val="00003DEE"/>
    <w:rsid w:val="0000402D"/>
    <w:rsid w:val="000043B1"/>
    <w:rsid w:val="00004632"/>
    <w:rsid w:val="0000477D"/>
    <w:rsid w:val="00004A06"/>
    <w:rsid w:val="000052CE"/>
    <w:rsid w:val="00005C76"/>
    <w:rsid w:val="00005E2B"/>
    <w:rsid w:val="00006003"/>
    <w:rsid w:val="000060BC"/>
    <w:rsid w:val="0000620D"/>
    <w:rsid w:val="0000726F"/>
    <w:rsid w:val="000075CD"/>
    <w:rsid w:val="00007683"/>
    <w:rsid w:val="00007872"/>
    <w:rsid w:val="00007A85"/>
    <w:rsid w:val="00007EEE"/>
    <w:rsid w:val="000103E1"/>
    <w:rsid w:val="00010544"/>
    <w:rsid w:val="000106AE"/>
    <w:rsid w:val="00010EB8"/>
    <w:rsid w:val="000121F1"/>
    <w:rsid w:val="00013234"/>
    <w:rsid w:val="0001385B"/>
    <w:rsid w:val="00013BF2"/>
    <w:rsid w:val="00014856"/>
    <w:rsid w:val="00014E8A"/>
    <w:rsid w:val="00015746"/>
    <w:rsid w:val="000159D8"/>
    <w:rsid w:val="00015BFC"/>
    <w:rsid w:val="00015C9A"/>
    <w:rsid w:val="00015CE7"/>
    <w:rsid w:val="000160FF"/>
    <w:rsid w:val="0001703D"/>
    <w:rsid w:val="0002028E"/>
    <w:rsid w:val="0002048F"/>
    <w:rsid w:val="0002053F"/>
    <w:rsid w:val="00020E60"/>
    <w:rsid w:val="00021435"/>
    <w:rsid w:val="00021947"/>
    <w:rsid w:val="00022B83"/>
    <w:rsid w:val="00022BE4"/>
    <w:rsid w:val="00023457"/>
    <w:rsid w:val="00023894"/>
    <w:rsid w:val="00023A16"/>
    <w:rsid w:val="000240E5"/>
    <w:rsid w:val="00024161"/>
    <w:rsid w:val="000243D1"/>
    <w:rsid w:val="000245C3"/>
    <w:rsid w:val="00024AB6"/>
    <w:rsid w:val="00024ACD"/>
    <w:rsid w:val="000251AD"/>
    <w:rsid w:val="000253C6"/>
    <w:rsid w:val="00025792"/>
    <w:rsid w:val="000257F2"/>
    <w:rsid w:val="00025934"/>
    <w:rsid w:val="00025979"/>
    <w:rsid w:val="00025A10"/>
    <w:rsid w:val="00025AF3"/>
    <w:rsid w:val="000267AE"/>
    <w:rsid w:val="00026875"/>
    <w:rsid w:val="000268F6"/>
    <w:rsid w:val="00026927"/>
    <w:rsid w:val="00026992"/>
    <w:rsid w:val="00026F49"/>
    <w:rsid w:val="00027C91"/>
    <w:rsid w:val="000301FB"/>
    <w:rsid w:val="00030269"/>
    <w:rsid w:val="000303F4"/>
    <w:rsid w:val="00030A2C"/>
    <w:rsid w:val="00030D49"/>
    <w:rsid w:val="000310B4"/>
    <w:rsid w:val="00031624"/>
    <w:rsid w:val="00031694"/>
    <w:rsid w:val="000317B4"/>
    <w:rsid w:val="00031FD2"/>
    <w:rsid w:val="000328F5"/>
    <w:rsid w:val="00032E7C"/>
    <w:rsid w:val="00032EA5"/>
    <w:rsid w:val="0003315B"/>
    <w:rsid w:val="00034049"/>
    <w:rsid w:val="000341A1"/>
    <w:rsid w:val="000349A8"/>
    <w:rsid w:val="000354FA"/>
    <w:rsid w:val="0003597C"/>
    <w:rsid w:val="00035A87"/>
    <w:rsid w:val="00035C07"/>
    <w:rsid w:val="00035FE3"/>
    <w:rsid w:val="00036189"/>
    <w:rsid w:val="00036707"/>
    <w:rsid w:val="00036D2F"/>
    <w:rsid w:val="00036D4A"/>
    <w:rsid w:val="0003702E"/>
    <w:rsid w:val="000370F3"/>
    <w:rsid w:val="000371E3"/>
    <w:rsid w:val="00037C85"/>
    <w:rsid w:val="00037EF7"/>
    <w:rsid w:val="000401B0"/>
    <w:rsid w:val="000403CC"/>
    <w:rsid w:val="0004127F"/>
    <w:rsid w:val="00041AB2"/>
    <w:rsid w:val="00041FE8"/>
    <w:rsid w:val="00042C85"/>
    <w:rsid w:val="00042FDE"/>
    <w:rsid w:val="000438B4"/>
    <w:rsid w:val="00043F42"/>
    <w:rsid w:val="000443B7"/>
    <w:rsid w:val="000446BD"/>
    <w:rsid w:val="00044BE6"/>
    <w:rsid w:val="00044FE9"/>
    <w:rsid w:val="000454C8"/>
    <w:rsid w:val="0004642E"/>
    <w:rsid w:val="00046963"/>
    <w:rsid w:val="00046DA6"/>
    <w:rsid w:val="00047604"/>
    <w:rsid w:val="000476DA"/>
    <w:rsid w:val="0005020A"/>
    <w:rsid w:val="000502A1"/>
    <w:rsid w:val="000509E1"/>
    <w:rsid w:val="00050F5A"/>
    <w:rsid w:val="00051025"/>
    <w:rsid w:val="000515BE"/>
    <w:rsid w:val="00051873"/>
    <w:rsid w:val="00051875"/>
    <w:rsid w:val="00051BF8"/>
    <w:rsid w:val="0005282C"/>
    <w:rsid w:val="00052993"/>
    <w:rsid w:val="00052E8B"/>
    <w:rsid w:val="0005301D"/>
    <w:rsid w:val="00053057"/>
    <w:rsid w:val="00053225"/>
    <w:rsid w:val="000533DF"/>
    <w:rsid w:val="00053519"/>
    <w:rsid w:val="00053947"/>
    <w:rsid w:val="00053C58"/>
    <w:rsid w:val="00054F12"/>
    <w:rsid w:val="0005528E"/>
    <w:rsid w:val="00055508"/>
    <w:rsid w:val="00056055"/>
    <w:rsid w:val="00056178"/>
    <w:rsid w:val="000565D0"/>
    <w:rsid w:val="00056641"/>
    <w:rsid w:val="00056B26"/>
    <w:rsid w:val="00056DD2"/>
    <w:rsid w:val="00057386"/>
    <w:rsid w:val="0005754F"/>
    <w:rsid w:val="00057690"/>
    <w:rsid w:val="0005780E"/>
    <w:rsid w:val="00057E84"/>
    <w:rsid w:val="000605FA"/>
    <w:rsid w:val="00060609"/>
    <w:rsid w:val="000608DA"/>
    <w:rsid w:val="00060DA4"/>
    <w:rsid w:val="00061482"/>
    <w:rsid w:val="00061489"/>
    <w:rsid w:val="00061B13"/>
    <w:rsid w:val="00061D96"/>
    <w:rsid w:val="00061D9D"/>
    <w:rsid w:val="0006240E"/>
    <w:rsid w:val="000625B1"/>
    <w:rsid w:val="00062874"/>
    <w:rsid w:val="00063349"/>
    <w:rsid w:val="000637F9"/>
    <w:rsid w:val="000638D4"/>
    <w:rsid w:val="000639E2"/>
    <w:rsid w:val="00063F74"/>
    <w:rsid w:val="0006479D"/>
    <w:rsid w:val="000648FB"/>
    <w:rsid w:val="00064FF9"/>
    <w:rsid w:val="00065247"/>
    <w:rsid w:val="00065383"/>
    <w:rsid w:val="000657DF"/>
    <w:rsid w:val="00065905"/>
    <w:rsid w:val="00066418"/>
    <w:rsid w:val="000665EC"/>
    <w:rsid w:val="000666F4"/>
    <w:rsid w:val="00066C48"/>
    <w:rsid w:val="00066D1C"/>
    <w:rsid w:val="00066FBA"/>
    <w:rsid w:val="00066FD9"/>
    <w:rsid w:val="000675B3"/>
    <w:rsid w:val="000678DC"/>
    <w:rsid w:val="00067F85"/>
    <w:rsid w:val="00070133"/>
    <w:rsid w:val="00070214"/>
    <w:rsid w:val="00070953"/>
    <w:rsid w:val="00070BF0"/>
    <w:rsid w:val="00070EC9"/>
    <w:rsid w:val="000712AE"/>
    <w:rsid w:val="000716D3"/>
    <w:rsid w:val="00071709"/>
    <w:rsid w:val="00071863"/>
    <w:rsid w:val="00072525"/>
    <w:rsid w:val="00072539"/>
    <w:rsid w:val="0007287D"/>
    <w:rsid w:val="00072B56"/>
    <w:rsid w:val="00072BED"/>
    <w:rsid w:val="00073509"/>
    <w:rsid w:val="000738C8"/>
    <w:rsid w:val="000739F4"/>
    <w:rsid w:val="00073AD4"/>
    <w:rsid w:val="00074470"/>
    <w:rsid w:val="0007467E"/>
    <w:rsid w:val="000746C2"/>
    <w:rsid w:val="00074988"/>
    <w:rsid w:val="0007510E"/>
    <w:rsid w:val="00075493"/>
    <w:rsid w:val="000764E3"/>
    <w:rsid w:val="00076629"/>
    <w:rsid w:val="000768BD"/>
    <w:rsid w:val="00076A3C"/>
    <w:rsid w:val="00076D10"/>
    <w:rsid w:val="00076F10"/>
    <w:rsid w:val="00077067"/>
    <w:rsid w:val="0007744D"/>
    <w:rsid w:val="00077793"/>
    <w:rsid w:val="00077888"/>
    <w:rsid w:val="00080194"/>
    <w:rsid w:val="00080517"/>
    <w:rsid w:val="0008099D"/>
    <w:rsid w:val="00080AF6"/>
    <w:rsid w:val="0008199B"/>
    <w:rsid w:val="00081D56"/>
    <w:rsid w:val="00081EE3"/>
    <w:rsid w:val="00081F53"/>
    <w:rsid w:val="0008237B"/>
    <w:rsid w:val="0008291C"/>
    <w:rsid w:val="00082B45"/>
    <w:rsid w:val="000830AC"/>
    <w:rsid w:val="000830C5"/>
    <w:rsid w:val="000830E5"/>
    <w:rsid w:val="00083EF5"/>
    <w:rsid w:val="00084569"/>
    <w:rsid w:val="0008458D"/>
    <w:rsid w:val="00085826"/>
    <w:rsid w:val="00085A3E"/>
    <w:rsid w:val="00085BB4"/>
    <w:rsid w:val="00085DA3"/>
    <w:rsid w:val="00085DF6"/>
    <w:rsid w:val="00085E3B"/>
    <w:rsid w:val="00085E44"/>
    <w:rsid w:val="00086890"/>
    <w:rsid w:val="00086A86"/>
    <w:rsid w:val="00086C6B"/>
    <w:rsid w:val="00086F28"/>
    <w:rsid w:val="00087061"/>
    <w:rsid w:val="00087117"/>
    <w:rsid w:val="0008734E"/>
    <w:rsid w:val="00087A84"/>
    <w:rsid w:val="000908E8"/>
    <w:rsid w:val="000908F5"/>
    <w:rsid w:val="00090A73"/>
    <w:rsid w:val="00090CB4"/>
    <w:rsid w:val="00090D1E"/>
    <w:rsid w:val="00090E81"/>
    <w:rsid w:val="0009114B"/>
    <w:rsid w:val="0009140A"/>
    <w:rsid w:val="00091B32"/>
    <w:rsid w:val="00091D0B"/>
    <w:rsid w:val="00091F18"/>
    <w:rsid w:val="00092065"/>
    <w:rsid w:val="000926BC"/>
    <w:rsid w:val="0009299B"/>
    <w:rsid w:val="00092F29"/>
    <w:rsid w:val="000930CC"/>
    <w:rsid w:val="0009319D"/>
    <w:rsid w:val="0009362D"/>
    <w:rsid w:val="000937AE"/>
    <w:rsid w:val="00093DEB"/>
    <w:rsid w:val="00093E2D"/>
    <w:rsid w:val="00093F68"/>
    <w:rsid w:val="0009404A"/>
    <w:rsid w:val="000940BD"/>
    <w:rsid w:val="00094731"/>
    <w:rsid w:val="00094C16"/>
    <w:rsid w:val="00095AC7"/>
    <w:rsid w:val="00095C3B"/>
    <w:rsid w:val="00095D49"/>
    <w:rsid w:val="000960CD"/>
    <w:rsid w:val="00096306"/>
    <w:rsid w:val="000965CA"/>
    <w:rsid w:val="000967D6"/>
    <w:rsid w:val="00096B21"/>
    <w:rsid w:val="00096DD4"/>
    <w:rsid w:val="00096F38"/>
    <w:rsid w:val="00097105"/>
    <w:rsid w:val="00097277"/>
    <w:rsid w:val="00097A0F"/>
    <w:rsid w:val="00097A78"/>
    <w:rsid w:val="00097ACA"/>
    <w:rsid w:val="00097B61"/>
    <w:rsid w:val="00097E7D"/>
    <w:rsid w:val="000A0224"/>
    <w:rsid w:val="000A02BC"/>
    <w:rsid w:val="000A04C1"/>
    <w:rsid w:val="000A0726"/>
    <w:rsid w:val="000A0AA4"/>
    <w:rsid w:val="000A0B6E"/>
    <w:rsid w:val="000A0C21"/>
    <w:rsid w:val="000A0FF0"/>
    <w:rsid w:val="000A15A5"/>
    <w:rsid w:val="000A170A"/>
    <w:rsid w:val="000A1A01"/>
    <w:rsid w:val="000A2108"/>
    <w:rsid w:val="000A24C2"/>
    <w:rsid w:val="000A24E9"/>
    <w:rsid w:val="000A2762"/>
    <w:rsid w:val="000A2C07"/>
    <w:rsid w:val="000A3234"/>
    <w:rsid w:val="000A4076"/>
    <w:rsid w:val="000A4710"/>
    <w:rsid w:val="000A49C2"/>
    <w:rsid w:val="000A555C"/>
    <w:rsid w:val="000A5AC3"/>
    <w:rsid w:val="000A5E6B"/>
    <w:rsid w:val="000A6539"/>
    <w:rsid w:val="000A7792"/>
    <w:rsid w:val="000B04F9"/>
    <w:rsid w:val="000B0591"/>
    <w:rsid w:val="000B0964"/>
    <w:rsid w:val="000B0D1F"/>
    <w:rsid w:val="000B11E4"/>
    <w:rsid w:val="000B15DE"/>
    <w:rsid w:val="000B196D"/>
    <w:rsid w:val="000B1A5F"/>
    <w:rsid w:val="000B1DDB"/>
    <w:rsid w:val="000B2278"/>
    <w:rsid w:val="000B26F8"/>
    <w:rsid w:val="000B3AF9"/>
    <w:rsid w:val="000B3CDE"/>
    <w:rsid w:val="000B43AC"/>
    <w:rsid w:val="000B5538"/>
    <w:rsid w:val="000B5B5A"/>
    <w:rsid w:val="000B5DE3"/>
    <w:rsid w:val="000B5F3E"/>
    <w:rsid w:val="000B6175"/>
    <w:rsid w:val="000B6858"/>
    <w:rsid w:val="000B69DE"/>
    <w:rsid w:val="000B6A2C"/>
    <w:rsid w:val="000B763B"/>
    <w:rsid w:val="000B78B2"/>
    <w:rsid w:val="000B79A9"/>
    <w:rsid w:val="000B7F0F"/>
    <w:rsid w:val="000C019B"/>
    <w:rsid w:val="000C022F"/>
    <w:rsid w:val="000C09E5"/>
    <w:rsid w:val="000C0BB2"/>
    <w:rsid w:val="000C0D87"/>
    <w:rsid w:val="000C0E98"/>
    <w:rsid w:val="000C1181"/>
    <w:rsid w:val="000C19AE"/>
    <w:rsid w:val="000C19B4"/>
    <w:rsid w:val="000C1A4E"/>
    <w:rsid w:val="000C1FA9"/>
    <w:rsid w:val="000C2158"/>
    <w:rsid w:val="000C21E8"/>
    <w:rsid w:val="000C285C"/>
    <w:rsid w:val="000C2F46"/>
    <w:rsid w:val="000C3373"/>
    <w:rsid w:val="000C3478"/>
    <w:rsid w:val="000C3EA7"/>
    <w:rsid w:val="000C4083"/>
    <w:rsid w:val="000C4455"/>
    <w:rsid w:val="000C4561"/>
    <w:rsid w:val="000C4739"/>
    <w:rsid w:val="000C4D91"/>
    <w:rsid w:val="000C51D4"/>
    <w:rsid w:val="000C5C42"/>
    <w:rsid w:val="000C6906"/>
    <w:rsid w:val="000C6B3E"/>
    <w:rsid w:val="000C6B70"/>
    <w:rsid w:val="000C7B5B"/>
    <w:rsid w:val="000C7B87"/>
    <w:rsid w:val="000D026D"/>
    <w:rsid w:val="000D05B5"/>
    <w:rsid w:val="000D07A7"/>
    <w:rsid w:val="000D08B3"/>
    <w:rsid w:val="000D0ADC"/>
    <w:rsid w:val="000D0C2C"/>
    <w:rsid w:val="000D0CE0"/>
    <w:rsid w:val="000D158F"/>
    <w:rsid w:val="000D1631"/>
    <w:rsid w:val="000D1CEA"/>
    <w:rsid w:val="000D1FEF"/>
    <w:rsid w:val="000D2385"/>
    <w:rsid w:val="000D277B"/>
    <w:rsid w:val="000D2B57"/>
    <w:rsid w:val="000D2C64"/>
    <w:rsid w:val="000D2F62"/>
    <w:rsid w:val="000D30D3"/>
    <w:rsid w:val="000D35A7"/>
    <w:rsid w:val="000D35E0"/>
    <w:rsid w:val="000D36D3"/>
    <w:rsid w:val="000D43F5"/>
    <w:rsid w:val="000D4524"/>
    <w:rsid w:val="000D4E47"/>
    <w:rsid w:val="000D4FF3"/>
    <w:rsid w:val="000D50F9"/>
    <w:rsid w:val="000D52E9"/>
    <w:rsid w:val="000D61EE"/>
    <w:rsid w:val="000D6610"/>
    <w:rsid w:val="000D6891"/>
    <w:rsid w:val="000D6AE7"/>
    <w:rsid w:val="000D6C67"/>
    <w:rsid w:val="000D6ED6"/>
    <w:rsid w:val="000D74E3"/>
    <w:rsid w:val="000D7ECE"/>
    <w:rsid w:val="000E0408"/>
    <w:rsid w:val="000E0746"/>
    <w:rsid w:val="000E0D4C"/>
    <w:rsid w:val="000E11E2"/>
    <w:rsid w:val="000E124B"/>
    <w:rsid w:val="000E138A"/>
    <w:rsid w:val="000E14C3"/>
    <w:rsid w:val="000E1DE2"/>
    <w:rsid w:val="000E20BB"/>
    <w:rsid w:val="000E20E3"/>
    <w:rsid w:val="000E21F1"/>
    <w:rsid w:val="000E22EF"/>
    <w:rsid w:val="000E2A43"/>
    <w:rsid w:val="000E2F71"/>
    <w:rsid w:val="000E3248"/>
    <w:rsid w:val="000E3B54"/>
    <w:rsid w:val="000E3F9F"/>
    <w:rsid w:val="000E3FC4"/>
    <w:rsid w:val="000E4161"/>
    <w:rsid w:val="000E4182"/>
    <w:rsid w:val="000E454A"/>
    <w:rsid w:val="000E4600"/>
    <w:rsid w:val="000E4F0B"/>
    <w:rsid w:val="000E50B2"/>
    <w:rsid w:val="000E5165"/>
    <w:rsid w:val="000E5630"/>
    <w:rsid w:val="000E582F"/>
    <w:rsid w:val="000E5BE6"/>
    <w:rsid w:val="000E5C71"/>
    <w:rsid w:val="000E607D"/>
    <w:rsid w:val="000E61C3"/>
    <w:rsid w:val="000E6529"/>
    <w:rsid w:val="000E6E28"/>
    <w:rsid w:val="000E7CAD"/>
    <w:rsid w:val="000F01CC"/>
    <w:rsid w:val="000F03A0"/>
    <w:rsid w:val="000F0599"/>
    <w:rsid w:val="000F0980"/>
    <w:rsid w:val="000F1440"/>
    <w:rsid w:val="000F174D"/>
    <w:rsid w:val="000F1B49"/>
    <w:rsid w:val="000F21E3"/>
    <w:rsid w:val="000F26EA"/>
    <w:rsid w:val="000F2743"/>
    <w:rsid w:val="000F2773"/>
    <w:rsid w:val="000F28AF"/>
    <w:rsid w:val="000F2A54"/>
    <w:rsid w:val="000F2DB6"/>
    <w:rsid w:val="000F2DD9"/>
    <w:rsid w:val="000F2F7A"/>
    <w:rsid w:val="000F3689"/>
    <w:rsid w:val="000F40FC"/>
    <w:rsid w:val="000F4668"/>
    <w:rsid w:val="000F4927"/>
    <w:rsid w:val="000F495B"/>
    <w:rsid w:val="000F4B54"/>
    <w:rsid w:val="000F55DE"/>
    <w:rsid w:val="000F5F38"/>
    <w:rsid w:val="000F65CA"/>
    <w:rsid w:val="000F664B"/>
    <w:rsid w:val="000F6765"/>
    <w:rsid w:val="000F698F"/>
    <w:rsid w:val="000F6C79"/>
    <w:rsid w:val="000F7842"/>
    <w:rsid w:val="000F7927"/>
    <w:rsid w:val="001000D3"/>
    <w:rsid w:val="0010019B"/>
    <w:rsid w:val="001002FB"/>
    <w:rsid w:val="0010031E"/>
    <w:rsid w:val="001008CC"/>
    <w:rsid w:val="001009A7"/>
    <w:rsid w:val="001009B8"/>
    <w:rsid w:val="001011B4"/>
    <w:rsid w:val="00101354"/>
    <w:rsid w:val="001015EB"/>
    <w:rsid w:val="00101757"/>
    <w:rsid w:val="00101758"/>
    <w:rsid w:val="001017C0"/>
    <w:rsid w:val="00101E6C"/>
    <w:rsid w:val="0010217A"/>
    <w:rsid w:val="001022AD"/>
    <w:rsid w:val="0010231C"/>
    <w:rsid w:val="0010247F"/>
    <w:rsid w:val="00102C42"/>
    <w:rsid w:val="00102C4A"/>
    <w:rsid w:val="00102E5D"/>
    <w:rsid w:val="00103293"/>
    <w:rsid w:val="0010335E"/>
    <w:rsid w:val="0010395B"/>
    <w:rsid w:val="00103AB2"/>
    <w:rsid w:val="00103C10"/>
    <w:rsid w:val="00103EE5"/>
    <w:rsid w:val="00103F6D"/>
    <w:rsid w:val="001042A5"/>
    <w:rsid w:val="00104573"/>
    <w:rsid w:val="00104906"/>
    <w:rsid w:val="001049F6"/>
    <w:rsid w:val="00104D25"/>
    <w:rsid w:val="00104E39"/>
    <w:rsid w:val="001057FD"/>
    <w:rsid w:val="00105B97"/>
    <w:rsid w:val="00105D98"/>
    <w:rsid w:val="00105F98"/>
    <w:rsid w:val="00106D0B"/>
    <w:rsid w:val="0010712D"/>
    <w:rsid w:val="001075AA"/>
    <w:rsid w:val="00107A38"/>
    <w:rsid w:val="00107E04"/>
    <w:rsid w:val="001102AA"/>
    <w:rsid w:val="00110556"/>
    <w:rsid w:val="00110A94"/>
    <w:rsid w:val="00110D5A"/>
    <w:rsid w:val="0011108B"/>
    <w:rsid w:val="00112010"/>
    <w:rsid w:val="00112E13"/>
    <w:rsid w:val="00113101"/>
    <w:rsid w:val="00113DDA"/>
    <w:rsid w:val="001145AE"/>
    <w:rsid w:val="00114632"/>
    <w:rsid w:val="00114812"/>
    <w:rsid w:val="00115EBD"/>
    <w:rsid w:val="0011643A"/>
    <w:rsid w:val="0012067C"/>
    <w:rsid w:val="00120B52"/>
    <w:rsid w:val="001211FC"/>
    <w:rsid w:val="001212CE"/>
    <w:rsid w:val="001215E7"/>
    <w:rsid w:val="00121AD3"/>
    <w:rsid w:val="00121DCE"/>
    <w:rsid w:val="0012224E"/>
    <w:rsid w:val="001230C7"/>
    <w:rsid w:val="001235A0"/>
    <w:rsid w:val="00123733"/>
    <w:rsid w:val="00123871"/>
    <w:rsid w:val="0012389A"/>
    <w:rsid w:val="001238F8"/>
    <w:rsid w:val="00123910"/>
    <w:rsid w:val="00123CA5"/>
    <w:rsid w:val="00123DA5"/>
    <w:rsid w:val="00124508"/>
    <w:rsid w:val="001248CE"/>
    <w:rsid w:val="00124A76"/>
    <w:rsid w:val="00124EA0"/>
    <w:rsid w:val="00125155"/>
    <w:rsid w:val="00125613"/>
    <w:rsid w:val="00125742"/>
    <w:rsid w:val="001257BC"/>
    <w:rsid w:val="00125D14"/>
    <w:rsid w:val="00125E17"/>
    <w:rsid w:val="0012631D"/>
    <w:rsid w:val="001264DD"/>
    <w:rsid w:val="00126799"/>
    <w:rsid w:val="00126DA3"/>
    <w:rsid w:val="00130020"/>
    <w:rsid w:val="00131893"/>
    <w:rsid w:val="001318A4"/>
    <w:rsid w:val="001319AD"/>
    <w:rsid w:val="001326D6"/>
    <w:rsid w:val="0013299B"/>
    <w:rsid w:val="00132EA0"/>
    <w:rsid w:val="001337A8"/>
    <w:rsid w:val="00133CE4"/>
    <w:rsid w:val="00134207"/>
    <w:rsid w:val="00134265"/>
    <w:rsid w:val="0013446A"/>
    <w:rsid w:val="00134D71"/>
    <w:rsid w:val="0013634C"/>
    <w:rsid w:val="001364E7"/>
    <w:rsid w:val="00136522"/>
    <w:rsid w:val="00136F32"/>
    <w:rsid w:val="001373F4"/>
    <w:rsid w:val="00137922"/>
    <w:rsid w:val="00137ABA"/>
    <w:rsid w:val="00137C07"/>
    <w:rsid w:val="0014059C"/>
    <w:rsid w:val="00140ADD"/>
    <w:rsid w:val="00141225"/>
    <w:rsid w:val="00141721"/>
    <w:rsid w:val="00141F7B"/>
    <w:rsid w:val="0014209C"/>
    <w:rsid w:val="0014220D"/>
    <w:rsid w:val="001433B7"/>
    <w:rsid w:val="00143681"/>
    <w:rsid w:val="00143ED2"/>
    <w:rsid w:val="001440F1"/>
    <w:rsid w:val="0014414C"/>
    <w:rsid w:val="0014490D"/>
    <w:rsid w:val="00144AA3"/>
    <w:rsid w:val="00144E27"/>
    <w:rsid w:val="00145334"/>
    <w:rsid w:val="001453EA"/>
    <w:rsid w:val="0014545B"/>
    <w:rsid w:val="00145BB1"/>
    <w:rsid w:val="00146777"/>
    <w:rsid w:val="00146811"/>
    <w:rsid w:val="00146AB4"/>
    <w:rsid w:val="0014708A"/>
    <w:rsid w:val="001471F7"/>
    <w:rsid w:val="00147490"/>
    <w:rsid w:val="00150218"/>
    <w:rsid w:val="001509EB"/>
    <w:rsid w:val="001510D1"/>
    <w:rsid w:val="001510EE"/>
    <w:rsid w:val="00151589"/>
    <w:rsid w:val="00151786"/>
    <w:rsid w:val="001519CE"/>
    <w:rsid w:val="00151F80"/>
    <w:rsid w:val="001523B4"/>
    <w:rsid w:val="00152778"/>
    <w:rsid w:val="001527B8"/>
    <w:rsid w:val="001527D7"/>
    <w:rsid w:val="00152C02"/>
    <w:rsid w:val="00153DBF"/>
    <w:rsid w:val="00154260"/>
    <w:rsid w:val="00154C93"/>
    <w:rsid w:val="00154DA7"/>
    <w:rsid w:val="00154EBC"/>
    <w:rsid w:val="0015549A"/>
    <w:rsid w:val="00155BEF"/>
    <w:rsid w:val="00155E39"/>
    <w:rsid w:val="00156C99"/>
    <w:rsid w:val="00156DAB"/>
    <w:rsid w:val="001572CC"/>
    <w:rsid w:val="00157E05"/>
    <w:rsid w:val="0016028E"/>
    <w:rsid w:val="001604B4"/>
    <w:rsid w:val="001615E0"/>
    <w:rsid w:val="00161CB3"/>
    <w:rsid w:val="00162689"/>
    <w:rsid w:val="00162955"/>
    <w:rsid w:val="00162A34"/>
    <w:rsid w:val="00162C68"/>
    <w:rsid w:val="00163048"/>
    <w:rsid w:val="00163161"/>
    <w:rsid w:val="00163430"/>
    <w:rsid w:val="001635F9"/>
    <w:rsid w:val="00163795"/>
    <w:rsid w:val="00163A92"/>
    <w:rsid w:val="00164A30"/>
    <w:rsid w:val="00164C0A"/>
    <w:rsid w:val="00165378"/>
    <w:rsid w:val="00166168"/>
    <w:rsid w:val="00166196"/>
    <w:rsid w:val="0016676B"/>
    <w:rsid w:val="001674B1"/>
    <w:rsid w:val="00167AA5"/>
    <w:rsid w:val="00167F10"/>
    <w:rsid w:val="0017003D"/>
    <w:rsid w:val="00170337"/>
    <w:rsid w:val="00170A24"/>
    <w:rsid w:val="00170FB5"/>
    <w:rsid w:val="00171713"/>
    <w:rsid w:val="00171B95"/>
    <w:rsid w:val="00171C15"/>
    <w:rsid w:val="00171FB8"/>
    <w:rsid w:val="00172212"/>
    <w:rsid w:val="0017248D"/>
    <w:rsid w:val="00172726"/>
    <w:rsid w:val="00172A27"/>
    <w:rsid w:val="001730DD"/>
    <w:rsid w:val="00173154"/>
    <w:rsid w:val="00173A6A"/>
    <w:rsid w:val="00173A94"/>
    <w:rsid w:val="00173CC0"/>
    <w:rsid w:val="0017415E"/>
    <w:rsid w:val="001742B5"/>
    <w:rsid w:val="00174A8B"/>
    <w:rsid w:val="00174C64"/>
    <w:rsid w:val="00174CC3"/>
    <w:rsid w:val="001752C8"/>
    <w:rsid w:val="001758F8"/>
    <w:rsid w:val="00175F4C"/>
    <w:rsid w:val="0017634A"/>
    <w:rsid w:val="001764BD"/>
    <w:rsid w:val="00176A73"/>
    <w:rsid w:val="00176FD0"/>
    <w:rsid w:val="00177738"/>
    <w:rsid w:val="001804B7"/>
    <w:rsid w:val="00180808"/>
    <w:rsid w:val="0018107A"/>
    <w:rsid w:val="00181822"/>
    <w:rsid w:val="00181A4A"/>
    <w:rsid w:val="00181B8E"/>
    <w:rsid w:val="00182640"/>
    <w:rsid w:val="00182982"/>
    <w:rsid w:val="00182BBD"/>
    <w:rsid w:val="00182CD2"/>
    <w:rsid w:val="00182F4F"/>
    <w:rsid w:val="00182FC7"/>
    <w:rsid w:val="001830B4"/>
    <w:rsid w:val="00183288"/>
    <w:rsid w:val="00183588"/>
    <w:rsid w:val="00183925"/>
    <w:rsid w:val="001839D3"/>
    <w:rsid w:val="00184282"/>
    <w:rsid w:val="001844AB"/>
    <w:rsid w:val="00184B06"/>
    <w:rsid w:val="001852E1"/>
    <w:rsid w:val="00185760"/>
    <w:rsid w:val="00185B61"/>
    <w:rsid w:val="00185DC6"/>
    <w:rsid w:val="00185F2E"/>
    <w:rsid w:val="0018665C"/>
    <w:rsid w:val="001868FA"/>
    <w:rsid w:val="00186987"/>
    <w:rsid w:val="001869B4"/>
    <w:rsid w:val="00186B06"/>
    <w:rsid w:val="00186F2B"/>
    <w:rsid w:val="00187C59"/>
    <w:rsid w:val="00187DCD"/>
    <w:rsid w:val="0019095C"/>
    <w:rsid w:val="00191012"/>
    <w:rsid w:val="00191849"/>
    <w:rsid w:val="001919AB"/>
    <w:rsid w:val="001926A1"/>
    <w:rsid w:val="001926DB"/>
    <w:rsid w:val="001929F3"/>
    <w:rsid w:val="00192E37"/>
    <w:rsid w:val="001930D0"/>
    <w:rsid w:val="00193339"/>
    <w:rsid w:val="0019344B"/>
    <w:rsid w:val="00193A98"/>
    <w:rsid w:val="00193ACE"/>
    <w:rsid w:val="00194309"/>
    <w:rsid w:val="00194399"/>
    <w:rsid w:val="00194497"/>
    <w:rsid w:val="001945FA"/>
    <w:rsid w:val="00194CEE"/>
    <w:rsid w:val="00195064"/>
    <w:rsid w:val="00195CAF"/>
    <w:rsid w:val="00195E05"/>
    <w:rsid w:val="00196043"/>
    <w:rsid w:val="0019608F"/>
    <w:rsid w:val="00196A25"/>
    <w:rsid w:val="0019740F"/>
    <w:rsid w:val="00197614"/>
    <w:rsid w:val="00197905"/>
    <w:rsid w:val="00197A74"/>
    <w:rsid w:val="00197E59"/>
    <w:rsid w:val="00197EE5"/>
    <w:rsid w:val="001A02FB"/>
    <w:rsid w:val="001A0865"/>
    <w:rsid w:val="001A08CE"/>
    <w:rsid w:val="001A090E"/>
    <w:rsid w:val="001A0BDD"/>
    <w:rsid w:val="001A1192"/>
    <w:rsid w:val="001A1655"/>
    <w:rsid w:val="001A18F8"/>
    <w:rsid w:val="001A1C5C"/>
    <w:rsid w:val="001A2017"/>
    <w:rsid w:val="001A2246"/>
    <w:rsid w:val="001A2A66"/>
    <w:rsid w:val="001A3083"/>
    <w:rsid w:val="001A3486"/>
    <w:rsid w:val="001A3DD7"/>
    <w:rsid w:val="001A3EC8"/>
    <w:rsid w:val="001A4294"/>
    <w:rsid w:val="001A440B"/>
    <w:rsid w:val="001A49A2"/>
    <w:rsid w:val="001A4D6E"/>
    <w:rsid w:val="001A4F45"/>
    <w:rsid w:val="001A5682"/>
    <w:rsid w:val="001A5765"/>
    <w:rsid w:val="001A595A"/>
    <w:rsid w:val="001A5C3E"/>
    <w:rsid w:val="001A5DEA"/>
    <w:rsid w:val="001A5F9E"/>
    <w:rsid w:val="001A617A"/>
    <w:rsid w:val="001A6233"/>
    <w:rsid w:val="001A6A14"/>
    <w:rsid w:val="001A73B5"/>
    <w:rsid w:val="001A76EF"/>
    <w:rsid w:val="001A790B"/>
    <w:rsid w:val="001A7A2D"/>
    <w:rsid w:val="001A7B8F"/>
    <w:rsid w:val="001B080F"/>
    <w:rsid w:val="001B1096"/>
    <w:rsid w:val="001B1458"/>
    <w:rsid w:val="001B145C"/>
    <w:rsid w:val="001B16A2"/>
    <w:rsid w:val="001B1732"/>
    <w:rsid w:val="001B1CD2"/>
    <w:rsid w:val="001B2C6A"/>
    <w:rsid w:val="001B3B89"/>
    <w:rsid w:val="001B4283"/>
    <w:rsid w:val="001B4A4F"/>
    <w:rsid w:val="001B4B1D"/>
    <w:rsid w:val="001B4BCC"/>
    <w:rsid w:val="001B4D55"/>
    <w:rsid w:val="001B5B48"/>
    <w:rsid w:val="001B5D49"/>
    <w:rsid w:val="001B5D93"/>
    <w:rsid w:val="001B5E64"/>
    <w:rsid w:val="001B5F81"/>
    <w:rsid w:val="001B5FD7"/>
    <w:rsid w:val="001B652F"/>
    <w:rsid w:val="001B6F32"/>
    <w:rsid w:val="001C00F2"/>
    <w:rsid w:val="001C0186"/>
    <w:rsid w:val="001C0C1B"/>
    <w:rsid w:val="001C114E"/>
    <w:rsid w:val="001C1981"/>
    <w:rsid w:val="001C19A8"/>
    <w:rsid w:val="001C1D66"/>
    <w:rsid w:val="001C1DBF"/>
    <w:rsid w:val="001C203B"/>
    <w:rsid w:val="001C2342"/>
    <w:rsid w:val="001C2851"/>
    <w:rsid w:val="001C294A"/>
    <w:rsid w:val="001C2A82"/>
    <w:rsid w:val="001C32D4"/>
    <w:rsid w:val="001C3305"/>
    <w:rsid w:val="001C3451"/>
    <w:rsid w:val="001C3CCF"/>
    <w:rsid w:val="001C4F09"/>
    <w:rsid w:val="001C58BE"/>
    <w:rsid w:val="001C58C9"/>
    <w:rsid w:val="001C5C12"/>
    <w:rsid w:val="001C5FC5"/>
    <w:rsid w:val="001C6936"/>
    <w:rsid w:val="001C6FAE"/>
    <w:rsid w:val="001C7CF3"/>
    <w:rsid w:val="001C7EE9"/>
    <w:rsid w:val="001C7F27"/>
    <w:rsid w:val="001D0D67"/>
    <w:rsid w:val="001D126E"/>
    <w:rsid w:val="001D14E2"/>
    <w:rsid w:val="001D18E5"/>
    <w:rsid w:val="001D1965"/>
    <w:rsid w:val="001D19EC"/>
    <w:rsid w:val="001D1E61"/>
    <w:rsid w:val="001D2055"/>
    <w:rsid w:val="001D2365"/>
    <w:rsid w:val="001D2837"/>
    <w:rsid w:val="001D3221"/>
    <w:rsid w:val="001D3315"/>
    <w:rsid w:val="001D434C"/>
    <w:rsid w:val="001D43D7"/>
    <w:rsid w:val="001D4409"/>
    <w:rsid w:val="001D4ADD"/>
    <w:rsid w:val="001D4D5D"/>
    <w:rsid w:val="001D4FDB"/>
    <w:rsid w:val="001D5D2C"/>
    <w:rsid w:val="001D5E55"/>
    <w:rsid w:val="001D5F05"/>
    <w:rsid w:val="001D6124"/>
    <w:rsid w:val="001D6444"/>
    <w:rsid w:val="001D65F1"/>
    <w:rsid w:val="001D6CEF"/>
    <w:rsid w:val="001D6D36"/>
    <w:rsid w:val="001D708C"/>
    <w:rsid w:val="001D7146"/>
    <w:rsid w:val="001D7954"/>
    <w:rsid w:val="001D7A13"/>
    <w:rsid w:val="001D7EFE"/>
    <w:rsid w:val="001E10B4"/>
    <w:rsid w:val="001E1140"/>
    <w:rsid w:val="001E1884"/>
    <w:rsid w:val="001E26E8"/>
    <w:rsid w:val="001E2FE6"/>
    <w:rsid w:val="001E3479"/>
    <w:rsid w:val="001E3BD5"/>
    <w:rsid w:val="001E3E65"/>
    <w:rsid w:val="001E4887"/>
    <w:rsid w:val="001E4A29"/>
    <w:rsid w:val="001E4FCA"/>
    <w:rsid w:val="001E5932"/>
    <w:rsid w:val="001E5B73"/>
    <w:rsid w:val="001E64E4"/>
    <w:rsid w:val="001E67EA"/>
    <w:rsid w:val="001E6905"/>
    <w:rsid w:val="001E6F56"/>
    <w:rsid w:val="001E78AA"/>
    <w:rsid w:val="001F0080"/>
    <w:rsid w:val="001F04FF"/>
    <w:rsid w:val="001F05F9"/>
    <w:rsid w:val="001F09C4"/>
    <w:rsid w:val="001F0D9A"/>
    <w:rsid w:val="001F124C"/>
    <w:rsid w:val="001F2A99"/>
    <w:rsid w:val="001F2B54"/>
    <w:rsid w:val="001F30EB"/>
    <w:rsid w:val="001F316D"/>
    <w:rsid w:val="001F32B2"/>
    <w:rsid w:val="001F3701"/>
    <w:rsid w:val="001F3DAE"/>
    <w:rsid w:val="001F4286"/>
    <w:rsid w:val="001F4695"/>
    <w:rsid w:val="001F4779"/>
    <w:rsid w:val="001F4F01"/>
    <w:rsid w:val="001F556E"/>
    <w:rsid w:val="001F5B99"/>
    <w:rsid w:val="001F60A1"/>
    <w:rsid w:val="001F6190"/>
    <w:rsid w:val="001F66B7"/>
    <w:rsid w:val="001F67F4"/>
    <w:rsid w:val="001F6894"/>
    <w:rsid w:val="001F6927"/>
    <w:rsid w:val="001F7113"/>
    <w:rsid w:val="001F7274"/>
    <w:rsid w:val="001F7C3F"/>
    <w:rsid w:val="001F7DCE"/>
    <w:rsid w:val="00200103"/>
    <w:rsid w:val="00200DCD"/>
    <w:rsid w:val="002017D7"/>
    <w:rsid w:val="00201B8C"/>
    <w:rsid w:val="00202489"/>
    <w:rsid w:val="002025CA"/>
    <w:rsid w:val="00202898"/>
    <w:rsid w:val="0020396D"/>
    <w:rsid w:val="00203A07"/>
    <w:rsid w:val="00203F79"/>
    <w:rsid w:val="00204133"/>
    <w:rsid w:val="0020434F"/>
    <w:rsid w:val="002043A9"/>
    <w:rsid w:val="00204EBB"/>
    <w:rsid w:val="00204FF5"/>
    <w:rsid w:val="00205338"/>
    <w:rsid w:val="00205CC8"/>
    <w:rsid w:val="002070A1"/>
    <w:rsid w:val="002072F7"/>
    <w:rsid w:val="002073DA"/>
    <w:rsid w:val="002077A0"/>
    <w:rsid w:val="00207A83"/>
    <w:rsid w:val="00207DBE"/>
    <w:rsid w:val="00210477"/>
    <w:rsid w:val="00210B7D"/>
    <w:rsid w:val="0021162F"/>
    <w:rsid w:val="00211969"/>
    <w:rsid w:val="00211B24"/>
    <w:rsid w:val="002120CA"/>
    <w:rsid w:val="002121A4"/>
    <w:rsid w:val="00212C64"/>
    <w:rsid w:val="00212D31"/>
    <w:rsid w:val="002134D4"/>
    <w:rsid w:val="002135AC"/>
    <w:rsid w:val="002139F8"/>
    <w:rsid w:val="00214A5D"/>
    <w:rsid w:val="00215193"/>
    <w:rsid w:val="002152CB"/>
    <w:rsid w:val="00215C58"/>
    <w:rsid w:val="00215D65"/>
    <w:rsid w:val="00215DF0"/>
    <w:rsid w:val="00215F4D"/>
    <w:rsid w:val="00216376"/>
    <w:rsid w:val="00216C88"/>
    <w:rsid w:val="00216D2E"/>
    <w:rsid w:val="00216EF0"/>
    <w:rsid w:val="0021762C"/>
    <w:rsid w:val="00217E65"/>
    <w:rsid w:val="0022081A"/>
    <w:rsid w:val="00221D09"/>
    <w:rsid w:val="00221E8B"/>
    <w:rsid w:val="00221F12"/>
    <w:rsid w:val="002224E1"/>
    <w:rsid w:val="0022256E"/>
    <w:rsid w:val="00222A15"/>
    <w:rsid w:val="00222D68"/>
    <w:rsid w:val="00223430"/>
    <w:rsid w:val="002235F9"/>
    <w:rsid w:val="0022378A"/>
    <w:rsid w:val="00223D37"/>
    <w:rsid w:val="00223E0B"/>
    <w:rsid w:val="0022414A"/>
    <w:rsid w:val="002241C8"/>
    <w:rsid w:val="0022420C"/>
    <w:rsid w:val="00224A3C"/>
    <w:rsid w:val="00224C05"/>
    <w:rsid w:val="00224C6E"/>
    <w:rsid w:val="00224C85"/>
    <w:rsid w:val="00224DA3"/>
    <w:rsid w:val="00224EB4"/>
    <w:rsid w:val="0022571B"/>
    <w:rsid w:val="00225DDD"/>
    <w:rsid w:val="00225ECC"/>
    <w:rsid w:val="00225F7F"/>
    <w:rsid w:val="00226942"/>
    <w:rsid w:val="00226DDF"/>
    <w:rsid w:val="00226FCB"/>
    <w:rsid w:val="002272D4"/>
    <w:rsid w:val="002272F4"/>
    <w:rsid w:val="00227D01"/>
    <w:rsid w:val="00230294"/>
    <w:rsid w:val="002302F9"/>
    <w:rsid w:val="00230602"/>
    <w:rsid w:val="0023180B"/>
    <w:rsid w:val="0023198F"/>
    <w:rsid w:val="002320AD"/>
    <w:rsid w:val="002320BF"/>
    <w:rsid w:val="00232190"/>
    <w:rsid w:val="00233437"/>
    <w:rsid w:val="00233D32"/>
    <w:rsid w:val="0023419F"/>
    <w:rsid w:val="002346A9"/>
    <w:rsid w:val="00234961"/>
    <w:rsid w:val="00234CAB"/>
    <w:rsid w:val="00234CCD"/>
    <w:rsid w:val="00234D51"/>
    <w:rsid w:val="0023514C"/>
    <w:rsid w:val="0023528F"/>
    <w:rsid w:val="002359D6"/>
    <w:rsid w:val="00235BF2"/>
    <w:rsid w:val="00235F64"/>
    <w:rsid w:val="002363CB"/>
    <w:rsid w:val="002365EA"/>
    <w:rsid w:val="00236C44"/>
    <w:rsid w:val="00236EC2"/>
    <w:rsid w:val="00236EC9"/>
    <w:rsid w:val="00236F9A"/>
    <w:rsid w:val="00237357"/>
    <w:rsid w:val="0023739F"/>
    <w:rsid w:val="00237663"/>
    <w:rsid w:val="0024023F"/>
    <w:rsid w:val="002405EF"/>
    <w:rsid w:val="002409AD"/>
    <w:rsid w:val="00240BD4"/>
    <w:rsid w:val="0024180B"/>
    <w:rsid w:val="00241990"/>
    <w:rsid w:val="00241A1C"/>
    <w:rsid w:val="00241A8F"/>
    <w:rsid w:val="00241B97"/>
    <w:rsid w:val="00241EFC"/>
    <w:rsid w:val="00243008"/>
    <w:rsid w:val="00243A69"/>
    <w:rsid w:val="00244260"/>
    <w:rsid w:val="0024453E"/>
    <w:rsid w:val="0024465B"/>
    <w:rsid w:val="002449C8"/>
    <w:rsid w:val="002449CF"/>
    <w:rsid w:val="00244C8A"/>
    <w:rsid w:val="002452A6"/>
    <w:rsid w:val="002456CF"/>
    <w:rsid w:val="002457DE"/>
    <w:rsid w:val="0024596F"/>
    <w:rsid w:val="002459A5"/>
    <w:rsid w:val="00245FA9"/>
    <w:rsid w:val="002465D7"/>
    <w:rsid w:val="002468E6"/>
    <w:rsid w:val="00246906"/>
    <w:rsid w:val="00246F2F"/>
    <w:rsid w:val="00246FEB"/>
    <w:rsid w:val="0024707A"/>
    <w:rsid w:val="002470C7"/>
    <w:rsid w:val="002474E2"/>
    <w:rsid w:val="0024772C"/>
    <w:rsid w:val="0024788C"/>
    <w:rsid w:val="00247FA7"/>
    <w:rsid w:val="00250177"/>
    <w:rsid w:val="00250397"/>
    <w:rsid w:val="002507C6"/>
    <w:rsid w:val="00250D34"/>
    <w:rsid w:val="002511F1"/>
    <w:rsid w:val="002514C2"/>
    <w:rsid w:val="00251AB8"/>
    <w:rsid w:val="002520FF"/>
    <w:rsid w:val="002521D4"/>
    <w:rsid w:val="00252288"/>
    <w:rsid w:val="002524F8"/>
    <w:rsid w:val="00252632"/>
    <w:rsid w:val="00252BBD"/>
    <w:rsid w:val="002531D5"/>
    <w:rsid w:val="002532A9"/>
    <w:rsid w:val="002532FF"/>
    <w:rsid w:val="00253371"/>
    <w:rsid w:val="002536DE"/>
    <w:rsid w:val="002537F7"/>
    <w:rsid w:val="0025428D"/>
    <w:rsid w:val="002547D7"/>
    <w:rsid w:val="002552D8"/>
    <w:rsid w:val="0025532F"/>
    <w:rsid w:val="002553B6"/>
    <w:rsid w:val="0025578E"/>
    <w:rsid w:val="002559BB"/>
    <w:rsid w:val="00256597"/>
    <w:rsid w:val="0025666D"/>
    <w:rsid w:val="0025681A"/>
    <w:rsid w:val="00256908"/>
    <w:rsid w:val="00256EE0"/>
    <w:rsid w:val="0025779F"/>
    <w:rsid w:val="00257805"/>
    <w:rsid w:val="002578F3"/>
    <w:rsid w:val="0026007A"/>
    <w:rsid w:val="00260278"/>
    <w:rsid w:val="00260A38"/>
    <w:rsid w:val="00260DC2"/>
    <w:rsid w:val="00260E29"/>
    <w:rsid w:val="002611EA"/>
    <w:rsid w:val="0026178F"/>
    <w:rsid w:val="00261D59"/>
    <w:rsid w:val="00261DB1"/>
    <w:rsid w:val="00261EE6"/>
    <w:rsid w:val="00262015"/>
    <w:rsid w:val="002625A4"/>
    <w:rsid w:val="00262815"/>
    <w:rsid w:val="00262A9F"/>
    <w:rsid w:val="00262C1C"/>
    <w:rsid w:val="00262FAA"/>
    <w:rsid w:val="00262FED"/>
    <w:rsid w:val="002631F9"/>
    <w:rsid w:val="0026346A"/>
    <w:rsid w:val="0026353F"/>
    <w:rsid w:val="00263832"/>
    <w:rsid w:val="00263AE3"/>
    <w:rsid w:val="00263EDF"/>
    <w:rsid w:val="00264FB8"/>
    <w:rsid w:val="00265295"/>
    <w:rsid w:val="0026541D"/>
    <w:rsid w:val="0026678F"/>
    <w:rsid w:val="0026682E"/>
    <w:rsid w:val="0026688E"/>
    <w:rsid w:val="00266B65"/>
    <w:rsid w:val="00266B96"/>
    <w:rsid w:val="00266CE6"/>
    <w:rsid w:val="00267345"/>
    <w:rsid w:val="002679D8"/>
    <w:rsid w:val="00270638"/>
    <w:rsid w:val="002707D5"/>
    <w:rsid w:val="00270AB8"/>
    <w:rsid w:val="0027122A"/>
    <w:rsid w:val="00271386"/>
    <w:rsid w:val="00271861"/>
    <w:rsid w:val="00271AC0"/>
    <w:rsid w:val="00272AD9"/>
    <w:rsid w:val="00272C03"/>
    <w:rsid w:val="00273221"/>
    <w:rsid w:val="0027329A"/>
    <w:rsid w:val="00273613"/>
    <w:rsid w:val="002739F2"/>
    <w:rsid w:val="00273B96"/>
    <w:rsid w:val="00273BD1"/>
    <w:rsid w:val="00273C81"/>
    <w:rsid w:val="002742E6"/>
    <w:rsid w:val="0027510C"/>
    <w:rsid w:val="0027555D"/>
    <w:rsid w:val="00275F97"/>
    <w:rsid w:val="0027668B"/>
    <w:rsid w:val="002766F1"/>
    <w:rsid w:val="00276B6B"/>
    <w:rsid w:val="00276F30"/>
    <w:rsid w:val="00276FDD"/>
    <w:rsid w:val="00277054"/>
    <w:rsid w:val="0027723D"/>
    <w:rsid w:val="002772C2"/>
    <w:rsid w:val="00277331"/>
    <w:rsid w:val="00277C97"/>
    <w:rsid w:val="00277F45"/>
    <w:rsid w:val="00280670"/>
    <w:rsid w:val="00280C26"/>
    <w:rsid w:val="00280C70"/>
    <w:rsid w:val="00280C9A"/>
    <w:rsid w:val="00281303"/>
    <w:rsid w:val="00282008"/>
    <w:rsid w:val="002826CD"/>
    <w:rsid w:val="00282946"/>
    <w:rsid w:val="00282BA7"/>
    <w:rsid w:val="0028326D"/>
    <w:rsid w:val="0028335D"/>
    <w:rsid w:val="00283816"/>
    <w:rsid w:val="00283C52"/>
    <w:rsid w:val="00283FF7"/>
    <w:rsid w:val="00284407"/>
    <w:rsid w:val="00284744"/>
    <w:rsid w:val="00284C5D"/>
    <w:rsid w:val="00284E0B"/>
    <w:rsid w:val="00284FB9"/>
    <w:rsid w:val="002851CE"/>
    <w:rsid w:val="002853A3"/>
    <w:rsid w:val="00285437"/>
    <w:rsid w:val="00285600"/>
    <w:rsid w:val="00285D23"/>
    <w:rsid w:val="002865DA"/>
    <w:rsid w:val="00286814"/>
    <w:rsid w:val="00286DB4"/>
    <w:rsid w:val="0028710A"/>
    <w:rsid w:val="0028718F"/>
    <w:rsid w:val="002900B8"/>
    <w:rsid w:val="00290127"/>
    <w:rsid w:val="002906DB"/>
    <w:rsid w:val="00290D63"/>
    <w:rsid w:val="002916C2"/>
    <w:rsid w:val="0029191D"/>
    <w:rsid w:val="002919DF"/>
    <w:rsid w:val="0029200F"/>
    <w:rsid w:val="002926C7"/>
    <w:rsid w:val="00292C53"/>
    <w:rsid w:val="00292D66"/>
    <w:rsid w:val="00292EEE"/>
    <w:rsid w:val="0029314A"/>
    <w:rsid w:val="002931F5"/>
    <w:rsid w:val="00293247"/>
    <w:rsid w:val="002939F5"/>
    <w:rsid w:val="002943B7"/>
    <w:rsid w:val="00294A28"/>
    <w:rsid w:val="0029539B"/>
    <w:rsid w:val="002954E4"/>
    <w:rsid w:val="002956EC"/>
    <w:rsid w:val="00296340"/>
    <w:rsid w:val="00296378"/>
    <w:rsid w:val="002965EB"/>
    <w:rsid w:val="00296958"/>
    <w:rsid w:val="00296BD3"/>
    <w:rsid w:val="00296E8C"/>
    <w:rsid w:val="00297586"/>
    <w:rsid w:val="00297A0F"/>
    <w:rsid w:val="00297A8B"/>
    <w:rsid w:val="00297A8D"/>
    <w:rsid w:val="00297B8F"/>
    <w:rsid w:val="002A18CA"/>
    <w:rsid w:val="002A193F"/>
    <w:rsid w:val="002A1FC0"/>
    <w:rsid w:val="002A298F"/>
    <w:rsid w:val="002A29AB"/>
    <w:rsid w:val="002A29C1"/>
    <w:rsid w:val="002A38A2"/>
    <w:rsid w:val="002A3EAF"/>
    <w:rsid w:val="002A4180"/>
    <w:rsid w:val="002A4215"/>
    <w:rsid w:val="002A4458"/>
    <w:rsid w:val="002A473C"/>
    <w:rsid w:val="002A4914"/>
    <w:rsid w:val="002A4B58"/>
    <w:rsid w:val="002A508B"/>
    <w:rsid w:val="002A5111"/>
    <w:rsid w:val="002A52F1"/>
    <w:rsid w:val="002A54D4"/>
    <w:rsid w:val="002A5CCF"/>
    <w:rsid w:val="002A611C"/>
    <w:rsid w:val="002A6C4B"/>
    <w:rsid w:val="002A6E8D"/>
    <w:rsid w:val="002A6F04"/>
    <w:rsid w:val="002A7029"/>
    <w:rsid w:val="002A730A"/>
    <w:rsid w:val="002B0837"/>
    <w:rsid w:val="002B0BA4"/>
    <w:rsid w:val="002B0BBB"/>
    <w:rsid w:val="002B0F45"/>
    <w:rsid w:val="002B1204"/>
    <w:rsid w:val="002B145E"/>
    <w:rsid w:val="002B154F"/>
    <w:rsid w:val="002B1567"/>
    <w:rsid w:val="002B1BCB"/>
    <w:rsid w:val="002B1E34"/>
    <w:rsid w:val="002B24FC"/>
    <w:rsid w:val="002B268B"/>
    <w:rsid w:val="002B2873"/>
    <w:rsid w:val="002B2AF6"/>
    <w:rsid w:val="002B2CAF"/>
    <w:rsid w:val="002B2E2A"/>
    <w:rsid w:val="002B2F5B"/>
    <w:rsid w:val="002B30CC"/>
    <w:rsid w:val="002B32C4"/>
    <w:rsid w:val="002B3686"/>
    <w:rsid w:val="002B36CE"/>
    <w:rsid w:val="002B3751"/>
    <w:rsid w:val="002B3959"/>
    <w:rsid w:val="002B408A"/>
    <w:rsid w:val="002B4661"/>
    <w:rsid w:val="002B4C53"/>
    <w:rsid w:val="002B4CE0"/>
    <w:rsid w:val="002B4D33"/>
    <w:rsid w:val="002B4E0C"/>
    <w:rsid w:val="002B4E1B"/>
    <w:rsid w:val="002B5168"/>
    <w:rsid w:val="002B581C"/>
    <w:rsid w:val="002B5A10"/>
    <w:rsid w:val="002B5ACB"/>
    <w:rsid w:val="002B5CA4"/>
    <w:rsid w:val="002B60AC"/>
    <w:rsid w:val="002B623D"/>
    <w:rsid w:val="002B64D8"/>
    <w:rsid w:val="002B67C3"/>
    <w:rsid w:val="002B6995"/>
    <w:rsid w:val="002B6A48"/>
    <w:rsid w:val="002B6A50"/>
    <w:rsid w:val="002B733B"/>
    <w:rsid w:val="002B766E"/>
    <w:rsid w:val="002B7C9F"/>
    <w:rsid w:val="002C0289"/>
    <w:rsid w:val="002C0320"/>
    <w:rsid w:val="002C046A"/>
    <w:rsid w:val="002C0487"/>
    <w:rsid w:val="002C0EE6"/>
    <w:rsid w:val="002C0FA5"/>
    <w:rsid w:val="002C1053"/>
    <w:rsid w:val="002C163C"/>
    <w:rsid w:val="002C22BA"/>
    <w:rsid w:val="002C23EC"/>
    <w:rsid w:val="002C255C"/>
    <w:rsid w:val="002C2BBB"/>
    <w:rsid w:val="002C30E3"/>
    <w:rsid w:val="002C325E"/>
    <w:rsid w:val="002C34DA"/>
    <w:rsid w:val="002C38CA"/>
    <w:rsid w:val="002C3C77"/>
    <w:rsid w:val="002C3D37"/>
    <w:rsid w:val="002C3E9F"/>
    <w:rsid w:val="002C42B3"/>
    <w:rsid w:val="002C4410"/>
    <w:rsid w:val="002C488A"/>
    <w:rsid w:val="002C4CBC"/>
    <w:rsid w:val="002C4F83"/>
    <w:rsid w:val="002C5654"/>
    <w:rsid w:val="002C5924"/>
    <w:rsid w:val="002C5952"/>
    <w:rsid w:val="002C5C94"/>
    <w:rsid w:val="002C5DC1"/>
    <w:rsid w:val="002C6200"/>
    <w:rsid w:val="002C6327"/>
    <w:rsid w:val="002C63A9"/>
    <w:rsid w:val="002C6864"/>
    <w:rsid w:val="002C6D31"/>
    <w:rsid w:val="002C6F4A"/>
    <w:rsid w:val="002C7271"/>
    <w:rsid w:val="002C76B0"/>
    <w:rsid w:val="002C7A99"/>
    <w:rsid w:val="002C7B0B"/>
    <w:rsid w:val="002C7B3E"/>
    <w:rsid w:val="002C7B9D"/>
    <w:rsid w:val="002C7C74"/>
    <w:rsid w:val="002D01C5"/>
    <w:rsid w:val="002D04B5"/>
    <w:rsid w:val="002D1026"/>
    <w:rsid w:val="002D1201"/>
    <w:rsid w:val="002D1C26"/>
    <w:rsid w:val="002D2070"/>
    <w:rsid w:val="002D209C"/>
    <w:rsid w:val="002D2541"/>
    <w:rsid w:val="002D2582"/>
    <w:rsid w:val="002D2B58"/>
    <w:rsid w:val="002D2C09"/>
    <w:rsid w:val="002D2F24"/>
    <w:rsid w:val="002D347F"/>
    <w:rsid w:val="002D3B87"/>
    <w:rsid w:val="002D492C"/>
    <w:rsid w:val="002D4FAC"/>
    <w:rsid w:val="002D504B"/>
    <w:rsid w:val="002D5173"/>
    <w:rsid w:val="002D5372"/>
    <w:rsid w:val="002D596C"/>
    <w:rsid w:val="002D6164"/>
    <w:rsid w:val="002D61FD"/>
    <w:rsid w:val="002D66F6"/>
    <w:rsid w:val="002D6DDA"/>
    <w:rsid w:val="002D747A"/>
    <w:rsid w:val="002D76FC"/>
    <w:rsid w:val="002D7DDD"/>
    <w:rsid w:val="002D7EBC"/>
    <w:rsid w:val="002E10A7"/>
    <w:rsid w:val="002E11F8"/>
    <w:rsid w:val="002E131E"/>
    <w:rsid w:val="002E1623"/>
    <w:rsid w:val="002E179F"/>
    <w:rsid w:val="002E1FEF"/>
    <w:rsid w:val="002E24F8"/>
    <w:rsid w:val="002E2614"/>
    <w:rsid w:val="002E2F9C"/>
    <w:rsid w:val="002E34AA"/>
    <w:rsid w:val="002E3974"/>
    <w:rsid w:val="002E3DBB"/>
    <w:rsid w:val="002E4029"/>
    <w:rsid w:val="002E4935"/>
    <w:rsid w:val="002E4F9A"/>
    <w:rsid w:val="002E51AD"/>
    <w:rsid w:val="002E6166"/>
    <w:rsid w:val="002E67A0"/>
    <w:rsid w:val="002E6B05"/>
    <w:rsid w:val="002E6D4B"/>
    <w:rsid w:val="002E6EB5"/>
    <w:rsid w:val="002E6ED5"/>
    <w:rsid w:val="002E6F9C"/>
    <w:rsid w:val="002E7122"/>
    <w:rsid w:val="002E7A29"/>
    <w:rsid w:val="002E7A5F"/>
    <w:rsid w:val="002F04BB"/>
    <w:rsid w:val="002F091C"/>
    <w:rsid w:val="002F0B3C"/>
    <w:rsid w:val="002F0C47"/>
    <w:rsid w:val="002F237B"/>
    <w:rsid w:val="002F26FE"/>
    <w:rsid w:val="002F2B24"/>
    <w:rsid w:val="002F2F61"/>
    <w:rsid w:val="002F3652"/>
    <w:rsid w:val="002F3976"/>
    <w:rsid w:val="002F408C"/>
    <w:rsid w:val="002F4AAD"/>
    <w:rsid w:val="002F4C82"/>
    <w:rsid w:val="002F4ED5"/>
    <w:rsid w:val="002F4FF6"/>
    <w:rsid w:val="002F5508"/>
    <w:rsid w:val="002F563E"/>
    <w:rsid w:val="002F582D"/>
    <w:rsid w:val="002F5ADE"/>
    <w:rsid w:val="002F5AE7"/>
    <w:rsid w:val="002F6472"/>
    <w:rsid w:val="002F6A81"/>
    <w:rsid w:val="002F6C4C"/>
    <w:rsid w:val="002F6D62"/>
    <w:rsid w:val="002F6E83"/>
    <w:rsid w:val="002F7122"/>
    <w:rsid w:val="002F74F6"/>
    <w:rsid w:val="002F79AC"/>
    <w:rsid w:val="002F7A53"/>
    <w:rsid w:val="002F7C4B"/>
    <w:rsid w:val="002F7EE4"/>
    <w:rsid w:val="00300EB0"/>
    <w:rsid w:val="003012F0"/>
    <w:rsid w:val="00301407"/>
    <w:rsid w:val="00301450"/>
    <w:rsid w:val="00301725"/>
    <w:rsid w:val="0030176D"/>
    <w:rsid w:val="00301829"/>
    <w:rsid w:val="0030186D"/>
    <w:rsid w:val="00301E6E"/>
    <w:rsid w:val="003022AE"/>
    <w:rsid w:val="00302BED"/>
    <w:rsid w:val="00302E1E"/>
    <w:rsid w:val="00302FEB"/>
    <w:rsid w:val="00303C54"/>
    <w:rsid w:val="003040D3"/>
    <w:rsid w:val="00304362"/>
    <w:rsid w:val="003048B2"/>
    <w:rsid w:val="00304C82"/>
    <w:rsid w:val="00305006"/>
    <w:rsid w:val="003050B5"/>
    <w:rsid w:val="0030563F"/>
    <w:rsid w:val="0030569F"/>
    <w:rsid w:val="003056DF"/>
    <w:rsid w:val="0030579C"/>
    <w:rsid w:val="003057DB"/>
    <w:rsid w:val="0030592C"/>
    <w:rsid w:val="00305B47"/>
    <w:rsid w:val="00305DA6"/>
    <w:rsid w:val="00305E73"/>
    <w:rsid w:val="00306234"/>
    <w:rsid w:val="0030625C"/>
    <w:rsid w:val="0030641E"/>
    <w:rsid w:val="003066E5"/>
    <w:rsid w:val="00306BDE"/>
    <w:rsid w:val="00306F18"/>
    <w:rsid w:val="00306F74"/>
    <w:rsid w:val="003071FC"/>
    <w:rsid w:val="00307331"/>
    <w:rsid w:val="00307B8C"/>
    <w:rsid w:val="00307E23"/>
    <w:rsid w:val="00310570"/>
    <w:rsid w:val="0031059B"/>
    <w:rsid w:val="003113F1"/>
    <w:rsid w:val="00311845"/>
    <w:rsid w:val="00311B79"/>
    <w:rsid w:val="00311E6C"/>
    <w:rsid w:val="00312484"/>
    <w:rsid w:val="003125A4"/>
    <w:rsid w:val="00312BAA"/>
    <w:rsid w:val="00312D22"/>
    <w:rsid w:val="00313133"/>
    <w:rsid w:val="003133D0"/>
    <w:rsid w:val="00313559"/>
    <w:rsid w:val="00313DD5"/>
    <w:rsid w:val="00313E66"/>
    <w:rsid w:val="00313F95"/>
    <w:rsid w:val="003142C0"/>
    <w:rsid w:val="003145EC"/>
    <w:rsid w:val="003147EF"/>
    <w:rsid w:val="00314B74"/>
    <w:rsid w:val="00314BDD"/>
    <w:rsid w:val="00314DE8"/>
    <w:rsid w:val="00314E0D"/>
    <w:rsid w:val="0031583B"/>
    <w:rsid w:val="003158F3"/>
    <w:rsid w:val="00315A20"/>
    <w:rsid w:val="00315EC8"/>
    <w:rsid w:val="003163A3"/>
    <w:rsid w:val="003166FC"/>
    <w:rsid w:val="003168EC"/>
    <w:rsid w:val="00316AA1"/>
    <w:rsid w:val="00316AC0"/>
    <w:rsid w:val="00316CCE"/>
    <w:rsid w:val="0031719D"/>
    <w:rsid w:val="00320483"/>
    <w:rsid w:val="003209CB"/>
    <w:rsid w:val="00320DA6"/>
    <w:rsid w:val="00320DFD"/>
    <w:rsid w:val="00320F58"/>
    <w:rsid w:val="0032130F"/>
    <w:rsid w:val="00321C2C"/>
    <w:rsid w:val="003228AA"/>
    <w:rsid w:val="0032349B"/>
    <w:rsid w:val="003236FD"/>
    <w:rsid w:val="00323892"/>
    <w:rsid w:val="00324012"/>
    <w:rsid w:val="003240A7"/>
    <w:rsid w:val="0032423D"/>
    <w:rsid w:val="00324A05"/>
    <w:rsid w:val="003255C5"/>
    <w:rsid w:val="003265FC"/>
    <w:rsid w:val="00326EDE"/>
    <w:rsid w:val="00327163"/>
    <w:rsid w:val="00327199"/>
    <w:rsid w:val="00327255"/>
    <w:rsid w:val="0032725E"/>
    <w:rsid w:val="00330071"/>
    <w:rsid w:val="00330466"/>
    <w:rsid w:val="0033053E"/>
    <w:rsid w:val="00330691"/>
    <w:rsid w:val="003306C9"/>
    <w:rsid w:val="0033087F"/>
    <w:rsid w:val="00330992"/>
    <w:rsid w:val="00330DA6"/>
    <w:rsid w:val="00331240"/>
    <w:rsid w:val="00331DEE"/>
    <w:rsid w:val="00331DFF"/>
    <w:rsid w:val="00332C53"/>
    <w:rsid w:val="003336AC"/>
    <w:rsid w:val="00333959"/>
    <w:rsid w:val="00333988"/>
    <w:rsid w:val="00333E50"/>
    <w:rsid w:val="003344D1"/>
    <w:rsid w:val="00334F9B"/>
    <w:rsid w:val="00335B12"/>
    <w:rsid w:val="00335F9E"/>
    <w:rsid w:val="00336079"/>
    <w:rsid w:val="003366C3"/>
    <w:rsid w:val="00336DA8"/>
    <w:rsid w:val="00336F7B"/>
    <w:rsid w:val="003371DD"/>
    <w:rsid w:val="00337621"/>
    <w:rsid w:val="00337764"/>
    <w:rsid w:val="00340054"/>
    <w:rsid w:val="00340701"/>
    <w:rsid w:val="00340AFD"/>
    <w:rsid w:val="003415DF"/>
    <w:rsid w:val="0034185C"/>
    <w:rsid w:val="00341DF8"/>
    <w:rsid w:val="003422A3"/>
    <w:rsid w:val="003422F3"/>
    <w:rsid w:val="003423F3"/>
    <w:rsid w:val="003428FF"/>
    <w:rsid w:val="00342922"/>
    <w:rsid w:val="00342ECF"/>
    <w:rsid w:val="003430AB"/>
    <w:rsid w:val="00343AB8"/>
    <w:rsid w:val="00344064"/>
    <w:rsid w:val="003445DE"/>
    <w:rsid w:val="00344B8D"/>
    <w:rsid w:val="00344BD2"/>
    <w:rsid w:val="003453DE"/>
    <w:rsid w:val="00345814"/>
    <w:rsid w:val="003459EC"/>
    <w:rsid w:val="00345D4F"/>
    <w:rsid w:val="00346225"/>
    <w:rsid w:val="003475DD"/>
    <w:rsid w:val="003479AE"/>
    <w:rsid w:val="00347DE2"/>
    <w:rsid w:val="00350099"/>
    <w:rsid w:val="00350C61"/>
    <w:rsid w:val="0035117C"/>
    <w:rsid w:val="00351464"/>
    <w:rsid w:val="00351B60"/>
    <w:rsid w:val="00351CF0"/>
    <w:rsid w:val="00352169"/>
    <w:rsid w:val="00352467"/>
    <w:rsid w:val="00352825"/>
    <w:rsid w:val="0035297E"/>
    <w:rsid w:val="003529F3"/>
    <w:rsid w:val="00352B27"/>
    <w:rsid w:val="00352BA4"/>
    <w:rsid w:val="0035302E"/>
    <w:rsid w:val="0035342D"/>
    <w:rsid w:val="00353A94"/>
    <w:rsid w:val="00353BA7"/>
    <w:rsid w:val="00353F51"/>
    <w:rsid w:val="00354302"/>
    <w:rsid w:val="003544E8"/>
    <w:rsid w:val="003547DA"/>
    <w:rsid w:val="00354E15"/>
    <w:rsid w:val="00354E8F"/>
    <w:rsid w:val="0035527F"/>
    <w:rsid w:val="00355972"/>
    <w:rsid w:val="00355F0D"/>
    <w:rsid w:val="003562F6"/>
    <w:rsid w:val="003564E3"/>
    <w:rsid w:val="00356B77"/>
    <w:rsid w:val="00356DAA"/>
    <w:rsid w:val="00356FB9"/>
    <w:rsid w:val="003577FD"/>
    <w:rsid w:val="00357C6C"/>
    <w:rsid w:val="00360162"/>
    <w:rsid w:val="00360BC8"/>
    <w:rsid w:val="00360E93"/>
    <w:rsid w:val="00361052"/>
    <w:rsid w:val="00361403"/>
    <w:rsid w:val="00361DCA"/>
    <w:rsid w:val="00362200"/>
    <w:rsid w:val="003622C4"/>
    <w:rsid w:val="0036262A"/>
    <w:rsid w:val="003626A2"/>
    <w:rsid w:val="00362C62"/>
    <w:rsid w:val="00363174"/>
    <w:rsid w:val="003633C3"/>
    <w:rsid w:val="0036371A"/>
    <w:rsid w:val="0036397E"/>
    <w:rsid w:val="00363CDA"/>
    <w:rsid w:val="00364505"/>
    <w:rsid w:val="00364743"/>
    <w:rsid w:val="003650E8"/>
    <w:rsid w:val="003657A6"/>
    <w:rsid w:val="00366037"/>
    <w:rsid w:val="0036636A"/>
    <w:rsid w:val="003665E0"/>
    <w:rsid w:val="00366682"/>
    <w:rsid w:val="00366C48"/>
    <w:rsid w:val="00367178"/>
    <w:rsid w:val="00367984"/>
    <w:rsid w:val="00367AE4"/>
    <w:rsid w:val="00367BE4"/>
    <w:rsid w:val="00367C30"/>
    <w:rsid w:val="00370456"/>
    <w:rsid w:val="00370605"/>
    <w:rsid w:val="00370FCD"/>
    <w:rsid w:val="00370FD9"/>
    <w:rsid w:val="003711CD"/>
    <w:rsid w:val="003713EB"/>
    <w:rsid w:val="00371676"/>
    <w:rsid w:val="0037182D"/>
    <w:rsid w:val="00371F93"/>
    <w:rsid w:val="00371FDC"/>
    <w:rsid w:val="0037204A"/>
    <w:rsid w:val="003728A8"/>
    <w:rsid w:val="003728A9"/>
    <w:rsid w:val="003729BA"/>
    <w:rsid w:val="00373663"/>
    <w:rsid w:val="00373724"/>
    <w:rsid w:val="003739A4"/>
    <w:rsid w:val="00373A99"/>
    <w:rsid w:val="0037425A"/>
    <w:rsid w:val="00374755"/>
    <w:rsid w:val="00374988"/>
    <w:rsid w:val="00374C04"/>
    <w:rsid w:val="00375D98"/>
    <w:rsid w:val="00375F4B"/>
    <w:rsid w:val="00376586"/>
    <w:rsid w:val="00376774"/>
    <w:rsid w:val="00376B3C"/>
    <w:rsid w:val="003775B2"/>
    <w:rsid w:val="00377BBB"/>
    <w:rsid w:val="00377EA7"/>
    <w:rsid w:val="00380142"/>
    <w:rsid w:val="0038021C"/>
    <w:rsid w:val="003809DB"/>
    <w:rsid w:val="003811E8"/>
    <w:rsid w:val="003816F5"/>
    <w:rsid w:val="00381B61"/>
    <w:rsid w:val="00381FEA"/>
    <w:rsid w:val="00382116"/>
    <w:rsid w:val="00382B46"/>
    <w:rsid w:val="00382CC0"/>
    <w:rsid w:val="00382EBA"/>
    <w:rsid w:val="003833E7"/>
    <w:rsid w:val="00383567"/>
    <w:rsid w:val="003838AD"/>
    <w:rsid w:val="00383BB7"/>
    <w:rsid w:val="00384628"/>
    <w:rsid w:val="003848A6"/>
    <w:rsid w:val="00384ED1"/>
    <w:rsid w:val="003851C4"/>
    <w:rsid w:val="00385462"/>
    <w:rsid w:val="00385884"/>
    <w:rsid w:val="00385A20"/>
    <w:rsid w:val="003860D3"/>
    <w:rsid w:val="003860E4"/>
    <w:rsid w:val="00386428"/>
    <w:rsid w:val="003865E9"/>
    <w:rsid w:val="003866DF"/>
    <w:rsid w:val="00386877"/>
    <w:rsid w:val="00386DF0"/>
    <w:rsid w:val="0038795D"/>
    <w:rsid w:val="00387FAB"/>
    <w:rsid w:val="00387FB9"/>
    <w:rsid w:val="0039042F"/>
    <w:rsid w:val="00390749"/>
    <w:rsid w:val="00390BDF"/>
    <w:rsid w:val="003913B5"/>
    <w:rsid w:val="00392186"/>
    <w:rsid w:val="003922C1"/>
    <w:rsid w:val="003922E5"/>
    <w:rsid w:val="00392436"/>
    <w:rsid w:val="00392E73"/>
    <w:rsid w:val="0039352B"/>
    <w:rsid w:val="00393580"/>
    <w:rsid w:val="003941C0"/>
    <w:rsid w:val="00394548"/>
    <w:rsid w:val="00394561"/>
    <w:rsid w:val="00394CDC"/>
    <w:rsid w:val="00394EBB"/>
    <w:rsid w:val="003951F9"/>
    <w:rsid w:val="0039554A"/>
    <w:rsid w:val="00395687"/>
    <w:rsid w:val="00395881"/>
    <w:rsid w:val="003960AA"/>
    <w:rsid w:val="00396147"/>
    <w:rsid w:val="00396755"/>
    <w:rsid w:val="003967D2"/>
    <w:rsid w:val="00396A60"/>
    <w:rsid w:val="00396AE1"/>
    <w:rsid w:val="00396E57"/>
    <w:rsid w:val="00396E94"/>
    <w:rsid w:val="0039707A"/>
    <w:rsid w:val="003A00DC"/>
    <w:rsid w:val="003A0B2E"/>
    <w:rsid w:val="003A0C1B"/>
    <w:rsid w:val="003A10B9"/>
    <w:rsid w:val="003A14C6"/>
    <w:rsid w:val="003A17C0"/>
    <w:rsid w:val="003A1E39"/>
    <w:rsid w:val="003A1ED4"/>
    <w:rsid w:val="003A23F1"/>
    <w:rsid w:val="003A2410"/>
    <w:rsid w:val="003A258C"/>
    <w:rsid w:val="003A260E"/>
    <w:rsid w:val="003A2EB4"/>
    <w:rsid w:val="003A38A6"/>
    <w:rsid w:val="003A3905"/>
    <w:rsid w:val="003A3B7F"/>
    <w:rsid w:val="003A3CA7"/>
    <w:rsid w:val="003A3E19"/>
    <w:rsid w:val="003A3F47"/>
    <w:rsid w:val="003A4D28"/>
    <w:rsid w:val="003A4E7D"/>
    <w:rsid w:val="003A501B"/>
    <w:rsid w:val="003A5DC5"/>
    <w:rsid w:val="003A63E4"/>
    <w:rsid w:val="003A65A0"/>
    <w:rsid w:val="003A6804"/>
    <w:rsid w:val="003A6B3E"/>
    <w:rsid w:val="003A6E4E"/>
    <w:rsid w:val="003A72DA"/>
    <w:rsid w:val="003A72ED"/>
    <w:rsid w:val="003A7B72"/>
    <w:rsid w:val="003A7CEF"/>
    <w:rsid w:val="003B0715"/>
    <w:rsid w:val="003B0BF3"/>
    <w:rsid w:val="003B0CE7"/>
    <w:rsid w:val="003B15AE"/>
    <w:rsid w:val="003B192E"/>
    <w:rsid w:val="003B1DCE"/>
    <w:rsid w:val="003B2BEA"/>
    <w:rsid w:val="003B30C1"/>
    <w:rsid w:val="003B3277"/>
    <w:rsid w:val="003B4A15"/>
    <w:rsid w:val="003B4F34"/>
    <w:rsid w:val="003B4F3D"/>
    <w:rsid w:val="003B51B9"/>
    <w:rsid w:val="003B55EE"/>
    <w:rsid w:val="003B5801"/>
    <w:rsid w:val="003B5BED"/>
    <w:rsid w:val="003B5CF7"/>
    <w:rsid w:val="003B60E6"/>
    <w:rsid w:val="003B6666"/>
    <w:rsid w:val="003B6BB8"/>
    <w:rsid w:val="003B6CD9"/>
    <w:rsid w:val="003B6F42"/>
    <w:rsid w:val="003B74DD"/>
    <w:rsid w:val="003B7617"/>
    <w:rsid w:val="003B7814"/>
    <w:rsid w:val="003C11F3"/>
    <w:rsid w:val="003C12BC"/>
    <w:rsid w:val="003C163F"/>
    <w:rsid w:val="003C1754"/>
    <w:rsid w:val="003C1CA9"/>
    <w:rsid w:val="003C1DE5"/>
    <w:rsid w:val="003C2A1D"/>
    <w:rsid w:val="003C2B62"/>
    <w:rsid w:val="003C2CF5"/>
    <w:rsid w:val="003C2F4A"/>
    <w:rsid w:val="003C2FE5"/>
    <w:rsid w:val="003C3B51"/>
    <w:rsid w:val="003C3DDA"/>
    <w:rsid w:val="003C4071"/>
    <w:rsid w:val="003C4097"/>
    <w:rsid w:val="003C473D"/>
    <w:rsid w:val="003C48E5"/>
    <w:rsid w:val="003C49C0"/>
    <w:rsid w:val="003C4C6A"/>
    <w:rsid w:val="003C4EE7"/>
    <w:rsid w:val="003C5262"/>
    <w:rsid w:val="003C5466"/>
    <w:rsid w:val="003C54AA"/>
    <w:rsid w:val="003C562D"/>
    <w:rsid w:val="003C5C13"/>
    <w:rsid w:val="003C60DF"/>
    <w:rsid w:val="003C620A"/>
    <w:rsid w:val="003C68BA"/>
    <w:rsid w:val="003C68CB"/>
    <w:rsid w:val="003C69EA"/>
    <w:rsid w:val="003C6F47"/>
    <w:rsid w:val="003C7282"/>
    <w:rsid w:val="003C7AC9"/>
    <w:rsid w:val="003D0178"/>
    <w:rsid w:val="003D017C"/>
    <w:rsid w:val="003D04E2"/>
    <w:rsid w:val="003D05C4"/>
    <w:rsid w:val="003D0A0F"/>
    <w:rsid w:val="003D11C9"/>
    <w:rsid w:val="003D13BC"/>
    <w:rsid w:val="003D2A9B"/>
    <w:rsid w:val="003D2CE7"/>
    <w:rsid w:val="003D3788"/>
    <w:rsid w:val="003D3A26"/>
    <w:rsid w:val="003D3B0D"/>
    <w:rsid w:val="003D3EC9"/>
    <w:rsid w:val="003D4521"/>
    <w:rsid w:val="003D56C2"/>
    <w:rsid w:val="003D5A08"/>
    <w:rsid w:val="003D5B2E"/>
    <w:rsid w:val="003D5BEF"/>
    <w:rsid w:val="003D625F"/>
    <w:rsid w:val="003D6351"/>
    <w:rsid w:val="003D65E4"/>
    <w:rsid w:val="003D67F2"/>
    <w:rsid w:val="003D6BA9"/>
    <w:rsid w:val="003D6DE8"/>
    <w:rsid w:val="003D7459"/>
    <w:rsid w:val="003D7724"/>
    <w:rsid w:val="003D773E"/>
    <w:rsid w:val="003D7811"/>
    <w:rsid w:val="003D79BC"/>
    <w:rsid w:val="003D7B46"/>
    <w:rsid w:val="003D7E00"/>
    <w:rsid w:val="003E006C"/>
    <w:rsid w:val="003E055F"/>
    <w:rsid w:val="003E0887"/>
    <w:rsid w:val="003E1C22"/>
    <w:rsid w:val="003E1E4A"/>
    <w:rsid w:val="003E20E7"/>
    <w:rsid w:val="003E21E3"/>
    <w:rsid w:val="003E21F2"/>
    <w:rsid w:val="003E2775"/>
    <w:rsid w:val="003E32AC"/>
    <w:rsid w:val="003E33F0"/>
    <w:rsid w:val="003E3C3B"/>
    <w:rsid w:val="003E40FF"/>
    <w:rsid w:val="003E4AED"/>
    <w:rsid w:val="003E4F5A"/>
    <w:rsid w:val="003E51AA"/>
    <w:rsid w:val="003E5A5A"/>
    <w:rsid w:val="003E61C9"/>
    <w:rsid w:val="003E69D7"/>
    <w:rsid w:val="003F01E7"/>
    <w:rsid w:val="003F02D4"/>
    <w:rsid w:val="003F0B42"/>
    <w:rsid w:val="003F0C43"/>
    <w:rsid w:val="003F0EB5"/>
    <w:rsid w:val="003F1399"/>
    <w:rsid w:val="003F1BCE"/>
    <w:rsid w:val="003F1D26"/>
    <w:rsid w:val="003F1DFB"/>
    <w:rsid w:val="003F2104"/>
    <w:rsid w:val="003F21A2"/>
    <w:rsid w:val="003F23A7"/>
    <w:rsid w:val="003F34B6"/>
    <w:rsid w:val="003F381C"/>
    <w:rsid w:val="003F3B11"/>
    <w:rsid w:val="003F41D2"/>
    <w:rsid w:val="003F434D"/>
    <w:rsid w:val="003F439E"/>
    <w:rsid w:val="003F440C"/>
    <w:rsid w:val="003F4489"/>
    <w:rsid w:val="003F4B03"/>
    <w:rsid w:val="003F4DF2"/>
    <w:rsid w:val="003F541B"/>
    <w:rsid w:val="003F549F"/>
    <w:rsid w:val="003F588A"/>
    <w:rsid w:val="003F5891"/>
    <w:rsid w:val="003F5C0F"/>
    <w:rsid w:val="003F60B6"/>
    <w:rsid w:val="003F688A"/>
    <w:rsid w:val="003F70EA"/>
    <w:rsid w:val="003F7166"/>
    <w:rsid w:val="003F742F"/>
    <w:rsid w:val="003F7567"/>
    <w:rsid w:val="003F7838"/>
    <w:rsid w:val="003F7934"/>
    <w:rsid w:val="003F7A10"/>
    <w:rsid w:val="003F7B76"/>
    <w:rsid w:val="003F7BB2"/>
    <w:rsid w:val="003F7CD2"/>
    <w:rsid w:val="00400701"/>
    <w:rsid w:val="00401157"/>
    <w:rsid w:val="0040122F"/>
    <w:rsid w:val="004013FB"/>
    <w:rsid w:val="0040162C"/>
    <w:rsid w:val="00401697"/>
    <w:rsid w:val="00401BB1"/>
    <w:rsid w:val="00401DB8"/>
    <w:rsid w:val="00402066"/>
    <w:rsid w:val="0040222D"/>
    <w:rsid w:val="004022CC"/>
    <w:rsid w:val="004027A4"/>
    <w:rsid w:val="0040290E"/>
    <w:rsid w:val="00402F75"/>
    <w:rsid w:val="004036F3"/>
    <w:rsid w:val="00404229"/>
    <w:rsid w:val="004045C1"/>
    <w:rsid w:val="0040534B"/>
    <w:rsid w:val="004054F0"/>
    <w:rsid w:val="0040570B"/>
    <w:rsid w:val="00405890"/>
    <w:rsid w:val="00405B70"/>
    <w:rsid w:val="004060BE"/>
    <w:rsid w:val="0040670B"/>
    <w:rsid w:val="004076BD"/>
    <w:rsid w:val="004077C8"/>
    <w:rsid w:val="00407B9F"/>
    <w:rsid w:val="00407D23"/>
    <w:rsid w:val="0041017D"/>
    <w:rsid w:val="0041024D"/>
    <w:rsid w:val="00410E23"/>
    <w:rsid w:val="00410F8F"/>
    <w:rsid w:val="00411206"/>
    <w:rsid w:val="004113FF"/>
    <w:rsid w:val="00412065"/>
    <w:rsid w:val="00412318"/>
    <w:rsid w:val="00412498"/>
    <w:rsid w:val="00412843"/>
    <w:rsid w:val="0041292E"/>
    <w:rsid w:val="00412996"/>
    <w:rsid w:val="004131F4"/>
    <w:rsid w:val="004133B2"/>
    <w:rsid w:val="00413695"/>
    <w:rsid w:val="00413FB6"/>
    <w:rsid w:val="00414101"/>
    <w:rsid w:val="0041466E"/>
    <w:rsid w:val="004146E7"/>
    <w:rsid w:val="00414929"/>
    <w:rsid w:val="00415110"/>
    <w:rsid w:val="00415CE3"/>
    <w:rsid w:val="0041632B"/>
    <w:rsid w:val="00416765"/>
    <w:rsid w:val="004168DE"/>
    <w:rsid w:val="0041697A"/>
    <w:rsid w:val="00416A64"/>
    <w:rsid w:val="00416AB7"/>
    <w:rsid w:val="00416D35"/>
    <w:rsid w:val="00417057"/>
    <w:rsid w:val="0041740D"/>
    <w:rsid w:val="0041758E"/>
    <w:rsid w:val="00417728"/>
    <w:rsid w:val="00417E61"/>
    <w:rsid w:val="00420050"/>
    <w:rsid w:val="004204FF"/>
    <w:rsid w:val="004205F5"/>
    <w:rsid w:val="00420D81"/>
    <w:rsid w:val="004210FF"/>
    <w:rsid w:val="00421505"/>
    <w:rsid w:val="00421954"/>
    <w:rsid w:val="004219FD"/>
    <w:rsid w:val="00421A9B"/>
    <w:rsid w:val="00421BD5"/>
    <w:rsid w:val="00421D8E"/>
    <w:rsid w:val="0042210E"/>
    <w:rsid w:val="004222AC"/>
    <w:rsid w:val="00422727"/>
    <w:rsid w:val="004227F3"/>
    <w:rsid w:val="00423766"/>
    <w:rsid w:val="004237A5"/>
    <w:rsid w:val="0042387B"/>
    <w:rsid w:val="00423BE3"/>
    <w:rsid w:val="00423D4A"/>
    <w:rsid w:val="004248B4"/>
    <w:rsid w:val="00424961"/>
    <w:rsid w:val="00424B41"/>
    <w:rsid w:val="0042506F"/>
    <w:rsid w:val="00425276"/>
    <w:rsid w:val="004256CA"/>
    <w:rsid w:val="00425735"/>
    <w:rsid w:val="00425774"/>
    <w:rsid w:val="00425BD0"/>
    <w:rsid w:val="00425EEC"/>
    <w:rsid w:val="00426121"/>
    <w:rsid w:val="00426809"/>
    <w:rsid w:val="004269E0"/>
    <w:rsid w:val="004277E5"/>
    <w:rsid w:val="00427E15"/>
    <w:rsid w:val="00430110"/>
    <w:rsid w:val="0043091C"/>
    <w:rsid w:val="00430B77"/>
    <w:rsid w:val="00430CB8"/>
    <w:rsid w:val="0043105E"/>
    <w:rsid w:val="004317F0"/>
    <w:rsid w:val="004321E1"/>
    <w:rsid w:val="004325DF"/>
    <w:rsid w:val="004326DD"/>
    <w:rsid w:val="00432A18"/>
    <w:rsid w:val="00433025"/>
    <w:rsid w:val="004332FE"/>
    <w:rsid w:val="00433F4A"/>
    <w:rsid w:val="00434485"/>
    <w:rsid w:val="00434B85"/>
    <w:rsid w:val="00434CD8"/>
    <w:rsid w:val="00435168"/>
    <w:rsid w:val="004355FE"/>
    <w:rsid w:val="004356A3"/>
    <w:rsid w:val="00435AB3"/>
    <w:rsid w:val="00435B28"/>
    <w:rsid w:val="00436379"/>
    <w:rsid w:val="00436D15"/>
    <w:rsid w:val="00437234"/>
    <w:rsid w:val="00437559"/>
    <w:rsid w:val="004377C6"/>
    <w:rsid w:val="00437AE3"/>
    <w:rsid w:val="0044026F"/>
    <w:rsid w:val="004409DC"/>
    <w:rsid w:val="00440A3C"/>
    <w:rsid w:val="00440B9F"/>
    <w:rsid w:val="0044107D"/>
    <w:rsid w:val="00441A4B"/>
    <w:rsid w:val="00441A4C"/>
    <w:rsid w:val="00441FB4"/>
    <w:rsid w:val="004423E5"/>
    <w:rsid w:val="00442CC6"/>
    <w:rsid w:val="00442D69"/>
    <w:rsid w:val="00442D8C"/>
    <w:rsid w:val="00443442"/>
    <w:rsid w:val="00443B1D"/>
    <w:rsid w:val="00444666"/>
    <w:rsid w:val="004448F7"/>
    <w:rsid w:val="00444A13"/>
    <w:rsid w:val="00444D0C"/>
    <w:rsid w:val="00444DA2"/>
    <w:rsid w:val="0044503D"/>
    <w:rsid w:val="00445069"/>
    <w:rsid w:val="004450F1"/>
    <w:rsid w:val="00445DA7"/>
    <w:rsid w:val="00445EF6"/>
    <w:rsid w:val="00445FBC"/>
    <w:rsid w:val="0044611E"/>
    <w:rsid w:val="00446530"/>
    <w:rsid w:val="004469A8"/>
    <w:rsid w:val="00446C28"/>
    <w:rsid w:val="00447266"/>
    <w:rsid w:val="00447429"/>
    <w:rsid w:val="00450002"/>
    <w:rsid w:val="004502FF"/>
    <w:rsid w:val="00450808"/>
    <w:rsid w:val="004509C5"/>
    <w:rsid w:val="00451274"/>
    <w:rsid w:val="004519B4"/>
    <w:rsid w:val="00451E80"/>
    <w:rsid w:val="00451F00"/>
    <w:rsid w:val="0045207F"/>
    <w:rsid w:val="0045241F"/>
    <w:rsid w:val="004525E1"/>
    <w:rsid w:val="0045274D"/>
    <w:rsid w:val="00452832"/>
    <w:rsid w:val="00452A91"/>
    <w:rsid w:val="00452B46"/>
    <w:rsid w:val="00452F0E"/>
    <w:rsid w:val="004535A9"/>
    <w:rsid w:val="004538F4"/>
    <w:rsid w:val="00453985"/>
    <w:rsid w:val="00453D49"/>
    <w:rsid w:val="00454485"/>
    <w:rsid w:val="00454A48"/>
    <w:rsid w:val="00454A7A"/>
    <w:rsid w:val="00454EED"/>
    <w:rsid w:val="00455D0D"/>
    <w:rsid w:val="004563CF"/>
    <w:rsid w:val="00456953"/>
    <w:rsid w:val="00456D28"/>
    <w:rsid w:val="00457B77"/>
    <w:rsid w:val="004600D5"/>
    <w:rsid w:val="0046046D"/>
    <w:rsid w:val="004604D7"/>
    <w:rsid w:val="004605E0"/>
    <w:rsid w:val="00460950"/>
    <w:rsid w:val="004609EC"/>
    <w:rsid w:val="00460E38"/>
    <w:rsid w:val="004613B8"/>
    <w:rsid w:val="0046167A"/>
    <w:rsid w:val="00462065"/>
    <w:rsid w:val="00462242"/>
    <w:rsid w:val="00463286"/>
    <w:rsid w:val="00463429"/>
    <w:rsid w:val="00463C1B"/>
    <w:rsid w:val="00463D64"/>
    <w:rsid w:val="00463F19"/>
    <w:rsid w:val="004641AB"/>
    <w:rsid w:val="00464470"/>
    <w:rsid w:val="004646CA"/>
    <w:rsid w:val="00464CED"/>
    <w:rsid w:val="004651E3"/>
    <w:rsid w:val="00465599"/>
    <w:rsid w:val="004656E2"/>
    <w:rsid w:val="00465EF4"/>
    <w:rsid w:val="0046620A"/>
    <w:rsid w:val="004662C5"/>
    <w:rsid w:val="00466333"/>
    <w:rsid w:val="00466341"/>
    <w:rsid w:val="00466E0A"/>
    <w:rsid w:val="00466E10"/>
    <w:rsid w:val="00467255"/>
    <w:rsid w:val="00467428"/>
    <w:rsid w:val="00467679"/>
    <w:rsid w:val="0046790B"/>
    <w:rsid w:val="00467FAF"/>
    <w:rsid w:val="0047000B"/>
    <w:rsid w:val="0047010B"/>
    <w:rsid w:val="004705F9"/>
    <w:rsid w:val="00470781"/>
    <w:rsid w:val="00470C15"/>
    <w:rsid w:val="00470F5F"/>
    <w:rsid w:val="00471BBF"/>
    <w:rsid w:val="004722A6"/>
    <w:rsid w:val="004722B5"/>
    <w:rsid w:val="0047266B"/>
    <w:rsid w:val="00472F2D"/>
    <w:rsid w:val="00473041"/>
    <w:rsid w:val="004731F1"/>
    <w:rsid w:val="004738D8"/>
    <w:rsid w:val="00473CB8"/>
    <w:rsid w:val="00474567"/>
    <w:rsid w:val="00474817"/>
    <w:rsid w:val="00474827"/>
    <w:rsid w:val="00474AA6"/>
    <w:rsid w:val="00474DD1"/>
    <w:rsid w:val="00474F21"/>
    <w:rsid w:val="00475353"/>
    <w:rsid w:val="0047558F"/>
    <w:rsid w:val="004758B7"/>
    <w:rsid w:val="00475D1C"/>
    <w:rsid w:val="00475E7C"/>
    <w:rsid w:val="00475F00"/>
    <w:rsid w:val="00476382"/>
    <w:rsid w:val="00476ABD"/>
    <w:rsid w:val="0047737A"/>
    <w:rsid w:val="00477D76"/>
    <w:rsid w:val="00477E95"/>
    <w:rsid w:val="00477F0B"/>
    <w:rsid w:val="00480266"/>
    <w:rsid w:val="0048099E"/>
    <w:rsid w:val="00480AA6"/>
    <w:rsid w:val="00480AD7"/>
    <w:rsid w:val="00481A3E"/>
    <w:rsid w:val="00481C16"/>
    <w:rsid w:val="00481D3F"/>
    <w:rsid w:val="00481DD9"/>
    <w:rsid w:val="0048261F"/>
    <w:rsid w:val="00482BBE"/>
    <w:rsid w:val="00482CFF"/>
    <w:rsid w:val="00482DF7"/>
    <w:rsid w:val="0048328C"/>
    <w:rsid w:val="004836C4"/>
    <w:rsid w:val="00483CE6"/>
    <w:rsid w:val="004840BE"/>
    <w:rsid w:val="00484320"/>
    <w:rsid w:val="004848D8"/>
    <w:rsid w:val="00484D62"/>
    <w:rsid w:val="0048534D"/>
    <w:rsid w:val="00485BC4"/>
    <w:rsid w:val="00485F6B"/>
    <w:rsid w:val="004860DA"/>
    <w:rsid w:val="00486128"/>
    <w:rsid w:val="004862D0"/>
    <w:rsid w:val="00486838"/>
    <w:rsid w:val="00486E67"/>
    <w:rsid w:val="0048715E"/>
    <w:rsid w:val="00490123"/>
    <w:rsid w:val="00490886"/>
    <w:rsid w:val="00490C8C"/>
    <w:rsid w:val="004912D5"/>
    <w:rsid w:val="0049136C"/>
    <w:rsid w:val="00491850"/>
    <w:rsid w:val="00491AF6"/>
    <w:rsid w:val="00491FB3"/>
    <w:rsid w:val="00492280"/>
    <w:rsid w:val="00492BD6"/>
    <w:rsid w:val="00494013"/>
    <w:rsid w:val="004940D3"/>
    <w:rsid w:val="004949A3"/>
    <w:rsid w:val="00494CB0"/>
    <w:rsid w:val="00495639"/>
    <w:rsid w:val="0049577E"/>
    <w:rsid w:val="00495965"/>
    <w:rsid w:val="00495C1B"/>
    <w:rsid w:val="00495DCE"/>
    <w:rsid w:val="00496042"/>
    <w:rsid w:val="00496C81"/>
    <w:rsid w:val="00496F2F"/>
    <w:rsid w:val="00497372"/>
    <w:rsid w:val="00497459"/>
    <w:rsid w:val="00497580"/>
    <w:rsid w:val="00497769"/>
    <w:rsid w:val="004A1098"/>
    <w:rsid w:val="004A10B8"/>
    <w:rsid w:val="004A1365"/>
    <w:rsid w:val="004A1506"/>
    <w:rsid w:val="004A23DC"/>
    <w:rsid w:val="004A25B0"/>
    <w:rsid w:val="004A28A0"/>
    <w:rsid w:val="004A2995"/>
    <w:rsid w:val="004A2C5E"/>
    <w:rsid w:val="004A2DFD"/>
    <w:rsid w:val="004A3708"/>
    <w:rsid w:val="004A3B3B"/>
    <w:rsid w:val="004A44A2"/>
    <w:rsid w:val="004A50B6"/>
    <w:rsid w:val="004A55EF"/>
    <w:rsid w:val="004A564D"/>
    <w:rsid w:val="004A5668"/>
    <w:rsid w:val="004A5770"/>
    <w:rsid w:val="004A5890"/>
    <w:rsid w:val="004A5AC6"/>
    <w:rsid w:val="004A5BD5"/>
    <w:rsid w:val="004A5EBA"/>
    <w:rsid w:val="004A604D"/>
    <w:rsid w:val="004A6130"/>
    <w:rsid w:val="004A67CB"/>
    <w:rsid w:val="004A6A6B"/>
    <w:rsid w:val="004A6BCC"/>
    <w:rsid w:val="004A6F1F"/>
    <w:rsid w:val="004A706A"/>
    <w:rsid w:val="004A70F1"/>
    <w:rsid w:val="004A7FB2"/>
    <w:rsid w:val="004B039B"/>
    <w:rsid w:val="004B04EE"/>
    <w:rsid w:val="004B061D"/>
    <w:rsid w:val="004B090C"/>
    <w:rsid w:val="004B0D3B"/>
    <w:rsid w:val="004B1FC4"/>
    <w:rsid w:val="004B2129"/>
    <w:rsid w:val="004B218B"/>
    <w:rsid w:val="004B28C5"/>
    <w:rsid w:val="004B2914"/>
    <w:rsid w:val="004B29D0"/>
    <w:rsid w:val="004B2D32"/>
    <w:rsid w:val="004B3734"/>
    <w:rsid w:val="004B3A7D"/>
    <w:rsid w:val="004B3A88"/>
    <w:rsid w:val="004B3EA3"/>
    <w:rsid w:val="004B40F5"/>
    <w:rsid w:val="004B46D3"/>
    <w:rsid w:val="004B4A0E"/>
    <w:rsid w:val="004B4A25"/>
    <w:rsid w:val="004B4CE8"/>
    <w:rsid w:val="004B50B2"/>
    <w:rsid w:val="004B5246"/>
    <w:rsid w:val="004B6472"/>
    <w:rsid w:val="004B6A7A"/>
    <w:rsid w:val="004B7429"/>
    <w:rsid w:val="004B7611"/>
    <w:rsid w:val="004B7F3A"/>
    <w:rsid w:val="004C034E"/>
    <w:rsid w:val="004C037A"/>
    <w:rsid w:val="004C044E"/>
    <w:rsid w:val="004C098E"/>
    <w:rsid w:val="004C0B43"/>
    <w:rsid w:val="004C0E0B"/>
    <w:rsid w:val="004C0E4E"/>
    <w:rsid w:val="004C1191"/>
    <w:rsid w:val="004C14AF"/>
    <w:rsid w:val="004C1885"/>
    <w:rsid w:val="004C1B0A"/>
    <w:rsid w:val="004C1D09"/>
    <w:rsid w:val="004C1E79"/>
    <w:rsid w:val="004C20D5"/>
    <w:rsid w:val="004C2143"/>
    <w:rsid w:val="004C2431"/>
    <w:rsid w:val="004C2D60"/>
    <w:rsid w:val="004C2D69"/>
    <w:rsid w:val="004C3882"/>
    <w:rsid w:val="004C3C3B"/>
    <w:rsid w:val="004C490E"/>
    <w:rsid w:val="004C49B0"/>
    <w:rsid w:val="004C516C"/>
    <w:rsid w:val="004C537A"/>
    <w:rsid w:val="004C5AFD"/>
    <w:rsid w:val="004C5C8F"/>
    <w:rsid w:val="004C5EB6"/>
    <w:rsid w:val="004C64AA"/>
    <w:rsid w:val="004C658C"/>
    <w:rsid w:val="004C68C9"/>
    <w:rsid w:val="004C6E19"/>
    <w:rsid w:val="004C6EBE"/>
    <w:rsid w:val="004C72F7"/>
    <w:rsid w:val="004C7443"/>
    <w:rsid w:val="004C7614"/>
    <w:rsid w:val="004C77A1"/>
    <w:rsid w:val="004C7830"/>
    <w:rsid w:val="004C7E75"/>
    <w:rsid w:val="004D0726"/>
    <w:rsid w:val="004D0EF8"/>
    <w:rsid w:val="004D11FA"/>
    <w:rsid w:val="004D1417"/>
    <w:rsid w:val="004D1573"/>
    <w:rsid w:val="004D1E41"/>
    <w:rsid w:val="004D29D3"/>
    <w:rsid w:val="004D2C34"/>
    <w:rsid w:val="004D3880"/>
    <w:rsid w:val="004D3986"/>
    <w:rsid w:val="004D3B6E"/>
    <w:rsid w:val="004D44B3"/>
    <w:rsid w:val="004D45F5"/>
    <w:rsid w:val="004D492D"/>
    <w:rsid w:val="004D4969"/>
    <w:rsid w:val="004D563F"/>
    <w:rsid w:val="004D590B"/>
    <w:rsid w:val="004D5988"/>
    <w:rsid w:val="004D63F1"/>
    <w:rsid w:val="004D646C"/>
    <w:rsid w:val="004E0447"/>
    <w:rsid w:val="004E0ACA"/>
    <w:rsid w:val="004E0EE2"/>
    <w:rsid w:val="004E14A7"/>
    <w:rsid w:val="004E1AB5"/>
    <w:rsid w:val="004E1C08"/>
    <w:rsid w:val="004E258C"/>
    <w:rsid w:val="004E2B43"/>
    <w:rsid w:val="004E2C6D"/>
    <w:rsid w:val="004E2C83"/>
    <w:rsid w:val="004E2DAA"/>
    <w:rsid w:val="004E2F9F"/>
    <w:rsid w:val="004E32A0"/>
    <w:rsid w:val="004E32C8"/>
    <w:rsid w:val="004E341D"/>
    <w:rsid w:val="004E3756"/>
    <w:rsid w:val="004E3949"/>
    <w:rsid w:val="004E39A9"/>
    <w:rsid w:val="004E42CB"/>
    <w:rsid w:val="004E434D"/>
    <w:rsid w:val="004E4602"/>
    <w:rsid w:val="004E4896"/>
    <w:rsid w:val="004E52D5"/>
    <w:rsid w:val="004E56CC"/>
    <w:rsid w:val="004E58A4"/>
    <w:rsid w:val="004E6085"/>
    <w:rsid w:val="004E640F"/>
    <w:rsid w:val="004E657B"/>
    <w:rsid w:val="004E6620"/>
    <w:rsid w:val="004E6757"/>
    <w:rsid w:val="004E67F1"/>
    <w:rsid w:val="004E67FD"/>
    <w:rsid w:val="004E71D4"/>
    <w:rsid w:val="004E71F9"/>
    <w:rsid w:val="004F0258"/>
    <w:rsid w:val="004F057D"/>
    <w:rsid w:val="004F05DC"/>
    <w:rsid w:val="004F0C89"/>
    <w:rsid w:val="004F0D1A"/>
    <w:rsid w:val="004F0F3A"/>
    <w:rsid w:val="004F1147"/>
    <w:rsid w:val="004F1807"/>
    <w:rsid w:val="004F1C6C"/>
    <w:rsid w:val="004F22F8"/>
    <w:rsid w:val="004F23FA"/>
    <w:rsid w:val="004F2E08"/>
    <w:rsid w:val="004F38A0"/>
    <w:rsid w:val="004F3B96"/>
    <w:rsid w:val="004F3E5B"/>
    <w:rsid w:val="004F47FC"/>
    <w:rsid w:val="004F4922"/>
    <w:rsid w:val="004F4F41"/>
    <w:rsid w:val="004F502E"/>
    <w:rsid w:val="004F5414"/>
    <w:rsid w:val="004F6840"/>
    <w:rsid w:val="004F687F"/>
    <w:rsid w:val="004F6962"/>
    <w:rsid w:val="004F69F6"/>
    <w:rsid w:val="004F6C1F"/>
    <w:rsid w:val="004F6C83"/>
    <w:rsid w:val="004F6D52"/>
    <w:rsid w:val="004F7583"/>
    <w:rsid w:val="004F75D9"/>
    <w:rsid w:val="004F7E52"/>
    <w:rsid w:val="005008B4"/>
    <w:rsid w:val="005009A9"/>
    <w:rsid w:val="005010E9"/>
    <w:rsid w:val="00501FFD"/>
    <w:rsid w:val="00502ACD"/>
    <w:rsid w:val="00502AFA"/>
    <w:rsid w:val="005034E5"/>
    <w:rsid w:val="00503B94"/>
    <w:rsid w:val="00503FCF"/>
    <w:rsid w:val="00504A48"/>
    <w:rsid w:val="00504FC7"/>
    <w:rsid w:val="00505C8C"/>
    <w:rsid w:val="00506147"/>
    <w:rsid w:val="00506274"/>
    <w:rsid w:val="00506677"/>
    <w:rsid w:val="00506968"/>
    <w:rsid w:val="00506B41"/>
    <w:rsid w:val="00506CF8"/>
    <w:rsid w:val="00506D53"/>
    <w:rsid w:val="00506F3C"/>
    <w:rsid w:val="005075C3"/>
    <w:rsid w:val="005079ED"/>
    <w:rsid w:val="00507BE8"/>
    <w:rsid w:val="00507C26"/>
    <w:rsid w:val="00507E61"/>
    <w:rsid w:val="005100FA"/>
    <w:rsid w:val="005104A9"/>
    <w:rsid w:val="005104EC"/>
    <w:rsid w:val="0051056D"/>
    <w:rsid w:val="00510673"/>
    <w:rsid w:val="00511264"/>
    <w:rsid w:val="0051132B"/>
    <w:rsid w:val="00511457"/>
    <w:rsid w:val="0051184B"/>
    <w:rsid w:val="00511B39"/>
    <w:rsid w:val="00511F77"/>
    <w:rsid w:val="00512270"/>
    <w:rsid w:val="00512478"/>
    <w:rsid w:val="005126C2"/>
    <w:rsid w:val="005129EB"/>
    <w:rsid w:val="005129EF"/>
    <w:rsid w:val="0051339A"/>
    <w:rsid w:val="005138B5"/>
    <w:rsid w:val="00513953"/>
    <w:rsid w:val="00513C86"/>
    <w:rsid w:val="00513C98"/>
    <w:rsid w:val="00513D8A"/>
    <w:rsid w:val="00514194"/>
    <w:rsid w:val="005147E8"/>
    <w:rsid w:val="0051486E"/>
    <w:rsid w:val="00514AE9"/>
    <w:rsid w:val="00514AF7"/>
    <w:rsid w:val="005158BD"/>
    <w:rsid w:val="00515D71"/>
    <w:rsid w:val="00515E2C"/>
    <w:rsid w:val="0051635E"/>
    <w:rsid w:val="005165EE"/>
    <w:rsid w:val="005167E4"/>
    <w:rsid w:val="00516C66"/>
    <w:rsid w:val="00516C9A"/>
    <w:rsid w:val="00516F35"/>
    <w:rsid w:val="00517404"/>
    <w:rsid w:val="00517415"/>
    <w:rsid w:val="005177D3"/>
    <w:rsid w:val="00517A2D"/>
    <w:rsid w:val="00517D21"/>
    <w:rsid w:val="005203E3"/>
    <w:rsid w:val="0052056D"/>
    <w:rsid w:val="005209A3"/>
    <w:rsid w:val="00521B60"/>
    <w:rsid w:val="00522A52"/>
    <w:rsid w:val="005231A2"/>
    <w:rsid w:val="005234DD"/>
    <w:rsid w:val="005236F2"/>
    <w:rsid w:val="00523DD9"/>
    <w:rsid w:val="00523E1F"/>
    <w:rsid w:val="00524147"/>
    <w:rsid w:val="005244A7"/>
    <w:rsid w:val="005244DF"/>
    <w:rsid w:val="00524862"/>
    <w:rsid w:val="0052510A"/>
    <w:rsid w:val="0052693D"/>
    <w:rsid w:val="00527256"/>
    <w:rsid w:val="00527574"/>
    <w:rsid w:val="00527BDF"/>
    <w:rsid w:val="00527D7A"/>
    <w:rsid w:val="005302F4"/>
    <w:rsid w:val="00530550"/>
    <w:rsid w:val="005307BF"/>
    <w:rsid w:val="00530EA0"/>
    <w:rsid w:val="00530F8B"/>
    <w:rsid w:val="00531A23"/>
    <w:rsid w:val="00531AA5"/>
    <w:rsid w:val="00531B3D"/>
    <w:rsid w:val="00531C55"/>
    <w:rsid w:val="00531DEF"/>
    <w:rsid w:val="005323B8"/>
    <w:rsid w:val="00532B6D"/>
    <w:rsid w:val="00532F0E"/>
    <w:rsid w:val="005335A0"/>
    <w:rsid w:val="0053369B"/>
    <w:rsid w:val="00533BDC"/>
    <w:rsid w:val="00533E2D"/>
    <w:rsid w:val="00533EAE"/>
    <w:rsid w:val="005345D0"/>
    <w:rsid w:val="00534B36"/>
    <w:rsid w:val="00535368"/>
    <w:rsid w:val="00535588"/>
    <w:rsid w:val="005355A4"/>
    <w:rsid w:val="005355A9"/>
    <w:rsid w:val="00535632"/>
    <w:rsid w:val="00535862"/>
    <w:rsid w:val="0053675C"/>
    <w:rsid w:val="005367A9"/>
    <w:rsid w:val="00536A24"/>
    <w:rsid w:val="00536B4E"/>
    <w:rsid w:val="005370D8"/>
    <w:rsid w:val="0053778F"/>
    <w:rsid w:val="0053792C"/>
    <w:rsid w:val="00537A07"/>
    <w:rsid w:val="00537A17"/>
    <w:rsid w:val="00537B22"/>
    <w:rsid w:val="005405FF"/>
    <w:rsid w:val="0054070C"/>
    <w:rsid w:val="00540886"/>
    <w:rsid w:val="00540F02"/>
    <w:rsid w:val="0054115D"/>
    <w:rsid w:val="005411DB"/>
    <w:rsid w:val="0054139D"/>
    <w:rsid w:val="005413C8"/>
    <w:rsid w:val="005414AE"/>
    <w:rsid w:val="005415D5"/>
    <w:rsid w:val="005416AA"/>
    <w:rsid w:val="005419EF"/>
    <w:rsid w:val="00542270"/>
    <w:rsid w:val="0054276D"/>
    <w:rsid w:val="00542A01"/>
    <w:rsid w:val="005435F5"/>
    <w:rsid w:val="00543ADE"/>
    <w:rsid w:val="00543D89"/>
    <w:rsid w:val="00543F44"/>
    <w:rsid w:val="00544A34"/>
    <w:rsid w:val="005450CB"/>
    <w:rsid w:val="00545704"/>
    <w:rsid w:val="005457D4"/>
    <w:rsid w:val="00546850"/>
    <w:rsid w:val="00546B68"/>
    <w:rsid w:val="00547509"/>
    <w:rsid w:val="005475A5"/>
    <w:rsid w:val="005475D3"/>
    <w:rsid w:val="00547675"/>
    <w:rsid w:val="005477F5"/>
    <w:rsid w:val="005478AA"/>
    <w:rsid w:val="00547A0B"/>
    <w:rsid w:val="00547B58"/>
    <w:rsid w:val="00547F80"/>
    <w:rsid w:val="00550478"/>
    <w:rsid w:val="005504CB"/>
    <w:rsid w:val="00550970"/>
    <w:rsid w:val="00550F7B"/>
    <w:rsid w:val="00551639"/>
    <w:rsid w:val="00551D05"/>
    <w:rsid w:val="00552177"/>
    <w:rsid w:val="005521A2"/>
    <w:rsid w:val="00552266"/>
    <w:rsid w:val="0055267B"/>
    <w:rsid w:val="0055274D"/>
    <w:rsid w:val="0055279C"/>
    <w:rsid w:val="00552AFC"/>
    <w:rsid w:val="00552B49"/>
    <w:rsid w:val="00552E15"/>
    <w:rsid w:val="00552EBE"/>
    <w:rsid w:val="00553EDC"/>
    <w:rsid w:val="00554063"/>
    <w:rsid w:val="00554085"/>
    <w:rsid w:val="00554775"/>
    <w:rsid w:val="00554B0A"/>
    <w:rsid w:val="00554E88"/>
    <w:rsid w:val="005551D8"/>
    <w:rsid w:val="005557D3"/>
    <w:rsid w:val="00555B40"/>
    <w:rsid w:val="00556F7E"/>
    <w:rsid w:val="00557524"/>
    <w:rsid w:val="00557585"/>
    <w:rsid w:val="0055796B"/>
    <w:rsid w:val="00557DFD"/>
    <w:rsid w:val="0056004A"/>
    <w:rsid w:val="00560272"/>
    <w:rsid w:val="005609D4"/>
    <w:rsid w:val="00560AEA"/>
    <w:rsid w:val="00561514"/>
    <w:rsid w:val="00561519"/>
    <w:rsid w:val="00561618"/>
    <w:rsid w:val="00561B3B"/>
    <w:rsid w:val="00561BA2"/>
    <w:rsid w:val="00562955"/>
    <w:rsid w:val="005629E5"/>
    <w:rsid w:val="00562B93"/>
    <w:rsid w:val="00562E31"/>
    <w:rsid w:val="0056337E"/>
    <w:rsid w:val="00563687"/>
    <w:rsid w:val="00563AA7"/>
    <w:rsid w:val="0056434F"/>
    <w:rsid w:val="00564970"/>
    <w:rsid w:val="00565906"/>
    <w:rsid w:val="00565BA4"/>
    <w:rsid w:val="00565C27"/>
    <w:rsid w:val="00565DF8"/>
    <w:rsid w:val="0056635C"/>
    <w:rsid w:val="005668E0"/>
    <w:rsid w:val="00566B11"/>
    <w:rsid w:val="00566D25"/>
    <w:rsid w:val="00567126"/>
    <w:rsid w:val="005675B0"/>
    <w:rsid w:val="00567D39"/>
    <w:rsid w:val="00567FC9"/>
    <w:rsid w:val="00570140"/>
    <w:rsid w:val="005701A7"/>
    <w:rsid w:val="0057121A"/>
    <w:rsid w:val="005714FE"/>
    <w:rsid w:val="0057153A"/>
    <w:rsid w:val="005719E7"/>
    <w:rsid w:val="00571B87"/>
    <w:rsid w:val="00571CAD"/>
    <w:rsid w:val="005723FE"/>
    <w:rsid w:val="00572654"/>
    <w:rsid w:val="0057306C"/>
    <w:rsid w:val="0057319C"/>
    <w:rsid w:val="00573326"/>
    <w:rsid w:val="005735CF"/>
    <w:rsid w:val="00573A3C"/>
    <w:rsid w:val="005741DF"/>
    <w:rsid w:val="0057457F"/>
    <w:rsid w:val="00574BB8"/>
    <w:rsid w:val="00575016"/>
    <w:rsid w:val="0057529C"/>
    <w:rsid w:val="005752E1"/>
    <w:rsid w:val="005753FD"/>
    <w:rsid w:val="00575414"/>
    <w:rsid w:val="0057603D"/>
    <w:rsid w:val="00576927"/>
    <w:rsid w:val="0057695F"/>
    <w:rsid w:val="00576EBE"/>
    <w:rsid w:val="00577419"/>
    <w:rsid w:val="00577C2B"/>
    <w:rsid w:val="00577EEF"/>
    <w:rsid w:val="00580752"/>
    <w:rsid w:val="0058113D"/>
    <w:rsid w:val="00581544"/>
    <w:rsid w:val="00581A37"/>
    <w:rsid w:val="00581B08"/>
    <w:rsid w:val="00581BFE"/>
    <w:rsid w:val="005821BC"/>
    <w:rsid w:val="005821CD"/>
    <w:rsid w:val="005828AA"/>
    <w:rsid w:val="00582B16"/>
    <w:rsid w:val="00583AD7"/>
    <w:rsid w:val="00584011"/>
    <w:rsid w:val="00584CFB"/>
    <w:rsid w:val="00584D29"/>
    <w:rsid w:val="00585027"/>
    <w:rsid w:val="00585086"/>
    <w:rsid w:val="0058554F"/>
    <w:rsid w:val="00585A16"/>
    <w:rsid w:val="00585A24"/>
    <w:rsid w:val="005863F5"/>
    <w:rsid w:val="005866BE"/>
    <w:rsid w:val="00586F87"/>
    <w:rsid w:val="005870CE"/>
    <w:rsid w:val="005875E8"/>
    <w:rsid w:val="00587892"/>
    <w:rsid w:val="005901C6"/>
    <w:rsid w:val="005903B8"/>
    <w:rsid w:val="00590B62"/>
    <w:rsid w:val="00590D08"/>
    <w:rsid w:val="00590FCE"/>
    <w:rsid w:val="005912D8"/>
    <w:rsid w:val="00591382"/>
    <w:rsid w:val="00591789"/>
    <w:rsid w:val="005919BF"/>
    <w:rsid w:val="00591B89"/>
    <w:rsid w:val="00591FC4"/>
    <w:rsid w:val="00592430"/>
    <w:rsid w:val="005924E7"/>
    <w:rsid w:val="00592ACA"/>
    <w:rsid w:val="00592DA2"/>
    <w:rsid w:val="00592E79"/>
    <w:rsid w:val="00592EEF"/>
    <w:rsid w:val="0059375D"/>
    <w:rsid w:val="00594204"/>
    <w:rsid w:val="00594383"/>
    <w:rsid w:val="005944CA"/>
    <w:rsid w:val="00594904"/>
    <w:rsid w:val="00597181"/>
    <w:rsid w:val="00597A75"/>
    <w:rsid w:val="00597C51"/>
    <w:rsid w:val="00597D50"/>
    <w:rsid w:val="00597EE3"/>
    <w:rsid w:val="005A0035"/>
    <w:rsid w:val="005A00E2"/>
    <w:rsid w:val="005A025C"/>
    <w:rsid w:val="005A033A"/>
    <w:rsid w:val="005A064D"/>
    <w:rsid w:val="005A06B9"/>
    <w:rsid w:val="005A06E2"/>
    <w:rsid w:val="005A1075"/>
    <w:rsid w:val="005A1666"/>
    <w:rsid w:val="005A1C5B"/>
    <w:rsid w:val="005A1C74"/>
    <w:rsid w:val="005A2B71"/>
    <w:rsid w:val="005A3536"/>
    <w:rsid w:val="005A35F5"/>
    <w:rsid w:val="005A3ED0"/>
    <w:rsid w:val="005A3F85"/>
    <w:rsid w:val="005A435D"/>
    <w:rsid w:val="005A4579"/>
    <w:rsid w:val="005A539E"/>
    <w:rsid w:val="005A5999"/>
    <w:rsid w:val="005A5C15"/>
    <w:rsid w:val="005A5ED1"/>
    <w:rsid w:val="005A6286"/>
    <w:rsid w:val="005A6311"/>
    <w:rsid w:val="005A6346"/>
    <w:rsid w:val="005A655E"/>
    <w:rsid w:val="005A666E"/>
    <w:rsid w:val="005A694D"/>
    <w:rsid w:val="005A6D2F"/>
    <w:rsid w:val="005A73EE"/>
    <w:rsid w:val="005A7997"/>
    <w:rsid w:val="005B082B"/>
    <w:rsid w:val="005B09F5"/>
    <w:rsid w:val="005B17DD"/>
    <w:rsid w:val="005B17E8"/>
    <w:rsid w:val="005B1DD4"/>
    <w:rsid w:val="005B1E97"/>
    <w:rsid w:val="005B21DD"/>
    <w:rsid w:val="005B21FB"/>
    <w:rsid w:val="005B22E1"/>
    <w:rsid w:val="005B2589"/>
    <w:rsid w:val="005B28F5"/>
    <w:rsid w:val="005B29DA"/>
    <w:rsid w:val="005B30B2"/>
    <w:rsid w:val="005B30FC"/>
    <w:rsid w:val="005B343F"/>
    <w:rsid w:val="005B3962"/>
    <w:rsid w:val="005B3B5A"/>
    <w:rsid w:val="005B3B76"/>
    <w:rsid w:val="005B4329"/>
    <w:rsid w:val="005B4430"/>
    <w:rsid w:val="005B47BE"/>
    <w:rsid w:val="005B507F"/>
    <w:rsid w:val="005B5626"/>
    <w:rsid w:val="005B5A17"/>
    <w:rsid w:val="005B5BAC"/>
    <w:rsid w:val="005B5F94"/>
    <w:rsid w:val="005B5FE9"/>
    <w:rsid w:val="005B6056"/>
    <w:rsid w:val="005B63FE"/>
    <w:rsid w:val="005B699A"/>
    <w:rsid w:val="005B6E4B"/>
    <w:rsid w:val="005B72C9"/>
    <w:rsid w:val="005C0014"/>
    <w:rsid w:val="005C0424"/>
    <w:rsid w:val="005C0A90"/>
    <w:rsid w:val="005C0AFC"/>
    <w:rsid w:val="005C0C3B"/>
    <w:rsid w:val="005C0D75"/>
    <w:rsid w:val="005C15EB"/>
    <w:rsid w:val="005C164F"/>
    <w:rsid w:val="005C1AB2"/>
    <w:rsid w:val="005C1EF2"/>
    <w:rsid w:val="005C2234"/>
    <w:rsid w:val="005C2338"/>
    <w:rsid w:val="005C2676"/>
    <w:rsid w:val="005C296C"/>
    <w:rsid w:val="005C29FA"/>
    <w:rsid w:val="005C319D"/>
    <w:rsid w:val="005C31BC"/>
    <w:rsid w:val="005C371D"/>
    <w:rsid w:val="005C3F8A"/>
    <w:rsid w:val="005C413D"/>
    <w:rsid w:val="005C4156"/>
    <w:rsid w:val="005C417C"/>
    <w:rsid w:val="005C47FE"/>
    <w:rsid w:val="005C4CB0"/>
    <w:rsid w:val="005C4CF7"/>
    <w:rsid w:val="005C4EB4"/>
    <w:rsid w:val="005C4F32"/>
    <w:rsid w:val="005C4F9E"/>
    <w:rsid w:val="005C4FEC"/>
    <w:rsid w:val="005C50DE"/>
    <w:rsid w:val="005C512A"/>
    <w:rsid w:val="005C5669"/>
    <w:rsid w:val="005C57C6"/>
    <w:rsid w:val="005C59AA"/>
    <w:rsid w:val="005C5BB2"/>
    <w:rsid w:val="005C5E90"/>
    <w:rsid w:val="005C60E9"/>
    <w:rsid w:val="005C6473"/>
    <w:rsid w:val="005C6584"/>
    <w:rsid w:val="005C6713"/>
    <w:rsid w:val="005C6ABB"/>
    <w:rsid w:val="005C6AD7"/>
    <w:rsid w:val="005C6CCE"/>
    <w:rsid w:val="005C6DC0"/>
    <w:rsid w:val="005C71CC"/>
    <w:rsid w:val="005C78DD"/>
    <w:rsid w:val="005C7AC4"/>
    <w:rsid w:val="005C7B9A"/>
    <w:rsid w:val="005C7F6D"/>
    <w:rsid w:val="005D0197"/>
    <w:rsid w:val="005D04C8"/>
    <w:rsid w:val="005D08D8"/>
    <w:rsid w:val="005D115D"/>
    <w:rsid w:val="005D1179"/>
    <w:rsid w:val="005D12EB"/>
    <w:rsid w:val="005D1490"/>
    <w:rsid w:val="005D16E4"/>
    <w:rsid w:val="005D1B42"/>
    <w:rsid w:val="005D1D57"/>
    <w:rsid w:val="005D1DC7"/>
    <w:rsid w:val="005D221B"/>
    <w:rsid w:val="005D2875"/>
    <w:rsid w:val="005D2A41"/>
    <w:rsid w:val="005D30BA"/>
    <w:rsid w:val="005D349A"/>
    <w:rsid w:val="005D3986"/>
    <w:rsid w:val="005D40ED"/>
    <w:rsid w:val="005D42A8"/>
    <w:rsid w:val="005D5019"/>
    <w:rsid w:val="005D50F4"/>
    <w:rsid w:val="005D51DB"/>
    <w:rsid w:val="005D5327"/>
    <w:rsid w:val="005D53F6"/>
    <w:rsid w:val="005D58FD"/>
    <w:rsid w:val="005D5D94"/>
    <w:rsid w:val="005D6D00"/>
    <w:rsid w:val="005D6F4B"/>
    <w:rsid w:val="005D79C1"/>
    <w:rsid w:val="005D7C40"/>
    <w:rsid w:val="005E00BD"/>
    <w:rsid w:val="005E0147"/>
    <w:rsid w:val="005E0FC4"/>
    <w:rsid w:val="005E1EF3"/>
    <w:rsid w:val="005E21C1"/>
    <w:rsid w:val="005E26B3"/>
    <w:rsid w:val="005E27AA"/>
    <w:rsid w:val="005E288A"/>
    <w:rsid w:val="005E30A7"/>
    <w:rsid w:val="005E3739"/>
    <w:rsid w:val="005E3DA4"/>
    <w:rsid w:val="005E3DA6"/>
    <w:rsid w:val="005E3DB6"/>
    <w:rsid w:val="005E40E0"/>
    <w:rsid w:val="005E41BE"/>
    <w:rsid w:val="005E41C0"/>
    <w:rsid w:val="005E50D7"/>
    <w:rsid w:val="005E5426"/>
    <w:rsid w:val="005E555D"/>
    <w:rsid w:val="005E5DC4"/>
    <w:rsid w:val="005E65AC"/>
    <w:rsid w:val="005E6827"/>
    <w:rsid w:val="005E7188"/>
    <w:rsid w:val="005E7408"/>
    <w:rsid w:val="005E754D"/>
    <w:rsid w:val="005E7593"/>
    <w:rsid w:val="005E787B"/>
    <w:rsid w:val="005E7C73"/>
    <w:rsid w:val="005F0503"/>
    <w:rsid w:val="005F072C"/>
    <w:rsid w:val="005F0D0E"/>
    <w:rsid w:val="005F0DF7"/>
    <w:rsid w:val="005F149F"/>
    <w:rsid w:val="005F15B0"/>
    <w:rsid w:val="005F1879"/>
    <w:rsid w:val="005F1B5A"/>
    <w:rsid w:val="005F2089"/>
    <w:rsid w:val="005F22A7"/>
    <w:rsid w:val="005F25D7"/>
    <w:rsid w:val="005F2CBF"/>
    <w:rsid w:val="005F3012"/>
    <w:rsid w:val="005F3439"/>
    <w:rsid w:val="005F3E3A"/>
    <w:rsid w:val="005F3E51"/>
    <w:rsid w:val="005F4261"/>
    <w:rsid w:val="005F442F"/>
    <w:rsid w:val="005F4784"/>
    <w:rsid w:val="005F56AE"/>
    <w:rsid w:val="005F5F8F"/>
    <w:rsid w:val="005F77A6"/>
    <w:rsid w:val="005F781A"/>
    <w:rsid w:val="005F7CC5"/>
    <w:rsid w:val="006002D8"/>
    <w:rsid w:val="00600335"/>
    <w:rsid w:val="006003BA"/>
    <w:rsid w:val="00600A0C"/>
    <w:rsid w:val="00600B25"/>
    <w:rsid w:val="00600CB5"/>
    <w:rsid w:val="00600FAC"/>
    <w:rsid w:val="00601010"/>
    <w:rsid w:val="006011CF"/>
    <w:rsid w:val="006018F8"/>
    <w:rsid w:val="00601C2A"/>
    <w:rsid w:val="0060216E"/>
    <w:rsid w:val="00602E43"/>
    <w:rsid w:val="006034CA"/>
    <w:rsid w:val="00603749"/>
    <w:rsid w:val="00603C82"/>
    <w:rsid w:val="00604B22"/>
    <w:rsid w:val="00604B43"/>
    <w:rsid w:val="00604DEB"/>
    <w:rsid w:val="00605496"/>
    <w:rsid w:val="006058EC"/>
    <w:rsid w:val="0060625E"/>
    <w:rsid w:val="00606D58"/>
    <w:rsid w:val="00606D5C"/>
    <w:rsid w:val="00606DDA"/>
    <w:rsid w:val="00606FF4"/>
    <w:rsid w:val="006074E3"/>
    <w:rsid w:val="00607B49"/>
    <w:rsid w:val="0061026B"/>
    <w:rsid w:val="00610803"/>
    <w:rsid w:val="00610A1B"/>
    <w:rsid w:val="00611304"/>
    <w:rsid w:val="00611406"/>
    <w:rsid w:val="006115FD"/>
    <w:rsid w:val="0061219C"/>
    <w:rsid w:val="00612344"/>
    <w:rsid w:val="006123DF"/>
    <w:rsid w:val="00612AD8"/>
    <w:rsid w:val="00612C03"/>
    <w:rsid w:val="00612EA1"/>
    <w:rsid w:val="006130C1"/>
    <w:rsid w:val="006138D2"/>
    <w:rsid w:val="00613F66"/>
    <w:rsid w:val="00614183"/>
    <w:rsid w:val="006142C0"/>
    <w:rsid w:val="006147DC"/>
    <w:rsid w:val="006148C7"/>
    <w:rsid w:val="00614A20"/>
    <w:rsid w:val="006155E6"/>
    <w:rsid w:val="00615909"/>
    <w:rsid w:val="00615B68"/>
    <w:rsid w:val="00615DF7"/>
    <w:rsid w:val="0061673A"/>
    <w:rsid w:val="00616B1A"/>
    <w:rsid w:val="0061717F"/>
    <w:rsid w:val="0061725A"/>
    <w:rsid w:val="00617773"/>
    <w:rsid w:val="006178A4"/>
    <w:rsid w:val="006179A3"/>
    <w:rsid w:val="00617B79"/>
    <w:rsid w:val="00620746"/>
    <w:rsid w:val="00620BC8"/>
    <w:rsid w:val="00620DCD"/>
    <w:rsid w:val="00620EFE"/>
    <w:rsid w:val="0062102A"/>
    <w:rsid w:val="0062105C"/>
    <w:rsid w:val="00621410"/>
    <w:rsid w:val="00621FDB"/>
    <w:rsid w:val="0062265B"/>
    <w:rsid w:val="00622936"/>
    <w:rsid w:val="00622D66"/>
    <w:rsid w:val="00622FED"/>
    <w:rsid w:val="006237ED"/>
    <w:rsid w:val="0062385A"/>
    <w:rsid w:val="006238FB"/>
    <w:rsid w:val="00623CFD"/>
    <w:rsid w:val="0062411A"/>
    <w:rsid w:val="006243A5"/>
    <w:rsid w:val="00624915"/>
    <w:rsid w:val="00624D88"/>
    <w:rsid w:val="00624FCA"/>
    <w:rsid w:val="0062542B"/>
    <w:rsid w:val="00625DAA"/>
    <w:rsid w:val="00625E48"/>
    <w:rsid w:val="00626818"/>
    <w:rsid w:val="006271AA"/>
    <w:rsid w:val="006271CB"/>
    <w:rsid w:val="00627271"/>
    <w:rsid w:val="00627424"/>
    <w:rsid w:val="006278AF"/>
    <w:rsid w:val="0062790C"/>
    <w:rsid w:val="00627EBA"/>
    <w:rsid w:val="00630141"/>
    <w:rsid w:val="0063034D"/>
    <w:rsid w:val="0063038B"/>
    <w:rsid w:val="00630767"/>
    <w:rsid w:val="00630825"/>
    <w:rsid w:val="006309C9"/>
    <w:rsid w:val="00630A01"/>
    <w:rsid w:val="0063113E"/>
    <w:rsid w:val="0063175E"/>
    <w:rsid w:val="0063187B"/>
    <w:rsid w:val="0063197A"/>
    <w:rsid w:val="00632415"/>
    <w:rsid w:val="00632663"/>
    <w:rsid w:val="0063271C"/>
    <w:rsid w:val="00632CBF"/>
    <w:rsid w:val="00632D5B"/>
    <w:rsid w:val="00633471"/>
    <w:rsid w:val="00634494"/>
    <w:rsid w:val="006347E6"/>
    <w:rsid w:val="0063515C"/>
    <w:rsid w:val="0063526E"/>
    <w:rsid w:val="006355AB"/>
    <w:rsid w:val="00635642"/>
    <w:rsid w:val="00635BB0"/>
    <w:rsid w:val="00635BC1"/>
    <w:rsid w:val="00635D2D"/>
    <w:rsid w:val="00635FD1"/>
    <w:rsid w:val="006361DD"/>
    <w:rsid w:val="006363A4"/>
    <w:rsid w:val="00636C69"/>
    <w:rsid w:val="006371ED"/>
    <w:rsid w:val="00637640"/>
    <w:rsid w:val="00637E70"/>
    <w:rsid w:val="006405D7"/>
    <w:rsid w:val="006410C3"/>
    <w:rsid w:val="006411AE"/>
    <w:rsid w:val="006416C6"/>
    <w:rsid w:val="00641A94"/>
    <w:rsid w:val="00641DCC"/>
    <w:rsid w:val="00641E35"/>
    <w:rsid w:val="0064228D"/>
    <w:rsid w:val="00642939"/>
    <w:rsid w:val="00642A4E"/>
    <w:rsid w:val="00642F0E"/>
    <w:rsid w:val="006430AC"/>
    <w:rsid w:val="0064373E"/>
    <w:rsid w:val="00643815"/>
    <w:rsid w:val="006439C0"/>
    <w:rsid w:val="00643E33"/>
    <w:rsid w:val="0064453D"/>
    <w:rsid w:val="00644DDE"/>
    <w:rsid w:val="00644FD3"/>
    <w:rsid w:val="00645453"/>
    <w:rsid w:val="00645A33"/>
    <w:rsid w:val="00645ECD"/>
    <w:rsid w:val="00645F33"/>
    <w:rsid w:val="00646792"/>
    <w:rsid w:val="00646946"/>
    <w:rsid w:val="006469BE"/>
    <w:rsid w:val="00646E33"/>
    <w:rsid w:val="00646E66"/>
    <w:rsid w:val="006473A7"/>
    <w:rsid w:val="0064789A"/>
    <w:rsid w:val="0064798E"/>
    <w:rsid w:val="00647B47"/>
    <w:rsid w:val="00647C0B"/>
    <w:rsid w:val="00647D02"/>
    <w:rsid w:val="006503A9"/>
    <w:rsid w:val="006504A8"/>
    <w:rsid w:val="00650514"/>
    <w:rsid w:val="006506F5"/>
    <w:rsid w:val="00650705"/>
    <w:rsid w:val="00650C48"/>
    <w:rsid w:val="00650E27"/>
    <w:rsid w:val="00651063"/>
    <w:rsid w:val="006518EF"/>
    <w:rsid w:val="00651D17"/>
    <w:rsid w:val="00652529"/>
    <w:rsid w:val="006525B9"/>
    <w:rsid w:val="006526A5"/>
    <w:rsid w:val="00652859"/>
    <w:rsid w:val="00652A2F"/>
    <w:rsid w:val="00652E00"/>
    <w:rsid w:val="00653A58"/>
    <w:rsid w:val="00653B56"/>
    <w:rsid w:val="00653E41"/>
    <w:rsid w:val="00653EC0"/>
    <w:rsid w:val="00654F5A"/>
    <w:rsid w:val="00655292"/>
    <w:rsid w:val="0065534F"/>
    <w:rsid w:val="00655C02"/>
    <w:rsid w:val="00655C06"/>
    <w:rsid w:val="00656287"/>
    <w:rsid w:val="00656393"/>
    <w:rsid w:val="006565C7"/>
    <w:rsid w:val="00657212"/>
    <w:rsid w:val="00657303"/>
    <w:rsid w:val="00657931"/>
    <w:rsid w:val="006579A6"/>
    <w:rsid w:val="0066055C"/>
    <w:rsid w:val="006613C8"/>
    <w:rsid w:val="00661415"/>
    <w:rsid w:val="006618E2"/>
    <w:rsid w:val="006619E4"/>
    <w:rsid w:val="00661E5C"/>
    <w:rsid w:val="006623C8"/>
    <w:rsid w:val="00662552"/>
    <w:rsid w:val="006626CC"/>
    <w:rsid w:val="006627AD"/>
    <w:rsid w:val="00662B0F"/>
    <w:rsid w:val="00663CD6"/>
    <w:rsid w:val="00663DBB"/>
    <w:rsid w:val="006641DB"/>
    <w:rsid w:val="00664D82"/>
    <w:rsid w:val="00664FAA"/>
    <w:rsid w:val="006656BD"/>
    <w:rsid w:val="00666472"/>
    <w:rsid w:val="006664F3"/>
    <w:rsid w:val="00666573"/>
    <w:rsid w:val="00666E74"/>
    <w:rsid w:val="00667571"/>
    <w:rsid w:val="0067033F"/>
    <w:rsid w:val="0067064E"/>
    <w:rsid w:val="0067109F"/>
    <w:rsid w:val="0067140F"/>
    <w:rsid w:val="00671498"/>
    <w:rsid w:val="00672649"/>
    <w:rsid w:val="00672BD6"/>
    <w:rsid w:val="00672CDF"/>
    <w:rsid w:val="00672F0E"/>
    <w:rsid w:val="0067314A"/>
    <w:rsid w:val="00673873"/>
    <w:rsid w:val="00673B23"/>
    <w:rsid w:val="0067419B"/>
    <w:rsid w:val="0067429D"/>
    <w:rsid w:val="0067458B"/>
    <w:rsid w:val="00674A88"/>
    <w:rsid w:val="00674D44"/>
    <w:rsid w:val="00675718"/>
    <w:rsid w:val="0067594C"/>
    <w:rsid w:val="00675C57"/>
    <w:rsid w:val="006762ED"/>
    <w:rsid w:val="0067630C"/>
    <w:rsid w:val="006765A5"/>
    <w:rsid w:val="00676B40"/>
    <w:rsid w:val="00676BDD"/>
    <w:rsid w:val="00676FE8"/>
    <w:rsid w:val="006770BF"/>
    <w:rsid w:val="006771C5"/>
    <w:rsid w:val="00677550"/>
    <w:rsid w:val="00677DDD"/>
    <w:rsid w:val="006806F0"/>
    <w:rsid w:val="00680BA5"/>
    <w:rsid w:val="00680F0D"/>
    <w:rsid w:val="006815DF"/>
    <w:rsid w:val="00681768"/>
    <w:rsid w:val="006818FE"/>
    <w:rsid w:val="00681B67"/>
    <w:rsid w:val="00682368"/>
    <w:rsid w:val="006835E7"/>
    <w:rsid w:val="0068388B"/>
    <w:rsid w:val="00683B1B"/>
    <w:rsid w:val="00683CFF"/>
    <w:rsid w:val="00683F03"/>
    <w:rsid w:val="00683FF5"/>
    <w:rsid w:val="00683FFB"/>
    <w:rsid w:val="00684ADC"/>
    <w:rsid w:val="0068548E"/>
    <w:rsid w:val="00685556"/>
    <w:rsid w:val="006855C4"/>
    <w:rsid w:val="00685D63"/>
    <w:rsid w:val="00686054"/>
    <w:rsid w:val="006865A3"/>
    <w:rsid w:val="006869EF"/>
    <w:rsid w:val="00686CDD"/>
    <w:rsid w:val="00686FD4"/>
    <w:rsid w:val="00687204"/>
    <w:rsid w:val="0068740F"/>
    <w:rsid w:val="006876A0"/>
    <w:rsid w:val="00687E8A"/>
    <w:rsid w:val="00687EEF"/>
    <w:rsid w:val="006901BC"/>
    <w:rsid w:val="00690CBB"/>
    <w:rsid w:val="00690F01"/>
    <w:rsid w:val="00691812"/>
    <w:rsid w:val="00691EA1"/>
    <w:rsid w:val="006923D4"/>
    <w:rsid w:val="006929C6"/>
    <w:rsid w:val="00692C22"/>
    <w:rsid w:val="00693104"/>
    <w:rsid w:val="00693130"/>
    <w:rsid w:val="00693613"/>
    <w:rsid w:val="00693634"/>
    <w:rsid w:val="0069495A"/>
    <w:rsid w:val="006954D3"/>
    <w:rsid w:val="00695653"/>
    <w:rsid w:val="00695C3B"/>
    <w:rsid w:val="00695DE0"/>
    <w:rsid w:val="00696061"/>
    <w:rsid w:val="00696413"/>
    <w:rsid w:val="006967E4"/>
    <w:rsid w:val="00696AF6"/>
    <w:rsid w:val="00697403"/>
    <w:rsid w:val="00697D76"/>
    <w:rsid w:val="006A0040"/>
    <w:rsid w:val="006A00BE"/>
    <w:rsid w:val="006A0312"/>
    <w:rsid w:val="006A099C"/>
    <w:rsid w:val="006A0CE4"/>
    <w:rsid w:val="006A0E1F"/>
    <w:rsid w:val="006A0EDB"/>
    <w:rsid w:val="006A0F32"/>
    <w:rsid w:val="006A10DE"/>
    <w:rsid w:val="006A12FD"/>
    <w:rsid w:val="006A1737"/>
    <w:rsid w:val="006A1B0A"/>
    <w:rsid w:val="006A1C83"/>
    <w:rsid w:val="006A294C"/>
    <w:rsid w:val="006A2977"/>
    <w:rsid w:val="006A2B3F"/>
    <w:rsid w:val="006A3740"/>
    <w:rsid w:val="006A37E7"/>
    <w:rsid w:val="006A40DE"/>
    <w:rsid w:val="006A482D"/>
    <w:rsid w:val="006A4AE8"/>
    <w:rsid w:val="006A4EA7"/>
    <w:rsid w:val="006A4FFF"/>
    <w:rsid w:val="006A516F"/>
    <w:rsid w:val="006A5E45"/>
    <w:rsid w:val="006A633E"/>
    <w:rsid w:val="006A6448"/>
    <w:rsid w:val="006A654A"/>
    <w:rsid w:val="006A6B81"/>
    <w:rsid w:val="006A6DB4"/>
    <w:rsid w:val="006A6DF0"/>
    <w:rsid w:val="006A7087"/>
    <w:rsid w:val="006A7251"/>
    <w:rsid w:val="006A72F1"/>
    <w:rsid w:val="006A737E"/>
    <w:rsid w:val="006A742C"/>
    <w:rsid w:val="006A76DA"/>
    <w:rsid w:val="006A7754"/>
    <w:rsid w:val="006A7AC5"/>
    <w:rsid w:val="006B02B7"/>
    <w:rsid w:val="006B078C"/>
    <w:rsid w:val="006B0CD3"/>
    <w:rsid w:val="006B108E"/>
    <w:rsid w:val="006B111C"/>
    <w:rsid w:val="006B124D"/>
    <w:rsid w:val="006B1480"/>
    <w:rsid w:val="006B17E1"/>
    <w:rsid w:val="006B19C0"/>
    <w:rsid w:val="006B1B6F"/>
    <w:rsid w:val="006B2719"/>
    <w:rsid w:val="006B29F7"/>
    <w:rsid w:val="006B3752"/>
    <w:rsid w:val="006B41C3"/>
    <w:rsid w:val="006B4326"/>
    <w:rsid w:val="006B4C44"/>
    <w:rsid w:val="006B4FDA"/>
    <w:rsid w:val="006B53A2"/>
    <w:rsid w:val="006B55F0"/>
    <w:rsid w:val="006B5D00"/>
    <w:rsid w:val="006B6087"/>
    <w:rsid w:val="006B66A4"/>
    <w:rsid w:val="006B6995"/>
    <w:rsid w:val="006B6A26"/>
    <w:rsid w:val="006B6D6E"/>
    <w:rsid w:val="006B71C5"/>
    <w:rsid w:val="006B7263"/>
    <w:rsid w:val="006B72BD"/>
    <w:rsid w:val="006C054B"/>
    <w:rsid w:val="006C05ED"/>
    <w:rsid w:val="006C07E9"/>
    <w:rsid w:val="006C120C"/>
    <w:rsid w:val="006C1258"/>
    <w:rsid w:val="006C146B"/>
    <w:rsid w:val="006C274B"/>
    <w:rsid w:val="006C295B"/>
    <w:rsid w:val="006C2960"/>
    <w:rsid w:val="006C2C32"/>
    <w:rsid w:val="006C2D06"/>
    <w:rsid w:val="006C2EFB"/>
    <w:rsid w:val="006C38D5"/>
    <w:rsid w:val="006C3A9E"/>
    <w:rsid w:val="006C3C0B"/>
    <w:rsid w:val="006C3D9A"/>
    <w:rsid w:val="006C3F5E"/>
    <w:rsid w:val="006C3FF6"/>
    <w:rsid w:val="006C415A"/>
    <w:rsid w:val="006C487C"/>
    <w:rsid w:val="006C48F3"/>
    <w:rsid w:val="006C4961"/>
    <w:rsid w:val="006C4CE9"/>
    <w:rsid w:val="006C4D81"/>
    <w:rsid w:val="006C52D7"/>
    <w:rsid w:val="006C552A"/>
    <w:rsid w:val="006C6516"/>
    <w:rsid w:val="006C65D7"/>
    <w:rsid w:val="006C667C"/>
    <w:rsid w:val="006C6687"/>
    <w:rsid w:val="006C694A"/>
    <w:rsid w:val="006C69D9"/>
    <w:rsid w:val="006C6EBB"/>
    <w:rsid w:val="006C6F82"/>
    <w:rsid w:val="006C7172"/>
    <w:rsid w:val="006C74A5"/>
    <w:rsid w:val="006D0767"/>
    <w:rsid w:val="006D0856"/>
    <w:rsid w:val="006D0F63"/>
    <w:rsid w:val="006D10A8"/>
    <w:rsid w:val="006D1219"/>
    <w:rsid w:val="006D1384"/>
    <w:rsid w:val="006D14B3"/>
    <w:rsid w:val="006D1557"/>
    <w:rsid w:val="006D160B"/>
    <w:rsid w:val="006D19CF"/>
    <w:rsid w:val="006D22B4"/>
    <w:rsid w:val="006D2E91"/>
    <w:rsid w:val="006D3086"/>
    <w:rsid w:val="006D31FA"/>
    <w:rsid w:val="006D3233"/>
    <w:rsid w:val="006D3B1D"/>
    <w:rsid w:val="006D3BFE"/>
    <w:rsid w:val="006D3DD1"/>
    <w:rsid w:val="006D4D50"/>
    <w:rsid w:val="006D54B2"/>
    <w:rsid w:val="006D5839"/>
    <w:rsid w:val="006D5941"/>
    <w:rsid w:val="006D5B73"/>
    <w:rsid w:val="006D5F59"/>
    <w:rsid w:val="006D6937"/>
    <w:rsid w:val="006D69A5"/>
    <w:rsid w:val="006D6AF1"/>
    <w:rsid w:val="006D6CAD"/>
    <w:rsid w:val="006D70CB"/>
    <w:rsid w:val="006D77B2"/>
    <w:rsid w:val="006D7C18"/>
    <w:rsid w:val="006E0049"/>
    <w:rsid w:val="006E0165"/>
    <w:rsid w:val="006E12EB"/>
    <w:rsid w:val="006E1F0E"/>
    <w:rsid w:val="006E1F85"/>
    <w:rsid w:val="006E25A0"/>
    <w:rsid w:val="006E3398"/>
    <w:rsid w:val="006E36C2"/>
    <w:rsid w:val="006E37B3"/>
    <w:rsid w:val="006E3D54"/>
    <w:rsid w:val="006E3DD6"/>
    <w:rsid w:val="006E4970"/>
    <w:rsid w:val="006E49EC"/>
    <w:rsid w:val="006E4D41"/>
    <w:rsid w:val="006E522C"/>
    <w:rsid w:val="006E5589"/>
    <w:rsid w:val="006E5D02"/>
    <w:rsid w:val="006E5DE4"/>
    <w:rsid w:val="006E65BD"/>
    <w:rsid w:val="006E692D"/>
    <w:rsid w:val="006E7038"/>
    <w:rsid w:val="006E72D6"/>
    <w:rsid w:val="006E782C"/>
    <w:rsid w:val="006E7961"/>
    <w:rsid w:val="006E7CE1"/>
    <w:rsid w:val="006E7DEB"/>
    <w:rsid w:val="006F052A"/>
    <w:rsid w:val="006F0655"/>
    <w:rsid w:val="006F0E09"/>
    <w:rsid w:val="006F1128"/>
    <w:rsid w:val="006F15B8"/>
    <w:rsid w:val="006F2464"/>
    <w:rsid w:val="006F27A4"/>
    <w:rsid w:val="006F3184"/>
    <w:rsid w:val="006F3D7A"/>
    <w:rsid w:val="006F4856"/>
    <w:rsid w:val="006F4958"/>
    <w:rsid w:val="006F5337"/>
    <w:rsid w:val="006F5746"/>
    <w:rsid w:val="006F5E2D"/>
    <w:rsid w:val="006F66AE"/>
    <w:rsid w:val="006F6919"/>
    <w:rsid w:val="006F6985"/>
    <w:rsid w:val="006F69ED"/>
    <w:rsid w:val="006F730B"/>
    <w:rsid w:val="006F7649"/>
    <w:rsid w:val="00700135"/>
    <w:rsid w:val="007002A7"/>
    <w:rsid w:val="007005B6"/>
    <w:rsid w:val="00700A09"/>
    <w:rsid w:val="00700F5E"/>
    <w:rsid w:val="00701050"/>
    <w:rsid w:val="00701FFC"/>
    <w:rsid w:val="00702203"/>
    <w:rsid w:val="0070220A"/>
    <w:rsid w:val="007028D7"/>
    <w:rsid w:val="00702F23"/>
    <w:rsid w:val="00703800"/>
    <w:rsid w:val="007044F6"/>
    <w:rsid w:val="00704A96"/>
    <w:rsid w:val="00704C1A"/>
    <w:rsid w:val="007050E6"/>
    <w:rsid w:val="00705E38"/>
    <w:rsid w:val="007061C5"/>
    <w:rsid w:val="007061DF"/>
    <w:rsid w:val="0070620B"/>
    <w:rsid w:val="0070644B"/>
    <w:rsid w:val="00706A36"/>
    <w:rsid w:val="00706AFB"/>
    <w:rsid w:val="00706B39"/>
    <w:rsid w:val="00707249"/>
    <w:rsid w:val="007075A5"/>
    <w:rsid w:val="007076D2"/>
    <w:rsid w:val="007078C9"/>
    <w:rsid w:val="007104D3"/>
    <w:rsid w:val="007106CA"/>
    <w:rsid w:val="007106D5"/>
    <w:rsid w:val="00710D8C"/>
    <w:rsid w:val="0071134F"/>
    <w:rsid w:val="00711851"/>
    <w:rsid w:val="00712040"/>
    <w:rsid w:val="007121EE"/>
    <w:rsid w:val="007126A0"/>
    <w:rsid w:val="0071305A"/>
    <w:rsid w:val="007135BA"/>
    <w:rsid w:val="00713D30"/>
    <w:rsid w:val="00714A00"/>
    <w:rsid w:val="00714C6B"/>
    <w:rsid w:val="0071501A"/>
    <w:rsid w:val="00715597"/>
    <w:rsid w:val="007164D9"/>
    <w:rsid w:val="007165B6"/>
    <w:rsid w:val="0071692A"/>
    <w:rsid w:val="00716B67"/>
    <w:rsid w:val="00716C40"/>
    <w:rsid w:val="00716DCF"/>
    <w:rsid w:val="00717250"/>
    <w:rsid w:val="007173ED"/>
    <w:rsid w:val="00717A3E"/>
    <w:rsid w:val="00717C82"/>
    <w:rsid w:val="0072010A"/>
    <w:rsid w:val="00720292"/>
    <w:rsid w:val="007204D6"/>
    <w:rsid w:val="0072084F"/>
    <w:rsid w:val="00720EC9"/>
    <w:rsid w:val="007211FC"/>
    <w:rsid w:val="0072142C"/>
    <w:rsid w:val="00721A50"/>
    <w:rsid w:val="00722080"/>
    <w:rsid w:val="00722505"/>
    <w:rsid w:val="00722577"/>
    <w:rsid w:val="007225D5"/>
    <w:rsid w:val="007225D6"/>
    <w:rsid w:val="00722618"/>
    <w:rsid w:val="00722C94"/>
    <w:rsid w:val="00723023"/>
    <w:rsid w:val="00723819"/>
    <w:rsid w:val="00723B45"/>
    <w:rsid w:val="00723E1F"/>
    <w:rsid w:val="00723F6B"/>
    <w:rsid w:val="00724669"/>
    <w:rsid w:val="007247D3"/>
    <w:rsid w:val="00724A88"/>
    <w:rsid w:val="00724CA1"/>
    <w:rsid w:val="00724CE4"/>
    <w:rsid w:val="00724E6C"/>
    <w:rsid w:val="0072525F"/>
    <w:rsid w:val="0072526F"/>
    <w:rsid w:val="007253BB"/>
    <w:rsid w:val="00725722"/>
    <w:rsid w:val="00725864"/>
    <w:rsid w:val="00725B1A"/>
    <w:rsid w:val="00725C35"/>
    <w:rsid w:val="007269A6"/>
    <w:rsid w:val="007270D2"/>
    <w:rsid w:val="007271E2"/>
    <w:rsid w:val="00727729"/>
    <w:rsid w:val="00727A97"/>
    <w:rsid w:val="00727BC8"/>
    <w:rsid w:val="00727DC5"/>
    <w:rsid w:val="00727ED8"/>
    <w:rsid w:val="007303EF"/>
    <w:rsid w:val="00730693"/>
    <w:rsid w:val="00730D80"/>
    <w:rsid w:val="0073154E"/>
    <w:rsid w:val="00731AAB"/>
    <w:rsid w:val="0073233E"/>
    <w:rsid w:val="0073294A"/>
    <w:rsid w:val="00732952"/>
    <w:rsid w:val="00732961"/>
    <w:rsid w:val="00732F00"/>
    <w:rsid w:val="00733102"/>
    <w:rsid w:val="00733200"/>
    <w:rsid w:val="007333C5"/>
    <w:rsid w:val="007336C4"/>
    <w:rsid w:val="007336DC"/>
    <w:rsid w:val="00734005"/>
    <w:rsid w:val="007340C4"/>
    <w:rsid w:val="007344FC"/>
    <w:rsid w:val="0073489B"/>
    <w:rsid w:val="007349EA"/>
    <w:rsid w:val="00734F94"/>
    <w:rsid w:val="007350E8"/>
    <w:rsid w:val="007354DF"/>
    <w:rsid w:val="00735929"/>
    <w:rsid w:val="00735962"/>
    <w:rsid w:val="0073648E"/>
    <w:rsid w:val="00736884"/>
    <w:rsid w:val="00736F2C"/>
    <w:rsid w:val="00736F7D"/>
    <w:rsid w:val="0073703A"/>
    <w:rsid w:val="0073719C"/>
    <w:rsid w:val="00737C43"/>
    <w:rsid w:val="007406CE"/>
    <w:rsid w:val="00740CA0"/>
    <w:rsid w:val="00741003"/>
    <w:rsid w:val="007410EF"/>
    <w:rsid w:val="007414C7"/>
    <w:rsid w:val="00742059"/>
    <w:rsid w:val="00742274"/>
    <w:rsid w:val="00742E7D"/>
    <w:rsid w:val="00742F9D"/>
    <w:rsid w:val="0074301E"/>
    <w:rsid w:val="00743764"/>
    <w:rsid w:val="007439CB"/>
    <w:rsid w:val="00743D8C"/>
    <w:rsid w:val="00743DE5"/>
    <w:rsid w:val="00743F00"/>
    <w:rsid w:val="00743F6E"/>
    <w:rsid w:val="0074438D"/>
    <w:rsid w:val="00744E38"/>
    <w:rsid w:val="00745019"/>
    <w:rsid w:val="00745094"/>
    <w:rsid w:val="00745233"/>
    <w:rsid w:val="00745528"/>
    <w:rsid w:val="007457FA"/>
    <w:rsid w:val="00745B11"/>
    <w:rsid w:val="00745BC4"/>
    <w:rsid w:val="00745BD7"/>
    <w:rsid w:val="007460FB"/>
    <w:rsid w:val="0074642E"/>
    <w:rsid w:val="00746A07"/>
    <w:rsid w:val="00746FB0"/>
    <w:rsid w:val="007475F5"/>
    <w:rsid w:val="007478CE"/>
    <w:rsid w:val="00747D46"/>
    <w:rsid w:val="00747FBA"/>
    <w:rsid w:val="00750284"/>
    <w:rsid w:val="00750AE9"/>
    <w:rsid w:val="007511BC"/>
    <w:rsid w:val="0075132D"/>
    <w:rsid w:val="0075141D"/>
    <w:rsid w:val="007519BB"/>
    <w:rsid w:val="0075211A"/>
    <w:rsid w:val="00752799"/>
    <w:rsid w:val="00752940"/>
    <w:rsid w:val="00752A33"/>
    <w:rsid w:val="00753128"/>
    <w:rsid w:val="007533D7"/>
    <w:rsid w:val="007534A2"/>
    <w:rsid w:val="007534AA"/>
    <w:rsid w:val="007534F0"/>
    <w:rsid w:val="00754597"/>
    <w:rsid w:val="00754AE4"/>
    <w:rsid w:val="00755450"/>
    <w:rsid w:val="00755726"/>
    <w:rsid w:val="0075580D"/>
    <w:rsid w:val="00755B29"/>
    <w:rsid w:val="007560D0"/>
    <w:rsid w:val="00756107"/>
    <w:rsid w:val="00756191"/>
    <w:rsid w:val="00756195"/>
    <w:rsid w:val="00756251"/>
    <w:rsid w:val="00757B40"/>
    <w:rsid w:val="00757C47"/>
    <w:rsid w:val="00757EB3"/>
    <w:rsid w:val="00757EFF"/>
    <w:rsid w:val="00760589"/>
    <w:rsid w:val="00760884"/>
    <w:rsid w:val="00760EAE"/>
    <w:rsid w:val="007611A3"/>
    <w:rsid w:val="0076133A"/>
    <w:rsid w:val="00761B8E"/>
    <w:rsid w:val="00761CDF"/>
    <w:rsid w:val="00762431"/>
    <w:rsid w:val="007627DB"/>
    <w:rsid w:val="0076285E"/>
    <w:rsid w:val="00762931"/>
    <w:rsid w:val="00762AD5"/>
    <w:rsid w:val="00763369"/>
    <w:rsid w:val="00763390"/>
    <w:rsid w:val="00763455"/>
    <w:rsid w:val="00763462"/>
    <w:rsid w:val="00763CBB"/>
    <w:rsid w:val="007643E3"/>
    <w:rsid w:val="00764784"/>
    <w:rsid w:val="007648E4"/>
    <w:rsid w:val="007651F5"/>
    <w:rsid w:val="0076569A"/>
    <w:rsid w:val="00765B15"/>
    <w:rsid w:val="00765BFA"/>
    <w:rsid w:val="00765E06"/>
    <w:rsid w:val="00765EAC"/>
    <w:rsid w:val="00765F2F"/>
    <w:rsid w:val="00765F65"/>
    <w:rsid w:val="00766054"/>
    <w:rsid w:val="00766937"/>
    <w:rsid w:val="00766DF1"/>
    <w:rsid w:val="0076748C"/>
    <w:rsid w:val="00767991"/>
    <w:rsid w:val="00770387"/>
    <w:rsid w:val="007705A0"/>
    <w:rsid w:val="00770A1A"/>
    <w:rsid w:val="00771177"/>
    <w:rsid w:val="007716F5"/>
    <w:rsid w:val="00771CA3"/>
    <w:rsid w:val="0077243B"/>
    <w:rsid w:val="00772459"/>
    <w:rsid w:val="00772751"/>
    <w:rsid w:val="00772B15"/>
    <w:rsid w:val="007730F5"/>
    <w:rsid w:val="0077325B"/>
    <w:rsid w:val="0077346C"/>
    <w:rsid w:val="00773ED4"/>
    <w:rsid w:val="00774648"/>
    <w:rsid w:val="007746C6"/>
    <w:rsid w:val="0077557E"/>
    <w:rsid w:val="0077559F"/>
    <w:rsid w:val="00775795"/>
    <w:rsid w:val="007758B5"/>
    <w:rsid w:val="0077701D"/>
    <w:rsid w:val="00777211"/>
    <w:rsid w:val="0077795C"/>
    <w:rsid w:val="00777A43"/>
    <w:rsid w:val="00777CCE"/>
    <w:rsid w:val="00777DF6"/>
    <w:rsid w:val="0078074A"/>
    <w:rsid w:val="00780A92"/>
    <w:rsid w:val="0078151C"/>
    <w:rsid w:val="00781584"/>
    <w:rsid w:val="0078210E"/>
    <w:rsid w:val="0078223E"/>
    <w:rsid w:val="0078228C"/>
    <w:rsid w:val="007825C7"/>
    <w:rsid w:val="007827EA"/>
    <w:rsid w:val="0078282B"/>
    <w:rsid w:val="00782927"/>
    <w:rsid w:val="00782C8B"/>
    <w:rsid w:val="007834B3"/>
    <w:rsid w:val="00783A91"/>
    <w:rsid w:val="007841EE"/>
    <w:rsid w:val="007844AD"/>
    <w:rsid w:val="007846D2"/>
    <w:rsid w:val="00784BE1"/>
    <w:rsid w:val="00785749"/>
    <w:rsid w:val="007859B0"/>
    <w:rsid w:val="00785B9F"/>
    <w:rsid w:val="00785D60"/>
    <w:rsid w:val="00785FE9"/>
    <w:rsid w:val="007863A2"/>
    <w:rsid w:val="0078667C"/>
    <w:rsid w:val="00786DE5"/>
    <w:rsid w:val="00787310"/>
    <w:rsid w:val="00787425"/>
    <w:rsid w:val="00787518"/>
    <w:rsid w:val="007875FC"/>
    <w:rsid w:val="00787883"/>
    <w:rsid w:val="00787A8B"/>
    <w:rsid w:val="00787F63"/>
    <w:rsid w:val="007905F9"/>
    <w:rsid w:val="00790CAC"/>
    <w:rsid w:val="00790E2F"/>
    <w:rsid w:val="007910F2"/>
    <w:rsid w:val="007918EB"/>
    <w:rsid w:val="00791E29"/>
    <w:rsid w:val="0079268E"/>
    <w:rsid w:val="007928B4"/>
    <w:rsid w:val="00792BB0"/>
    <w:rsid w:val="00792E10"/>
    <w:rsid w:val="007933D8"/>
    <w:rsid w:val="0079368F"/>
    <w:rsid w:val="007937EB"/>
    <w:rsid w:val="00793C77"/>
    <w:rsid w:val="00793EAD"/>
    <w:rsid w:val="007943C7"/>
    <w:rsid w:val="0079477A"/>
    <w:rsid w:val="00794ABA"/>
    <w:rsid w:val="00794C1B"/>
    <w:rsid w:val="0079571C"/>
    <w:rsid w:val="007959FE"/>
    <w:rsid w:val="00795E9F"/>
    <w:rsid w:val="007962AD"/>
    <w:rsid w:val="00796364"/>
    <w:rsid w:val="00796805"/>
    <w:rsid w:val="00796DA4"/>
    <w:rsid w:val="00796F0C"/>
    <w:rsid w:val="007978C9"/>
    <w:rsid w:val="007978FE"/>
    <w:rsid w:val="00797923"/>
    <w:rsid w:val="00797C43"/>
    <w:rsid w:val="007A08F1"/>
    <w:rsid w:val="007A0B81"/>
    <w:rsid w:val="007A0CE7"/>
    <w:rsid w:val="007A12A4"/>
    <w:rsid w:val="007A22C4"/>
    <w:rsid w:val="007A2435"/>
    <w:rsid w:val="007A2AC2"/>
    <w:rsid w:val="007A2BD4"/>
    <w:rsid w:val="007A2FB7"/>
    <w:rsid w:val="007A37EA"/>
    <w:rsid w:val="007A391A"/>
    <w:rsid w:val="007A3E90"/>
    <w:rsid w:val="007A3FC3"/>
    <w:rsid w:val="007A4C68"/>
    <w:rsid w:val="007A50AC"/>
    <w:rsid w:val="007A5224"/>
    <w:rsid w:val="007A533E"/>
    <w:rsid w:val="007A5533"/>
    <w:rsid w:val="007A5CB5"/>
    <w:rsid w:val="007A6318"/>
    <w:rsid w:val="007A6421"/>
    <w:rsid w:val="007A72F3"/>
    <w:rsid w:val="007A7897"/>
    <w:rsid w:val="007A79D6"/>
    <w:rsid w:val="007A7BB9"/>
    <w:rsid w:val="007A7F81"/>
    <w:rsid w:val="007A7F84"/>
    <w:rsid w:val="007A7FB1"/>
    <w:rsid w:val="007A7FD9"/>
    <w:rsid w:val="007B03FB"/>
    <w:rsid w:val="007B07DB"/>
    <w:rsid w:val="007B0CF0"/>
    <w:rsid w:val="007B1CD2"/>
    <w:rsid w:val="007B1D35"/>
    <w:rsid w:val="007B244A"/>
    <w:rsid w:val="007B339A"/>
    <w:rsid w:val="007B3C62"/>
    <w:rsid w:val="007B42B9"/>
    <w:rsid w:val="007B43DE"/>
    <w:rsid w:val="007B46D8"/>
    <w:rsid w:val="007B52B5"/>
    <w:rsid w:val="007B52C0"/>
    <w:rsid w:val="007B5E8D"/>
    <w:rsid w:val="007B5FAD"/>
    <w:rsid w:val="007B7011"/>
    <w:rsid w:val="007B71D0"/>
    <w:rsid w:val="007B71F5"/>
    <w:rsid w:val="007B74A8"/>
    <w:rsid w:val="007B76FC"/>
    <w:rsid w:val="007B7852"/>
    <w:rsid w:val="007C015B"/>
    <w:rsid w:val="007C016B"/>
    <w:rsid w:val="007C026A"/>
    <w:rsid w:val="007C0306"/>
    <w:rsid w:val="007C0434"/>
    <w:rsid w:val="007C0D69"/>
    <w:rsid w:val="007C0DC1"/>
    <w:rsid w:val="007C17FD"/>
    <w:rsid w:val="007C18FD"/>
    <w:rsid w:val="007C2003"/>
    <w:rsid w:val="007C2836"/>
    <w:rsid w:val="007C2950"/>
    <w:rsid w:val="007C2C40"/>
    <w:rsid w:val="007C2F11"/>
    <w:rsid w:val="007C3779"/>
    <w:rsid w:val="007C3A5A"/>
    <w:rsid w:val="007C3A87"/>
    <w:rsid w:val="007C43C5"/>
    <w:rsid w:val="007C448E"/>
    <w:rsid w:val="007C46F0"/>
    <w:rsid w:val="007C49C5"/>
    <w:rsid w:val="007C4F6D"/>
    <w:rsid w:val="007C57DC"/>
    <w:rsid w:val="007C5905"/>
    <w:rsid w:val="007C5E36"/>
    <w:rsid w:val="007C6F22"/>
    <w:rsid w:val="007C744E"/>
    <w:rsid w:val="007C7455"/>
    <w:rsid w:val="007C7515"/>
    <w:rsid w:val="007C7A16"/>
    <w:rsid w:val="007C7D68"/>
    <w:rsid w:val="007D04CF"/>
    <w:rsid w:val="007D0C2F"/>
    <w:rsid w:val="007D0D01"/>
    <w:rsid w:val="007D1295"/>
    <w:rsid w:val="007D1934"/>
    <w:rsid w:val="007D1D44"/>
    <w:rsid w:val="007D1EF0"/>
    <w:rsid w:val="007D2220"/>
    <w:rsid w:val="007D2460"/>
    <w:rsid w:val="007D24DC"/>
    <w:rsid w:val="007D3948"/>
    <w:rsid w:val="007D3B70"/>
    <w:rsid w:val="007D3D16"/>
    <w:rsid w:val="007D4AF0"/>
    <w:rsid w:val="007D527D"/>
    <w:rsid w:val="007D5587"/>
    <w:rsid w:val="007D580D"/>
    <w:rsid w:val="007D5D26"/>
    <w:rsid w:val="007D5FA8"/>
    <w:rsid w:val="007D6084"/>
    <w:rsid w:val="007D60C5"/>
    <w:rsid w:val="007D61BF"/>
    <w:rsid w:val="007D6694"/>
    <w:rsid w:val="007D6728"/>
    <w:rsid w:val="007D67B8"/>
    <w:rsid w:val="007D6940"/>
    <w:rsid w:val="007D7085"/>
    <w:rsid w:val="007D7A52"/>
    <w:rsid w:val="007E07E4"/>
    <w:rsid w:val="007E081B"/>
    <w:rsid w:val="007E0C09"/>
    <w:rsid w:val="007E0C54"/>
    <w:rsid w:val="007E0E19"/>
    <w:rsid w:val="007E113E"/>
    <w:rsid w:val="007E1217"/>
    <w:rsid w:val="007E1338"/>
    <w:rsid w:val="007E199C"/>
    <w:rsid w:val="007E19C2"/>
    <w:rsid w:val="007E1D61"/>
    <w:rsid w:val="007E2422"/>
    <w:rsid w:val="007E27C0"/>
    <w:rsid w:val="007E287D"/>
    <w:rsid w:val="007E2FDC"/>
    <w:rsid w:val="007E306E"/>
    <w:rsid w:val="007E3378"/>
    <w:rsid w:val="007E34FA"/>
    <w:rsid w:val="007E3618"/>
    <w:rsid w:val="007E38FA"/>
    <w:rsid w:val="007E3FC7"/>
    <w:rsid w:val="007E47B3"/>
    <w:rsid w:val="007E4B5D"/>
    <w:rsid w:val="007E4EFD"/>
    <w:rsid w:val="007E5100"/>
    <w:rsid w:val="007E5987"/>
    <w:rsid w:val="007E5E19"/>
    <w:rsid w:val="007E5FBF"/>
    <w:rsid w:val="007E65E4"/>
    <w:rsid w:val="007E728A"/>
    <w:rsid w:val="007E79E2"/>
    <w:rsid w:val="007E7CDF"/>
    <w:rsid w:val="007E7F7A"/>
    <w:rsid w:val="007F0504"/>
    <w:rsid w:val="007F080C"/>
    <w:rsid w:val="007F13B5"/>
    <w:rsid w:val="007F13BC"/>
    <w:rsid w:val="007F15C2"/>
    <w:rsid w:val="007F1969"/>
    <w:rsid w:val="007F1CD1"/>
    <w:rsid w:val="007F25A8"/>
    <w:rsid w:val="007F3776"/>
    <w:rsid w:val="007F3BBC"/>
    <w:rsid w:val="007F3E78"/>
    <w:rsid w:val="007F43A9"/>
    <w:rsid w:val="007F49ED"/>
    <w:rsid w:val="007F516E"/>
    <w:rsid w:val="007F5244"/>
    <w:rsid w:val="007F5F2F"/>
    <w:rsid w:val="007F6232"/>
    <w:rsid w:val="007F7386"/>
    <w:rsid w:val="007F7B7E"/>
    <w:rsid w:val="008003BB"/>
    <w:rsid w:val="00800D9E"/>
    <w:rsid w:val="00801902"/>
    <w:rsid w:val="00802155"/>
    <w:rsid w:val="008022EB"/>
    <w:rsid w:val="008022F0"/>
    <w:rsid w:val="008039C1"/>
    <w:rsid w:val="008039F6"/>
    <w:rsid w:val="00803B8B"/>
    <w:rsid w:val="00804002"/>
    <w:rsid w:val="008040D5"/>
    <w:rsid w:val="0080452D"/>
    <w:rsid w:val="0080489E"/>
    <w:rsid w:val="00804EBF"/>
    <w:rsid w:val="008050E9"/>
    <w:rsid w:val="0080547D"/>
    <w:rsid w:val="00805517"/>
    <w:rsid w:val="00805B41"/>
    <w:rsid w:val="00805FAA"/>
    <w:rsid w:val="008067FF"/>
    <w:rsid w:val="00806897"/>
    <w:rsid w:val="00806B15"/>
    <w:rsid w:val="00806BCF"/>
    <w:rsid w:val="0080706D"/>
    <w:rsid w:val="00807415"/>
    <w:rsid w:val="0080788D"/>
    <w:rsid w:val="008078D7"/>
    <w:rsid w:val="00807BA5"/>
    <w:rsid w:val="00807DCD"/>
    <w:rsid w:val="008102DA"/>
    <w:rsid w:val="008109A2"/>
    <w:rsid w:val="0081125F"/>
    <w:rsid w:val="00811712"/>
    <w:rsid w:val="0081238D"/>
    <w:rsid w:val="0081251C"/>
    <w:rsid w:val="00812741"/>
    <w:rsid w:val="008128C8"/>
    <w:rsid w:val="00812A03"/>
    <w:rsid w:val="0081326E"/>
    <w:rsid w:val="00813367"/>
    <w:rsid w:val="0081352D"/>
    <w:rsid w:val="00814514"/>
    <w:rsid w:val="00814DD7"/>
    <w:rsid w:val="00815FDC"/>
    <w:rsid w:val="008160CE"/>
    <w:rsid w:val="008161B8"/>
    <w:rsid w:val="008171BA"/>
    <w:rsid w:val="008174E5"/>
    <w:rsid w:val="00817738"/>
    <w:rsid w:val="008179D0"/>
    <w:rsid w:val="00817E7E"/>
    <w:rsid w:val="00820353"/>
    <w:rsid w:val="008203AC"/>
    <w:rsid w:val="008208C4"/>
    <w:rsid w:val="00821018"/>
    <w:rsid w:val="0082112F"/>
    <w:rsid w:val="00821A6F"/>
    <w:rsid w:val="00821BC6"/>
    <w:rsid w:val="008232CA"/>
    <w:rsid w:val="00823629"/>
    <w:rsid w:val="0082397E"/>
    <w:rsid w:val="00823F4E"/>
    <w:rsid w:val="0082401A"/>
    <w:rsid w:val="008242C2"/>
    <w:rsid w:val="008246C4"/>
    <w:rsid w:val="00824B5A"/>
    <w:rsid w:val="00825A71"/>
    <w:rsid w:val="00825B67"/>
    <w:rsid w:val="00825C56"/>
    <w:rsid w:val="00826021"/>
    <w:rsid w:val="008261C2"/>
    <w:rsid w:val="008262DE"/>
    <w:rsid w:val="008266DA"/>
    <w:rsid w:val="008268E2"/>
    <w:rsid w:val="00826A63"/>
    <w:rsid w:val="00826BD7"/>
    <w:rsid w:val="0082704A"/>
    <w:rsid w:val="00827407"/>
    <w:rsid w:val="00827E17"/>
    <w:rsid w:val="00827F3C"/>
    <w:rsid w:val="0083017F"/>
    <w:rsid w:val="008301B4"/>
    <w:rsid w:val="008305F9"/>
    <w:rsid w:val="00831A3D"/>
    <w:rsid w:val="00831BD6"/>
    <w:rsid w:val="008325F9"/>
    <w:rsid w:val="008330F9"/>
    <w:rsid w:val="0083336A"/>
    <w:rsid w:val="008337A7"/>
    <w:rsid w:val="0083410C"/>
    <w:rsid w:val="0083416F"/>
    <w:rsid w:val="00834182"/>
    <w:rsid w:val="0083463E"/>
    <w:rsid w:val="00834671"/>
    <w:rsid w:val="00834A58"/>
    <w:rsid w:val="00834AB9"/>
    <w:rsid w:val="00834C83"/>
    <w:rsid w:val="00834CBB"/>
    <w:rsid w:val="00835C0A"/>
    <w:rsid w:val="0083649A"/>
    <w:rsid w:val="0083685F"/>
    <w:rsid w:val="008371DE"/>
    <w:rsid w:val="0083721A"/>
    <w:rsid w:val="00837423"/>
    <w:rsid w:val="00837454"/>
    <w:rsid w:val="008376F1"/>
    <w:rsid w:val="00837759"/>
    <w:rsid w:val="008377F6"/>
    <w:rsid w:val="00837831"/>
    <w:rsid w:val="00837BFC"/>
    <w:rsid w:val="00840352"/>
    <w:rsid w:val="008407DB"/>
    <w:rsid w:val="00840D8A"/>
    <w:rsid w:val="0084161A"/>
    <w:rsid w:val="008419E1"/>
    <w:rsid w:val="0084200B"/>
    <w:rsid w:val="0084220B"/>
    <w:rsid w:val="0084227E"/>
    <w:rsid w:val="008428BB"/>
    <w:rsid w:val="008429F8"/>
    <w:rsid w:val="00842F1C"/>
    <w:rsid w:val="00842F37"/>
    <w:rsid w:val="00843975"/>
    <w:rsid w:val="00843C2E"/>
    <w:rsid w:val="00843C5A"/>
    <w:rsid w:val="00843CFF"/>
    <w:rsid w:val="00843D03"/>
    <w:rsid w:val="00844568"/>
    <w:rsid w:val="008447D0"/>
    <w:rsid w:val="00844820"/>
    <w:rsid w:val="00845742"/>
    <w:rsid w:val="00845BF0"/>
    <w:rsid w:val="00845E86"/>
    <w:rsid w:val="00847138"/>
    <w:rsid w:val="00847B4F"/>
    <w:rsid w:val="00847C46"/>
    <w:rsid w:val="00847C9C"/>
    <w:rsid w:val="008509A2"/>
    <w:rsid w:val="00850FE5"/>
    <w:rsid w:val="0085116D"/>
    <w:rsid w:val="00851278"/>
    <w:rsid w:val="00851932"/>
    <w:rsid w:val="00851B89"/>
    <w:rsid w:val="00851FCE"/>
    <w:rsid w:val="00852315"/>
    <w:rsid w:val="0085301F"/>
    <w:rsid w:val="0085309D"/>
    <w:rsid w:val="008534B9"/>
    <w:rsid w:val="00853711"/>
    <w:rsid w:val="0085374E"/>
    <w:rsid w:val="00853773"/>
    <w:rsid w:val="00853B9D"/>
    <w:rsid w:val="00853ED1"/>
    <w:rsid w:val="00854979"/>
    <w:rsid w:val="00854B0B"/>
    <w:rsid w:val="00854BB2"/>
    <w:rsid w:val="00854CB5"/>
    <w:rsid w:val="00854D51"/>
    <w:rsid w:val="00854F23"/>
    <w:rsid w:val="008550B1"/>
    <w:rsid w:val="00855171"/>
    <w:rsid w:val="00855394"/>
    <w:rsid w:val="00855779"/>
    <w:rsid w:val="0085595F"/>
    <w:rsid w:val="00856A42"/>
    <w:rsid w:val="00856DC5"/>
    <w:rsid w:val="008570E0"/>
    <w:rsid w:val="0086054C"/>
    <w:rsid w:val="00860977"/>
    <w:rsid w:val="00860CC1"/>
    <w:rsid w:val="00860FDA"/>
    <w:rsid w:val="008612A0"/>
    <w:rsid w:val="0086156E"/>
    <w:rsid w:val="00861820"/>
    <w:rsid w:val="00861BB3"/>
    <w:rsid w:val="0086219B"/>
    <w:rsid w:val="00862610"/>
    <w:rsid w:val="00862C49"/>
    <w:rsid w:val="008631DB"/>
    <w:rsid w:val="00863B29"/>
    <w:rsid w:val="00863CCE"/>
    <w:rsid w:val="00863D38"/>
    <w:rsid w:val="008645CB"/>
    <w:rsid w:val="00864C01"/>
    <w:rsid w:val="00864C0F"/>
    <w:rsid w:val="00864D9E"/>
    <w:rsid w:val="00864E12"/>
    <w:rsid w:val="00864F27"/>
    <w:rsid w:val="00865AFD"/>
    <w:rsid w:val="00865C8B"/>
    <w:rsid w:val="0086601C"/>
    <w:rsid w:val="00866473"/>
    <w:rsid w:val="0086677C"/>
    <w:rsid w:val="00866AED"/>
    <w:rsid w:val="00866F5E"/>
    <w:rsid w:val="00867387"/>
    <w:rsid w:val="008678EE"/>
    <w:rsid w:val="00867FD4"/>
    <w:rsid w:val="0087051A"/>
    <w:rsid w:val="00870BA2"/>
    <w:rsid w:val="00870BAE"/>
    <w:rsid w:val="00870FF5"/>
    <w:rsid w:val="0087154C"/>
    <w:rsid w:val="0087155D"/>
    <w:rsid w:val="0087184A"/>
    <w:rsid w:val="008718AB"/>
    <w:rsid w:val="00871E96"/>
    <w:rsid w:val="008721C5"/>
    <w:rsid w:val="008723F1"/>
    <w:rsid w:val="00872537"/>
    <w:rsid w:val="00873193"/>
    <w:rsid w:val="0087345F"/>
    <w:rsid w:val="00873FD2"/>
    <w:rsid w:val="00874286"/>
    <w:rsid w:val="00874593"/>
    <w:rsid w:val="0087467E"/>
    <w:rsid w:val="008747CE"/>
    <w:rsid w:val="008748E5"/>
    <w:rsid w:val="00874E62"/>
    <w:rsid w:val="00874EA9"/>
    <w:rsid w:val="00875B8D"/>
    <w:rsid w:val="008764C4"/>
    <w:rsid w:val="00876576"/>
    <w:rsid w:val="008765A9"/>
    <w:rsid w:val="008769AC"/>
    <w:rsid w:val="00876EFF"/>
    <w:rsid w:val="008773DD"/>
    <w:rsid w:val="008776FF"/>
    <w:rsid w:val="0088014A"/>
    <w:rsid w:val="00880557"/>
    <w:rsid w:val="00880592"/>
    <w:rsid w:val="00880DFD"/>
    <w:rsid w:val="00881584"/>
    <w:rsid w:val="00881974"/>
    <w:rsid w:val="00881BE1"/>
    <w:rsid w:val="00882710"/>
    <w:rsid w:val="00882C4C"/>
    <w:rsid w:val="008838DA"/>
    <w:rsid w:val="00883E46"/>
    <w:rsid w:val="00883FF3"/>
    <w:rsid w:val="008841FF"/>
    <w:rsid w:val="008849DF"/>
    <w:rsid w:val="00884E47"/>
    <w:rsid w:val="0088563C"/>
    <w:rsid w:val="00885AC2"/>
    <w:rsid w:val="0088607E"/>
    <w:rsid w:val="00886585"/>
    <w:rsid w:val="0088664D"/>
    <w:rsid w:val="008866E2"/>
    <w:rsid w:val="00886DED"/>
    <w:rsid w:val="00886F99"/>
    <w:rsid w:val="00887372"/>
    <w:rsid w:val="00887383"/>
    <w:rsid w:val="00887714"/>
    <w:rsid w:val="00887AA9"/>
    <w:rsid w:val="00887D76"/>
    <w:rsid w:val="00887FC4"/>
    <w:rsid w:val="00890448"/>
    <w:rsid w:val="00890826"/>
    <w:rsid w:val="00890AEE"/>
    <w:rsid w:val="00890B31"/>
    <w:rsid w:val="00890D89"/>
    <w:rsid w:val="00891003"/>
    <w:rsid w:val="00891582"/>
    <w:rsid w:val="00891682"/>
    <w:rsid w:val="00891B29"/>
    <w:rsid w:val="00891B4F"/>
    <w:rsid w:val="00891D85"/>
    <w:rsid w:val="00891E72"/>
    <w:rsid w:val="0089222E"/>
    <w:rsid w:val="008929BB"/>
    <w:rsid w:val="00892BD7"/>
    <w:rsid w:val="00892E8C"/>
    <w:rsid w:val="008939F1"/>
    <w:rsid w:val="00893F33"/>
    <w:rsid w:val="00893F5B"/>
    <w:rsid w:val="0089458E"/>
    <w:rsid w:val="00895313"/>
    <w:rsid w:val="008966DD"/>
    <w:rsid w:val="00896D36"/>
    <w:rsid w:val="00896E8B"/>
    <w:rsid w:val="008978FC"/>
    <w:rsid w:val="00897E80"/>
    <w:rsid w:val="00897FD0"/>
    <w:rsid w:val="008A0516"/>
    <w:rsid w:val="008A0E3B"/>
    <w:rsid w:val="008A1D62"/>
    <w:rsid w:val="008A1DE6"/>
    <w:rsid w:val="008A2422"/>
    <w:rsid w:val="008A2C0F"/>
    <w:rsid w:val="008A2C4F"/>
    <w:rsid w:val="008A2C73"/>
    <w:rsid w:val="008A2E3C"/>
    <w:rsid w:val="008A33EC"/>
    <w:rsid w:val="008A395E"/>
    <w:rsid w:val="008A3CE0"/>
    <w:rsid w:val="008A41EE"/>
    <w:rsid w:val="008A43C9"/>
    <w:rsid w:val="008A43E5"/>
    <w:rsid w:val="008A4579"/>
    <w:rsid w:val="008A45A3"/>
    <w:rsid w:val="008A4F7B"/>
    <w:rsid w:val="008A52D6"/>
    <w:rsid w:val="008A544E"/>
    <w:rsid w:val="008A5AF9"/>
    <w:rsid w:val="008A5DCB"/>
    <w:rsid w:val="008A5DE0"/>
    <w:rsid w:val="008A6B37"/>
    <w:rsid w:val="008A6CB0"/>
    <w:rsid w:val="008A6FDC"/>
    <w:rsid w:val="008A75C7"/>
    <w:rsid w:val="008A7811"/>
    <w:rsid w:val="008A7B79"/>
    <w:rsid w:val="008B0258"/>
    <w:rsid w:val="008B0317"/>
    <w:rsid w:val="008B040C"/>
    <w:rsid w:val="008B044A"/>
    <w:rsid w:val="008B04F2"/>
    <w:rsid w:val="008B10BD"/>
    <w:rsid w:val="008B11A0"/>
    <w:rsid w:val="008B12D6"/>
    <w:rsid w:val="008B1778"/>
    <w:rsid w:val="008B2355"/>
    <w:rsid w:val="008B249C"/>
    <w:rsid w:val="008B2DE8"/>
    <w:rsid w:val="008B2E8E"/>
    <w:rsid w:val="008B315D"/>
    <w:rsid w:val="008B34D5"/>
    <w:rsid w:val="008B3AA1"/>
    <w:rsid w:val="008B3FBB"/>
    <w:rsid w:val="008B4D87"/>
    <w:rsid w:val="008B5321"/>
    <w:rsid w:val="008B58FA"/>
    <w:rsid w:val="008B5DCC"/>
    <w:rsid w:val="008B5F88"/>
    <w:rsid w:val="008B6217"/>
    <w:rsid w:val="008B6241"/>
    <w:rsid w:val="008B67CB"/>
    <w:rsid w:val="008B7419"/>
    <w:rsid w:val="008B78E9"/>
    <w:rsid w:val="008B7F15"/>
    <w:rsid w:val="008C0456"/>
    <w:rsid w:val="008C08A8"/>
    <w:rsid w:val="008C0A46"/>
    <w:rsid w:val="008C0C1E"/>
    <w:rsid w:val="008C0F60"/>
    <w:rsid w:val="008C189F"/>
    <w:rsid w:val="008C18B9"/>
    <w:rsid w:val="008C1904"/>
    <w:rsid w:val="008C1AA4"/>
    <w:rsid w:val="008C1BED"/>
    <w:rsid w:val="008C1C9A"/>
    <w:rsid w:val="008C26E4"/>
    <w:rsid w:val="008C3766"/>
    <w:rsid w:val="008C3D36"/>
    <w:rsid w:val="008C3F7E"/>
    <w:rsid w:val="008C44E1"/>
    <w:rsid w:val="008C4D49"/>
    <w:rsid w:val="008C501A"/>
    <w:rsid w:val="008C55A1"/>
    <w:rsid w:val="008C6077"/>
    <w:rsid w:val="008C66D3"/>
    <w:rsid w:val="008C76F4"/>
    <w:rsid w:val="008D027D"/>
    <w:rsid w:val="008D041F"/>
    <w:rsid w:val="008D0454"/>
    <w:rsid w:val="008D0C39"/>
    <w:rsid w:val="008D0E9A"/>
    <w:rsid w:val="008D0FC1"/>
    <w:rsid w:val="008D1311"/>
    <w:rsid w:val="008D216C"/>
    <w:rsid w:val="008D21D9"/>
    <w:rsid w:val="008D2463"/>
    <w:rsid w:val="008D2F22"/>
    <w:rsid w:val="008D32B4"/>
    <w:rsid w:val="008D38BF"/>
    <w:rsid w:val="008D3AC2"/>
    <w:rsid w:val="008D434C"/>
    <w:rsid w:val="008D44FC"/>
    <w:rsid w:val="008D44FD"/>
    <w:rsid w:val="008D4737"/>
    <w:rsid w:val="008D50A6"/>
    <w:rsid w:val="008D534A"/>
    <w:rsid w:val="008D557C"/>
    <w:rsid w:val="008D5593"/>
    <w:rsid w:val="008D58B9"/>
    <w:rsid w:val="008D612D"/>
    <w:rsid w:val="008D65B6"/>
    <w:rsid w:val="008D65D9"/>
    <w:rsid w:val="008D68B2"/>
    <w:rsid w:val="008D6A0B"/>
    <w:rsid w:val="008D74C7"/>
    <w:rsid w:val="008D7801"/>
    <w:rsid w:val="008D7823"/>
    <w:rsid w:val="008D7D57"/>
    <w:rsid w:val="008E0E40"/>
    <w:rsid w:val="008E123E"/>
    <w:rsid w:val="008E13A0"/>
    <w:rsid w:val="008E1A30"/>
    <w:rsid w:val="008E1ECC"/>
    <w:rsid w:val="008E256D"/>
    <w:rsid w:val="008E258A"/>
    <w:rsid w:val="008E2A17"/>
    <w:rsid w:val="008E2B72"/>
    <w:rsid w:val="008E2F39"/>
    <w:rsid w:val="008E3609"/>
    <w:rsid w:val="008E3B41"/>
    <w:rsid w:val="008E4047"/>
    <w:rsid w:val="008E40BA"/>
    <w:rsid w:val="008E41C6"/>
    <w:rsid w:val="008E4355"/>
    <w:rsid w:val="008E4731"/>
    <w:rsid w:val="008E4B0C"/>
    <w:rsid w:val="008E4CB4"/>
    <w:rsid w:val="008E4DCD"/>
    <w:rsid w:val="008E616B"/>
    <w:rsid w:val="008E6410"/>
    <w:rsid w:val="008E648C"/>
    <w:rsid w:val="008E7477"/>
    <w:rsid w:val="008F019E"/>
    <w:rsid w:val="008F01AD"/>
    <w:rsid w:val="008F0648"/>
    <w:rsid w:val="008F0956"/>
    <w:rsid w:val="008F0CF9"/>
    <w:rsid w:val="008F11A8"/>
    <w:rsid w:val="008F1930"/>
    <w:rsid w:val="008F22AB"/>
    <w:rsid w:val="008F2680"/>
    <w:rsid w:val="008F2797"/>
    <w:rsid w:val="008F2849"/>
    <w:rsid w:val="008F28FE"/>
    <w:rsid w:val="008F29BE"/>
    <w:rsid w:val="008F2C2D"/>
    <w:rsid w:val="008F3063"/>
    <w:rsid w:val="008F31DB"/>
    <w:rsid w:val="008F335A"/>
    <w:rsid w:val="008F3D6C"/>
    <w:rsid w:val="008F3D96"/>
    <w:rsid w:val="008F42F7"/>
    <w:rsid w:val="008F456A"/>
    <w:rsid w:val="008F4668"/>
    <w:rsid w:val="008F50B4"/>
    <w:rsid w:val="008F5B28"/>
    <w:rsid w:val="008F5C0B"/>
    <w:rsid w:val="008F5E41"/>
    <w:rsid w:val="008F5E8D"/>
    <w:rsid w:val="008F615F"/>
    <w:rsid w:val="008F6322"/>
    <w:rsid w:val="008F6547"/>
    <w:rsid w:val="008F65A7"/>
    <w:rsid w:val="008F672F"/>
    <w:rsid w:val="008F6868"/>
    <w:rsid w:val="008F6C30"/>
    <w:rsid w:val="008F71BD"/>
    <w:rsid w:val="008F79F7"/>
    <w:rsid w:val="008F7D0F"/>
    <w:rsid w:val="008F7FB4"/>
    <w:rsid w:val="00900616"/>
    <w:rsid w:val="009010DF"/>
    <w:rsid w:val="00901103"/>
    <w:rsid w:val="009011AD"/>
    <w:rsid w:val="00901222"/>
    <w:rsid w:val="00901D76"/>
    <w:rsid w:val="00902024"/>
    <w:rsid w:val="0090245C"/>
    <w:rsid w:val="00902584"/>
    <w:rsid w:val="0090270C"/>
    <w:rsid w:val="00902725"/>
    <w:rsid w:val="00902848"/>
    <w:rsid w:val="00902986"/>
    <w:rsid w:val="009029EC"/>
    <w:rsid w:val="00902D57"/>
    <w:rsid w:val="009031F0"/>
    <w:rsid w:val="00903390"/>
    <w:rsid w:val="00903B9D"/>
    <w:rsid w:val="009040DF"/>
    <w:rsid w:val="009042B4"/>
    <w:rsid w:val="00904898"/>
    <w:rsid w:val="0090490D"/>
    <w:rsid w:val="00904A0B"/>
    <w:rsid w:val="00904F85"/>
    <w:rsid w:val="009051EE"/>
    <w:rsid w:val="00905918"/>
    <w:rsid w:val="00905BAE"/>
    <w:rsid w:val="00905D41"/>
    <w:rsid w:val="009061B6"/>
    <w:rsid w:val="009064A9"/>
    <w:rsid w:val="009064F8"/>
    <w:rsid w:val="00906B30"/>
    <w:rsid w:val="00907430"/>
    <w:rsid w:val="009074E7"/>
    <w:rsid w:val="0090783F"/>
    <w:rsid w:val="009078EA"/>
    <w:rsid w:val="00907A3A"/>
    <w:rsid w:val="00907B44"/>
    <w:rsid w:val="00907E44"/>
    <w:rsid w:val="00907E93"/>
    <w:rsid w:val="00907F6B"/>
    <w:rsid w:val="0091019E"/>
    <w:rsid w:val="009101E2"/>
    <w:rsid w:val="00910786"/>
    <w:rsid w:val="00910A92"/>
    <w:rsid w:val="00911ADA"/>
    <w:rsid w:val="00911B6C"/>
    <w:rsid w:val="0091209C"/>
    <w:rsid w:val="00912932"/>
    <w:rsid w:val="00912A2A"/>
    <w:rsid w:val="00912E8B"/>
    <w:rsid w:val="00913009"/>
    <w:rsid w:val="00913630"/>
    <w:rsid w:val="009136D5"/>
    <w:rsid w:val="00913DF7"/>
    <w:rsid w:val="00913F0E"/>
    <w:rsid w:val="0091427B"/>
    <w:rsid w:val="00914409"/>
    <w:rsid w:val="0091443F"/>
    <w:rsid w:val="0091481C"/>
    <w:rsid w:val="009149A5"/>
    <w:rsid w:val="00914CB7"/>
    <w:rsid w:val="00914EA8"/>
    <w:rsid w:val="00915065"/>
    <w:rsid w:val="0091536C"/>
    <w:rsid w:val="00915757"/>
    <w:rsid w:val="009167FE"/>
    <w:rsid w:val="009177A2"/>
    <w:rsid w:val="00917E2D"/>
    <w:rsid w:val="00917F2D"/>
    <w:rsid w:val="00917F36"/>
    <w:rsid w:val="00917F4D"/>
    <w:rsid w:val="009207CD"/>
    <w:rsid w:val="00920A06"/>
    <w:rsid w:val="00920A6E"/>
    <w:rsid w:val="00920E77"/>
    <w:rsid w:val="00920F6C"/>
    <w:rsid w:val="00921089"/>
    <w:rsid w:val="0092118D"/>
    <w:rsid w:val="009211EF"/>
    <w:rsid w:val="0092136C"/>
    <w:rsid w:val="0092188B"/>
    <w:rsid w:val="009218D8"/>
    <w:rsid w:val="00921D48"/>
    <w:rsid w:val="009225E1"/>
    <w:rsid w:val="00923129"/>
    <w:rsid w:val="009234F7"/>
    <w:rsid w:val="009236A1"/>
    <w:rsid w:val="00924A23"/>
    <w:rsid w:val="00924B20"/>
    <w:rsid w:val="00924BF6"/>
    <w:rsid w:val="00925177"/>
    <w:rsid w:val="00925787"/>
    <w:rsid w:val="00926094"/>
    <w:rsid w:val="009263B3"/>
    <w:rsid w:val="00926405"/>
    <w:rsid w:val="0092683C"/>
    <w:rsid w:val="00926FA6"/>
    <w:rsid w:val="00927409"/>
    <w:rsid w:val="009279DD"/>
    <w:rsid w:val="00927C72"/>
    <w:rsid w:val="00930327"/>
    <w:rsid w:val="00930360"/>
    <w:rsid w:val="0093037F"/>
    <w:rsid w:val="0093094A"/>
    <w:rsid w:val="00930D40"/>
    <w:rsid w:val="0093187D"/>
    <w:rsid w:val="00931A84"/>
    <w:rsid w:val="00932246"/>
    <w:rsid w:val="009323FF"/>
    <w:rsid w:val="009326FC"/>
    <w:rsid w:val="00933751"/>
    <w:rsid w:val="00933779"/>
    <w:rsid w:val="009338B6"/>
    <w:rsid w:val="00933917"/>
    <w:rsid w:val="00933A81"/>
    <w:rsid w:val="00933EC2"/>
    <w:rsid w:val="0093402C"/>
    <w:rsid w:val="00934345"/>
    <w:rsid w:val="009348B1"/>
    <w:rsid w:val="00935197"/>
    <w:rsid w:val="0093559A"/>
    <w:rsid w:val="00935B81"/>
    <w:rsid w:val="00935C2B"/>
    <w:rsid w:val="00936B6C"/>
    <w:rsid w:val="009377A4"/>
    <w:rsid w:val="00937A60"/>
    <w:rsid w:val="00937BD1"/>
    <w:rsid w:val="00937CB4"/>
    <w:rsid w:val="00937F59"/>
    <w:rsid w:val="00940134"/>
    <w:rsid w:val="009401BB"/>
    <w:rsid w:val="0094094E"/>
    <w:rsid w:val="00940CBA"/>
    <w:rsid w:val="009410DC"/>
    <w:rsid w:val="00941BBC"/>
    <w:rsid w:val="00941E1B"/>
    <w:rsid w:val="00941FB1"/>
    <w:rsid w:val="0094213F"/>
    <w:rsid w:val="00942273"/>
    <w:rsid w:val="009425FC"/>
    <w:rsid w:val="00942A61"/>
    <w:rsid w:val="009432C9"/>
    <w:rsid w:val="00943F93"/>
    <w:rsid w:val="00944337"/>
    <w:rsid w:val="00944CE5"/>
    <w:rsid w:val="009452FB"/>
    <w:rsid w:val="009454E8"/>
    <w:rsid w:val="00945854"/>
    <w:rsid w:val="00945B30"/>
    <w:rsid w:val="00945BF2"/>
    <w:rsid w:val="009462D0"/>
    <w:rsid w:val="0094667F"/>
    <w:rsid w:val="00946973"/>
    <w:rsid w:val="00946F86"/>
    <w:rsid w:val="00947001"/>
    <w:rsid w:val="009472F5"/>
    <w:rsid w:val="00947761"/>
    <w:rsid w:val="00947815"/>
    <w:rsid w:val="00947B47"/>
    <w:rsid w:val="00947B9C"/>
    <w:rsid w:val="00947BB4"/>
    <w:rsid w:val="00947BD1"/>
    <w:rsid w:val="009501B6"/>
    <w:rsid w:val="00950AA3"/>
    <w:rsid w:val="009513C3"/>
    <w:rsid w:val="009515B6"/>
    <w:rsid w:val="009519FF"/>
    <w:rsid w:val="00951C7C"/>
    <w:rsid w:val="00951D26"/>
    <w:rsid w:val="00951D3A"/>
    <w:rsid w:val="00951D3B"/>
    <w:rsid w:val="0095237B"/>
    <w:rsid w:val="00952754"/>
    <w:rsid w:val="00952BA2"/>
    <w:rsid w:val="009530DC"/>
    <w:rsid w:val="009530F0"/>
    <w:rsid w:val="009536A7"/>
    <w:rsid w:val="00953D59"/>
    <w:rsid w:val="00953FF5"/>
    <w:rsid w:val="009542E8"/>
    <w:rsid w:val="00954793"/>
    <w:rsid w:val="00954979"/>
    <w:rsid w:val="00954B61"/>
    <w:rsid w:val="00954EA6"/>
    <w:rsid w:val="00955423"/>
    <w:rsid w:val="00955748"/>
    <w:rsid w:val="00955974"/>
    <w:rsid w:val="00955A63"/>
    <w:rsid w:val="00955AF9"/>
    <w:rsid w:val="0095668F"/>
    <w:rsid w:val="009566F7"/>
    <w:rsid w:val="00956A4D"/>
    <w:rsid w:val="00956F77"/>
    <w:rsid w:val="00957324"/>
    <w:rsid w:val="009573E4"/>
    <w:rsid w:val="009574FE"/>
    <w:rsid w:val="009575E7"/>
    <w:rsid w:val="00957FC4"/>
    <w:rsid w:val="00957FC5"/>
    <w:rsid w:val="00960041"/>
    <w:rsid w:val="009606EE"/>
    <w:rsid w:val="0096077A"/>
    <w:rsid w:val="00960954"/>
    <w:rsid w:val="00960A87"/>
    <w:rsid w:val="0096152A"/>
    <w:rsid w:val="0096172D"/>
    <w:rsid w:val="009617C1"/>
    <w:rsid w:val="00961DF4"/>
    <w:rsid w:val="00961E17"/>
    <w:rsid w:val="00962343"/>
    <w:rsid w:val="00962443"/>
    <w:rsid w:val="0096262B"/>
    <w:rsid w:val="00962FD9"/>
    <w:rsid w:val="0096306A"/>
    <w:rsid w:val="009634EE"/>
    <w:rsid w:val="009636AA"/>
    <w:rsid w:val="00963C32"/>
    <w:rsid w:val="00964055"/>
    <w:rsid w:val="00964082"/>
    <w:rsid w:val="00964215"/>
    <w:rsid w:val="0096470D"/>
    <w:rsid w:val="00964E63"/>
    <w:rsid w:val="00964F37"/>
    <w:rsid w:val="0096580B"/>
    <w:rsid w:val="00965E3F"/>
    <w:rsid w:val="00965F43"/>
    <w:rsid w:val="00965F4D"/>
    <w:rsid w:val="00966346"/>
    <w:rsid w:val="00966B98"/>
    <w:rsid w:val="00966BE4"/>
    <w:rsid w:val="00967037"/>
    <w:rsid w:val="0096735B"/>
    <w:rsid w:val="00970199"/>
    <w:rsid w:val="009709F4"/>
    <w:rsid w:val="00970D5F"/>
    <w:rsid w:val="00970FA1"/>
    <w:rsid w:val="00971B29"/>
    <w:rsid w:val="00972F13"/>
    <w:rsid w:val="009735F3"/>
    <w:rsid w:val="00973641"/>
    <w:rsid w:val="00973705"/>
    <w:rsid w:val="0097379F"/>
    <w:rsid w:val="00974BE3"/>
    <w:rsid w:val="009753C7"/>
    <w:rsid w:val="009755AB"/>
    <w:rsid w:val="009758E7"/>
    <w:rsid w:val="00975E39"/>
    <w:rsid w:val="00976038"/>
    <w:rsid w:val="00976285"/>
    <w:rsid w:val="009766C3"/>
    <w:rsid w:val="009769A3"/>
    <w:rsid w:val="00976EEE"/>
    <w:rsid w:val="00976F0B"/>
    <w:rsid w:val="0097750C"/>
    <w:rsid w:val="00977590"/>
    <w:rsid w:val="009778D0"/>
    <w:rsid w:val="00977C1E"/>
    <w:rsid w:val="00980742"/>
    <w:rsid w:val="00980C72"/>
    <w:rsid w:val="00980E3A"/>
    <w:rsid w:val="009812A0"/>
    <w:rsid w:val="0098178A"/>
    <w:rsid w:val="00981986"/>
    <w:rsid w:val="009819B2"/>
    <w:rsid w:val="00981AEF"/>
    <w:rsid w:val="00981EA6"/>
    <w:rsid w:val="009824AA"/>
    <w:rsid w:val="0098282C"/>
    <w:rsid w:val="00982946"/>
    <w:rsid w:val="00982EC0"/>
    <w:rsid w:val="009839B0"/>
    <w:rsid w:val="00983D7B"/>
    <w:rsid w:val="00984348"/>
    <w:rsid w:val="009843B2"/>
    <w:rsid w:val="00984580"/>
    <w:rsid w:val="009846FE"/>
    <w:rsid w:val="00984E46"/>
    <w:rsid w:val="00984FC4"/>
    <w:rsid w:val="00984FFC"/>
    <w:rsid w:val="00985567"/>
    <w:rsid w:val="0098570E"/>
    <w:rsid w:val="00985897"/>
    <w:rsid w:val="00985D39"/>
    <w:rsid w:val="009863AD"/>
    <w:rsid w:val="00987368"/>
    <w:rsid w:val="0098761E"/>
    <w:rsid w:val="0098763D"/>
    <w:rsid w:val="00987697"/>
    <w:rsid w:val="009878FD"/>
    <w:rsid w:val="00990021"/>
    <w:rsid w:val="0099048A"/>
    <w:rsid w:val="009905FC"/>
    <w:rsid w:val="00990811"/>
    <w:rsid w:val="0099171B"/>
    <w:rsid w:val="00991828"/>
    <w:rsid w:val="00991AF5"/>
    <w:rsid w:val="00992514"/>
    <w:rsid w:val="00992573"/>
    <w:rsid w:val="00992B92"/>
    <w:rsid w:val="00992BDB"/>
    <w:rsid w:val="009931C3"/>
    <w:rsid w:val="0099330B"/>
    <w:rsid w:val="0099377B"/>
    <w:rsid w:val="00993847"/>
    <w:rsid w:val="00993D78"/>
    <w:rsid w:val="00993DC8"/>
    <w:rsid w:val="0099415D"/>
    <w:rsid w:val="009941C4"/>
    <w:rsid w:val="0099535C"/>
    <w:rsid w:val="0099554C"/>
    <w:rsid w:val="00995D09"/>
    <w:rsid w:val="00995D8D"/>
    <w:rsid w:val="009963EB"/>
    <w:rsid w:val="009965A4"/>
    <w:rsid w:val="00996FF0"/>
    <w:rsid w:val="00997258"/>
    <w:rsid w:val="009974D1"/>
    <w:rsid w:val="00997592"/>
    <w:rsid w:val="00997ACF"/>
    <w:rsid w:val="00997B02"/>
    <w:rsid w:val="00997E7B"/>
    <w:rsid w:val="00997E8C"/>
    <w:rsid w:val="009A01DE"/>
    <w:rsid w:val="009A05CF"/>
    <w:rsid w:val="009A0A1D"/>
    <w:rsid w:val="009A0AEA"/>
    <w:rsid w:val="009A0BF6"/>
    <w:rsid w:val="009A0EAF"/>
    <w:rsid w:val="009A0FD8"/>
    <w:rsid w:val="009A0FF5"/>
    <w:rsid w:val="009A10D4"/>
    <w:rsid w:val="009A1318"/>
    <w:rsid w:val="009A2037"/>
    <w:rsid w:val="009A20AD"/>
    <w:rsid w:val="009A2510"/>
    <w:rsid w:val="009A29F3"/>
    <w:rsid w:val="009A2CDF"/>
    <w:rsid w:val="009A303A"/>
    <w:rsid w:val="009A396D"/>
    <w:rsid w:val="009A3C39"/>
    <w:rsid w:val="009A3CCB"/>
    <w:rsid w:val="009A48AC"/>
    <w:rsid w:val="009A5BC9"/>
    <w:rsid w:val="009A624E"/>
    <w:rsid w:val="009A646B"/>
    <w:rsid w:val="009A65AE"/>
    <w:rsid w:val="009A67AF"/>
    <w:rsid w:val="009A7783"/>
    <w:rsid w:val="009A783E"/>
    <w:rsid w:val="009B05AE"/>
    <w:rsid w:val="009B1D27"/>
    <w:rsid w:val="009B1E6C"/>
    <w:rsid w:val="009B20A7"/>
    <w:rsid w:val="009B24C8"/>
    <w:rsid w:val="009B289B"/>
    <w:rsid w:val="009B2C2E"/>
    <w:rsid w:val="009B2C59"/>
    <w:rsid w:val="009B3347"/>
    <w:rsid w:val="009B3837"/>
    <w:rsid w:val="009B3AAD"/>
    <w:rsid w:val="009B3AB6"/>
    <w:rsid w:val="009B3B27"/>
    <w:rsid w:val="009B3BD2"/>
    <w:rsid w:val="009B40CA"/>
    <w:rsid w:val="009B466D"/>
    <w:rsid w:val="009B48F9"/>
    <w:rsid w:val="009B51AF"/>
    <w:rsid w:val="009B5289"/>
    <w:rsid w:val="009B5439"/>
    <w:rsid w:val="009B55A5"/>
    <w:rsid w:val="009B55E4"/>
    <w:rsid w:val="009B57C8"/>
    <w:rsid w:val="009B6027"/>
    <w:rsid w:val="009B64CC"/>
    <w:rsid w:val="009B69F1"/>
    <w:rsid w:val="009B6A10"/>
    <w:rsid w:val="009B775E"/>
    <w:rsid w:val="009B7791"/>
    <w:rsid w:val="009C0014"/>
    <w:rsid w:val="009C025B"/>
    <w:rsid w:val="009C087D"/>
    <w:rsid w:val="009C0DF5"/>
    <w:rsid w:val="009C1334"/>
    <w:rsid w:val="009C13DA"/>
    <w:rsid w:val="009C14FE"/>
    <w:rsid w:val="009C1B77"/>
    <w:rsid w:val="009C1E78"/>
    <w:rsid w:val="009C21D0"/>
    <w:rsid w:val="009C23CD"/>
    <w:rsid w:val="009C2730"/>
    <w:rsid w:val="009C2C62"/>
    <w:rsid w:val="009C3119"/>
    <w:rsid w:val="009C381A"/>
    <w:rsid w:val="009C3AD1"/>
    <w:rsid w:val="009C3F3C"/>
    <w:rsid w:val="009C3F57"/>
    <w:rsid w:val="009C4BBA"/>
    <w:rsid w:val="009C4C8A"/>
    <w:rsid w:val="009C4DF8"/>
    <w:rsid w:val="009C4E2C"/>
    <w:rsid w:val="009C4F06"/>
    <w:rsid w:val="009C4F8D"/>
    <w:rsid w:val="009C4FAA"/>
    <w:rsid w:val="009C5AA8"/>
    <w:rsid w:val="009C5C4C"/>
    <w:rsid w:val="009C5D87"/>
    <w:rsid w:val="009C606F"/>
    <w:rsid w:val="009C657C"/>
    <w:rsid w:val="009C69BA"/>
    <w:rsid w:val="009C6CE4"/>
    <w:rsid w:val="009C7012"/>
    <w:rsid w:val="009C7C0C"/>
    <w:rsid w:val="009C7EED"/>
    <w:rsid w:val="009D0205"/>
    <w:rsid w:val="009D030A"/>
    <w:rsid w:val="009D033A"/>
    <w:rsid w:val="009D0372"/>
    <w:rsid w:val="009D0425"/>
    <w:rsid w:val="009D09A3"/>
    <w:rsid w:val="009D0A04"/>
    <w:rsid w:val="009D0B58"/>
    <w:rsid w:val="009D0CD1"/>
    <w:rsid w:val="009D149C"/>
    <w:rsid w:val="009D177E"/>
    <w:rsid w:val="009D1EA4"/>
    <w:rsid w:val="009D2067"/>
    <w:rsid w:val="009D25ED"/>
    <w:rsid w:val="009D2B6E"/>
    <w:rsid w:val="009D4453"/>
    <w:rsid w:val="009D5743"/>
    <w:rsid w:val="009D5CCC"/>
    <w:rsid w:val="009D60D3"/>
    <w:rsid w:val="009D65AD"/>
    <w:rsid w:val="009D723D"/>
    <w:rsid w:val="009D73A1"/>
    <w:rsid w:val="009D73BF"/>
    <w:rsid w:val="009D775C"/>
    <w:rsid w:val="009D7C21"/>
    <w:rsid w:val="009D7FEF"/>
    <w:rsid w:val="009E02CC"/>
    <w:rsid w:val="009E0328"/>
    <w:rsid w:val="009E03D0"/>
    <w:rsid w:val="009E056F"/>
    <w:rsid w:val="009E065E"/>
    <w:rsid w:val="009E0EBA"/>
    <w:rsid w:val="009E12AE"/>
    <w:rsid w:val="009E12CA"/>
    <w:rsid w:val="009E1649"/>
    <w:rsid w:val="009E17FD"/>
    <w:rsid w:val="009E28A2"/>
    <w:rsid w:val="009E2C1A"/>
    <w:rsid w:val="009E300D"/>
    <w:rsid w:val="009E3271"/>
    <w:rsid w:val="009E3272"/>
    <w:rsid w:val="009E32BF"/>
    <w:rsid w:val="009E35FA"/>
    <w:rsid w:val="009E370E"/>
    <w:rsid w:val="009E38D3"/>
    <w:rsid w:val="009E3907"/>
    <w:rsid w:val="009E3D57"/>
    <w:rsid w:val="009E47A9"/>
    <w:rsid w:val="009E47B7"/>
    <w:rsid w:val="009E4A3A"/>
    <w:rsid w:val="009E4BF1"/>
    <w:rsid w:val="009E57BF"/>
    <w:rsid w:val="009E5D07"/>
    <w:rsid w:val="009E5FD3"/>
    <w:rsid w:val="009E5FE5"/>
    <w:rsid w:val="009E604C"/>
    <w:rsid w:val="009E60C6"/>
    <w:rsid w:val="009E6A2A"/>
    <w:rsid w:val="009E6BAC"/>
    <w:rsid w:val="009E6F4A"/>
    <w:rsid w:val="009E710A"/>
    <w:rsid w:val="009E723D"/>
    <w:rsid w:val="009E79CA"/>
    <w:rsid w:val="009E7A4E"/>
    <w:rsid w:val="009E7E65"/>
    <w:rsid w:val="009F073E"/>
    <w:rsid w:val="009F10E9"/>
    <w:rsid w:val="009F11F7"/>
    <w:rsid w:val="009F126D"/>
    <w:rsid w:val="009F1367"/>
    <w:rsid w:val="009F15F8"/>
    <w:rsid w:val="009F1E45"/>
    <w:rsid w:val="009F2198"/>
    <w:rsid w:val="009F22DC"/>
    <w:rsid w:val="009F27C3"/>
    <w:rsid w:val="009F2ACA"/>
    <w:rsid w:val="009F2AEB"/>
    <w:rsid w:val="009F2B85"/>
    <w:rsid w:val="009F2CDB"/>
    <w:rsid w:val="009F2E61"/>
    <w:rsid w:val="009F4009"/>
    <w:rsid w:val="009F41B9"/>
    <w:rsid w:val="009F4773"/>
    <w:rsid w:val="009F4791"/>
    <w:rsid w:val="009F5A39"/>
    <w:rsid w:val="009F5B39"/>
    <w:rsid w:val="009F5DD0"/>
    <w:rsid w:val="009F62C7"/>
    <w:rsid w:val="009F6518"/>
    <w:rsid w:val="009F7307"/>
    <w:rsid w:val="009F7710"/>
    <w:rsid w:val="009F7ABA"/>
    <w:rsid w:val="00A006B4"/>
    <w:rsid w:val="00A008B2"/>
    <w:rsid w:val="00A00BED"/>
    <w:rsid w:val="00A01F85"/>
    <w:rsid w:val="00A023D7"/>
    <w:rsid w:val="00A0243F"/>
    <w:rsid w:val="00A02844"/>
    <w:rsid w:val="00A03485"/>
    <w:rsid w:val="00A03616"/>
    <w:rsid w:val="00A039C9"/>
    <w:rsid w:val="00A04189"/>
    <w:rsid w:val="00A04241"/>
    <w:rsid w:val="00A04435"/>
    <w:rsid w:val="00A049A9"/>
    <w:rsid w:val="00A04B78"/>
    <w:rsid w:val="00A04D19"/>
    <w:rsid w:val="00A04DC1"/>
    <w:rsid w:val="00A052F7"/>
    <w:rsid w:val="00A05493"/>
    <w:rsid w:val="00A059C2"/>
    <w:rsid w:val="00A06425"/>
    <w:rsid w:val="00A07139"/>
    <w:rsid w:val="00A0732D"/>
    <w:rsid w:val="00A07C0F"/>
    <w:rsid w:val="00A10673"/>
    <w:rsid w:val="00A1109D"/>
    <w:rsid w:val="00A11132"/>
    <w:rsid w:val="00A1212D"/>
    <w:rsid w:val="00A12260"/>
    <w:rsid w:val="00A124C6"/>
    <w:rsid w:val="00A126B1"/>
    <w:rsid w:val="00A12D3A"/>
    <w:rsid w:val="00A12F20"/>
    <w:rsid w:val="00A13095"/>
    <w:rsid w:val="00A1314F"/>
    <w:rsid w:val="00A13B17"/>
    <w:rsid w:val="00A13BF0"/>
    <w:rsid w:val="00A13E9D"/>
    <w:rsid w:val="00A1421E"/>
    <w:rsid w:val="00A155CD"/>
    <w:rsid w:val="00A16CEB"/>
    <w:rsid w:val="00A17493"/>
    <w:rsid w:val="00A175EA"/>
    <w:rsid w:val="00A2016F"/>
    <w:rsid w:val="00A203D4"/>
    <w:rsid w:val="00A20592"/>
    <w:rsid w:val="00A20950"/>
    <w:rsid w:val="00A20B70"/>
    <w:rsid w:val="00A21987"/>
    <w:rsid w:val="00A21CE6"/>
    <w:rsid w:val="00A21D45"/>
    <w:rsid w:val="00A21DA8"/>
    <w:rsid w:val="00A21F78"/>
    <w:rsid w:val="00A225EC"/>
    <w:rsid w:val="00A2292A"/>
    <w:rsid w:val="00A22DA8"/>
    <w:rsid w:val="00A22F08"/>
    <w:rsid w:val="00A23642"/>
    <w:rsid w:val="00A23831"/>
    <w:rsid w:val="00A238E4"/>
    <w:rsid w:val="00A23913"/>
    <w:rsid w:val="00A23A29"/>
    <w:rsid w:val="00A23A96"/>
    <w:rsid w:val="00A23B5C"/>
    <w:rsid w:val="00A2435E"/>
    <w:rsid w:val="00A24372"/>
    <w:rsid w:val="00A24858"/>
    <w:rsid w:val="00A25055"/>
    <w:rsid w:val="00A25114"/>
    <w:rsid w:val="00A2557E"/>
    <w:rsid w:val="00A258CA"/>
    <w:rsid w:val="00A26448"/>
    <w:rsid w:val="00A268AE"/>
    <w:rsid w:val="00A26A57"/>
    <w:rsid w:val="00A26ACA"/>
    <w:rsid w:val="00A272D0"/>
    <w:rsid w:val="00A27BA8"/>
    <w:rsid w:val="00A27EB8"/>
    <w:rsid w:val="00A27F6E"/>
    <w:rsid w:val="00A305A8"/>
    <w:rsid w:val="00A30959"/>
    <w:rsid w:val="00A31391"/>
    <w:rsid w:val="00A3147A"/>
    <w:rsid w:val="00A3147F"/>
    <w:rsid w:val="00A31C14"/>
    <w:rsid w:val="00A31CBC"/>
    <w:rsid w:val="00A31E84"/>
    <w:rsid w:val="00A320DD"/>
    <w:rsid w:val="00A322B3"/>
    <w:rsid w:val="00A325FB"/>
    <w:rsid w:val="00A32697"/>
    <w:rsid w:val="00A32AC9"/>
    <w:rsid w:val="00A33134"/>
    <w:rsid w:val="00A3332F"/>
    <w:rsid w:val="00A33342"/>
    <w:rsid w:val="00A33872"/>
    <w:rsid w:val="00A33878"/>
    <w:rsid w:val="00A33BC3"/>
    <w:rsid w:val="00A343FA"/>
    <w:rsid w:val="00A345C0"/>
    <w:rsid w:val="00A345F1"/>
    <w:rsid w:val="00A34C48"/>
    <w:rsid w:val="00A34DA5"/>
    <w:rsid w:val="00A353F5"/>
    <w:rsid w:val="00A35713"/>
    <w:rsid w:val="00A35BF8"/>
    <w:rsid w:val="00A36CC5"/>
    <w:rsid w:val="00A37CFA"/>
    <w:rsid w:val="00A4049C"/>
    <w:rsid w:val="00A41411"/>
    <w:rsid w:val="00A4169A"/>
    <w:rsid w:val="00A4174A"/>
    <w:rsid w:val="00A42039"/>
    <w:rsid w:val="00A423B3"/>
    <w:rsid w:val="00A42944"/>
    <w:rsid w:val="00A431F9"/>
    <w:rsid w:val="00A436C7"/>
    <w:rsid w:val="00A43914"/>
    <w:rsid w:val="00A439AF"/>
    <w:rsid w:val="00A44224"/>
    <w:rsid w:val="00A45024"/>
    <w:rsid w:val="00A450DF"/>
    <w:rsid w:val="00A452AC"/>
    <w:rsid w:val="00A455E3"/>
    <w:rsid w:val="00A4578A"/>
    <w:rsid w:val="00A45A16"/>
    <w:rsid w:val="00A45AC3"/>
    <w:rsid w:val="00A4616D"/>
    <w:rsid w:val="00A465B5"/>
    <w:rsid w:val="00A46913"/>
    <w:rsid w:val="00A47763"/>
    <w:rsid w:val="00A47891"/>
    <w:rsid w:val="00A47A3D"/>
    <w:rsid w:val="00A50058"/>
    <w:rsid w:val="00A503B6"/>
    <w:rsid w:val="00A51796"/>
    <w:rsid w:val="00A520F6"/>
    <w:rsid w:val="00A5298C"/>
    <w:rsid w:val="00A52AA2"/>
    <w:rsid w:val="00A52DBA"/>
    <w:rsid w:val="00A5310B"/>
    <w:rsid w:val="00A53BDA"/>
    <w:rsid w:val="00A53C45"/>
    <w:rsid w:val="00A53E29"/>
    <w:rsid w:val="00A53F7B"/>
    <w:rsid w:val="00A540E2"/>
    <w:rsid w:val="00A544E9"/>
    <w:rsid w:val="00A545CC"/>
    <w:rsid w:val="00A555A7"/>
    <w:rsid w:val="00A55645"/>
    <w:rsid w:val="00A55682"/>
    <w:rsid w:val="00A5568D"/>
    <w:rsid w:val="00A55996"/>
    <w:rsid w:val="00A562AA"/>
    <w:rsid w:val="00A56B99"/>
    <w:rsid w:val="00A56D07"/>
    <w:rsid w:val="00A56E00"/>
    <w:rsid w:val="00A60906"/>
    <w:rsid w:val="00A60BDB"/>
    <w:rsid w:val="00A60CEC"/>
    <w:rsid w:val="00A60FFD"/>
    <w:rsid w:val="00A6153A"/>
    <w:rsid w:val="00A62123"/>
    <w:rsid w:val="00A62244"/>
    <w:rsid w:val="00A62393"/>
    <w:rsid w:val="00A62A71"/>
    <w:rsid w:val="00A62AFC"/>
    <w:rsid w:val="00A62D8A"/>
    <w:rsid w:val="00A62F62"/>
    <w:rsid w:val="00A62FBC"/>
    <w:rsid w:val="00A63473"/>
    <w:rsid w:val="00A638C0"/>
    <w:rsid w:val="00A639B7"/>
    <w:rsid w:val="00A63FD1"/>
    <w:rsid w:val="00A643D8"/>
    <w:rsid w:val="00A645B4"/>
    <w:rsid w:val="00A64878"/>
    <w:rsid w:val="00A64A30"/>
    <w:rsid w:val="00A65766"/>
    <w:rsid w:val="00A65775"/>
    <w:rsid w:val="00A66131"/>
    <w:rsid w:val="00A666B8"/>
    <w:rsid w:val="00A668A2"/>
    <w:rsid w:val="00A66BAD"/>
    <w:rsid w:val="00A67DE1"/>
    <w:rsid w:val="00A70549"/>
    <w:rsid w:val="00A709F6"/>
    <w:rsid w:val="00A7117A"/>
    <w:rsid w:val="00A717D7"/>
    <w:rsid w:val="00A718E3"/>
    <w:rsid w:val="00A71A79"/>
    <w:rsid w:val="00A71C19"/>
    <w:rsid w:val="00A71D6E"/>
    <w:rsid w:val="00A72032"/>
    <w:rsid w:val="00A7265B"/>
    <w:rsid w:val="00A72A86"/>
    <w:rsid w:val="00A72F71"/>
    <w:rsid w:val="00A72FD0"/>
    <w:rsid w:val="00A734C1"/>
    <w:rsid w:val="00A7353E"/>
    <w:rsid w:val="00A73E75"/>
    <w:rsid w:val="00A73FA2"/>
    <w:rsid w:val="00A747B4"/>
    <w:rsid w:val="00A7499E"/>
    <w:rsid w:val="00A74A70"/>
    <w:rsid w:val="00A74ED0"/>
    <w:rsid w:val="00A751DF"/>
    <w:rsid w:val="00A75929"/>
    <w:rsid w:val="00A75933"/>
    <w:rsid w:val="00A75D68"/>
    <w:rsid w:val="00A76467"/>
    <w:rsid w:val="00A76F2F"/>
    <w:rsid w:val="00A77211"/>
    <w:rsid w:val="00A77651"/>
    <w:rsid w:val="00A777E9"/>
    <w:rsid w:val="00A778E5"/>
    <w:rsid w:val="00A77964"/>
    <w:rsid w:val="00A77C29"/>
    <w:rsid w:val="00A77C72"/>
    <w:rsid w:val="00A77DD5"/>
    <w:rsid w:val="00A77DE6"/>
    <w:rsid w:val="00A8014A"/>
    <w:rsid w:val="00A80266"/>
    <w:rsid w:val="00A8034E"/>
    <w:rsid w:val="00A80622"/>
    <w:rsid w:val="00A80780"/>
    <w:rsid w:val="00A811BF"/>
    <w:rsid w:val="00A81E32"/>
    <w:rsid w:val="00A82089"/>
    <w:rsid w:val="00A822F3"/>
    <w:rsid w:val="00A828DD"/>
    <w:rsid w:val="00A8297A"/>
    <w:rsid w:val="00A83169"/>
    <w:rsid w:val="00A83454"/>
    <w:rsid w:val="00A835C6"/>
    <w:rsid w:val="00A8364E"/>
    <w:rsid w:val="00A83700"/>
    <w:rsid w:val="00A83953"/>
    <w:rsid w:val="00A839E1"/>
    <w:rsid w:val="00A83E9B"/>
    <w:rsid w:val="00A83FE6"/>
    <w:rsid w:val="00A840F1"/>
    <w:rsid w:val="00A8461A"/>
    <w:rsid w:val="00A84ACC"/>
    <w:rsid w:val="00A84B08"/>
    <w:rsid w:val="00A851AF"/>
    <w:rsid w:val="00A85474"/>
    <w:rsid w:val="00A85E23"/>
    <w:rsid w:val="00A8644F"/>
    <w:rsid w:val="00A865A2"/>
    <w:rsid w:val="00A866B6"/>
    <w:rsid w:val="00A86B8A"/>
    <w:rsid w:val="00A86BE7"/>
    <w:rsid w:val="00A86E47"/>
    <w:rsid w:val="00A86F26"/>
    <w:rsid w:val="00A86F8A"/>
    <w:rsid w:val="00A874C5"/>
    <w:rsid w:val="00A87671"/>
    <w:rsid w:val="00A876FA"/>
    <w:rsid w:val="00A90573"/>
    <w:rsid w:val="00A90F5E"/>
    <w:rsid w:val="00A913A5"/>
    <w:rsid w:val="00A91432"/>
    <w:rsid w:val="00A9176A"/>
    <w:rsid w:val="00A91BF7"/>
    <w:rsid w:val="00A92695"/>
    <w:rsid w:val="00A926AE"/>
    <w:rsid w:val="00A92B05"/>
    <w:rsid w:val="00A92E1F"/>
    <w:rsid w:val="00A92F77"/>
    <w:rsid w:val="00A933D9"/>
    <w:rsid w:val="00A934EB"/>
    <w:rsid w:val="00A93612"/>
    <w:rsid w:val="00A93DD8"/>
    <w:rsid w:val="00A9437A"/>
    <w:rsid w:val="00A94415"/>
    <w:rsid w:val="00A94947"/>
    <w:rsid w:val="00A94964"/>
    <w:rsid w:val="00A9535E"/>
    <w:rsid w:val="00A95E82"/>
    <w:rsid w:val="00A9605C"/>
    <w:rsid w:val="00A9695C"/>
    <w:rsid w:val="00A9791E"/>
    <w:rsid w:val="00A97BF4"/>
    <w:rsid w:val="00AA094E"/>
    <w:rsid w:val="00AA0AFE"/>
    <w:rsid w:val="00AA0C1F"/>
    <w:rsid w:val="00AA1164"/>
    <w:rsid w:val="00AA145F"/>
    <w:rsid w:val="00AA1680"/>
    <w:rsid w:val="00AA1739"/>
    <w:rsid w:val="00AA26A4"/>
    <w:rsid w:val="00AA26CD"/>
    <w:rsid w:val="00AA32F0"/>
    <w:rsid w:val="00AA3463"/>
    <w:rsid w:val="00AA3DA8"/>
    <w:rsid w:val="00AA48A4"/>
    <w:rsid w:val="00AA498E"/>
    <w:rsid w:val="00AA4E40"/>
    <w:rsid w:val="00AA51EC"/>
    <w:rsid w:val="00AA52A8"/>
    <w:rsid w:val="00AA5404"/>
    <w:rsid w:val="00AA5A56"/>
    <w:rsid w:val="00AA5C03"/>
    <w:rsid w:val="00AA5F58"/>
    <w:rsid w:val="00AA5FF2"/>
    <w:rsid w:val="00AA61AC"/>
    <w:rsid w:val="00AA6212"/>
    <w:rsid w:val="00AA63C8"/>
    <w:rsid w:val="00AA66D6"/>
    <w:rsid w:val="00AB01A7"/>
    <w:rsid w:val="00AB0850"/>
    <w:rsid w:val="00AB086E"/>
    <w:rsid w:val="00AB0946"/>
    <w:rsid w:val="00AB1047"/>
    <w:rsid w:val="00AB12EC"/>
    <w:rsid w:val="00AB2751"/>
    <w:rsid w:val="00AB2B8E"/>
    <w:rsid w:val="00AB2C91"/>
    <w:rsid w:val="00AB32A9"/>
    <w:rsid w:val="00AB33A1"/>
    <w:rsid w:val="00AB3D93"/>
    <w:rsid w:val="00AB4133"/>
    <w:rsid w:val="00AB4971"/>
    <w:rsid w:val="00AB49A6"/>
    <w:rsid w:val="00AB55C7"/>
    <w:rsid w:val="00AB5CFB"/>
    <w:rsid w:val="00AB5F22"/>
    <w:rsid w:val="00AB60B8"/>
    <w:rsid w:val="00AB6C62"/>
    <w:rsid w:val="00AB76FC"/>
    <w:rsid w:val="00AB7845"/>
    <w:rsid w:val="00AB7AA8"/>
    <w:rsid w:val="00AC05F7"/>
    <w:rsid w:val="00AC148D"/>
    <w:rsid w:val="00AC1E3B"/>
    <w:rsid w:val="00AC2470"/>
    <w:rsid w:val="00AC2813"/>
    <w:rsid w:val="00AC2B3A"/>
    <w:rsid w:val="00AC2D8F"/>
    <w:rsid w:val="00AC312D"/>
    <w:rsid w:val="00AC3734"/>
    <w:rsid w:val="00AC384C"/>
    <w:rsid w:val="00AC3EEF"/>
    <w:rsid w:val="00AC3FDF"/>
    <w:rsid w:val="00AC44EC"/>
    <w:rsid w:val="00AC4A75"/>
    <w:rsid w:val="00AC4F79"/>
    <w:rsid w:val="00AC5001"/>
    <w:rsid w:val="00AC51C1"/>
    <w:rsid w:val="00AC5337"/>
    <w:rsid w:val="00AC5437"/>
    <w:rsid w:val="00AC5B3F"/>
    <w:rsid w:val="00AC5DE8"/>
    <w:rsid w:val="00AC5F36"/>
    <w:rsid w:val="00AC65C6"/>
    <w:rsid w:val="00AC6783"/>
    <w:rsid w:val="00AC714B"/>
    <w:rsid w:val="00AC71AE"/>
    <w:rsid w:val="00AC7258"/>
    <w:rsid w:val="00AC7ACE"/>
    <w:rsid w:val="00AC7AF7"/>
    <w:rsid w:val="00AC7EB6"/>
    <w:rsid w:val="00AD06FF"/>
    <w:rsid w:val="00AD09D1"/>
    <w:rsid w:val="00AD18DF"/>
    <w:rsid w:val="00AD19B0"/>
    <w:rsid w:val="00AD20EE"/>
    <w:rsid w:val="00AD21D2"/>
    <w:rsid w:val="00AD241A"/>
    <w:rsid w:val="00AD350D"/>
    <w:rsid w:val="00AD3981"/>
    <w:rsid w:val="00AD3A84"/>
    <w:rsid w:val="00AD4539"/>
    <w:rsid w:val="00AD4BB3"/>
    <w:rsid w:val="00AD5589"/>
    <w:rsid w:val="00AD5D29"/>
    <w:rsid w:val="00AD5D35"/>
    <w:rsid w:val="00AD7062"/>
    <w:rsid w:val="00AD70AA"/>
    <w:rsid w:val="00AD7896"/>
    <w:rsid w:val="00AD78EF"/>
    <w:rsid w:val="00AE10C8"/>
    <w:rsid w:val="00AE18F6"/>
    <w:rsid w:val="00AE2095"/>
    <w:rsid w:val="00AE23EE"/>
    <w:rsid w:val="00AE245F"/>
    <w:rsid w:val="00AE2768"/>
    <w:rsid w:val="00AE2AE3"/>
    <w:rsid w:val="00AE2E62"/>
    <w:rsid w:val="00AE31D4"/>
    <w:rsid w:val="00AE31DC"/>
    <w:rsid w:val="00AE3505"/>
    <w:rsid w:val="00AE3D60"/>
    <w:rsid w:val="00AE4A81"/>
    <w:rsid w:val="00AE4D38"/>
    <w:rsid w:val="00AE4D50"/>
    <w:rsid w:val="00AE4DF1"/>
    <w:rsid w:val="00AE4F14"/>
    <w:rsid w:val="00AE542A"/>
    <w:rsid w:val="00AE55A9"/>
    <w:rsid w:val="00AE589D"/>
    <w:rsid w:val="00AE602E"/>
    <w:rsid w:val="00AE6096"/>
    <w:rsid w:val="00AE6252"/>
    <w:rsid w:val="00AE661A"/>
    <w:rsid w:val="00AE72CB"/>
    <w:rsid w:val="00AF0493"/>
    <w:rsid w:val="00AF04F3"/>
    <w:rsid w:val="00AF07AD"/>
    <w:rsid w:val="00AF0990"/>
    <w:rsid w:val="00AF1011"/>
    <w:rsid w:val="00AF11D7"/>
    <w:rsid w:val="00AF1473"/>
    <w:rsid w:val="00AF164A"/>
    <w:rsid w:val="00AF19BA"/>
    <w:rsid w:val="00AF1C02"/>
    <w:rsid w:val="00AF24B8"/>
    <w:rsid w:val="00AF2B25"/>
    <w:rsid w:val="00AF31D7"/>
    <w:rsid w:val="00AF37D1"/>
    <w:rsid w:val="00AF390F"/>
    <w:rsid w:val="00AF395B"/>
    <w:rsid w:val="00AF3CFD"/>
    <w:rsid w:val="00AF4057"/>
    <w:rsid w:val="00AF42B5"/>
    <w:rsid w:val="00AF45B3"/>
    <w:rsid w:val="00AF4AA6"/>
    <w:rsid w:val="00AF517C"/>
    <w:rsid w:val="00AF570C"/>
    <w:rsid w:val="00AF5906"/>
    <w:rsid w:val="00AF61F1"/>
    <w:rsid w:val="00AF6247"/>
    <w:rsid w:val="00AF63B6"/>
    <w:rsid w:val="00AF6473"/>
    <w:rsid w:val="00AF6915"/>
    <w:rsid w:val="00AF69D2"/>
    <w:rsid w:val="00B002B4"/>
    <w:rsid w:val="00B00848"/>
    <w:rsid w:val="00B018C6"/>
    <w:rsid w:val="00B01B56"/>
    <w:rsid w:val="00B01C26"/>
    <w:rsid w:val="00B01FDC"/>
    <w:rsid w:val="00B0219A"/>
    <w:rsid w:val="00B0253B"/>
    <w:rsid w:val="00B02F9B"/>
    <w:rsid w:val="00B035CC"/>
    <w:rsid w:val="00B039DD"/>
    <w:rsid w:val="00B0421D"/>
    <w:rsid w:val="00B04ED9"/>
    <w:rsid w:val="00B064F7"/>
    <w:rsid w:val="00B067DF"/>
    <w:rsid w:val="00B06880"/>
    <w:rsid w:val="00B06921"/>
    <w:rsid w:val="00B070CF"/>
    <w:rsid w:val="00B10023"/>
    <w:rsid w:val="00B10184"/>
    <w:rsid w:val="00B10229"/>
    <w:rsid w:val="00B10294"/>
    <w:rsid w:val="00B104A2"/>
    <w:rsid w:val="00B1088E"/>
    <w:rsid w:val="00B10BE2"/>
    <w:rsid w:val="00B10C94"/>
    <w:rsid w:val="00B10CA7"/>
    <w:rsid w:val="00B10D22"/>
    <w:rsid w:val="00B10EF8"/>
    <w:rsid w:val="00B114C0"/>
    <w:rsid w:val="00B1153F"/>
    <w:rsid w:val="00B1179C"/>
    <w:rsid w:val="00B11E2A"/>
    <w:rsid w:val="00B12174"/>
    <w:rsid w:val="00B12941"/>
    <w:rsid w:val="00B13721"/>
    <w:rsid w:val="00B1396C"/>
    <w:rsid w:val="00B13A6E"/>
    <w:rsid w:val="00B13DF6"/>
    <w:rsid w:val="00B13EC2"/>
    <w:rsid w:val="00B1425F"/>
    <w:rsid w:val="00B14408"/>
    <w:rsid w:val="00B1458B"/>
    <w:rsid w:val="00B14908"/>
    <w:rsid w:val="00B14B61"/>
    <w:rsid w:val="00B14B6B"/>
    <w:rsid w:val="00B15384"/>
    <w:rsid w:val="00B156A4"/>
    <w:rsid w:val="00B161B3"/>
    <w:rsid w:val="00B1652F"/>
    <w:rsid w:val="00B165E3"/>
    <w:rsid w:val="00B16AE9"/>
    <w:rsid w:val="00B16B96"/>
    <w:rsid w:val="00B16F6F"/>
    <w:rsid w:val="00B1743E"/>
    <w:rsid w:val="00B1745D"/>
    <w:rsid w:val="00B178A8"/>
    <w:rsid w:val="00B17AF7"/>
    <w:rsid w:val="00B17ECE"/>
    <w:rsid w:val="00B203E3"/>
    <w:rsid w:val="00B2082C"/>
    <w:rsid w:val="00B208C9"/>
    <w:rsid w:val="00B20D52"/>
    <w:rsid w:val="00B21662"/>
    <w:rsid w:val="00B21F56"/>
    <w:rsid w:val="00B21FBB"/>
    <w:rsid w:val="00B22386"/>
    <w:rsid w:val="00B22865"/>
    <w:rsid w:val="00B228FB"/>
    <w:rsid w:val="00B22CB7"/>
    <w:rsid w:val="00B22D99"/>
    <w:rsid w:val="00B23362"/>
    <w:rsid w:val="00B23C86"/>
    <w:rsid w:val="00B23CD2"/>
    <w:rsid w:val="00B23E06"/>
    <w:rsid w:val="00B23E19"/>
    <w:rsid w:val="00B23F97"/>
    <w:rsid w:val="00B248CB"/>
    <w:rsid w:val="00B24911"/>
    <w:rsid w:val="00B24DCB"/>
    <w:rsid w:val="00B256F6"/>
    <w:rsid w:val="00B2598D"/>
    <w:rsid w:val="00B25C36"/>
    <w:rsid w:val="00B25C45"/>
    <w:rsid w:val="00B25CD7"/>
    <w:rsid w:val="00B26BC5"/>
    <w:rsid w:val="00B275D7"/>
    <w:rsid w:val="00B27C71"/>
    <w:rsid w:val="00B27E92"/>
    <w:rsid w:val="00B27E97"/>
    <w:rsid w:val="00B27FC8"/>
    <w:rsid w:val="00B30366"/>
    <w:rsid w:val="00B31011"/>
    <w:rsid w:val="00B311E9"/>
    <w:rsid w:val="00B3154C"/>
    <w:rsid w:val="00B31D26"/>
    <w:rsid w:val="00B31FB2"/>
    <w:rsid w:val="00B334CC"/>
    <w:rsid w:val="00B33A58"/>
    <w:rsid w:val="00B33C7B"/>
    <w:rsid w:val="00B33DA7"/>
    <w:rsid w:val="00B3404C"/>
    <w:rsid w:val="00B3438A"/>
    <w:rsid w:val="00B346B1"/>
    <w:rsid w:val="00B3485E"/>
    <w:rsid w:val="00B348DC"/>
    <w:rsid w:val="00B349B6"/>
    <w:rsid w:val="00B350E2"/>
    <w:rsid w:val="00B35793"/>
    <w:rsid w:val="00B35F75"/>
    <w:rsid w:val="00B364F7"/>
    <w:rsid w:val="00B366AA"/>
    <w:rsid w:val="00B36826"/>
    <w:rsid w:val="00B36ACF"/>
    <w:rsid w:val="00B36EE1"/>
    <w:rsid w:val="00B36F2D"/>
    <w:rsid w:val="00B36FDC"/>
    <w:rsid w:val="00B371C1"/>
    <w:rsid w:val="00B37865"/>
    <w:rsid w:val="00B37925"/>
    <w:rsid w:val="00B37926"/>
    <w:rsid w:val="00B37EC0"/>
    <w:rsid w:val="00B40C61"/>
    <w:rsid w:val="00B40F71"/>
    <w:rsid w:val="00B4119A"/>
    <w:rsid w:val="00B41248"/>
    <w:rsid w:val="00B41943"/>
    <w:rsid w:val="00B41A46"/>
    <w:rsid w:val="00B41FA6"/>
    <w:rsid w:val="00B42399"/>
    <w:rsid w:val="00B42472"/>
    <w:rsid w:val="00B429E8"/>
    <w:rsid w:val="00B42A87"/>
    <w:rsid w:val="00B42DB1"/>
    <w:rsid w:val="00B43634"/>
    <w:rsid w:val="00B43CF7"/>
    <w:rsid w:val="00B4544D"/>
    <w:rsid w:val="00B4545D"/>
    <w:rsid w:val="00B456C8"/>
    <w:rsid w:val="00B46231"/>
    <w:rsid w:val="00B4630F"/>
    <w:rsid w:val="00B46610"/>
    <w:rsid w:val="00B4670F"/>
    <w:rsid w:val="00B46724"/>
    <w:rsid w:val="00B4672B"/>
    <w:rsid w:val="00B46CE2"/>
    <w:rsid w:val="00B46F45"/>
    <w:rsid w:val="00B474AA"/>
    <w:rsid w:val="00B47E7C"/>
    <w:rsid w:val="00B501A7"/>
    <w:rsid w:val="00B50446"/>
    <w:rsid w:val="00B50762"/>
    <w:rsid w:val="00B509AF"/>
    <w:rsid w:val="00B50F32"/>
    <w:rsid w:val="00B5103E"/>
    <w:rsid w:val="00B510FD"/>
    <w:rsid w:val="00B513C7"/>
    <w:rsid w:val="00B51AD5"/>
    <w:rsid w:val="00B51AE0"/>
    <w:rsid w:val="00B51C68"/>
    <w:rsid w:val="00B51F5D"/>
    <w:rsid w:val="00B52520"/>
    <w:rsid w:val="00B52A9D"/>
    <w:rsid w:val="00B52F19"/>
    <w:rsid w:val="00B53038"/>
    <w:rsid w:val="00B534B7"/>
    <w:rsid w:val="00B53540"/>
    <w:rsid w:val="00B537C4"/>
    <w:rsid w:val="00B5380B"/>
    <w:rsid w:val="00B5386E"/>
    <w:rsid w:val="00B53914"/>
    <w:rsid w:val="00B53B4A"/>
    <w:rsid w:val="00B53D8B"/>
    <w:rsid w:val="00B53FA6"/>
    <w:rsid w:val="00B54148"/>
    <w:rsid w:val="00B5416D"/>
    <w:rsid w:val="00B54191"/>
    <w:rsid w:val="00B551E7"/>
    <w:rsid w:val="00B55943"/>
    <w:rsid w:val="00B55B31"/>
    <w:rsid w:val="00B55C60"/>
    <w:rsid w:val="00B55D04"/>
    <w:rsid w:val="00B55E26"/>
    <w:rsid w:val="00B56CA6"/>
    <w:rsid w:val="00B56D62"/>
    <w:rsid w:val="00B56EAF"/>
    <w:rsid w:val="00B573BA"/>
    <w:rsid w:val="00B57BEE"/>
    <w:rsid w:val="00B57D7A"/>
    <w:rsid w:val="00B605B5"/>
    <w:rsid w:val="00B60B65"/>
    <w:rsid w:val="00B6138F"/>
    <w:rsid w:val="00B6158B"/>
    <w:rsid w:val="00B61DF6"/>
    <w:rsid w:val="00B62086"/>
    <w:rsid w:val="00B62214"/>
    <w:rsid w:val="00B623A0"/>
    <w:rsid w:val="00B62D82"/>
    <w:rsid w:val="00B62DCE"/>
    <w:rsid w:val="00B62F60"/>
    <w:rsid w:val="00B6366B"/>
    <w:rsid w:val="00B6371A"/>
    <w:rsid w:val="00B639C4"/>
    <w:rsid w:val="00B6404C"/>
    <w:rsid w:val="00B6436F"/>
    <w:rsid w:val="00B64B47"/>
    <w:rsid w:val="00B6583A"/>
    <w:rsid w:val="00B663CA"/>
    <w:rsid w:val="00B663D9"/>
    <w:rsid w:val="00B6667F"/>
    <w:rsid w:val="00B666B9"/>
    <w:rsid w:val="00B66CEB"/>
    <w:rsid w:val="00B6732E"/>
    <w:rsid w:val="00B7036C"/>
    <w:rsid w:val="00B70410"/>
    <w:rsid w:val="00B70433"/>
    <w:rsid w:val="00B70956"/>
    <w:rsid w:val="00B70DCB"/>
    <w:rsid w:val="00B71038"/>
    <w:rsid w:val="00B7146A"/>
    <w:rsid w:val="00B71A9C"/>
    <w:rsid w:val="00B71B55"/>
    <w:rsid w:val="00B71E4B"/>
    <w:rsid w:val="00B72208"/>
    <w:rsid w:val="00B7283B"/>
    <w:rsid w:val="00B72943"/>
    <w:rsid w:val="00B72F5A"/>
    <w:rsid w:val="00B7315A"/>
    <w:rsid w:val="00B73698"/>
    <w:rsid w:val="00B7390E"/>
    <w:rsid w:val="00B74069"/>
    <w:rsid w:val="00B74641"/>
    <w:rsid w:val="00B746B7"/>
    <w:rsid w:val="00B75124"/>
    <w:rsid w:val="00B754D2"/>
    <w:rsid w:val="00B75611"/>
    <w:rsid w:val="00B75C48"/>
    <w:rsid w:val="00B7666E"/>
    <w:rsid w:val="00B7667F"/>
    <w:rsid w:val="00B7670C"/>
    <w:rsid w:val="00B7678A"/>
    <w:rsid w:val="00B769C1"/>
    <w:rsid w:val="00B76F56"/>
    <w:rsid w:val="00B771AC"/>
    <w:rsid w:val="00B77312"/>
    <w:rsid w:val="00B7731E"/>
    <w:rsid w:val="00B7745C"/>
    <w:rsid w:val="00B7798C"/>
    <w:rsid w:val="00B779B6"/>
    <w:rsid w:val="00B804B3"/>
    <w:rsid w:val="00B80EEB"/>
    <w:rsid w:val="00B80FE9"/>
    <w:rsid w:val="00B81077"/>
    <w:rsid w:val="00B816CB"/>
    <w:rsid w:val="00B81981"/>
    <w:rsid w:val="00B81D7A"/>
    <w:rsid w:val="00B81F9A"/>
    <w:rsid w:val="00B82004"/>
    <w:rsid w:val="00B8231D"/>
    <w:rsid w:val="00B828A9"/>
    <w:rsid w:val="00B829B5"/>
    <w:rsid w:val="00B83178"/>
    <w:rsid w:val="00B83227"/>
    <w:rsid w:val="00B833AF"/>
    <w:rsid w:val="00B836C7"/>
    <w:rsid w:val="00B837CC"/>
    <w:rsid w:val="00B848EF"/>
    <w:rsid w:val="00B84AC4"/>
    <w:rsid w:val="00B84D64"/>
    <w:rsid w:val="00B84E7B"/>
    <w:rsid w:val="00B84FD8"/>
    <w:rsid w:val="00B8500B"/>
    <w:rsid w:val="00B850D8"/>
    <w:rsid w:val="00B85A6A"/>
    <w:rsid w:val="00B85CE0"/>
    <w:rsid w:val="00B86612"/>
    <w:rsid w:val="00B86B2A"/>
    <w:rsid w:val="00B86BC2"/>
    <w:rsid w:val="00B86F40"/>
    <w:rsid w:val="00B875EF"/>
    <w:rsid w:val="00B87B5F"/>
    <w:rsid w:val="00B87B66"/>
    <w:rsid w:val="00B900CD"/>
    <w:rsid w:val="00B90417"/>
    <w:rsid w:val="00B90896"/>
    <w:rsid w:val="00B90F09"/>
    <w:rsid w:val="00B911E0"/>
    <w:rsid w:val="00B913B5"/>
    <w:rsid w:val="00B915AD"/>
    <w:rsid w:val="00B91B41"/>
    <w:rsid w:val="00B91D9C"/>
    <w:rsid w:val="00B91E0A"/>
    <w:rsid w:val="00B92339"/>
    <w:rsid w:val="00B92400"/>
    <w:rsid w:val="00B93171"/>
    <w:rsid w:val="00B935D0"/>
    <w:rsid w:val="00B93EF9"/>
    <w:rsid w:val="00B940B6"/>
    <w:rsid w:val="00B94DF0"/>
    <w:rsid w:val="00B9522B"/>
    <w:rsid w:val="00B9578C"/>
    <w:rsid w:val="00B9590C"/>
    <w:rsid w:val="00B95A93"/>
    <w:rsid w:val="00B95F51"/>
    <w:rsid w:val="00B96956"/>
    <w:rsid w:val="00B979A5"/>
    <w:rsid w:val="00B97BD4"/>
    <w:rsid w:val="00B97EDA"/>
    <w:rsid w:val="00BA022A"/>
    <w:rsid w:val="00BA04CF"/>
    <w:rsid w:val="00BA0F57"/>
    <w:rsid w:val="00BA0F7A"/>
    <w:rsid w:val="00BA10F3"/>
    <w:rsid w:val="00BA12EE"/>
    <w:rsid w:val="00BA1AE2"/>
    <w:rsid w:val="00BA1D53"/>
    <w:rsid w:val="00BA2F13"/>
    <w:rsid w:val="00BA4074"/>
    <w:rsid w:val="00BA479E"/>
    <w:rsid w:val="00BA4909"/>
    <w:rsid w:val="00BA4E7D"/>
    <w:rsid w:val="00BA4F11"/>
    <w:rsid w:val="00BA50DF"/>
    <w:rsid w:val="00BA539B"/>
    <w:rsid w:val="00BA5911"/>
    <w:rsid w:val="00BA5A5A"/>
    <w:rsid w:val="00BA5F76"/>
    <w:rsid w:val="00BA73B6"/>
    <w:rsid w:val="00BA7C0A"/>
    <w:rsid w:val="00BA7FF9"/>
    <w:rsid w:val="00BB00B8"/>
    <w:rsid w:val="00BB0578"/>
    <w:rsid w:val="00BB0621"/>
    <w:rsid w:val="00BB07D7"/>
    <w:rsid w:val="00BB0878"/>
    <w:rsid w:val="00BB0986"/>
    <w:rsid w:val="00BB0AC1"/>
    <w:rsid w:val="00BB0D3A"/>
    <w:rsid w:val="00BB12BD"/>
    <w:rsid w:val="00BB198B"/>
    <w:rsid w:val="00BB1BB3"/>
    <w:rsid w:val="00BB2153"/>
    <w:rsid w:val="00BB2177"/>
    <w:rsid w:val="00BB2777"/>
    <w:rsid w:val="00BB27A3"/>
    <w:rsid w:val="00BB3FA9"/>
    <w:rsid w:val="00BB3FE3"/>
    <w:rsid w:val="00BB423B"/>
    <w:rsid w:val="00BB437B"/>
    <w:rsid w:val="00BB5114"/>
    <w:rsid w:val="00BB5841"/>
    <w:rsid w:val="00BB5EA7"/>
    <w:rsid w:val="00BB6297"/>
    <w:rsid w:val="00BB65A6"/>
    <w:rsid w:val="00BB65EF"/>
    <w:rsid w:val="00BB69D7"/>
    <w:rsid w:val="00BB6A31"/>
    <w:rsid w:val="00BB6F2A"/>
    <w:rsid w:val="00BB76EB"/>
    <w:rsid w:val="00BB780E"/>
    <w:rsid w:val="00BB7C0C"/>
    <w:rsid w:val="00BC0829"/>
    <w:rsid w:val="00BC10BB"/>
    <w:rsid w:val="00BC1194"/>
    <w:rsid w:val="00BC12CB"/>
    <w:rsid w:val="00BC1BD1"/>
    <w:rsid w:val="00BC247C"/>
    <w:rsid w:val="00BC2725"/>
    <w:rsid w:val="00BC2BE3"/>
    <w:rsid w:val="00BC2CB6"/>
    <w:rsid w:val="00BC2E4E"/>
    <w:rsid w:val="00BC30AE"/>
    <w:rsid w:val="00BC32A4"/>
    <w:rsid w:val="00BC4542"/>
    <w:rsid w:val="00BC5C7F"/>
    <w:rsid w:val="00BC6038"/>
    <w:rsid w:val="00BC6109"/>
    <w:rsid w:val="00BC6674"/>
    <w:rsid w:val="00BC6795"/>
    <w:rsid w:val="00BC6B71"/>
    <w:rsid w:val="00BC6E7C"/>
    <w:rsid w:val="00BC7611"/>
    <w:rsid w:val="00BC79EB"/>
    <w:rsid w:val="00BC7A89"/>
    <w:rsid w:val="00BD0417"/>
    <w:rsid w:val="00BD0C45"/>
    <w:rsid w:val="00BD0F1C"/>
    <w:rsid w:val="00BD169C"/>
    <w:rsid w:val="00BD1851"/>
    <w:rsid w:val="00BD19CC"/>
    <w:rsid w:val="00BD1C34"/>
    <w:rsid w:val="00BD1F1E"/>
    <w:rsid w:val="00BD1F71"/>
    <w:rsid w:val="00BD2073"/>
    <w:rsid w:val="00BD21BD"/>
    <w:rsid w:val="00BD2D0B"/>
    <w:rsid w:val="00BD3460"/>
    <w:rsid w:val="00BD3E9F"/>
    <w:rsid w:val="00BD43DC"/>
    <w:rsid w:val="00BD43E9"/>
    <w:rsid w:val="00BD445E"/>
    <w:rsid w:val="00BD4920"/>
    <w:rsid w:val="00BD523F"/>
    <w:rsid w:val="00BD536A"/>
    <w:rsid w:val="00BD55FF"/>
    <w:rsid w:val="00BD57D1"/>
    <w:rsid w:val="00BD663F"/>
    <w:rsid w:val="00BD72E7"/>
    <w:rsid w:val="00BD7529"/>
    <w:rsid w:val="00BD7683"/>
    <w:rsid w:val="00BD783A"/>
    <w:rsid w:val="00BD794A"/>
    <w:rsid w:val="00BD7B4F"/>
    <w:rsid w:val="00BD7D30"/>
    <w:rsid w:val="00BD7FCE"/>
    <w:rsid w:val="00BE0081"/>
    <w:rsid w:val="00BE0236"/>
    <w:rsid w:val="00BE0287"/>
    <w:rsid w:val="00BE0931"/>
    <w:rsid w:val="00BE0BBF"/>
    <w:rsid w:val="00BE1098"/>
    <w:rsid w:val="00BE1263"/>
    <w:rsid w:val="00BE19C8"/>
    <w:rsid w:val="00BE1AC7"/>
    <w:rsid w:val="00BE1D2A"/>
    <w:rsid w:val="00BE1FBA"/>
    <w:rsid w:val="00BE22C8"/>
    <w:rsid w:val="00BE289D"/>
    <w:rsid w:val="00BE2AC5"/>
    <w:rsid w:val="00BE30D6"/>
    <w:rsid w:val="00BE3C07"/>
    <w:rsid w:val="00BE433E"/>
    <w:rsid w:val="00BE43D1"/>
    <w:rsid w:val="00BE477A"/>
    <w:rsid w:val="00BE4BF7"/>
    <w:rsid w:val="00BE4C92"/>
    <w:rsid w:val="00BE50D2"/>
    <w:rsid w:val="00BE52C2"/>
    <w:rsid w:val="00BE53A2"/>
    <w:rsid w:val="00BE6217"/>
    <w:rsid w:val="00BE6361"/>
    <w:rsid w:val="00BE6AD5"/>
    <w:rsid w:val="00BE7214"/>
    <w:rsid w:val="00BE735E"/>
    <w:rsid w:val="00BE76A9"/>
    <w:rsid w:val="00BE7AF6"/>
    <w:rsid w:val="00BE7E84"/>
    <w:rsid w:val="00BF00D7"/>
    <w:rsid w:val="00BF0172"/>
    <w:rsid w:val="00BF01B6"/>
    <w:rsid w:val="00BF0599"/>
    <w:rsid w:val="00BF0855"/>
    <w:rsid w:val="00BF0CF2"/>
    <w:rsid w:val="00BF0DD3"/>
    <w:rsid w:val="00BF157F"/>
    <w:rsid w:val="00BF1648"/>
    <w:rsid w:val="00BF1E08"/>
    <w:rsid w:val="00BF1F9C"/>
    <w:rsid w:val="00BF20C0"/>
    <w:rsid w:val="00BF29E8"/>
    <w:rsid w:val="00BF2B49"/>
    <w:rsid w:val="00BF2B63"/>
    <w:rsid w:val="00BF2EC9"/>
    <w:rsid w:val="00BF34D3"/>
    <w:rsid w:val="00BF378A"/>
    <w:rsid w:val="00BF4099"/>
    <w:rsid w:val="00BF49FE"/>
    <w:rsid w:val="00BF4DE4"/>
    <w:rsid w:val="00BF4E51"/>
    <w:rsid w:val="00BF52BA"/>
    <w:rsid w:val="00BF56A0"/>
    <w:rsid w:val="00BF60F0"/>
    <w:rsid w:val="00BF640C"/>
    <w:rsid w:val="00BF6705"/>
    <w:rsid w:val="00BF6BE9"/>
    <w:rsid w:val="00BF780E"/>
    <w:rsid w:val="00BF7A59"/>
    <w:rsid w:val="00BF7C59"/>
    <w:rsid w:val="00BF7E18"/>
    <w:rsid w:val="00BF7F0D"/>
    <w:rsid w:val="00C00125"/>
    <w:rsid w:val="00C007F5"/>
    <w:rsid w:val="00C00A28"/>
    <w:rsid w:val="00C00C0B"/>
    <w:rsid w:val="00C00E59"/>
    <w:rsid w:val="00C00FAA"/>
    <w:rsid w:val="00C013B5"/>
    <w:rsid w:val="00C013EB"/>
    <w:rsid w:val="00C01791"/>
    <w:rsid w:val="00C018F8"/>
    <w:rsid w:val="00C01A36"/>
    <w:rsid w:val="00C02D16"/>
    <w:rsid w:val="00C02E16"/>
    <w:rsid w:val="00C03508"/>
    <w:rsid w:val="00C035CC"/>
    <w:rsid w:val="00C039B6"/>
    <w:rsid w:val="00C03A9B"/>
    <w:rsid w:val="00C03F76"/>
    <w:rsid w:val="00C041A3"/>
    <w:rsid w:val="00C04D46"/>
    <w:rsid w:val="00C04ED4"/>
    <w:rsid w:val="00C05290"/>
    <w:rsid w:val="00C0532A"/>
    <w:rsid w:val="00C0566F"/>
    <w:rsid w:val="00C05D72"/>
    <w:rsid w:val="00C065D3"/>
    <w:rsid w:val="00C069D5"/>
    <w:rsid w:val="00C06AFA"/>
    <w:rsid w:val="00C06C47"/>
    <w:rsid w:val="00C07F39"/>
    <w:rsid w:val="00C100F9"/>
    <w:rsid w:val="00C101E1"/>
    <w:rsid w:val="00C107CA"/>
    <w:rsid w:val="00C10C88"/>
    <w:rsid w:val="00C1148A"/>
    <w:rsid w:val="00C11CE3"/>
    <w:rsid w:val="00C1221B"/>
    <w:rsid w:val="00C123D7"/>
    <w:rsid w:val="00C12727"/>
    <w:rsid w:val="00C13344"/>
    <w:rsid w:val="00C13ACE"/>
    <w:rsid w:val="00C13DDE"/>
    <w:rsid w:val="00C13FA0"/>
    <w:rsid w:val="00C14AE6"/>
    <w:rsid w:val="00C14C5E"/>
    <w:rsid w:val="00C14F31"/>
    <w:rsid w:val="00C1551F"/>
    <w:rsid w:val="00C16588"/>
    <w:rsid w:val="00C165EA"/>
    <w:rsid w:val="00C16DAB"/>
    <w:rsid w:val="00C170DC"/>
    <w:rsid w:val="00C17D77"/>
    <w:rsid w:val="00C17DF4"/>
    <w:rsid w:val="00C20385"/>
    <w:rsid w:val="00C20397"/>
    <w:rsid w:val="00C203FB"/>
    <w:rsid w:val="00C208E1"/>
    <w:rsid w:val="00C209FE"/>
    <w:rsid w:val="00C21697"/>
    <w:rsid w:val="00C2180F"/>
    <w:rsid w:val="00C21BDE"/>
    <w:rsid w:val="00C22714"/>
    <w:rsid w:val="00C22CF9"/>
    <w:rsid w:val="00C22FEE"/>
    <w:rsid w:val="00C23178"/>
    <w:rsid w:val="00C23A16"/>
    <w:rsid w:val="00C23A3B"/>
    <w:rsid w:val="00C23A94"/>
    <w:rsid w:val="00C23C2C"/>
    <w:rsid w:val="00C23DF1"/>
    <w:rsid w:val="00C240AC"/>
    <w:rsid w:val="00C2428E"/>
    <w:rsid w:val="00C24421"/>
    <w:rsid w:val="00C2446C"/>
    <w:rsid w:val="00C245C8"/>
    <w:rsid w:val="00C246E2"/>
    <w:rsid w:val="00C24836"/>
    <w:rsid w:val="00C250F5"/>
    <w:rsid w:val="00C258BC"/>
    <w:rsid w:val="00C25B45"/>
    <w:rsid w:val="00C26577"/>
    <w:rsid w:val="00C26612"/>
    <w:rsid w:val="00C26869"/>
    <w:rsid w:val="00C26A20"/>
    <w:rsid w:val="00C26CDB"/>
    <w:rsid w:val="00C271F8"/>
    <w:rsid w:val="00C2767A"/>
    <w:rsid w:val="00C277D1"/>
    <w:rsid w:val="00C279AD"/>
    <w:rsid w:val="00C27CDF"/>
    <w:rsid w:val="00C27E3D"/>
    <w:rsid w:val="00C27F38"/>
    <w:rsid w:val="00C30180"/>
    <w:rsid w:val="00C301E4"/>
    <w:rsid w:val="00C301EA"/>
    <w:rsid w:val="00C30CE2"/>
    <w:rsid w:val="00C30F41"/>
    <w:rsid w:val="00C31251"/>
    <w:rsid w:val="00C31419"/>
    <w:rsid w:val="00C32809"/>
    <w:rsid w:val="00C32903"/>
    <w:rsid w:val="00C32FF5"/>
    <w:rsid w:val="00C3309E"/>
    <w:rsid w:val="00C335D6"/>
    <w:rsid w:val="00C337D8"/>
    <w:rsid w:val="00C33D7B"/>
    <w:rsid w:val="00C34223"/>
    <w:rsid w:val="00C34597"/>
    <w:rsid w:val="00C346B6"/>
    <w:rsid w:val="00C34AB3"/>
    <w:rsid w:val="00C35215"/>
    <w:rsid w:val="00C35E7E"/>
    <w:rsid w:val="00C35F7B"/>
    <w:rsid w:val="00C3633C"/>
    <w:rsid w:val="00C3647B"/>
    <w:rsid w:val="00C366E3"/>
    <w:rsid w:val="00C36C6C"/>
    <w:rsid w:val="00C36F57"/>
    <w:rsid w:val="00C371E2"/>
    <w:rsid w:val="00C3793E"/>
    <w:rsid w:val="00C37A1E"/>
    <w:rsid w:val="00C37B34"/>
    <w:rsid w:val="00C37D06"/>
    <w:rsid w:val="00C37D80"/>
    <w:rsid w:val="00C37FEF"/>
    <w:rsid w:val="00C401CE"/>
    <w:rsid w:val="00C40B55"/>
    <w:rsid w:val="00C41D3A"/>
    <w:rsid w:val="00C41ED6"/>
    <w:rsid w:val="00C41EF3"/>
    <w:rsid w:val="00C42407"/>
    <w:rsid w:val="00C42B17"/>
    <w:rsid w:val="00C42B54"/>
    <w:rsid w:val="00C42C66"/>
    <w:rsid w:val="00C42D17"/>
    <w:rsid w:val="00C43291"/>
    <w:rsid w:val="00C434B0"/>
    <w:rsid w:val="00C44455"/>
    <w:rsid w:val="00C4466C"/>
    <w:rsid w:val="00C448D4"/>
    <w:rsid w:val="00C44944"/>
    <w:rsid w:val="00C44A78"/>
    <w:rsid w:val="00C44A84"/>
    <w:rsid w:val="00C44BEA"/>
    <w:rsid w:val="00C45A18"/>
    <w:rsid w:val="00C46258"/>
    <w:rsid w:val="00C46677"/>
    <w:rsid w:val="00C4675F"/>
    <w:rsid w:val="00C46851"/>
    <w:rsid w:val="00C46A70"/>
    <w:rsid w:val="00C46BA5"/>
    <w:rsid w:val="00C471FB"/>
    <w:rsid w:val="00C47766"/>
    <w:rsid w:val="00C47F22"/>
    <w:rsid w:val="00C501DB"/>
    <w:rsid w:val="00C501E3"/>
    <w:rsid w:val="00C5022C"/>
    <w:rsid w:val="00C505DF"/>
    <w:rsid w:val="00C508D1"/>
    <w:rsid w:val="00C50A05"/>
    <w:rsid w:val="00C50AB0"/>
    <w:rsid w:val="00C50CD2"/>
    <w:rsid w:val="00C518A9"/>
    <w:rsid w:val="00C51946"/>
    <w:rsid w:val="00C51AB1"/>
    <w:rsid w:val="00C51E7E"/>
    <w:rsid w:val="00C52222"/>
    <w:rsid w:val="00C52969"/>
    <w:rsid w:val="00C529A5"/>
    <w:rsid w:val="00C52BB3"/>
    <w:rsid w:val="00C53040"/>
    <w:rsid w:val="00C536BE"/>
    <w:rsid w:val="00C5377D"/>
    <w:rsid w:val="00C53F3F"/>
    <w:rsid w:val="00C543FE"/>
    <w:rsid w:val="00C545C3"/>
    <w:rsid w:val="00C548D0"/>
    <w:rsid w:val="00C54A5B"/>
    <w:rsid w:val="00C55294"/>
    <w:rsid w:val="00C552DE"/>
    <w:rsid w:val="00C55699"/>
    <w:rsid w:val="00C556A7"/>
    <w:rsid w:val="00C55D93"/>
    <w:rsid w:val="00C55F83"/>
    <w:rsid w:val="00C561F1"/>
    <w:rsid w:val="00C5637A"/>
    <w:rsid w:val="00C565F5"/>
    <w:rsid w:val="00C56BB8"/>
    <w:rsid w:val="00C56D1C"/>
    <w:rsid w:val="00C5748E"/>
    <w:rsid w:val="00C57D82"/>
    <w:rsid w:val="00C60746"/>
    <w:rsid w:val="00C607FC"/>
    <w:rsid w:val="00C608A7"/>
    <w:rsid w:val="00C60CAF"/>
    <w:rsid w:val="00C61365"/>
    <w:rsid w:val="00C61B52"/>
    <w:rsid w:val="00C61F31"/>
    <w:rsid w:val="00C625B3"/>
    <w:rsid w:val="00C62A2E"/>
    <w:rsid w:val="00C6319D"/>
    <w:rsid w:val="00C63282"/>
    <w:rsid w:val="00C633F7"/>
    <w:rsid w:val="00C63548"/>
    <w:rsid w:val="00C638E6"/>
    <w:rsid w:val="00C63A08"/>
    <w:rsid w:val="00C63EE9"/>
    <w:rsid w:val="00C6433D"/>
    <w:rsid w:val="00C6493A"/>
    <w:rsid w:val="00C64AF0"/>
    <w:rsid w:val="00C64CFB"/>
    <w:rsid w:val="00C65753"/>
    <w:rsid w:val="00C657A4"/>
    <w:rsid w:val="00C667FE"/>
    <w:rsid w:val="00C66810"/>
    <w:rsid w:val="00C66818"/>
    <w:rsid w:val="00C66AC2"/>
    <w:rsid w:val="00C6702E"/>
    <w:rsid w:val="00C67609"/>
    <w:rsid w:val="00C678A0"/>
    <w:rsid w:val="00C702B4"/>
    <w:rsid w:val="00C702F5"/>
    <w:rsid w:val="00C70873"/>
    <w:rsid w:val="00C718A5"/>
    <w:rsid w:val="00C71987"/>
    <w:rsid w:val="00C719BC"/>
    <w:rsid w:val="00C71D7B"/>
    <w:rsid w:val="00C71F67"/>
    <w:rsid w:val="00C72130"/>
    <w:rsid w:val="00C721F2"/>
    <w:rsid w:val="00C726F0"/>
    <w:rsid w:val="00C729DB"/>
    <w:rsid w:val="00C72FC8"/>
    <w:rsid w:val="00C735CA"/>
    <w:rsid w:val="00C73911"/>
    <w:rsid w:val="00C7466D"/>
    <w:rsid w:val="00C74694"/>
    <w:rsid w:val="00C7486C"/>
    <w:rsid w:val="00C74897"/>
    <w:rsid w:val="00C74C5C"/>
    <w:rsid w:val="00C75023"/>
    <w:rsid w:val="00C75522"/>
    <w:rsid w:val="00C75567"/>
    <w:rsid w:val="00C75DB6"/>
    <w:rsid w:val="00C762F3"/>
    <w:rsid w:val="00C76376"/>
    <w:rsid w:val="00C76751"/>
    <w:rsid w:val="00C768E8"/>
    <w:rsid w:val="00C76A11"/>
    <w:rsid w:val="00C76C64"/>
    <w:rsid w:val="00C77039"/>
    <w:rsid w:val="00C776AB"/>
    <w:rsid w:val="00C80525"/>
    <w:rsid w:val="00C806FD"/>
    <w:rsid w:val="00C80A0B"/>
    <w:rsid w:val="00C81105"/>
    <w:rsid w:val="00C82281"/>
    <w:rsid w:val="00C8272C"/>
    <w:rsid w:val="00C82B0B"/>
    <w:rsid w:val="00C83340"/>
    <w:rsid w:val="00C834A3"/>
    <w:rsid w:val="00C835F7"/>
    <w:rsid w:val="00C8388F"/>
    <w:rsid w:val="00C838B5"/>
    <w:rsid w:val="00C838F3"/>
    <w:rsid w:val="00C83B86"/>
    <w:rsid w:val="00C83D8B"/>
    <w:rsid w:val="00C84422"/>
    <w:rsid w:val="00C8497D"/>
    <w:rsid w:val="00C84AD4"/>
    <w:rsid w:val="00C84D4F"/>
    <w:rsid w:val="00C85459"/>
    <w:rsid w:val="00C85A99"/>
    <w:rsid w:val="00C85BD4"/>
    <w:rsid w:val="00C8640B"/>
    <w:rsid w:val="00C86F11"/>
    <w:rsid w:val="00C86F62"/>
    <w:rsid w:val="00C8707A"/>
    <w:rsid w:val="00C8718C"/>
    <w:rsid w:val="00C87325"/>
    <w:rsid w:val="00C876B2"/>
    <w:rsid w:val="00C8776F"/>
    <w:rsid w:val="00C87A11"/>
    <w:rsid w:val="00C87EF5"/>
    <w:rsid w:val="00C87FB5"/>
    <w:rsid w:val="00C901D9"/>
    <w:rsid w:val="00C9128C"/>
    <w:rsid w:val="00C91943"/>
    <w:rsid w:val="00C91FE9"/>
    <w:rsid w:val="00C9203A"/>
    <w:rsid w:val="00C92159"/>
    <w:rsid w:val="00C92A6B"/>
    <w:rsid w:val="00C92A74"/>
    <w:rsid w:val="00C930EA"/>
    <w:rsid w:val="00C932F2"/>
    <w:rsid w:val="00C9467A"/>
    <w:rsid w:val="00C953CA"/>
    <w:rsid w:val="00C959AC"/>
    <w:rsid w:val="00C95D23"/>
    <w:rsid w:val="00C95E7B"/>
    <w:rsid w:val="00C96143"/>
    <w:rsid w:val="00C969A3"/>
    <w:rsid w:val="00C97212"/>
    <w:rsid w:val="00C97B9D"/>
    <w:rsid w:val="00C97FD2"/>
    <w:rsid w:val="00CA0309"/>
    <w:rsid w:val="00CA061F"/>
    <w:rsid w:val="00CA0690"/>
    <w:rsid w:val="00CA073F"/>
    <w:rsid w:val="00CA0DD8"/>
    <w:rsid w:val="00CA1352"/>
    <w:rsid w:val="00CA1415"/>
    <w:rsid w:val="00CA1A2A"/>
    <w:rsid w:val="00CA23F7"/>
    <w:rsid w:val="00CA2A9D"/>
    <w:rsid w:val="00CA2C1C"/>
    <w:rsid w:val="00CA365B"/>
    <w:rsid w:val="00CA38DE"/>
    <w:rsid w:val="00CA417D"/>
    <w:rsid w:val="00CA41B9"/>
    <w:rsid w:val="00CA42A3"/>
    <w:rsid w:val="00CA483E"/>
    <w:rsid w:val="00CA4941"/>
    <w:rsid w:val="00CA5B08"/>
    <w:rsid w:val="00CA635E"/>
    <w:rsid w:val="00CA6C1B"/>
    <w:rsid w:val="00CA6CA4"/>
    <w:rsid w:val="00CA7786"/>
    <w:rsid w:val="00CB06FD"/>
    <w:rsid w:val="00CB084E"/>
    <w:rsid w:val="00CB091E"/>
    <w:rsid w:val="00CB09BF"/>
    <w:rsid w:val="00CB0A5B"/>
    <w:rsid w:val="00CB0C41"/>
    <w:rsid w:val="00CB0F2F"/>
    <w:rsid w:val="00CB11A2"/>
    <w:rsid w:val="00CB1941"/>
    <w:rsid w:val="00CB1A50"/>
    <w:rsid w:val="00CB1E29"/>
    <w:rsid w:val="00CB1F12"/>
    <w:rsid w:val="00CB2190"/>
    <w:rsid w:val="00CB2683"/>
    <w:rsid w:val="00CB2A95"/>
    <w:rsid w:val="00CB2E32"/>
    <w:rsid w:val="00CB31EC"/>
    <w:rsid w:val="00CB35C6"/>
    <w:rsid w:val="00CB3775"/>
    <w:rsid w:val="00CB3805"/>
    <w:rsid w:val="00CB3DA7"/>
    <w:rsid w:val="00CB4044"/>
    <w:rsid w:val="00CB42E1"/>
    <w:rsid w:val="00CB447E"/>
    <w:rsid w:val="00CB455D"/>
    <w:rsid w:val="00CB56BF"/>
    <w:rsid w:val="00CB59D0"/>
    <w:rsid w:val="00CB60A8"/>
    <w:rsid w:val="00CB6476"/>
    <w:rsid w:val="00CB664C"/>
    <w:rsid w:val="00CB693B"/>
    <w:rsid w:val="00CB6EB1"/>
    <w:rsid w:val="00CB7108"/>
    <w:rsid w:val="00CC047A"/>
    <w:rsid w:val="00CC0867"/>
    <w:rsid w:val="00CC101B"/>
    <w:rsid w:val="00CC114C"/>
    <w:rsid w:val="00CC153A"/>
    <w:rsid w:val="00CC1CC5"/>
    <w:rsid w:val="00CC22A3"/>
    <w:rsid w:val="00CC305A"/>
    <w:rsid w:val="00CC33F4"/>
    <w:rsid w:val="00CC3578"/>
    <w:rsid w:val="00CC3C4A"/>
    <w:rsid w:val="00CC3E0F"/>
    <w:rsid w:val="00CC3FAB"/>
    <w:rsid w:val="00CC4872"/>
    <w:rsid w:val="00CC48E8"/>
    <w:rsid w:val="00CC48F6"/>
    <w:rsid w:val="00CC4B77"/>
    <w:rsid w:val="00CC5AFC"/>
    <w:rsid w:val="00CC5F7C"/>
    <w:rsid w:val="00CC614C"/>
    <w:rsid w:val="00CC615E"/>
    <w:rsid w:val="00CC647E"/>
    <w:rsid w:val="00CC64AF"/>
    <w:rsid w:val="00CC66D9"/>
    <w:rsid w:val="00CC69A4"/>
    <w:rsid w:val="00CC6A61"/>
    <w:rsid w:val="00CC6D46"/>
    <w:rsid w:val="00CC73EC"/>
    <w:rsid w:val="00CC792E"/>
    <w:rsid w:val="00CC7DBF"/>
    <w:rsid w:val="00CD0661"/>
    <w:rsid w:val="00CD0C58"/>
    <w:rsid w:val="00CD13BF"/>
    <w:rsid w:val="00CD1977"/>
    <w:rsid w:val="00CD1CAF"/>
    <w:rsid w:val="00CD2405"/>
    <w:rsid w:val="00CD26B0"/>
    <w:rsid w:val="00CD348C"/>
    <w:rsid w:val="00CD3518"/>
    <w:rsid w:val="00CD351B"/>
    <w:rsid w:val="00CD352C"/>
    <w:rsid w:val="00CD3615"/>
    <w:rsid w:val="00CD3B3B"/>
    <w:rsid w:val="00CD445E"/>
    <w:rsid w:val="00CD46DB"/>
    <w:rsid w:val="00CD49D9"/>
    <w:rsid w:val="00CD4B4C"/>
    <w:rsid w:val="00CD4EF6"/>
    <w:rsid w:val="00CD54DF"/>
    <w:rsid w:val="00CD5702"/>
    <w:rsid w:val="00CD5848"/>
    <w:rsid w:val="00CD58A5"/>
    <w:rsid w:val="00CD5BC7"/>
    <w:rsid w:val="00CD5E43"/>
    <w:rsid w:val="00CD60E7"/>
    <w:rsid w:val="00CD6666"/>
    <w:rsid w:val="00CD670E"/>
    <w:rsid w:val="00CD67EA"/>
    <w:rsid w:val="00CD68A7"/>
    <w:rsid w:val="00CD6B5E"/>
    <w:rsid w:val="00CD6EE5"/>
    <w:rsid w:val="00CD6F28"/>
    <w:rsid w:val="00CD7295"/>
    <w:rsid w:val="00CD7499"/>
    <w:rsid w:val="00CD772B"/>
    <w:rsid w:val="00CD7892"/>
    <w:rsid w:val="00CD7F20"/>
    <w:rsid w:val="00CE0447"/>
    <w:rsid w:val="00CE062F"/>
    <w:rsid w:val="00CE0B03"/>
    <w:rsid w:val="00CE1AC0"/>
    <w:rsid w:val="00CE286D"/>
    <w:rsid w:val="00CE3556"/>
    <w:rsid w:val="00CE3865"/>
    <w:rsid w:val="00CE3B41"/>
    <w:rsid w:val="00CE3DE2"/>
    <w:rsid w:val="00CE3E86"/>
    <w:rsid w:val="00CE43EF"/>
    <w:rsid w:val="00CE4901"/>
    <w:rsid w:val="00CE5233"/>
    <w:rsid w:val="00CE577B"/>
    <w:rsid w:val="00CE60C9"/>
    <w:rsid w:val="00CE650A"/>
    <w:rsid w:val="00CE65EB"/>
    <w:rsid w:val="00CE6862"/>
    <w:rsid w:val="00CE6A91"/>
    <w:rsid w:val="00CE6CB0"/>
    <w:rsid w:val="00CE76E7"/>
    <w:rsid w:val="00CE7F2B"/>
    <w:rsid w:val="00CF0687"/>
    <w:rsid w:val="00CF07F2"/>
    <w:rsid w:val="00CF0A05"/>
    <w:rsid w:val="00CF11E0"/>
    <w:rsid w:val="00CF25D4"/>
    <w:rsid w:val="00CF3302"/>
    <w:rsid w:val="00CF338B"/>
    <w:rsid w:val="00CF349F"/>
    <w:rsid w:val="00CF37B6"/>
    <w:rsid w:val="00CF3D6F"/>
    <w:rsid w:val="00CF4F7E"/>
    <w:rsid w:val="00CF58ED"/>
    <w:rsid w:val="00CF61C5"/>
    <w:rsid w:val="00CF67BD"/>
    <w:rsid w:val="00CF785A"/>
    <w:rsid w:val="00CF7D0A"/>
    <w:rsid w:val="00D0019A"/>
    <w:rsid w:val="00D002A2"/>
    <w:rsid w:val="00D00638"/>
    <w:rsid w:val="00D00863"/>
    <w:rsid w:val="00D00A2A"/>
    <w:rsid w:val="00D012C5"/>
    <w:rsid w:val="00D019FB"/>
    <w:rsid w:val="00D01C8E"/>
    <w:rsid w:val="00D01CBA"/>
    <w:rsid w:val="00D01D65"/>
    <w:rsid w:val="00D01E01"/>
    <w:rsid w:val="00D0219C"/>
    <w:rsid w:val="00D022BF"/>
    <w:rsid w:val="00D02BA9"/>
    <w:rsid w:val="00D02FBF"/>
    <w:rsid w:val="00D0308E"/>
    <w:rsid w:val="00D031C3"/>
    <w:rsid w:val="00D0337C"/>
    <w:rsid w:val="00D03641"/>
    <w:rsid w:val="00D03701"/>
    <w:rsid w:val="00D03879"/>
    <w:rsid w:val="00D03BB3"/>
    <w:rsid w:val="00D044A6"/>
    <w:rsid w:val="00D045C0"/>
    <w:rsid w:val="00D0483E"/>
    <w:rsid w:val="00D04A64"/>
    <w:rsid w:val="00D04E40"/>
    <w:rsid w:val="00D04EFB"/>
    <w:rsid w:val="00D058CA"/>
    <w:rsid w:val="00D05AC2"/>
    <w:rsid w:val="00D05AD3"/>
    <w:rsid w:val="00D05FC5"/>
    <w:rsid w:val="00D05FC6"/>
    <w:rsid w:val="00D068B9"/>
    <w:rsid w:val="00D06AED"/>
    <w:rsid w:val="00D06C58"/>
    <w:rsid w:val="00D07059"/>
    <w:rsid w:val="00D072E0"/>
    <w:rsid w:val="00D077AE"/>
    <w:rsid w:val="00D10040"/>
    <w:rsid w:val="00D10604"/>
    <w:rsid w:val="00D106C3"/>
    <w:rsid w:val="00D10BAE"/>
    <w:rsid w:val="00D11981"/>
    <w:rsid w:val="00D11DE8"/>
    <w:rsid w:val="00D1226D"/>
    <w:rsid w:val="00D12311"/>
    <w:rsid w:val="00D127B3"/>
    <w:rsid w:val="00D128C4"/>
    <w:rsid w:val="00D12CD8"/>
    <w:rsid w:val="00D12CF6"/>
    <w:rsid w:val="00D13B8D"/>
    <w:rsid w:val="00D13F2A"/>
    <w:rsid w:val="00D13FAF"/>
    <w:rsid w:val="00D143BD"/>
    <w:rsid w:val="00D14578"/>
    <w:rsid w:val="00D15A77"/>
    <w:rsid w:val="00D15BA3"/>
    <w:rsid w:val="00D164F1"/>
    <w:rsid w:val="00D1683B"/>
    <w:rsid w:val="00D16961"/>
    <w:rsid w:val="00D16EE6"/>
    <w:rsid w:val="00D1737C"/>
    <w:rsid w:val="00D17A8E"/>
    <w:rsid w:val="00D17ACF"/>
    <w:rsid w:val="00D202A4"/>
    <w:rsid w:val="00D20626"/>
    <w:rsid w:val="00D20775"/>
    <w:rsid w:val="00D20A53"/>
    <w:rsid w:val="00D20FCA"/>
    <w:rsid w:val="00D217C7"/>
    <w:rsid w:val="00D21880"/>
    <w:rsid w:val="00D21BE7"/>
    <w:rsid w:val="00D21D89"/>
    <w:rsid w:val="00D21F1B"/>
    <w:rsid w:val="00D22356"/>
    <w:rsid w:val="00D22A8C"/>
    <w:rsid w:val="00D231E7"/>
    <w:rsid w:val="00D23557"/>
    <w:rsid w:val="00D23AE3"/>
    <w:rsid w:val="00D23B50"/>
    <w:rsid w:val="00D23F66"/>
    <w:rsid w:val="00D24BA2"/>
    <w:rsid w:val="00D25061"/>
    <w:rsid w:val="00D25941"/>
    <w:rsid w:val="00D2696F"/>
    <w:rsid w:val="00D26977"/>
    <w:rsid w:val="00D26FF6"/>
    <w:rsid w:val="00D27227"/>
    <w:rsid w:val="00D27948"/>
    <w:rsid w:val="00D27BC5"/>
    <w:rsid w:val="00D308FF"/>
    <w:rsid w:val="00D30A75"/>
    <w:rsid w:val="00D30AED"/>
    <w:rsid w:val="00D30DF6"/>
    <w:rsid w:val="00D30F0B"/>
    <w:rsid w:val="00D3103E"/>
    <w:rsid w:val="00D3107C"/>
    <w:rsid w:val="00D3113C"/>
    <w:rsid w:val="00D31146"/>
    <w:rsid w:val="00D31235"/>
    <w:rsid w:val="00D31438"/>
    <w:rsid w:val="00D31498"/>
    <w:rsid w:val="00D31A47"/>
    <w:rsid w:val="00D32A9E"/>
    <w:rsid w:val="00D32CD1"/>
    <w:rsid w:val="00D337CA"/>
    <w:rsid w:val="00D33D73"/>
    <w:rsid w:val="00D340E6"/>
    <w:rsid w:val="00D3417B"/>
    <w:rsid w:val="00D341C2"/>
    <w:rsid w:val="00D349BC"/>
    <w:rsid w:val="00D34A5D"/>
    <w:rsid w:val="00D34C59"/>
    <w:rsid w:val="00D351AE"/>
    <w:rsid w:val="00D352AB"/>
    <w:rsid w:val="00D35594"/>
    <w:rsid w:val="00D356F9"/>
    <w:rsid w:val="00D35EB1"/>
    <w:rsid w:val="00D363C1"/>
    <w:rsid w:val="00D36B0F"/>
    <w:rsid w:val="00D36BF3"/>
    <w:rsid w:val="00D371BB"/>
    <w:rsid w:val="00D374BD"/>
    <w:rsid w:val="00D37579"/>
    <w:rsid w:val="00D4058D"/>
    <w:rsid w:val="00D406D3"/>
    <w:rsid w:val="00D40C52"/>
    <w:rsid w:val="00D4132E"/>
    <w:rsid w:val="00D4137E"/>
    <w:rsid w:val="00D413A7"/>
    <w:rsid w:val="00D4210E"/>
    <w:rsid w:val="00D42A75"/>
    <w:rsid w:val="00D42B28"/>
    <w:rsid w:val="00D43455"/>
    <w:rsid w:val="00D43649"/>
    <w:rsid w:val="00D43D5B"/>
    <w:rsid w:val="00D43E29"/>
    <w:rsid w:val="00D43E2D"/>
    <w:rsid w:val="00D43F3D"/>
    <w:rsid w:val="00D43FAA"/>
    <w:rsid w:val="00D446EA"/>
    <w:rsid w:val="00D447FF"/>
    <w:rsid w:val="00D44988"/>
    <w:rsid w:val="00D44C6C"/>
    <w:rsid w:val="00D452B5"/>
    <w:rsid w:val="00D4533C"/>
    <w:rsid w:val="00D458F2"/>
    <w:rsid w:val="00D46C85"/>
    <w:rsid w:val="00D475BE"/>
    <w:rsid w:val="00D50410"/>
    <w:rsid w:val="00D507AE"/>
    <w:rsid w:val="00D507EA"/>
    <w:rsid w:val="00D5080F"/>
    <w:rsid w:val="00D5081A"/>
    <w:rsid w:val="00D508E8"/>
    <w:rsid w:val="00D50E7D"/>
    <w:rsid w:val="00D514CE"/>
    <w:rsid w:val="00D5154F"/>
    <w:rsid w:val="00D515BF"/>
    <w:rsid w:val="00D516D0"/>
    <w:rsid w:val="00D518F4"/>
    <w:rsid w:val="00D51B52"/>
    <w:rsid w:val="00D51BBC"/>
    <w:rsid w:val="00D51FD8"/>
    <w:rsid w:val="00D52121"/>
    <w:rsid w:val="00D521CD"/>
    <w:rsid w:val="00D52F40"/>
    <w:rsid w:val="00D53047"/>
    <w:rsid w:val="00D530E2"/>
    <w:rsid w:val="00D53A82"/>
    <w:rsid w:val="00D542E3"/>
    <w:rsid w:val="00D54788"/>
    <w:rsid w:val="00D55426"/>
    <w:rsid w:val="00D559B3"/>
    <w:rsid w:val="00D560B9"/>
    <w:rsid w:val="00D56551"/>
    <w:rsid w:val="00D56677"/>
    <w:rsid w:val="00D5670B"/>
    <w:rsid w:val="00D56AA9"/>
    <w:rsid w:val="00D56B52"/>
    <w:rsid w:val="00D56EC6"/>
    <w:rsid w:val="00D5748E"/>
    <w:rsid w:val="00D57664"/>
    <w:rsid w:val="00D57A0D"/>
    <w:rsid w:val="00D57C80"/>
    <w:rsid w:val="00D603B0"/>
    <w:rsid w:val="00D60746"/>
    <w:rsid w:val="00D60EA6"/>
    <w:rsid w:val="00D614BE"/>
    <w:rsid w:val="00D61EDA"/>
    <w:rsid w:val="00D6222F"/>
    <w:rsid w:val="00D6289B"/>
    <w:rsid w:val="00D62C0A"/>
    <w:rsid w:val="00D63F48"/>
    <w:rsid w:val="00D64064"/>
    <w:rsid w:val="00D64093"/>
    <w:rsid w:val="00D644BC"/>
    <w:rsid w:val="00D6453A"/>
    <w:rsid w:val="00D6456F"/>
    <w:rsid w:val="00D64700"/>
    <w:rsid w:val="00D64752"/>
    <w:rsid w:val="00D64D13"/>
    <w:rsid w:val="00D652F5"/>
    <w:rsid w:val="00D65B8F"/>
    <w:rsid w:val="00D67382"/>
    <w:rsid w:val="00D6761C"/>
    <w:rsid w:val="00D706D0"/>
    <w:rsid w:val="00D708F2"/>
    <w:rsid w:val="00D71143"/>
    <w:rsid w:val="00D715C0"/>
    <w:rsid w:val="00D718C6"/>
    <w:rsid w:val="00D71EB9"/>
    <w:rsid w:val="00D71FED"/>
    <w:rsid w:val="00D728D2"/>
    <w:rsid w:val="00D729A9"/>
    <w:rsid w:val="00D72CBB"/>
    <w:rsid w:val="00D72EB3"/>
    <w:rsid w:val="00D730C7"/>
    <w:rsid w:val="00D7323A"/>
    <w:rsid w:val="00D732A6"/>
    <w:rsid w:val="00D73AB1"/>
    <w:rsid w:val="00D74611"/>
    <w:rsid w:val="00D74999"/>
    <w:rsid w:val="00D74B0A"/>
    <w:rsid w:val="00D74D21"/>
    <w:rsid w:val="00D75291"/>
    <w:rsid w:val="00D7686C"/>
    <w:rsid w:val="00D76BD7"/>
    <w:rsid w:val="00D76D4B"/>
    <w:rsid w:val="00D77228"/>
    <w:rsid w:val="00D80321"/>
    <w:rsid w:val="00D81386"/>
    <w:rsid w:val="00D814F3"/>
    <w:rsid w:val="00D81C8D"/>
    <w:rsid w:val="00D82157"/>
    <w:rsid w:val="00D82636"/>
    <w:rsid w:val="00D82EF3"/>
    <w:rsid w:val="00D82FC3"/>
    <w:rsid w:val="00D8351C"/>
    <w:rsid w:val="00D83630"/>
    <w:rsid w:val="00D8390A"/>
    <w:rsid w:val="00D83FAA"/>
    <w:rsid w:val="00D842AA"/>
    <w:rsid w:val="00D842E7"/>
    <w:rsid w:val="00D846D6"/>
    <w:rsid w:val="00D84ACA"/>
    <w:rsid w:val="00D84C83"/>
    <w:rsid w:val="00D85453"/>
    <w:rsid w:val="00D857E7"/>
    <w:rsid w:val="00D85C0C"/>
    <w:rsid w:val="00D85DCE"/>
    <w:rsid w:val="00D85EE2"/>
    <w:rsid w:val="00D86B6E"/>
    <w:rsid w:val="00D86DAF"/>
    <w:rsid w:val="00D8703B"/>
    <w:rsid w:val="00D87165"/>
    <w:rsid w:val="00D879C8"/>
    <w:rsid w:val="00D909AF"/>
    <w:rsid w:val="00D90BBE"/>
    <w:rsid w:val="00D90CE5"/>
    <w:rsid w:val="00D912CF"/>
    <w:rsid w:val="00D91528"/>
    <w:rsid w:val="00D91B26"/>
    <w:rsid w:val="00D92215"/>
    <w:rsid w:val="00D929AD"/>
    <w:rsid w:val="00D92CD2"/>
    <w:rsid w:val="00D93117"/>
    <w:rsid w:val="00D933CE"/>
    <w:rsid w:val="00D933DA"/>
    <w:rsid w:val="00D936BF"/>
    <w:rsid w:val="00D93FB7"/>
    <w:rsid w:val="00D940B9"/>
    <w:rsid w:val="00D94302"/>
    <w:rsid w:val="00D9462F"/>
    <w:rsid w:val="00D949DC"/>
    <w:rsid w:val="00D94BB2"/>
    <w:rsid w:val="00D95073"/>
    <w:rsid w:val="00D95D70"/>
    <w:rsid w:val="00D9644F"/>
    <w:rsid w:val="00D96664"/>
    <w:rsid w:val="00D96F3C"/>
    <w:rsid w:val="00D9704B"/>
    <w:rsid w:val="00D97C54"/>
    <w:rsid w:val="00D97D80"/>
    <w:rsid w:val="00D97F70"/>
    <w:rsid w:val="00D97FBA"/>
    <w:rsid w:val="00DA0276"/>
    <w:rsid w:val="00DA02D1"/>
    <w:rsid w:val="00DA077A"/>
    <w:rsid w:val="00DA097F"/>
    <w:rsid w:val="00DA0E5F"/>
    <w:rsid w:val="00DA1023"/>
    <w:rsid w:val="00DA1BEF"/>
    <w:rsid w:val="00DA1E73"/>
    <w:rsid w:val="00DA1EA4"/>
    <w:rsid w:val="00DA1FD4"/>
    <w:rsid w:val="00DA246D"/>
    <w:rsid w:val="00DA251F"/>
    <w:rsid w:val="00DA27B6"/>
    <w:rsid w:val="00DA2E12"/>
    <w:rsid w:val="00DA3469"/>
    <w:rsid w:val="00DA34B0"/>
    <w:rsid w:val="00DA3700"/>
    <w:rsid w:val="00DA3C18"/>
    <w:rsid w:val="00DA41D3"/>
    <w:rsid w:val="00DA462C"/>
    <w:rsid w:val="00DA4801"/>
    <w:rsid w:val="00DA4A0D"/>
    <w:rsid w:val="00DA4C47"/>
    <w:rsid w:val="00DA4D02"/>
    <w:rsid w:val="00DA4E01"/>
    <w:rsid w:val="00DA5C82"/>
    <w:rsid w:val="00DA60C2"/>
    <w:rsid w:val="00DA78AE"/>
    <w:rsid w:val="00DA7C57"/>
    <w:rsid w:val="00DA7D85"/>
    <w:rsid w:val="00DA7E60"/>
    <w:rsid w:val="00DA7F6B"/>
    <w:rsid w:val="00DB01E6"/>
    <w:rsid w:val="00DB05B5"/>
    <w:rsid w:val="00DB0672"/>
    <w:rsid w:val="00DB08CE"/>
    <w:rsid w:val="00DB0BBE"/>
    <w:rsid w:val="00DB0E0B"/>
    <w:rsid w:val="00DB10C9"/>
    <w:rsid w:val="00DB1583"/>
    <w:rsid w:val="00DB1E53"/>
    <w:rsid w:val="00DB2111"/>
    <w:rsid w:val="00DB249A"/>
    <w:rsid w:val="00DB27D3"/>
    <w:rsid w:val="00DB2F5C"/>
    <w:rsid w:val="00DB3296"/>
    <w:rsid w:val="00DB3379"/>
    <w:rsid w:val="00DB34F7"/>
    <w:rsid w:val="00DB3608"/>
    <w:rsid w:val="00DB385F"/>
    <w:rsid w:val="00DB3869"/>
    <w:rsid w:val="00DB3D92"/>
    <w:rsid w:val="00DB3ED2"/>
    <w:rsid w:val="00DB466C"/>
    <w:rsid w:val="00DB468E"/>
    <w:rsid w:val="00DB46BD"/>
    <w:rsid w:val="00DB5120"/>
    <w:rsid w:val="00DB538B"/>
    <w:rsid w:val="00DB540C"/>
    <w:rsid w:val="00DB57B8"/>
    <w:rsid w:val="00DB5B09"/>
    <w:rsid w:val="00DB6B36"/>
    <w:rsid w:val="00DB769D"/>
    <w:rsid w:val="00DB776E"/>
    <w:rsid w:val="00DB77EE"/>
    <w:rsid w:val="00DC029B"/>
    <w:rsid w:val="00DC0A08"/>
    <w:rsid w:val="00DC0F09"/>
    <w:rsid w:val="00DC1126"/>
    <w:rsid w:val="00DC1B6E"/>
    <w:rsid w:val="00DC1B86"/>
    <w:rsid w:val="00DC1C65"/>
    <w:rsid w:val="00DC215E"/>
    <w:rsid w:val="00DC2161"/>
    <w:rsid w:val="00DC244B"/>
    <w:rsid w:val="00DC24B7"/>
    <w:rsid w:val="00DC2617"/>
    <w:rsid w:val="00DC26F7"/>
    <w:rsid w:val="00DC289B"/>
    <w:rsid w:val="00DC28DD"/>
    <w:rsid w:val="00DC2FB4"/>
    <w:rsid w:val="00DC3661"/>
    <w:rsid w:val="00DC3710"/>
    <w:rsid w:val="00DC38B7"/>
    <w:rsid w:val="00DC3B39"/>
    <w:rsid w:val="00DC3B5D"/>
    <w:rsid w:val="00DC3B67"/>
    <w:rsid w:val="00DC3CDB"/>
    <w:rsid w:val="00DC4BCE"/>
    <w:rsid w:val="00DC4D15"/>
    <w:rsid w:val="00DC53FB"/>
    <w:rsid w:val="00DC5769"/>
    <w:rsid w:val="00DC5B13"/>
    <w:rsid w:val="00DC5D65"/>
    <w:rsid w:val="00DC60F4"/>
    <w:rsid w:val="00DC63AF"/>
    <w:rsid w:val="00DC7745"/>
    <w:rsid w:val="00DC7A7D"/>
    <w:rsid w:val="00DC7AF1"/>
    <w:rsid w:val="00DC7AF6"/>
    <w:rsid w:val="00DC7B24"/>
    <w:rsid w:val="00DD01B0"/>
    <w:rsid w:val="00DD0394"/>
    <w:rsid w:val="00DD1471"/>
    <w:rsid w:val="00DD14AF"/>
    <w:rsid w:val="00DD1D02"/>
    <w:rsid w:val="00DD23A0"/>
    <w:rsid w:val="00DD288A"/>
    <w:rsid w:val="00DD2D1D"/>
    <w:rsid w:val="00DD39F4"/>
    <w:rsid w:val="00DD3B4B"/>
    <w:rsid w:val="00DD3EF4"/>
    <w:rsid w:val="00DD402D"/>
    <w:rsid w:val="00DD45AC"/>
    <w:rsid w:val="00DD4FE0"/>
    <w:rsid w:val="00DD51D5"/>
    <w:rsid w:val="00DD540E"/>
    <w:rsid w:val="00DD591B"/>
    <w:rsid w:val="00DD5ED3"/>
    <w:rsid w:val="00DD63CB"/>
    <w:rsid w:val="00DD6895"/>
    <w:rsid w:val="00DD692D"/>
    <w:rsid w:val="00DD707C"/>
    <w:rsid w:val="00DD70F3"/>
    <w:rsid w:val="00DD772B"/>
    <w:rsid w:val="00DE01EB"/>
    <w:rsid w:val="00DE04C9"/>
    <w:rsid w:val="00DE05C5"/>
    <w:rsid w:val="00DE066B"/>
    <w:rsid w:val="00DE08A0"/>
    <w:rsid w:val="00DE173A"/>
    <w:rsid w:val="00DE1769"/>
    <w:rsid w:val="00DE2124"/>
    <w:rsid w:val="00DE22A6"/>
    <w:rsid w:val="00DE2588"/>
    <w:rsid w:val="00DE259F"/>
    <w:rsid w:val="00DE2B80"/>
    <w:rsid w:val="00DE2F89"/>
    <w:rsid w:val="00DE2FE2"/>
    <w:rsid w:val="00DE33D5"/>
    <w:rsid w:val="00DE39A9"/>
    <w:rsid w:val="00DE3F99"/>
    <w:rsid w:val="00DE3FE5"/>
    <w:rsid w:val="00DE4847"/>
    <w:rsid w:val="00DE4BE5"/>
    <w:rsid w:val="00DE4E2E"/>
    <w:rsid w:val="00DE5D50"/>
    <w:rsid w:val="00DE5D79"/>
    <w:rsid w:val="00DE6156"/>
    <w:rsid w:val="00DE61D8"/>
    <w:rsid w:val="00DE63B3"/>
    <w:rsid w:val="00DE652E"/>
    <w:rsid w:val="00DE6642"/>
    <w:rsid w:val="00DE67F4"/>
    <w:rsid w:val="00DE698E"/>
    <w:rsid w:val="00DE6F0A"/>
    <w:rsid w:val="00DE77B1"/>
    <w:rsid w:val="00DE7E6A"/>
    <w:rsid w:val="00DF02DE"/>
    <w:rsid w:val="00DF064C"/>
    <w:rsid w:val="00DF0B6F"/>
    <w:rsid w:val="00DF1163"/>
    <w:rsid w:val="00DF11B1"/>
    <w:rsid w:val="00DF1AD8"/>
    <w:rsid w:val="00DF1B37"/>
    <w:rsid w:val="00DF1BC8"/>
    <w:rsid w:val="00DF2098"/>
    <w:rsid w:val="00DF20BD"/>
    <w:rsid w:val="00DF2B67"/>
    <w:rsid w:val="00DF2C2C"/>
    <w:rsid w:val="00DF3CE6"/>
    <w:rsid w:val="00DF3D53"/>
    <w:rsid w:val="00DF4102"/>
    <w:rsid w:val="00DF42F2"/>
    <w:rsid w:val="00DF4E71"/>
    <w:rsid w:val="00DF4EB5"/>
    <w:rsid w:val="00DF4F92"/>
    <w:rsid w:val="00DF5CE8"/>
    <w:rsid w:val="00DF5E03"/>
    <w:rsid w:val="00DF5F72"/>
    <w:rsid w:val="00DF66CB"/>
    <w:rsid w:val="00DF6775"/>
    <w:rsid w:val="00DF6890"/>
    <w:rsid w:val="00DF6D18"/>
    <w:rsid w:val="00DF6FC2"/>
    <w:rsid w:val="00DF725B"/>
    <w:rsid w:val="00DF7580"/>
    <w:rsid w:val="00DF77FE"/>
    <w:rsid w:val="00E003CC"/>
    <w:rsid w:val="00E00495"/>
    <w:rsid w:val="00E00E18"/>
    <w:rsid w:val="00E00E3C"/>
    <w:rsid w:val="00E00F14"/>
    <w:rsid w:val="00E014ED"/>
    <w:rsid w:val="00E0172C"/>
    <w:rsid w:val="00E0194E"/>
    <w:rsid w:val="00E02113"/>
    <w:rsid w:val="00E0229E"/>
    <w:rsid w:val="00E0235D"/>
    <w:rsid w:val="00E02824"/>
    <w:rsid w:val="00E02A62"/>
    <w:rsid w:val="00E02D5D"/>
    <w:rsid w:val="00E033EE"/>
    <w:rsid w:val="00E03721"/>
    <w:rsid w:val="00E037B5"/>
    <w:rsid w:val="00E03FC5"/>
    <w:rsid w:val="00E0486F"/>
    <w:rsid w:val="00E04B3D"/>
    <w:rsid w:val="00E0567E"/>
    <w:rsid w:val="00E05B95"/>
    <w:rsid w:val="00E05EAC"/>
    <w:rsid w:val="00E0641D"/>
    <w:rsid w:val="00E06607"/>
    <w:rsid w:val="00E06689"/>
    <w:rsid w:val="00E0668F"/>
    <w:rsid w:val="00E06ABD"/>
    <w:rsid w:val="00E06B3F"/>
    <w:rsid w:val="00E07184"/>
    <w:rsid w:val="00E0734E"/>
    <w:rsid w:val="00E076CB"/>
    <w:rsid w:val="00E10526"/>
    <w:rsid w:val="00E106E7"/>
    <w:rsid w:val="00E10887"/>
    <w:rsid w:val="00E109B7"/>
    <w:rsid w:val="00E10A8F"/>
    <w:rsid w:val="00E10D7A"/>
    <w:rsid w:val="00E10F90"/>
    <w:rsid w:val="00E1103C"/>
    <w:rsid w:val="00E11410"/>
    <w:rsid w:val="00E11491"/>
    <w:rsid w:val="00E11BA8"/>
    <w:rsid w:val="00E12134"/>
    <w:rsid w:val="00E126F4"/>
    <w:rsid w:val="00E12739"/>
    <w:rsid w:val="00E1296E"/>
    <w:rsid w:val="00E12CE9"/>
    <w:rsid w:val="00E13072"/>
    <w:rsid w:val="00E137A5"/>
    <w:rsid w:val="00E139D6"/>
    <w:rsid w:val="00E14CCB"/>
    <w:rsid w:val="00E153FA"/>
    <w:rsid w:val="00E156A0"/>
    <w:rsid w:val="00E15A51"/>
    <w:rsid w:val="00E1698F"/>
    <w:rsid w:val="00E16C0C"/>
    <w:rsid w:val="00E16D9F"/>
    <w:rsid w:val="00E17202"/>
    <w:rsid w:val="00E17424"/>
    <w:rsid w:val="00E17806"/>
    <w:rsid w:val="00E17D82"/>
    <w:rsid w:val="00E17FC5"/>
    <w:rsid w:val="00E201DC"/>
    <w:rsid w:val="00E2036A"/>
    <w:rsid w:val="00E20A3A"/>
    <w:rsid w:val="00E20AF1"/>
    <w:rsid w:val="00E20B88"/>
    <w:rsid w:val="00E210AF"/>
    <w:rsid w:val="00E211CC"/>
    <w:rsid w:val="00E213C7"/>
    <w:rsid w:val="00E22697"/>
    <w:rsid w:val="00E230F2"/>
    <w:rsid w:val="00E23FB4"/>
    <w:rsid w:val="00E24070"/>
    <w:rsid w:val="00E24443"/>
    <w:rsid w:val="00E24498"/>
    <w:rsid w:val="00E244B4"/>
    <w:rsid w:val="00E24801"/>
    <w:rsid w:val="00E24F7F"/>
    <w:rsid w:val="00E2509C"/>
    <w:rsid w:val="00E25888"/>
    <w:rsid w:val="00E25E91"/>
    <w:rsid w:val="00E25FAC"/>
    <w:rsid w:val="00E26D01"/>
    <w:rsid w:val="00E26F69"/>
    <w:rsid w:val="00E30673"/>
    <w:rsid w:val="00E309CF"/>
    <w:rsid w:val="00E30D63"/>
    <w:rsid w:val="00E30F5E"/>
    <w:rsid w:val="00E31018"/>
    <w:rsid w:val="00E31587"/>
    <w:rsid w:val="00E3178F"/>
    <w:rsid w:val="00E31B8C"/>
    <w:rsid w:val="00E31EDD"/>
    <w:rsid w:val="00E324C7"/>
    <w:rsid w:val="00E324E6"/>
    <w:rsid w:val="00E32BAE"/>
    <w:rsid w:val="00E32DD8"/>
    <w:rsid w:val="00E32E02"/>
    <w:rsid w:val="00E32ED5"/>
    <w:rsid w:val="00E333F9"/>
    <w:rsid w:val="00E3344E"/>
    <w:rsid w:val="00E33B62"/>
    <w:rsid w:val="00E33F28"/>
    <w:rsid w:val="00E34013"/>
    <w:rsid w:val="00E34233"/>
    <w:rsid w:val="00E34BD4"/>
    <w:rsid w:val="00E34D62"/>
    <w:rsid w:val="00E35D04"/>
    <w:rsid w:val="00E35D6F"/>
    <w:rsid w:val="00E36723"/>
    <w:rsid w:val="00E373C0"/>
    <w:rsid w:val="00E3758B"/>
    <w:rsid w:val="00E3772D"/>
    <w:rsid w:val="00E37850"/>
    <w:rsid w:val="00E37AB0"/>
    <w:rsid w:val="00E37EAB"/>
    <w:rsid w:val="00E400EA"/>
    <w:rsid w:val="00E408C6"/>
    <w:rsid w:val="00E4093B"/>
    <w:rsid w:val="00E40E02"/>
    <w:rsid w:val="00E4100D"/>
    <w:rsid w:val="00E41548"/>
    <w:rsid w:val="00E418F1"/>
    <w:rsid w:val="00E41F2D"/>
    <w:rsid w:val="00E42114"/>
    <w:rsid w:val="00E43274"/>
    <w:rsid w:val="00E432F8"/>
    <w:rsid w:val="00E43982"/>
    <w:rsid w:val="00E4436B"/>
    <w:rsid w:val="00E44EAD"/>
    <w:rsid w:val="00E44FE2"/>
    <w:rsid w:val="00E45974"/>
    <w:rsid w:val="00E45BD9"/>
    <w:rsid w:val="00E4686E"/>
    <w:rsid w:val="00E46F66"/>
    <w:rsid w:val="00E47020"/>
    <w:rsid w:val="00E470E3"/>
    <w:rsid w:val="00E47951"/>
    <w:rsid w:val="00E4797D"/>
    <w:rsid w:val="00E47B6C"/>
    <w:rsid w:val="00E501BC"/>
    <w:rsid w:val="00E5097F"/>
    <w:rsid w:val="00E50B40"/>
    <w:rsid w:val="00E50DB3"/>
    <w:rsid w:val="00E50E05"/>
    <w:rsid w:val="00E51A87"/>
    <w:rsid w:val="00E5209D"/>
    <w:rsid w:val="00E524A4"/>
    <w:rsid w:val="00E546FB"/>
    <w:rsid w:val="00E54787"/>
    <w:rsid w:val="00E549ED"/>
    <w:rsid w:val="00E555CE"/>
    <w:rsid w:val="00E55CE6"/>
    <w:rsid w:val="00E55EF2"/>
    <w:rsid w:val="00E56472"/>
    <w:rsid w:val="00E56A26"/>
    <w:rsid w:val="00E56BFF"/>
    <w:rsid w:val="00E56DB7"/>
    <w:rsid w:val="00E56DCA"/>
    <w:rsid w:val="00E56FA0"/>
    <w:rsid w:val="00E570D5"/>
    <w:rsid w:val="00E571EC"/>
    <w:rsid w:val="00E57668"/>
    <w:rsid w:val="00E6070A"/>
    <w:rsid w:val="00E60756"/>
    <w:rsid w:val="00E60860"/>
    <w:rsid w:val="00E60C14"/>
    <w:rsid w:val="00E60C1A"/>
    <w:rsid w:val="00E61018"/>
    <w:rsid w:val="00E611D2"/>
    <w:rsid w:val="00E6122A"/>
    <w:rsid w:val="00E61426"/>
    <w:rsid w:val="00E61F3E"/>
    <w:rsid w:val="00E628B6"/>
    <w:rsid w:val="00E62A82"/>
    <w:rsid w:val="00E62B29"/>
    <w:rsid w:val="00E6329E"/>
    <w:rsid w:val="00E633F9"/>
    <w:rsid w:val="00E6364A"/>
    <w:rsid w:val="00E637D2"/>
    <w:rsid w:val="00E64007"/>
    <w:rsid w:val="00E64045"/>
    <w:rsid w:val="00E64204"/>
    <w:rsid w:val="00E6426A"/>
    <w:rsid w:val="00E642C0"/>
    <w:rsid w:val="00E64343"/>
    <w:rsid w:val="00E6457D"/>
    <w:rsid w:val="00E646E2"/>
    <w:rsid w:val="00E64A52"/>
    <w:rsid w:val="00E64C6F"/>
    <w:rsid w:val="00E64E92"/>
    <w:rsid w:val="00E64F17"/>
    <w:rsid w:val="00E64FB8"/>
    <w:rsid w:val="00E6526A"/>
    <w:rsid w:val="00E655CB"/>
    <w:rsid w:val="00E65FB8"/>
    <w:rsid w:val="00E66183"/>
    <w:rsid w:val="00E66731"/>
    <w:rsid w:val="00E66E9E"/>
    <w:rsid w:val="00E702CC"/>
    <w:rsid w:val="00E7036F"/>
    <w:rsid w:val="00E70615"/>
    <w:rsid w:val="00E70929"/>
    <w:rsid w:val="00E70ACD"/>
    <w:rsid w:val="00E70E86"/>
    <w:rsid w:val="00E71833"/>
    <w:rsid w:val="00E71B8F"/>
    <w:rsid w:val="00E72001"/>
    <w:rsid w:val="00E7207E"/>
    <w:rsid w:val="00E72A93"/>
    <w:rsid w:val="00E73AD0"/>
    <w:rsid w:val="00E74354"/>
    <w:rsid w:val="00E7440A"/>
    <w:rsid w:val="00E74B55"/>
    <w:rsid w:val="00E74B6B"/>
    <w:rsid w:val="00E74DEE"/>
    <w:rsid w:val="00E7588A"/>
    <w:rsid w:val="00E75CB0"/>
    <w:rsid w:val="00E75E21"/>
    <w:rsid w:val="00E76282"/>
    <w:rsid w:val="00E763CB"/>
    <w:rsid w:val="00E76588"/>
    <w:rsid w:val="00E768AF"/>
    <w:rsid w:val="00E76FC8"/>
    <w:rsid w:val="00E77251"/>
    <w:rsid w:val="00E772C4"/>
    <w:rsid w:val="00E77502"/>
    <w:rsid w:val="00E77B60"/>
    <w:rsid w:val="00E77FDC"/>
    <w:rsid w:val="00E80AFC"/>
    <w:rsid w:val="00E80B8E"/>
    <w:rsid w:val="00E80CE7"/>
    <w:rsid w:val="00E8149F"/>
    <w:rsid w:val="00E81726"/>
    <w:rsid w:val="00E81A72"/>
    <w:rsid w:val="00E81F1D"/>
    <w:rsid w:val="00E823AD"/>
    <w:rsid w:val="00E823B7"/>
    <w:rsid w:val="00E82AD9"/>
    <w:rsid w:val="00E830C1"/>
    <w:rsid w:val="00E83428"/>
    <w:rsid w:val="00E8359B"/>
    <w:rsid w:val="00E8397C"/>
    <w:rsid w:val="00E8399D"/>
    <w:rsid w:val="00E8462C"/>
    <w:rsid w:val="00E84E66"/>
    <w:rsid w:val="00E84F71"/>
    <w:rsid w:val="00E8526D"/>
    <w:rsid w:val="00E85529"/>
    <w:rsid w:val="00E85A63"/>
    <w:rsid w:val="00E85AEC"/>
    <w:rsid w:val="00E85CEE"/>
    <w:rsid w:val="00E85EC0"/>
    <w:rsid w:val="00E862F3"/>
    <w:rsid w:val="00E86308"/>
    <w:rsid w:val="00E863AA"/>
    <w:rsid w:val="00E866D3"/>
    <w:rsid w:val="00E868D0"/>
    <w:rsid w:val="00E877F6"/>
    <w:rsid w:val="00E87922"/>
    <w:rsid w:val="00E87E86"/>
    <w:rsid w:val="00E900E9"/>
    <w:rsid w:val="00E900F9"/>
    <w:rsid w:val="00E905F6"/>
    <w:rsid w:val="00E90D14"/>
    <w:rsid w:val="00E91740"/>
    <w:rsid w:val="00E917B0"/>
    <w:rsid w:val="00E91AC4"/>
    <w:rsid w:val="00E91D2F"/>
    <w:rsid w:val="00E9277D"/>
    <w:rsid w:val="00E929B8"/>
    <w:rsid w:val="00E92D52"/>
    <w:rsid w:val="00E935DC"/>
    <w:rsid w:val="00E93684"/>
    <w:rsid w:val="00E93D8C"/>
    <w:rsid w:val="00E942E1"/>
    <w:rsid w:val="00E94DFD"/>
    <w:rsid w:val="00E952A1"/>
    <w:rsid w:val="00E9671D"/>
    <w:rsid w:val="00E97167"/>
    <w:rsid w:val="00E9738B"/>
    <w:rsid w:val="00E97661"/>
    <w:rsid w:val="00E977E8"/>
    <w:rsid w:val="00E97971"/>
    <w:rsid w:val="00E97AA4"/>
    <w:rsid w:val="00EA0587"/>
    <w:rsid w:val="00EA0603"/>
    <w:rsid w:val="00EA0D51"/>
    <w:rsid w:val="00EA1091"/>
    <w:rsid w:val="00EA1302"/>
    <w:rsid w:val="00EA17DE"/>
    <w:rsid w:val="00EA191F"/>
    <w:rsid w:val="00EA1C67"/>
    <w:rsid w:val="00EA209F"/>
    <w:rsid w:val="00EA2320"/>
    <w:rsid w:val="00EA2C74"/>
    <w:rsid w:val="00EA3595"/>
    <w:rsid w:val="00EA3F7E"/>
    <w:rsid w:val="00EA4CE4"/>
    <w:rsid w:val="00EA4CF1"/>
    <w:rsid w:val="00EA4D6C"/>
    <w:rsid w:val="00EA4DC9"/>
    <w:rsid w:val="00EA52A2"/>
    <w:rsid w:val="00EA589A"/>
    <w:rsid w:val="00EA5905"/>
    <w:rsid w:val="00EA60BA"/>
    <w:rsid w:val="00EA6115"/>
    <w:rsid w:val="00EA6298"/>
    <w:rsid w:val="00EA6429"/>
    <w:rsid w:val="00EA67BF"/>
    <w:rsid w:val="00EA6DDB"/>
    <w:rsid w:val="00EA6E5A"/>
    <w:rsid w:val="00EA72CD"/>
    <w:rsid w:val="00EA7A71"/>
    <w:rsid w:val="00EB0578"/>
    <w:rsid w:val="00EB067F"/>
    <w:rsid w:val="00EB0885"/>
    <w:rsid w:val="00EB08E9"/>
    <w:rsid w:val="00EB09A5"/>
    <w:rsid w:val="00EB1098"/>
    <w:rsid w:val="00EB2353"/>
    <w:rsid w:val="00EB2D05"/>
    <w:rsid w:val="00EB31A8"/>
    <w:rsid w:val="00EB33D8"/>
    <w:rsid w:val="00EB3CAF"/>
    <w:rsid w:val="00EB42A5"/>
    <w:rsid w:val="00EB42F7"/>
    <w:rsid w:val="00EB4335"/>
    <w:rsid w:val="00EB4577"/>
    <w:rsid w:val="00EB4B46"/>
    <w:rsid w:val="00EB4C85"/>
    <w:rsid w:val="00EB4E38"/>
    <w:rsid w:val="00EB52B2"/>
    <w:rsid w:val="00EB568C"/>
    <w:rsid w:val="00EB573D"/>
    <w:rsid w:val="00EB5AAF"/>
    <w:rsid w:val="00EB5F23"/>
    <w:rsid w:val="00EB6143"/>
    <w:rsid w:val="00EB656E"/>
    <w:rsid w:val="00EB69CC"/>
    <w:rsid w:val="00EB6A94"/>
    <w:rsid w:val="00EB7A4C"/>
    <w:rsid w:val="00EC043A"/>
    <w:rsid w:val="00EC0554"/>
    <w:rsid w:val="00EC1044"/>
    <w:rsid w:val="00EC104F"/>
    <w:rsid w:val="00EC1616"/>
    <w:rsid w:val="00EC16A4"/>
    <w:rsid w:val="00EC1785"/>
    <w:rsid w:val="00EC1E89"/>
    <w:rsid w:val="00EC203B"/>
    <w:rsid w:val="00EC2109"/>
    <w:rsid w:val="00EC215D"/>
    <w:rsid w:val="00EC263A"/>
    <w:rsid w:val="00EC2EA2"/>
    <w:rsid w:val="00EC3010"/>
    <w:rsid w:val="00EC3900"/>
    <w:rsid w:val="00EC3B9E"/>
    <w:rsid w:val="00EC441E"/>
    <w:rsid w:val="00EC486D"/>
    <w:rsid w:val="00EC49C1"/>
    <w:rsid w:val="00EC4A3A"/>
    <w:rsid w:val="00EC4BFE"/>
    <w:rsid w:val="00EC500D"/>
    <w:rsid w:val="00EC5583"/>
    <w:rsid w:val="00EC55C2"/>
    <w:rsid w:val="00EC5AD3"/>
    <w:rsid w:val="00EC5DF1"/>
    <w:rsid w:val="00EC5F17"/>
    <w:rsid w:val="00EC619A"/>
    <w:rsid w:val="00EC62AF"/>
    <w:rsid w:val="00EC63A2"/>
    <w:rsid w:val="00EC67B7"/>
    <w:rsid w:val="00EC67C5"/>
    <w:rsid w:val="00EC69B9"/>
    <w:rsid w:val="00EC6C55"/>
    <w:rsid w:val="00EC6D56"/>
    <w:rsid w:val="00EC7C64"/>
    <w:rsid w:val="00EC7F21"/>
    <w:rsid w:val="00ED0488"/>
    <w:rsid w:val="00ED0590"/>
    <w:rsid w:val="00ED0B67"/>
    <w:rsid w:val="00ED0CAA"/>
    <w:rsid w:val="00ED1631"/>
    <w:rsid w:val="00ED195C"/>
    <w:rsid w:val="00ED1C2A"/>
    <w:rsid w:val="00ED2049"/>
    <w:rsid w:val="00ED2509"/>
    <w:rsid w:val="00ED38E1"/>
    <w:rsid w:val="00ED4BA0"/>
    <w:rsid w:val="00ED526A"/>
    <w:rsid w:val="00ED548C"/>
    <w:rsid w:val="00ED54CD"/>
    <w:rsid w:val="00ED5A52"/>
    <w:rsid w:val="00ED5DF6"/>
    <w:rsid w:val="00ED6368"/>
    <w:rsid w:val="00ED663B"/>
    <w:rsid w:val="00ED6765"/>
    <w:rsid w:val="00ED6AEE"/>
    <w:rsid w:val="00ED6E16"/>
    <w:rsid w:val="00ED7772"/>
    <w:rsid w:val="00ED7971"/>
    <w:rsid w:val="00EE042D"/>
    <w:rsid w:val="00EE0437"/>
    <w:rsid w:val="00EE08C1"/>
    <w:rsid w:val="00EE0DD6"/>
    <w:rsid w:val="00EE1412"/>
    <w:rsid w:val="00EE181F"/>
    <w:rsid w:val="00EE1FD1"/>
    <w:rsid w:val="00EE26AC"/>
    <w:rsid w:val="00EE3997"/>
    <w:rsid w:val="00EE3C4E"/>
    <w:rsid w:val="00EE4083"/>
    <w:rsid w:val="00EE4A75"/>
    <w:rsid w:val="00EE4DBA"/>
    <w:rsid w:val="00EE4EDE"/>
    <w:rsid w:val="00EE4FBC"/>
    <w:rsid w:val="00EE5006"/>
    <w:rsid w:val="00EE51D2"/>
    <w:rsid w:val="00EE530C"/>
    <w:rsid w:val="00EE56A5"/>
    <w:rsid w:val="00EE5807"/>
    <w:rsid w:val="00EE5B5A"/>
    <w:rsid w:val="00EE5F4D"/>
    <w:rsid w:val="00EE6A4B"/>
    <w:rsid w:val="00EE6C2A"/>
    <w:rsid w:val="00EE7060"/>
    <w:rsid w:val="00EE764E"/>
    <w:rsid w:val="00EE7CB0"/>
    <w:rsid w:val="00EE7D0A"/>
    <w:rsid w:val="00EF0336"/>
    <w:rsid w:val="00EF0976"/>
    <w:rsid w:val="00EF0A9B"/>
    <w:rsid w:val="00EF0B6A"/>
    <w:rsid w:val="00EF0CF1"/>
    <w:rsid w:val="00EF0DCD"/>
    <w:rsid w:val="00EF1218"/>
    <w:rsid w:val="00EF1633"/>
    <w:rsid w:val="00EF1CF7"/>
    <w:rsid w:val="00EF225B"/>
    <w:rsid w:val="00EF27C0"/>
    <w:rsid w:val="00EF2AAC"/>
    <w:rsid w:val="00EF2C5A"/>
    <w:rsid w:val="00EF2F1E"/>
    <w:rsid w:val="00EF313A"/>
    <w:rsid w:val="00EF32A8"/>
    <w:rsid w:val="00EF3565"/>
    <w:rsid w:val="00EF3BD4"/>
    <w:rsid w:val="00EF4595"/>
    <w:rsid w:val="00EF465C"/>
    <w:rsid w:val="00EF475C"/>
    <w:rsid w:val="00EF4A0C"/>
    <w:rsid w:val="00EF4B88"/>
    <w:rsid w:val="00EF4D11"/>
    <w:rsid w:val="00EF5AFB"/>
    <w:rsid w:val="00EF5C00"/>
    <w:rsid w:val="00EF5D63"/>
    <w:rsid w:val="00EF6DDE"/>
    <w:rsid w:val="00EF6EFD"/>
    <w:rsid w:val="00EF6FB9"/>
    <w:rsid w:val="00EF7242"/>
    <w:rsid w:val="00EF74C5"/>
    <w:rsid w:val="00EF7805"/>
    <w:rsid w:val="00EF78EC"/>
    <w:rsid w:val="00EF7D8A"/>
    <w:rsid w:val="00F00140"/>
    <w:rsid w:val="00F0046C"/>
    <w:rsid w:val="00F00EAC"/>
    <w:rsid w:val="00F0120A"/>
    <w:rsid w:val="00F01432"/>
    <w:rsid w:val="00F01570"/>
    <w:rsid w:val="00F017A1"/>
    <w:rsid w:val="00F01B64"/>
    <w:rsid w:val="00F01B91"/>
    <w:rsid w:val="00F01CE7"/>
    <w:rsid w:val="00F02C11"/>
    <w:rsid w:val="00F02F28"/>
    <w:rsid w:val="00F0321D"/>
    <w:rsid w:val="00F0325A"/>
    <w:rsid w:val="00F0335C"/>
    <w:rsid w:val="00F03B55"/>
    <w:rsid w:val="00F04069"/>
    <w:rsid w:val="00F0424C"/>
    <w:rsid w:val="00F04B8A"/>
    <w:rsid w:val="00F04D4A"/>
    <w:rsid w:val="00F04DB1"/>
    <w:rsid w:val="00F04FAB"/>
    <w:rsid w:val="00F0564E"/>
    <w:rsid w:val="00F06148"/>
    <w:rsid w:val="00F06241"/>
    <w:rsid w:val="00F071E9"/>
    <w:rsid w:val="00F07540"/>
    <w:rsid w:val="00F077DA"/>
    <w:rsid w:val="00F078FB"/>
    <w:rsid w:val="00F07E04"/>
    <w:rsid w:val="00F07E61"/>
    <w:rsid w:val="00F1011D"/>
    <w:rsid w:val="00F1029B"/>
    <w:rsid w:val="00F105AE"/>
    <w:rsid w:val="00F10DC7"/>
    <w:rsid w:val="00F10F08"/>
    <w:rsid w:val="00F11063"/>
    <w:rsid w:val="00F1109C"/>
    <w:rsid w:val="00F11481"/>
    <w:rsid w:val="00F118C1"/>
    <w:rsid w:val="00F11E5F"/>
    <w:rsid w:val="00F11E80"/>
    <w:rsid w:val="00F11F4B"/>
    <w:rsid w:val="00F1209B"/>
    <w:rsid w:val="00F124CC"/>
    <w:rsid w:val="00F12E09"/>
    <w:rsid w:val="00F1304A"/>
    <w:rsid w:val="00F134CA"/>
    <w:rsid w:val="00F13B3C"/>
    <w:rsid w:val="00F13E73"/>
    <w:rsid w:val="00F151F9"/>
    <w:rsid w:val="00F154A1"/>
    <w:rsid w:val="00F159F1"/>
    <w:rsid w:val="00F15BFD"/>
    <w:rsid w:val="00F16529"/>
    <w:rsid w:val="00F165F9"/>
    <w:rsid w:val="00F166BD"/>
    <w:rsid w:val="00F16A39"/>
    <w:rsid w:val="00F1726A"/>
    <w:rsid w:val="00F172C0"/>
    <w:rsid w:val="00F17D12"/>
    <w:rsid w:val="00F17D35"/>
    <w:rsid w:val="00F17F0B"/>
    <w:rsid w:val="00F216EC"/>
    <w:rsid w:val="00F21D5A"/>
    <w:rsid w:val="00F221AE"/>
    <w:rsid w:val="00F22903"/>
    <w:rsid w:val="00F234B9"/>
    <w:rsid w:val="00F2353D"/>
    <w:rsid w:val="00F23842"/>
    <w:rsid w:val="00F23C93"/>
    <w:rsid w:val="00F25339"/>
    <w:rsid w:val="00F25375"/>
    <w:rsid w:val="00F25CBF"/>
    <w:rsid w:val="00F2666B"/>
    <w:rsid w:val="00F26A52"/>
    <w:rsid w:val="00F26A8A"/>
    <w:rsid w:val="00F26B7F"/>
    <w:rsid w:val="00F274F8"/>
    <w:rsid w:val="00F279EF"/>
    <w:rsid w:val="00F27C24"/>
    <w:rsid w:val="00F27C31"/>
    <w:rsid w:val="00F27E0D"/>
    <w:rsid w:val="00F306D4"/>
    <w:rsid w:val="00F30886"/>
    <w:rsid w:val="00F30BEC"/>
    <w:rsid w:val="00F31038"/>
    <w:rsid w:val="00F31B05"/>
    <w:rsid w:val="00F32287"/>
    <w:rsid w:val="00F322AD"/>
    <w:rsid w:val="00F324A7"/>
    <w:rsid w:val="00F329AC"/>
    <w:rsid w:val="00F32A8A"/>
    <w:rsid w:val="00F32BFF"/>
    <w:rsid w:val="00F32F91"/>
    <w:rsid w:val="00F33574"/>
    <w:rsid w:val="00F336FA"/>
    <w:rsid w:val="00F33C1A"/>
    <w:rsid w:val="00F33D67"/>
    <w:rsid w:val="00F33F68"/>
    <w:rsid w:val="00F3409F"/>
    <w:rsid w:val="00F3520F"/>
    <w:rsid w:val="00F35C25"/>
    <w:rsid w:val="00F3640B"/>
    <w:rsid w:val="00F36B05"/>
    <w:rsid w:val="00F36C3C"/>
    <w:rsid w:val="00F36CFC"/>
    <w:rsid w:val="00F3774A"/>
    <w:rsid w:val="00F37957"/>
    <w:rsid w:val="00F37A07"/>
    <w:rsid w:val="00F37D45"/>
    <w:rsid w:val="00F37FA7"/>
    <w:rsid w:val="00F40091"/>
    <w:rsid w:val="00F4011C"/>
    <w:rsid w:val="00F4053F"/>
    <w:rsid w:val="00F407B0"/>
    <w:rsid w:val="00F40A92"/>
    <w:rsid w:val="00F4116F"/>
    <w:rsid w:val="00F411DE"/>
    <w:rsid w:val="00F4128F"/>
    <w:rsid w:val="00F419AD"/>
    <w:rsid w:val="00F41CB5"/>
    <w:rsid w:val="00F421A0"/>
    <w:rsid w:val="00F428F2"/>
    <w:rsid w:val="00F42A20"/>
    <w:rsid w:val="00F42D51"/>
    <w:rsid w:val="00F43225"/>
    <w:rsid w:val="00F43A92"/>
    <w:rsid w:val="00F43C3C"/>
    <w:rsid w:val="00F43E4E"/>
    <w:rsid w:val="00F4429C"/>
    <w:rsid w:val="00F44477"/>
    <w:rsid w:val="00F444DF"/>
    <w:rsid w:val="00F444E8"/>
    <w:rsid w:val="00F445B5"/>
    <w:rsid w:val="00F44701"/>
    <w:rsid w:val="00F44723"/>
    <w:rsid w:val="00F45093"/>
    <w:rsid w:val="00F45487"/>
    <w:rsid w:val="00F459A6"/>
    <w:rsid w:val="00F45B68"/>
    <w:rsid w:val="00F46457"/>
    <w:rsid w:val="00F46C7D"/>
    <w:rsid w:val="00F47233"/>
    <w:rsid w:val="00F47393"/>
    <w:rsid w:val="00F473CA"/>
    <w:rsid w:val="00F479BC"/>
    <w:rsid w:val="00F501C1"/>
    <w:rsid w:val="00F502F8"/>
    <w:rsid w:val="00F5046F"/>
    <w:rsid w:val="00F51004"/>
    <w:rsid w:val="00F513AE"/>
    <w:rsid w:val="00F519F6"/>
    <w:rsid w:val="00F52604"/>
    <w:rsid w:val="00F526E1"/>
    <w:rsid w:val="00F52C4A"/>
    <w:rsid w:val="00F52D44"/>
    <w:rsid w:val="00F53802"/>
    <w:rsid w:val="00F54777"/>
    <w:rsid w:val="00F54FD2"/>
    <w:rsid w:val="00F5503F"/>
    <w:rsid w:val="00F55107"/>
    <w:rsid w:val="00F55635"/>
    <w:rsid w:val="00F556D9"/>
    <w:rsid w:val="00F558CB"/>
    <w:rsid w:val="00F55B37"/>
    <w:rsid w:val="00F55E6F"/>
    <w:rsid w:val="00F564EB"/>
    <w:rsid w:val="00F56C0B"/>
    <w:rsid w:val="00F56C88"/>
    <w:rsid w:val="00F56C9D"/>
    <w:rsid w:val="00F56EA2"/>
    <w:rsid w:val="00F57483"/>
    <w:rsid w:val="00F576F0"/>
    <w:rsid w:val="00F57907"/>
    <w:rsid w:val="00F60470"/>
    <w:rsid w:val="00F60956"/>
    <w:rsid w:val="00F60A4E"/>
    <w:rsid w:val="00F60AF3"/>
    <w:rsid w:val="00F60CA9"/>
    <w:rsid w:val="00F60F83"/>
    <w:rsid w:val="00F60FBC"/>
    <w:rsid w:val="00F6143D"/>
    <w:rsid w:val="00F6154B"/>
    <w:rsid w:val="00F61EA7"/>
    <w:rsid w:val="00F628DA"/>
    <w:rsid w:val="00F62C1A"/>
    <w:rsid w:val="00F62C85"/>
    <w:rsid w:val="00F641EA"/>
    <w:rsid w:val="00F64BCA"/>
    <w:rsid w:val="00F65111"/>
    <w:rsid w:val="00F654F6"/>
    <w:rsid w:val="00F65642"/>
    <w:rsid w:val="00F65D97"/>
    <w:rsid w:val="00F6604C"/>
    <w:rsid w:val="00F66325"/>
    <w:rsid w:val="00F6635B"/>
    <w:rsid w:val="00F664FC"/>
    <w:rsid w:val="00F6690A"/>
    <w:rsid w:val="00F66990"/>
    <w:rsid w:val="00F66D1F"/>
    <w:rsid w:val="00F66DDB"/>
    <w:rsid w:val="00F66E82"/>
    <w:rsid w:val="00F67E19"/>
    <w:rsid w:val="00F7026C"/>
    <w:rsid w:val="00F7039E"/>
    <w:rsid w:val="00F70ADD"/>
    <w:rsid w:val="00F70F7F"/>
    <w:rsid w:val="00F711C9"/>
    <w:rsid w:val="00F71E2C"/>
    <w:rsid w:val="00F72122"/>
    <w:rsid w:val="00F72352"/>
    <w:rsid w:val="00F72402"/>
    <w:rsid w:val="00F72435"/>
    <w:rsid w:val="00F72ABC"/>
    <w:rsid w:val="00F72D60"/>
    <w:rsid w:val="00F72FD1"/>
    <w:rsid w:val="00F73109"/>
    <w:rsid w:val="00F73894"/>
    <w:rsid w:val="00F738A2"/>
    <w:rsid w:val="00F73ACC"/>
    <w:rsid w:val="00F73FEF"/>
    <w:rsid w:val="00F74700"/>
    <w:rsid w:val="00F74DCF"/>
    <w:rsid w:val="00F74E72"/>
    <w:rsid w:val="00F75B21"/>
    <w:rsid w:val="00F75DD2"/>
    <w:rsid w:val="00F7613A"/>
    <w:rsid w:val="00F763BB"/>
    <w:rsid w:val="00F7647C"/>
    <w:rsid w:val="00F766FD"/>
    <w:rsid w:val="00F76906"/>
    <w:rsid w:val="00F76CF1"/>
    <w:rsid w:val="00F774D0"/>
    <w:rsid w:val="00F7785D"/>
    <w:rsid w:val="00F80104"/>
    <w:rsid w:val="00F80F76"/>
    <w:rsid w:val="00F81219"/>
    <w:rsid w:val="00F81372"/>
    <w:rsid w:val="00F813D2"/>
    <w:rsid w:val="00F818C7"/>
    <w:rsid w:val="00F81C1D"/>
    <w:rsid w:val="00F827E8"/>
    <w:rsid w:val="00F82B5F"/>
    <w:rsid w:val="00F82BEA"/>
    <w:rsid w:val="00F831D8"/>
    <w:rsid w:val="00F831E0"/>
    <w:rsid w:val="00F8323B"/>
    <w:rsid w:val="00F83891"/>
    <w:rsid w:val="00F8399C"/>
    <w:rsid w:val="00F83C61"/>
    <w:rsid w:val="00F83CD1"/>
    <w:rsid w:val="00F844DE"/>
    <w:rsid w:val="00F84600"/>
    <w:rsid w:val="00F846A6"/>
    <w:rsid w:val="00F8473C"/>
    <w:rsid w:val="00F84903"/>
    <w:rsid w:val="00F855DC"/>
    <w:rsid w:val="00F857A8"/>
    <w:rsid w:val="00F857F0"/>
    <w:rsid w:val="00F8590F"/>
    <w:rsid w:val="00F85DAA"/>
    <w:rsid w:val="00F8601E"/>
    <w:rsid w:val="00F86541"/>
    <w:rsid w:val="00F8659B"/>
    <w:rsid w:val="00F86ACA"/>
    <w:rsid w:val="00F87409"/>
    <w:rsid w:val="00F8753F"/>
    <w:rsid w:val="00F87563"/>
    <w:rsid w:val="00F87FCB"/>
    <w:rsid w:val="00F90238"/>
    <w:rsid w:val="00F902AA"/>
    <w:rsid w:val="00F908AB"/>
    <w:rsid w:val="00F90DD0"/>
    <w:rsid w:val="00F90E25"/>
    <w:rsid w:val="00F90E8A"/>
    <w:rsid w:val="00F90F54"/>
    <w:rsid w:val="00F91592"/>
    <w:rsid w:val="00F91D89"/>
    <w:rsid w:val="00F92240"/>
    <w:rsid w:val="00F92286"/>
    <w:rsid w:val="00F929D4"/>
    <w:rsid w:val="00F92B73"/>
    <w:rsid w:val="00F92FA4"/>
    <w:rsid w:val="00F92FAF"/>
    <w:rsid w:val="00F93D16"/>
    <w:rsid w:val="00F93ED4"/>
    <w:rsid w:val="00F9518C"/>
    <w:rsid w:val="00F9532D"/>
    <w:rsid w:val="00F953F6"/>
    <w:rsid w:val="00F956DC"/>
    <w:rsid w:val="00F95958"/>
    <w:rsid w:val="00F95C12"/>
    <w:rsid w:val="00F964F4"/>
    <w:rsid w:val="00F96B01"/>
    <w:rsid w:val="00F96D79"/>
    <w:rsid w:val="00F96F40"/>
    <w:rsid w:val="00F96F75"/>
    <w:rsid w:val="00F97242"/>
    <w:rsid w:val="00F97F26"/>
    <w:rsid w:val="00FA0E1D"/>
    <w:rsid w:val="00FA16EF"/>
    <w:rsid w:val="00FA1A49"/>
    <w:rsid w:val="00FA218E"/>
    <w:rsid w:val="00FA2238"/>
    <w:rsid w:val="00FA263F"/>
    <w:rsid w:val="00FA266E"/>
    <w:rsid w:val="00FA2A95"/>
    <w:rsid w:val="00FA3138"/>
    <w:rsid w:val="00FA337C"/>
    <w:rsid w:val="00FA3598"/>
    <w:rsid w:val="00FA370B"/>
    <w:rsid w:val="00FA3AFB"/>
    <w:rsid w:val="00FA3B77"/>
    <w:rsid w:val="00FA3BC1"/>
    <w:rsid w:val="00FA3FA1"/>
    <w:rsid w:val="00FA44CB"/>
    <w:rsid w:val="00FA523B"/>
    <w:rsid w:val="00FA52DD"/>
    <w:rsid w:val="00FA563E"/>
    <w:rsid w:val="00FA5A81"/>
    <w:rsid w:val="00FA5D9A"/>
    <w:rsid w:val="00FA65AB"/>
    <w:rsid w:val="00FA6737"/>
    <w:rsid w:val="00FA685A"/>
    <w:rsid w:val="00FA69E8"/>
    <w:rsid w:val="00FA6AA9"/>
    <w:rsid w:val="00FA6B2E"/>
    <w:rsid w:val="00FA6D0A"/>
    <w:rsid w:val="00FA7610"/>
    <w:rsid w:val="00FA7688"/>
    <w:rsid w:val="00FA7827"/>
    <w:rsid w:val="00FB0A15"/>
    <w:rsid w:val="00FB1160"/>
    <w:rsid w:val="00FB11A0"/>
    <w:rsid w:val="00FB128E"/>
    <w:rsid w:val="00FB1321"/>
    <w:rsid w:val="00FB14BC"/>
    <w:rsid w:val="00FB1544"/>
    <w:rsid w:val="00FB1815"/>
    <w:rsid w:val="00FB1F15"/>
    <w:rsid w:val="00FB29C2"/>
    <w:rsid w:val="00FB2AFF"/>
    <w:rsid w:val="00FB31C3"/>
    <w:rsid w:val="00FB3226"/>
    <w:rsid w:val="00FB33D4"/>
    <w:rsid w:val="00FB35AD"/>
    <w:rsid w:val="00FB396B"/>
    <w:rsid w:val="00FB4097"/>
    <w:rsid w:val="00FB4136"/>
    <w:rsid w:val="00FB44AE"/>
    <w:rsid w:val="00FB48AB"/>
    <w:rsid w:val="00FB4D78"/>
    <w:rsid w:val="00FB4D9B"/>
    <w:rsid w:val="00FB4FE2"/>
    <w:rsid w:val="00FB5182"/>
    <w:rsid w:val="00FB5498"/>
    <w:rsid w:val="00FB5667"/>
    <w:rsid w:val="00FB571F"/>
    <w:rsid w:val="00FB586B"/>
    <w:rsid w:val="00FB5993"/>
    <w:rsid w:val="00FB5D68"/>
    <w:rsid w:val="00FB60E2"/>
    <w:rsid w:val="00FB69B7"/>
    <w:rsid w:val="00FB6AAC"/>
    <w:rsid w:val="00FB74F4"/>
    <w:rsid w:val="00FB7DB2"/>
    <w:rsid w:val="00FC0267"/>
    <w:rsid w:val="00FC0DBF"/>
    <w:rsid w:val="00FC19E7"/>
    <w:rsid w:val="00FC2137"/>
    <w:rsid w:val="00FC3072"/>
    <w:rsid w:val="00FC3438"/>
    <w:rsid w:val="00FC374F"/>
    <w:rsid w:val="00FC3799"/>
    <w:rsid w:val="00FC3B38"/>
    <w:rsid w:val="00FC495F"/>
    <w:rsid w:val="00FC4C03"/>
    <w:rsid w:val="00FC4C04"/>
    <w:rsid w:val="00FC539B"/>
    <w:rsid w:val="00FC5A01"/>
    <w:rsid w:val="00FC5AA3"/>
    <w:rsid w:val="00FC5BD0"/>
    <w:rsid w:val="00FC6262"/>
    <w:rsid w:val="00FC693C"/>
    <w:rsid w:val="00FC6AEE"/>
    <w:rsid w:val="00FC6CA3"/>
    <w:rsid w:val="00FC6D9F"/>
    <w:rsid w:val="00FC6E0E"/>
    <w:rsid w:val="00FC7689"/>
    <w:rsid w:val="00FC7EC1"/>
    <w:rsid w:val="00FD0648"/>
    <w:rsid w:val="00FD06D1"/>
    <w:rsid w:val="00FD0719"/>
    <w:rsid w:val="00FD0A26"/>
    <w:rsid w:val="00FD0A4F"/>
    <w:rsid w:val="00FD0B9A"/>
    <w:rsid w:val="00FD12D5"/>
    <w:rsid w:val="00FD1AAF"/>
    <w:rsid w:val="00FD1E4D"/>
    <w:rsid w:val="00FD20D6"/>
    <w:rsid w:val="00FD23EF"/>
    <w:rsid w:val="00FD24FE"/>
    <w:rsid w:val="00FD29E4"/>
    <w:rsid w:val="00FD2A10"/>
    <w:rsid w:val="00FD2A22"/>
    <w:rsid w:val="00FD30E9"/>
    <w:rsid w:val="00FD3178"/>
    <w:rsid w:val="00FD3426"/>
    <w:rsid w:val="00FD34B4"/>
    <w:rsid w:val="00FD3548"/>
    <w:rsid w:val="00FD37CD"/>
    <w:rsid w:val="00FD3B7C"/>
    <w:rsid w:val="00FD3E0B"/>
    <w:rsid w:val="00FD406A"/>
    <w:rsid w:val="00FD4722"/>
    <w:rsid w:val="00FD51C4"/>
    <w:rsid w:val="00FD5287"/>
    <w:rsid w:val="00FD542E"/>
    <w:rsid w:val="00FD584C"/>
    <w:rsid w:val="00FD5D94"/>
    <w:rsid w:val="00FD5E9B"/>
    <w:rsid w:val="00FD63AE"/>
    <w:rsid w:val="00FD6630"/>
    <w:rsid w:val="00FD687B"/>
    <w:rsid w:val="00FD6D0F"/>
    <w:rsid w:val="00FD7338"/>
    <w:rsid w:val="00FE02A8"/>
    <w:rsid w:val="00FE03A8"/>
    <w:rsid w:val="00FE08C3"/>
    <w:rsid w:val="00FE128B"/>
    <w:rsid w:val="00FE1694"/>
    <w:rsid w:val="00FE18DD"/>
    <w:rsid w:val="00FE1917"/>
    <w:rsid w:val="00FE1D00"/>
    <w:rsid w:val="00FE1DBB"/>
    <w:rsid w:val="00FE26B5"/>
    <w:rsid w:val="00FE2FDF"/>
    <w:rsid w:val="00FE3902"/>
    <w:rsid w:val="00FE3E97"/>
    <w:rsid w:val="00FE4072"/>
    <w:rsid w:val="00FE41D6"/>
    <w:rsid w:val="00FE4DD8"/>
    <w:rsid w:val="00FE4EDD"/>
    <w:rsid w:val="00FE5035"/>
    <w:rsid w:val="00FE53A2"/>
    <w:rsid w:val="00FE54D0"/>
    <w:rsid w:val="00FE55EA"/>
    <w:rsid w:val="00FE5C87"/>
    <w:rsid w:val="00FE5F0A"/>
    <w:rsid w:val="00FE5F87"/>
    <w:rsid w:val="00FE640C"/>
    <w:rsid w:val="00FE6798"/>
    <w:rsid w:val="00FE6B89"/>
    <w:rsid w:val="00FE6CE1"/>
    <w:rsid w:val="00FE6E5A"/>
    <w:rsid w:val="00FE751B"/>
    <w:rsid w:val="00FE77B8"/>
    <w:rsid w:val="00FE79D5"/>
    <w:rsid w:val="00FE7CF0"/>
    <w:rsid w:val="00FE7EB3"/>
    <w:rsid w:val="00FE7EC2"/>
    <w:rsid w:val="00FF07C3"/>
    <w:rsid w:val="00FF116B"/>
    <w:rsid w:val="00FF1FB7"/>
    <w:rsid w:val="00FF2243"/>
    <w:rsid w:val="00FF251E"/>
    <w:rsid w:val="00FF2706"/>
    <w:rsid w:val="00FF2D6D"/>
    <w:rsid w:val="00FF2E3D"/>
    <w:rsid w:val="00FF3537"/>
    <w:rsid w:val="00FF3734"/>
    <w:rsid w:val="00FF3BA8"/>
    <w:rsid w:val="00FF400F"/>
    <w:rsid w:val="00FF434E"/>
    <w:rsid w:val="00FF44A5"/>
    <w:rsid w:val="00FF4640"/>
    <w:rsid w:val="00FF4895"/>
    <w:rsid w:val="00FF5154"/>
    <w:rsid w:val="00FF5506"/>
    <w:rsid w:val="00FF5686"/>
    <w:rsid w:val="00FF5E7C"/>
    <w:rsid w:val="00FF5EBD"/>
    <w:rsid w:val="00FF610E"/>
    <w:rsid w:val="00FF6515"/>
    <w:rsid w:val="00FF6921"/>
    <w:rsid w:val="00FF6C9B"/>
    <w:rsid w:val="00FF745A"/>
    <w:rsid w:val="00FF75A8"/>
    <w:rsid w:val="00FF7B91"/>
    <w:rsid w:val="020C6FE1"/>
    <w:rsid w:val="023D46EC"/>
    <w:rsid w:val="02BB2E31"/>
    <w:rsid w:val="02C67B7D"/>
    <w:rsid w:val="03092820"/>
    <w:rsid w:val="040179BD"/>
    <w:rsid w:val="04402271"/>
    <w:rsid w:val="046F7C71"/>
    <w:rsid w:val="04BF763A"/>
    <w:rsid w:val="05FE0636"/>
    <w:rsid w:val="063C21FE"/>
    <w:rsid w:val="066E00E7"/>
    <w:rsid w:val="07447F1A"/>
    <w:rsid w:val="0762247A"/>
    <w:rsid w:val="07830364"/>
    <w:rsid w:val="07E01DA1"/>
    <w:rsid w:val="08195BC2"/>
    <w:rsid w:val="08345FF5"/>
    <w:rsid w:val="083A51B0"/>
    <w:rsid w:val="08A41020"/>
    <w:rsid w:val="08A77585"/>
    <w:rsid w:val="099866AB"/>
    <w:rsid w:val="09A1314D"/>
    <w:rsid w:val="0A3A3F77"/>
    <w:rsid w:val="0A560D2F"/>
    <w:rsid w:val="0A571E72"/>
    <w:rsid w:val="0AB25FDF"/>
    <w:rsid w:val="0B36413F"/>
    <w:rsid w:val="0B875353"/>
    <w:rsid w:val="0BAD6045"/>
    <w:rsid w:val="0C117F1F"/>
    <w:rsid w:val="0CA95119"/>
    <w:rsid w:val="0CBB589F"/>
    <w:rsid w:val="0D6D128A"/>
    <w:rsid w:val="0D717D74"/>
    <w:rsid w:val="0DF63CF6"/>
    <w:rsid w:val="0E531613"/>
    <w:rsid w:val="0EC93126"/>
    <w:rsid w:val="0EFD1E67"/>
    <w:rsid w:val="0F28786B"/>
    <w:rsid w:val="0F817331"/>
    <w:rsid w:val="0FBD6FC9"/>
    <w:rsid w:val="0FEC7889"/>
    <w:rsid w:val="100729BD"/>
    <w:rsid w:val="10192EC5"/>
    <w:rsid w:val="106A62DE"/>
    <w:rsid w:val="108D1597"/>
    <w:rsid w:val="10962649"/>
    <w:rsid w:val="10FF00DF"/>
    <w:rsid w:val="11BF0BD4"/>
    <w:rsid w:val="11F4023B"/>
    <w:rsid w:val="12777691"/>
    <w:rsid w:val="12D35F9F"/>
    <w:rsid w:val="13631AD8"/>
    <w:rsid w:val="1371023C"/>
    <w:rsid w:val="13BB36C2"/>
    <w:rsid w:val="13DD21A1"/>
    <w:rsid w:val="14612D82"/>
    <w:rsid w:val="14E1007F"/>
    <w:rsid w:val="151C5656"/>
    <w:rsid w:val="15471DC4"/>
    <w:rsid w:val="15B01683"/>
    <w:rsid w:val="16506066"/>
    <w:rsid w:val="165322D8"/>
    <w:rsid w:val="16545A4F"/>
    <w:rsid w:val="185C4DBF"/>
    <w:rsid w:val="18824071"/>
    <w:rsid w:val="18C87DAE"/>
    <w:rsid w:val="19212219"/>
    <w:rsid w:val="19BC4967"/>
    <w:rsid w:val="1A437A32"/>
    <w:rsid w:val="1AE968D2"/>
    <w:rsid w:val="1C0C134A"/>
    <w:rsid w:val="1C274BC0"/>
    <w:rsid w:val="1C55307C"/>
    <w:rsid w:val="1C70201E"/>
    <w:rsid w:val="1C811B0F"/>
    <w:rsid w:val="1CA522C0"/>
    <w:rsid w:val="1CBF5FD1"/>
    <w:rsid w:val="1CDB1E2E"/>
    <w:rsid w:val="1D8D218F"/>
    <w:rsid w:val="1DB72FAB"/>
    <w:rsid w:val="1DCC5F20"/>
    <w:rsid w:val="1E6F722C"/>
    <w:rsid w:val="1F2D7B6A"/>
    <w:rsid w:val="20244E58"/>
    <w:rsid w:val="203A2177"/>
    <w:rsid w:val="20F93691"/>
    <w:rsid w:val="21D818E3"/>
    <w:rsid w:val="226002BD"/>
    <w:rsid w:val="22AB1FDA"/>
    <w:rsid w:val="22B831B5"/>
    <w:rsid w:val="22E417D9"/>
    <w:rsid w:val="230010F2"/>
    <w:rsid w:val="235516D6"/>
    <w:rsid w:val="237920D6"/>
    <w:rsid w:val="242B454D"/>
    <w:rsid w:val="24500DB5"/>
    <w:rsid w:val="24730DB4"/>
    <w:rsid w:val="24786F1A"/>
    <w:rsid w:val="24D61AF1"/>
    <w:rsid w:val="25F27417"/>
    <w:rsid w:val="26390E3F"/>
    <w:rsid w:val="26C40D63"/>
    <w:rsid w:val="27623EF4"/>
    <w:rsid w:val="286E522A"/>
    <w:rsid w:val="28754BE8"/>
    <w:rsid w:val="28A10C81"/>
    <w:rsid w:val="290B77F3"/>
    <w:rsid w:val="291A4434"/>
    <w:rsid w:val="291A7D1A"/>
    <w:rsid w:val="298A3181"/>
    <w:rsid w:val="29E7300B"/>
    <w:rsid w:val="2A023920"/>
    <w:rsid w:val="2A0D657B"/>
    <w:rsid w:val="2AB244CE"/>
    <w:rsid w:val="2AD34510"/>
    <w:rsid w:val="2AEF7E60"/>
    <w:rsid w:val="2B276439"/>
    <w:rsid w:val="2B6F18D5"/>
    <w:rsid w:val="2BF51305"/>
    <w:rsid w:val="2C714150"/>
    <w:rsid w:val="2D160442"/>
    <w:rsid w:val="2D354003"/>
    <w:rsid w:val="2D7D3FBE"/>
    <w:rsid w:val="2D94591A"/>
    <w:rsid w:val="2DD10148"/>
    <w:rsid w:val="2DDD4AE7"/>
    <w:rsid w:val="2E3436CC"/>
    <w:rsid w:val="2E402DEC"/>
    <w:rsid w:val="2E532A1D"/>
    <w:rsid w:val="2EC932E4"/>
    <w:rsid w:val="2ECD4F05"/>
    <w:rsid w:val="2EE97857"/>
    <w:rsid w:val="2F2A6C72"/>
    <w:rsid w:val="2F8E3429"/>
    <w:rsid w:val="2FC01803"/>
    <w:rsid w:val="302A5A00"/>
    <w:rsid w:val="304F13CF"/>
    <w:rsid w:val="304F36B8"/>
    <w:rsid w:val="30C6397A"/>
    <w:rsid w:val="30CF0188"/>
    <w:rsid w:val="31440600"/>
    <w:rsid w:val="31692CF6"/>
    <w:rsid w:val="31E247E4"/>
    <w:rsid w:val="32925A20"/>
    <w:rsid w:val="32CB178B"/>
    <w:rsid w:val="332C7409"/>
    <w:rsid w:val="33770F5C"/>
    <w:rsid w:val="344D7365"/>
    <w:rsid w:val="349C48BF"/>
    <w:rsid w:val="350A761F"/>
    <w:rsid w:val="35355A35"/>
    <w:rsid w:val="354C773B"/>
    <w:rsid w:val="356B3A25"/>
    <w:rsid w:val="359804A9"/>
    <w:rsid w:val="35AB75E3"/>
    <w:rsid w:val="35EB5C31"/>
    <w:rsid w:val="3697668C"/>
    <w:rsid w:val="36F23DEC"/>
    <w:rsid w:val="379E46E5"/>
    <w:rsid w:val="37CB124E"/>
    <w:rsid w:val="392C4AB5"/>
    <w:rsid w:val="39CC42E8"/>
    <w:rsid w:val="39D569F4"/>
    <w:rsid w:val="3A337E96"/>
    <w:rsid w:val="3AD85907"/>
    <w:rsid w:val="3B042080"/>
    <w:rsid w:val="3B141786"/>
    <w:rsid w:val="3B6A39B8"/>
    <w:rsid w:val="3BBE3297"/>
    <w:rsid w:val="3BED7B49"/>
    <w:rsid w:val="3C463BC1"/>
    <w:rsid w:val="3C5A141B"/>
    <w:rsid w:val="3CE12FC6"/>
    <w:rsid w:val="3D2D7451"/>
    <w:rsid w:val="3D3E703A"/>
    <w:rsid w:val="3DCB1735"/>
    <w:rsid w:val="3DE3154A"/>
    <w:rsid w:val="3E946E66"/>
    <w:rsid w:val="3EC04248"/>
    <w:rsid w:val="3F136CC1"/>
    <w:rsid w:val="3FB57F40"/>
    <w:rsid w:val="3FEE07F8"/>
    <w:rsid w:val="401B184F"/>
    <w:rsid w:val="402D7572"/>
    <w:rsid w:val="40A6476D"/>
    <w:rsid w:val="41200C5E"/>
    <w:rsid w:val="424879BD"/>
    <w:rsid w:val="427261A5"/>
    <w:rsid w:val="428D09FF"/>
    <w:rsid w:val="42B43694"/>
    <w:rsid w:val="43566DE0"/>
    <w:rsid w:val="43EF4B3E"/>
    <w:rsid w:val="44B475B0"/>
    <w:rsid w:val="45030045"/>
    <w:rsid w:val="452847AC"/>
    <w:rsid w:val="453A647B"/>
    <w:rsid w:val="45A56FE6"/>
    <w:rsid w:val="465143D8"/>
    <w:rsid w:val="46F52E39"/>
    <w:rsid w:val="47846478"/>
    <w:rsid w:val="47BE388F"/>
    <w:rsid w:val="482F688A"/>
    <w:rsid w:val="48ED6036"/>
    <w:rsid w:val="495B10E3"/>
    <w:rsid w:val="49E705D6"/>
    <w:rsid w:val="4A006D07"/>
    <w:rsid w:val="4AF54CB9"/>
    <w:rsid w:val="4B4E06F9"/>
    <w:rsid w:val="4BD444F6"/>
    <w:rsid w:val="4C2F5C2C"/>
    <w:rsid w:val="4D23359C"/>
    <w:rsid w:val="4D2A3DAE"/>
    <w:rsid w:val="4D8E03AE"/>
    <w:rsid w:val="4E0B2E12"/>
    <w:rsid w:val="4E8938D8"/>
    <w:rsid w:val="4F7C696E"/>
    <w:rsid w:val="4F870321"/>
    <w:rsid w:val="50285660"/>
    <w:rsid w:val="50311835"/>
    <w:rsid w:val="513444D8"/>
    <w:rsid w:val="51AE428B"/>
    <w:rsid w:val="51C85281"/>
    <w:rsid w:val="528E426D"/>
    <w:rsid w:val="52CF1AED"/>
    <w:rsid w:val="531401FE"/>
    <w:rsid w:val="532A472A"/>
    <w:rsid w:val="534E1882"/>
    <w:rsid w:val="536A0BEE"/>
    <w:rsid w:val="53FB4523"/>
    <w:rsid w:val="54112C0C"/>
    <w:rsid w:val="54C76671"/>
    <w:rsid w:val="550270C7"/>
    <w:rsid w:val="55BF316C"/>
    <w:rsid w:val="560E03C2"/>
    <w:rsid w:val="560E52F8"/>
    <w:rsid w:val="56466840"/>
    <w:rsid w:val="570003CC"/>
    <w:rsid w:val="572C3772"/>
    <w:rsid w:val="57625E19"/>
    <w:rsid w:val="57E00222"/>
    <w:rsid w:val="57F86096"/>
    <w:rsid w:val="584D027A"/>
    <w:rsid w:val="585475CA"/>
    <w:rsid w:val="588779F5"/>
    <w:rsid w:val="58942C74"/>
    <w:rsid w:val="58BD5BDC"/>
    <w:rsid w:val="58E85104"/>
    <w:rsid w:val="58EF1AF9"/>
    <w:rsid w:val="590823FE"/>
    <w:rsid w:val="59B14918"/>
    <w:rsid w:val="59DE1D92"/>
    <w:rsid w:val="5A201A9E"/>
    <w:rsid w:val="5B2D6220"/>
    <w:rsid w:val="5BEF64F8"/>
    <w:rsid w:val="5CEE7E81"/>
    <w:rsid w:val="5CF22ACD"/>
    <w:rsid w:val="5DDD54D0"/>
    <w:rsid w:val="5DE03BD9"/>
    <w:rsid w:val="5E1C432A"/>
    <w:rsid w:val="5E3C1C92"/>
    <w:rsid w:val="5E4F0557"/>
    <w:rsid w:val="5E907E2E"/>
    <w:rsid w:val="5EEB267A"/>
    <w:rsid w:val="5F0C11C3"/>
    <w:rsid w:val="5F1A3805"/>
    <w:rsid w:val="600F470A"/>
    <w:rsid w:val="60310561"/>
    <w:rsid w:val="607406E4"/>
    <w:rsid w:val="60C9689C"/>
    <w:rsid w:val="60E60B56"/>
    <w:rsid w:val="612D1C31"/>
    <w:rsid w:val="61C4751D"/>
    <w:rsid w:val="61FA29D6"/>
    <w:rsid w:val="622151FD"/>
    <w:rsid w:val="625B2AF7"/>
    <w:rsid w:val="636D06F5"/>
    <w:rsid w:val="63790315"/>
    <w:rsid w:val="63A848C4"/>
    <w:rsid w:val="640F0A83"/>
    <w:rsid w:val="641F4158"/>
    <w:rsid w:val="646330D4"/>
    <w:rsid w:val="646B26B9"/>
    <w:rsid w:val="64A60B9F"/>
    <w:rsid w:val="64A97E58"/>
    <w:rsid w:val="64B7470B"/>
    <w:rsid w:val="65470D3C"/>
    <w:rsid w:val="658832E0"/>
    <w:rsid w:val="66213C5D"/>
    <w:rsid w:val="66946BFE"/>
    <w:rsid w:val="67944AE4"/>
    <w:rsid w:val="67A11B51"/>
    <w:rsid w:val="682A79D5"/>
    <w:rsid w:val="683D1CDF"/>
    <w:rsid w:val="684E5A28"/>
    <w:rsid w:val="692C3B2F"/>
    <w:rsid w:val="696F474E"/>
    <w:rsid w:val="6A0D45D1"/>
    <w:rsid w:val="6A464B0A"/>
    <w:rsid w:val="6A8E62F4"/>
    <w:rsid w:val="6AE723D6"/>
    <w:rsid w:val="6AF458A9"/>
    <w:rsid w:val="6B0C5E52"/>
    <w:rsid w:val="6B1031B7"/>
    <w:rsid w:val="6BAE7BA3"/>
    <w:rsid w:val="6C200DE6"/>
    <w:rsid w:val="6C520DDD"/>
    <w:rsid w:val="6C676C46"/>
    <w:rsid w:val="6C8C7431"/>
    <w:rsid w:val="6C91243C"/>
    <w:rsid w:val="6CE46DB3"/>
    <w:rsid w:val="6D3E5EEB"/>
    <w:rsid w:val="6D5C2995"/>
    <w:rsid w:val="6D6A5AEC"/>
    <w:rsid w:val="6D8A7447"/>
    <w:rsid w:val="6DA54E42"/>
    <w:rsid w:val="6DF332FA"/>
    <w:rsid w:val="6E213A2A"/>
    <w:rsid w:val="6E9F158A"/>
    <w:rsid w:val="6EEC6AC2"/>
    <w:rsid w:val="6F241583"/>
    <w:rsid w:val="6F97125C"/>
    <w:rsid w:val="70825BF9"/>
    <w:rsid w:val="70F745F5"/>
    <w:rsid w:val="714F444D"/>
    <w:rsid w:val="721C4A9F"/>
    <w:rsid w:val="73595954"/>
    <w:rsid w:val="73AA26AC"/>
    <w:rsid w:val="740551C4"/>
    <w:rsid w:val="740F250F"/>
    <w:rsid w:val="74423EA2"/>
    <w:rsid w:val="744C3F3F"/>
    <w:rsid w:val="74720851"/>
    <w:rsid w:val="74B829EC"/>
    <w:rsid w:val="74F3461E"/>
    <w:rsid w:val="750E6C6B"/>
    <w:rsid w:val="7590657C"/>
    <w:rsid w:val="75A77BCA"/>
    <w:rsid w:val="75F20A95"/>
    <w:rsid w:val="76127C01"/>
    <w:rsid w:val="763615F8"/>
    <w:rsid w:val="765B3F2D"/>
    <w:rsid w:val="76A258BD"/>
    <w:rsid w:val="76BD3590"/>
    <w:rsid w:val="78C170AE"/>
    <w:rsid w:val="78C30E55"/>
    <w:rsid w:val="79224DC2"/>
    <w:rsid w:val="79843D42"/>
    <w:rsid w:val="798661F3"/>
    <w:rsid w:val="79CB1296"/>
    <w:rsid w:val="79F870CE"/>
    <w:rsid w:val="7A00361B"/>
    <w:rsid w:val="7A0667FB"/>
    <w:rsid w:val="7A431C5C"/>
    <w:rsid w:val="7B1D1075"/>
    <w:rsid w:val="7B4D4A4A"/>
    <w:rsid w:val="7BC77B74"/>
    <w:rsid w:val="7C7174B1"/>
    <w:rsid w:val="7CB94162"/>
    <w:rsid w:val="7CF650EE"/>
    <w:rsid w:val="7D6D04F4"/>
    <w:rsid w:val="7E0B52F5"/>
    <w:rsid w:val="7E1F5A45"/>
    <w:rsid w:val="7E360AD2"/>
    <w:rsid w:val="7E612DF3"/>
    <w:rsid w:val="7E706900"/>
    <w:rsid w:val="7E7D28D3"/>
    <w:rsid w:val="7E7E09BD"/>
    <w:rsid w:val="7E8A1255"/>
    <w:rsid w:val="7F0030C0"/>
    <w:rsid w:val="7F071B2D"/>
    <w:rsid w:val="7F9D4566"/>
    <w:rsid w:val="7FA26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3"/>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4"/>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link w:val="55"/>
    <w:qFormat/>
    <w:uiPriority w:val="0"/>
    <w:pPr>
      <w:keepNext/>
      <w:keepLines/>
      <w:spacing w:before="120" w:beforeLines="50" w:after="120" w:afterLines="50"/>
      <w:ind w:left="864" w:hanging="864"/>
      <w:jc w:val="left"/>
      <w:outlineLvl w:val="3"/>
    </w:pPr>
    <w:rPr>
      <w:rFonts w:ascii="黑体" w:hAnsi="黑体" w:eastAsia="黑体"/>
      <w:b/>
      <w:bCs/>
      <w:sz w:val="24"/>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6"/>
    <w:qFormat/>
    <w:uiPriority w:val="0"/>
    <w:pPr>
      <w:ind w:firstLine="420"/>
    </w:pPr>
    <w:rPr>
      <w:szCs w:val="20"/>
    </w:rPr>
  </w:style>
  <w:style w:type="paragraph" w:styleId="12">
    <w:name w:val="index 8"/>
    <w:basedOn w:val="1"/>
    <w:next w:val="1"/>
    <w:qFormat/>
    <w:uiPriority w:val="0"/>
    <w:pPr>
      <w:ind w:left="2940"/>
    </w:p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semiHidden/>
    <w:qFormat/>
    <w:uiPriority w:val="0"/>
    <w:pPr>
      <w:shd w:val="clear" w:color="auto" w:fill="000080"/>
    </w:pPr>
  </w:style>
  <w:style w:type="paragraph" w:styleId="16">
    <w:name w:val="annotation text"/>
    <w:basedOn w:val="1"/>
    <w:qFormat/>
    <w:uiPriority w:val="0"/>
    <w:pPr>
      <w:jc w:val="left"/>
    </w:pPr>
  </w:style>
  <w:style w:type="paragraph" w:styleId="17">
    <w:name w:val="Body Text 3"/>
    <w:basedOn w:val="1"/>
    <w:qFormat/>
    <w:uiPriority w:val="0"/>
    <w:pPr>
      <w:spacing w:line="500" w:lineRule="exact"/>
    </w:pPr>
    <w:rPr>
      <w:b/>
      <w:bCs/>
      <w:sz w:val="24"/>
    </w:rPr>
  </w:style>
  <w:style w:type="paragraph" w:styleId="18">
    <w:name w:val="Body Text"/>
    <w:basedOn w:val="1"/>
    <w:link w:val="57"/>
    <w:qFormat/>
    <w:uiPriority w:val="0"/>
    <w:pPr>
      <w:spacing w:line="380" w:lineRule="exact"/>
    </w:pPr>
    <w:rPr>
      <w:sz w:val="24"/>
    </w:rPr>
  </w:style>
  <w:style w:type="paragraph" w:styleId="19">
    <w:name w:val="Body Text Indent"/>
    <w:basedOn w:val="1"/>
    <w:link w:val="58"/>
    <w:qFormat/>
    <w:uiPriority w:val="0"/>
    <w:pPr>
      <w:ind w:firstLine="830" w:firstLineChars="352"/>
    </w:pPr>
    <w:rPr>
      <w:rFonts w:ascii="仿宋_GB2312" w:eastAsia="仿宋_GB2312"/>
      <w:sz w:val="32"/>
      <w:szCs w:val="20"/>
    </w:rPr>
  </w:style>
  <w:style w:type="paragraph" w:styleId="20">
    <w:name w:val="List Number 3"/>
    <w:basedOn w:val="1"/>
    <w:qFormat/>
    <w:uiPriority w:val="0"/>
    <w:pPr>
      <w:numPr>
        <w:ilvl w:val="0"/>
        <w:numId w:val="1"/>
      </w:numPr>
      <w:tabs>
        <w:tab w:val="left" w:pos="1200"/>
        <w:tab w:val="clear" w:pos="360"/>
      </w:tabs>
    </w:pPr>
  </w:style>
  <w:style w:type="paragraph" w:styleId="21">
    <w:name w:val="List 2"/>
    <w:basedOn w:val="1"/>
    <w:qFormat/>
    <w:uiPriority w:val="0"/>
    <w:pPr>
      <w:ind w:left="100" w:leftChars="200" w:hanging="200" w:hangingChars="200"/>
    </w:pPr>
    <w:rPr>
      <w:sz w:val="28"/>
    </w:rPr>
  </w:style>
  <w:style w:type="paragraph" w:styleId="22">
    <w:name w:val="Plain Text"/>
    <w:basedOn w:val="1"/>
    <w:link w:val="59"/>
    <w:qFormat/>
    <w:uiPriority w:val="0"/>
    <w:rPr>
      <w:rFonts w:ascii="宋体" w:hAnsi="Courier New" w:cs="Courier New"/>
      <w:szCs w:val="21"/>
    </w:rPr>
  </w:style>
  <w:style w:type="paragraph" w:styleId="23">
    <w:name w:val="Date"/>
    <w:basedOn w:val="1"/>
    <w:next w:val="1"/>
    <w:qFormat/>
    <w:uiPriority w:val="0"/>
    <w:pPr>
      <w:ind w:left="100" w:leftChars="2500"/>
    </w:pPr>
    <w:rPr>
      <w:rFonts w:ascii="宋体" w:hAnsi="Courier New" w:cs="Courier New"/>
      <w:szCs w:val="21"/>
    </w:rPr>
  </w:style>
  <w:style w:type="paragraph" w:styleId="24">
    <w:name w:val="Body Text Indent 2"/>
    <w:basedOn w:val="1"/>
    <w:link w:val="60"/>
    <w:qFormat/>
    <w:uiPriority w:val="0"/>
    <w:pPr>
      <w:ind w:firstLine="630"/>
    </w:pPr>
    <w:rPr>
      <w:sz w:val="32"/>
      <w:szCs w:val="20"/>
    </w:rPr>
  </w:style>
  <w:style w:type="paragraph" w:styleId="25">
    <w:name w:val="Balloon Text"/>
    <w:basedOn w:val="1"/>
    <w:semiHidden/>
    <w:qFormat/>
    <w:uiPriority w:val="0"/>
    <w:rPr>
      <w:sz w:val="18"/>
      <w:szCs w:val="18"/>
    </w:rPr>
  </w:style>
  <w:style w:type="paragraph" w:styleId="26">
    <w:name w:val="footer"/>
    <w:basedOn w:val="1"/>
    <w:link w:val="61"/>
    <w:qFormat/>
    <w:uiPriority w:val="0"/>
    <w:pPr>
      <w:tabs>
        <w:tab w:val="center" w:pos="4153"/>
        <w:tab w:val="right" w:pos="8306"/>
      </w:tabs>
      <w:snapToGrid w:val="0"/>
      <w:jc w:val="left"/>
    </w:pPr>
    <w:rPr>
      <w:sz w:val="18"/>
      <w:szCs w:val="18"/>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List"/>
    <w:basedOn w:val="1"/>
    <w:qFormat/>
    <w:uiPriority w:val="0"/>
    <w:pPr>
      <w:ind w:left="200" w:hanging="200" w:hangingChars="200"/>
    </w:pPr>
    <w:rPr>
      <w:sz w:val="28"/>
    </w:rPr>
  </w:style>
  <w:style w:type="paragraph" w:styleId="30">
    <w:name w:val="Body Text Indent 3"/>
    <w:basedOn w:val="1"/>
    <w:qFormat/>
    <w:uiPriority w:val="0"/>
    <w:pPr>
      <w:spacing w:after="120"/>
      <w:ind w:left="420" w:leftChars="200"/>
    </w:pPr>
    <w:rPr>
      <w:sz w:val="16"/>
      <w:szCs w:val="16"/>
    </w:rPr>
  </w:style>
  <w:style w:type="paragraph" w:styleId="31">
    <w:name w:val="toc 2"/>
    <w:basedOn w:val="1"/>
    <w:next w:val="1"/>
    <w:qFormat/>
    <w:uiPriority w:val="39"/>
    <w:pPr>
      <w:tabs>
        <w:tab w:val="right" w:leader="dot" w:pos="9360"/>
      </w:tabs>
      <w:ind w:left="420" w:leftChars="200"/>
    </w:pPr>
  </w:style>
  <w:style w:type="paragraph" w:styleId="32">
    <w:name w:val="Body Text 2"/>
    <w:basedOn w:val="1"/>
    <w:qFormat/>
    <w:uiPriority w:val="0"/>
    <w:pPr>
      <w:spacing w:after="120" w:line="480" w:lineRule="auto"/>
    </w:p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index 1"/>
    <w:basedOn w:val="1"/>
    <w:next w:val="1"/>
    <w:semiHidden/>
    <w:qFormat/>
    <w:uiPriority w:val="0"/>
    <w:pPr>
      <w:spacing w:line="400" w:lineRule="exact"/>
      <w:ind w:firstLine="420" w:firstLineChars="200"/>
    </w:pPr>
    <w:rPr>
      <w:rFonts w:ascii="宋体" w:hAnsi="Courier New"/>
      <w:b/>
      <w:szCs w:val="20"/>
    </w:rPr>
  </w:style>
  <w:style w:type="paragraph" w:styleId="35">
    <w:name w:val="Body Text First Indent"/>
    <w:basedOn w:val="18"/>
    <w:link w:val="62"/>
    <w:qFormat/>
    <w:uiPriority w:val="0"/>
    <w:pPr>
      <w:spacing w:after="120" w:line="240" w:lineRule="auto"/>
      <w:ind w:firstLine="420" w:firstLineChars="100"/>
    </w:pPr>
    <w:rPr>
      <w:sz w:val="21"/>
    </w:rPr>
  </w:style>
  <w:style w:type="paragraph" w:styleId="36">
    <w:name w:val="Body Text First Indent 2"/>
    <w:basedOn w:val="19"/>
    <w:link w:val="63"/>
    <w:qFormat/>
    <w:uiPriority w:val="0"/>
    <w:pPr>
      <w:spacing w:after="120"/>
      <w:ind w:left="420" w:leftChars="200" w:firstLine="420" w:firstLineChars="200"/>
    </w:pPr>
    <w:rPr>
      <w:sz w:val="21"/>
      <w:szCs w:val="24"/>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bCs/>
    </w:rPr>
  </w:style>
  <w:style w:type="character" w:styleId="41">
    <w:name w:val="page number"/>
    <w:qFormat/>
    <w:uiPriority w:val="0"/>
  </w:style>
  <w:style w:type="character" w:styleId="42">
    <w:name w:val="Hyperlink"/>
    <w:qFormat/>
    <w:uiPriority w:val="99"/>
    <w:rPr>
      <w:color w:val="0000FF"/>
      <w:u w:val="single"/>
    </w:rPr>
  </w:style>
  <w:style w:type="character" w:styleId="43">
    <w:name w:val="HTML Sample"/>
    <w:basedOn w:val="39"/>
    <w:qFormat/>
    <w:uiPriority w:val="0"/>
    <w:rPr>
      <w:rFonts w:ascii="Courier New" w:hAnsi="Courier New"/>
    </w:rPr>
  </w:style>
  <w:style w:type="paragraph" w:customStyle="1" w:styleId="4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5">
    <w:name w:val="表格文字"/>
    <w:basedOn w:val="46"/>
    <w:next w:val="51"/>
    <w:qFormat/>
    <w:uiPriority w:val="99"/>
    <w:pPr>
      <w:spacing w:before="25" w:after="25"/>
    </w:pPr>
    <w:rPr>
      <w:rFonts w:ascii="Calibri" w:eastAsia="Calibri"/>
      <w:bCs/>
      <w:spacing w:val="10"/>
      <w:kern w:val="0"/>
    </w:rPr>
  </w:style>
  <w:style w:type="paragraph" w:customStyle="1" w:styleId="46">
    <w:name w:val="正文文本缩进_0"/>
    <w:basedOn w:val="47"/>
    <w:qFormat/>
    <w:uiPriority w:val="99"/>
    <w:pPr>
      <w:spacing w:before="240" w:line="360" w:lineRule="auto"/>
      <w:ind w:firstLine="552" w:firstLineChars="263"/>
    </w:pPr>
    <w:rPr>
      <w:rFonts w:ascii="宋体"/>
    </w:rPr>
  </w:style>
  <w:style w:type="paragraph" w:customStyle="1" w:styleId="47">
    <w:name w:val="正文_2"/>
    <w:next w:val="4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页脚_2"/>
    <w:basedOn w:val="49"/>
    <w:unhideWhenUsed/>
    <w:qFormat/>
    <w:uiPriority w:val="99"/>
    <w:pPr>
      <w:tabs>
        <w:tab w:val="center" w:pos="4153"/>
        <w:tab w:val="right" w:pos="8306"/>
      </w:tabs>
      <w:snapToGrid w:val="0"/>
      <w:jc w:val="left"/>
    </w:pPr>
    <w:rPr>
      <w:sz w:val="18"/>
      <w:szCs w:val="18"/>
    </w:rPr>
  </w:style>
  <w:style w:type="paragraph" w:customStyle="1" w:styleId="49">
    <w:name w:val="正文_2_0"/>
    <w:next w:val="5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页脚_1"/>
    <w:basedOn w:val="49"/>
    <w:unhideWhenUsed/>
    <w:qFormat/>
    <w:uiPriority w:val="99"/>
    <w:pPr>
      <w:tabs>
        <w:tab w:val="center" w:pos="4153"/>
        <w:tab w:val="right" w:pos="8306"/>
      </w:tabs>
      <w:snapToGrid w:val="0"/>
      <w:jc w:val="left"/>
    </w:pPr>
    <w:rPr>
      <w:sz w:val="18"/>
      <w:szCs w:val="18"/>
    </w:rPr>
  </w:style>
  <w:style w:type="paragraph" w:customStyle="1" w:styleId="51">
    <w:name w:val="正文文本_0"/>
    <w:basedOn w:val="47"/>
    <w:next w:val="47"/>
    <w:qFormat/>
    <w:uiPriority w:val="99"/>
    <w:pPr>
      <w:adjustRightInd w:val="0"/>
      <w:spacing w:after="60" w:line="360" w:lineRule="atLeast"/>
      <w:ind w:left="72" w:leftChars="30" w:right="30" w:rightChars="30"/>
      <w:jc w:val="center"/>
      <w:textAlignment w:val="baseline"/>
    </w:pPr>
    <w:rPr>
      <w:sz w:val="22"/>
    </w:rPr>
  </w:style>
  <w:style w:type="character" w:customStyle="1" w:styleId="52">
    <w:name w:val="标题 1 字符"/>
    <w:link w:val="2"/>
    <w:qFormat/>
    <w:uiPriority w:val="0"/>
    <w:rPr>
      <w:rFonts w:eastAsia="宋体"/>
      <w:b/>
      <w:bCs/>
      <w:kern w:val="44"/>
      <w:sz w:val="44"/>
      <w:szCs w:val="44"/>
      <w:lang w:val="en-US" w:eastAsia="zh-CN" w:bidi="ar-SA"/>
    </w:rPr>
  </w:style>
  <w:style w:type="character" w:customStyle="1" w:styleId="53">
    <w:name w:val="标题 2 字符"/>
    <w:link w:val="3"/>
    <w:qFormat/>
    <w:uiPriority w:val="9"/>
    <w:rPr>
      <w:rFonts w:ascii="Arial" w:hAnsi="Arial" w:eastAsia="黑体"/>
      <w:b/>
      <w:bCs/>
      <w:kern w:val="2"/>
      <w:sz w:val="32"/>
      <w:szCs w:val="32"/>
    </w:rPr>
  </w:style>
  <w:style w:type="character" w:customStyle="1" w:styleId="54">
    <w:name w:val="标题 3 字符"/>
    <w:link w:val="4"/>
    <w:qFormat/>
    <w:uiPriority w:val="0"/>
    <w:rPr>
      <w:rFonts w:ascii="Calibri" w:hAnsi="Calibri" w:eastAsia="宋体"/>
      <w:b/>
      <w:bCs/>
      <w:kern w:val="2"/>
      <w:sz w:val="32"/>
      <w:szCs w:val="32"/>
      <w:lang w:val="en-US" w:eastAsia="zh-CN" w:bidi="ar-SA"/>
    </w:rPr>
  </w:style>
  <w:style w:type="character" w:customStyle="1" w:styleId="55">
    <w:name w:val="标题 4 字符"/>
    <w:link w:val="5"/>
    <w:qFormat/>
    <w:uiPriority w:val="0"/>
    <w:rPr>
      <w:rFonts w:ascii="黑体" w:hAnsi="黑体" w:eastAsia="黑体"/>
      <w:b/>
      <w:bCs/>
      <w:kern w:val="2"/>
      <w:sz w:val="24"/>
      <w:szCs w:val="24"/>
    </w:rPr>
  </w:style>
  <w:style w:type="character" w:customStyle="1" w:styleId="56">
    <w:name w:val="正文缩进 字符"/>
    <w:link w:val="7"/>
    <w:qFormat/>
    <w:locked/>
    <w:uiPriority w:val="0"/>
    <w:rPr>
      <w:kern w:val="2"/>
      <w:sz w:val="21"/>
    </w:rPr>
  </w:style>
  <w:style w:type="character" w:customStyle="1" w:styleId="57">
    <w:name w:val="正文文本 字符"/>
    <w:link w:val="18"/>
    <w:qFormat/>
    <w:uiPriority w:val="0"/>
    <w:rPr>
      <w:kern w:val="2"/>
      <w:sz w:val="24"/>
      <w:szCs w:val="24"/>
    </w:rPr>
  </w:style>
  <w:style w:type="character" w:customStyle="1" w:styleId="58">
    <w:name w:val="正文文本缩进 字符"/>
    <w:link w:val="19"/>
    <w:qFormat/>
    <w:uiPriority w:val="0"/>
    <w:rPr>
      <w:rFonts w:ascii="仿宋_GB2312" w:eastAsia="仿宋_GB2312"/>
      <w:kern w:val="2"/>
      <w:sz w:val="32"/>
    </w:rPr>
  </w:style>
  <w:style w:type="character" w:customStyle="1" w:styleId="59">
    <w:name w:val="纯文本 字符"/>
    <w:link w:val="22"/>
    <w:qFormat/>
    <w:uiPriority w:val="0"/>
    <w:rPr>
      <w:rFonts w:ascii="宋体" w:hAnsi="Courier New" w:eastAsia="宋体" w:cs="Courier New"/>
      <w:kern w:val="2"/>
      <w:sz w:val="21"/>
      <w:szCs w:val="21"/>
      <w:lang w:val="en-US" w:eastAsia="zh-CN" w:bidi="ar-SA"/>
    </w:rPr>
  </w:style>
  <w:style w:type="character" w:customStyle="1" w:styleId="60">
    <w:name w:val="正文文本缩进 2 字符"/>
    <w:link w:val="24"/>
    <w:qFormat/>
    <w:uiPriority w:val="0"/>
    <w:rPr>
      <w:kern w:val="2"/>
      <w:sz w:val="32"/>
    </w:rPr>
  </w:style>
  <w:style w:type="character" w:customStyle="1" w:styleId="61">
    <w:name w:val="页脚 字符"/>
    <w:link w:val="26"/>
    <w:qFormat/>
    <w:uiPriority w:val="0"/>
    <w:rPr>
      <w:kern w:val="2"/>
      <w:sz w:val="18"/>
      <w:szCs w:val="18"/>
    </w:rPr>
  </w:style>
  <w:style w:type="character" w:customStyle="1" w:styleId="62">
    <w:name w:val="正文文本首行缩进 字符"/>
    <w:link w:val="35"/>
    <w:qFormat/>
    <w:uiPriority w:val="0"/>
    <w:rPr>
      <w:kern w:val="2"/>
      <w:sz w:val="21"/>
      <w:szCs w:val="24"/>
    </w:rPr>
  </w:style>
  <w:style w:type="character" w:customStyle="1" w:styleId="63">
    <w:name w:val="正文文本首行缩进 2 字符"/>
    <w:link w:val="36"/>
    <w:qFormat/>
    <w:uiPriority w:val="0"/>
    <w:rPr>
      <w:rFonts w:ascii="仿宋_GB2312" w:eastAsia="仿宋_GB2312"/>
      <w:kern w:val="2"/>
      <w:sz w:val="21"/>
      <w:szCs w:val="24"/>
    </w:rPr>
  </w:style>
  <w:style w:type="character" w:customStyle="1" w:styleId="64">
    <w:name w:val="font21"/>
    <w:qFormat/>
    <w:uiPriority w:val="0"/>
    <w:rPr>
      <w:rFonts w:hint="default" w:ascii="仿宋_GB2312" w:eastAsia="仿宋_GB2312" w:cs="仿宋_GB2312"/>
      <w:b/>
      <w:color w:val="000000"/>
      <w:sz w:val="24"/>
      <w:szCs w:val="24"/>
      <w:u w:val="none"/>
    </w:rPr>
  </w:style>
  <w:style w:type="character" w:customStyle="1" w:styleId="65">
    <w:name w:val="纯文本 Char1"/>
    <w:qFormat/>
    <w:uiPriority w:val="0"/>
    <w:rPr>
      <w:rFonts w:ascii="宋体" w:hAnsi="Courier New" w:eastAsia="宋体" w:cs="Courier New"/>
      <w:szCs w:val="21"/>
    </w:rPr>
  </w:style>
  <w:style w:type="character" w:customStyle="1" w:styleId="66">
    <w:name w:val="param-name param-explain"/>
    <w:qFormat/>
    <w:uiPriority w:val="0"/>
  </w:style>
  <w:style w:type="character" w:customStyle="1" w:styleId="67">
    <w:name w:val="1ji Char"/>
    <w:link w:val="68"/>
    <w:qFormat/>
    <w:uiPriority w:val="0"/>
    <w:rPr>
      <w:rFonts w:ascii="宋体" w:hAnsi="宋体" w:eastAsia="宋体"/>
      <w:b/>
      <w:bCs/>
      <w:kern w:val="44"/>
      <w:sz w:val="36"/>
      <w:szCs w:val="44"/>
      <w:lang w:val="en-US" w:eastAsia="zh-CN" w:bidi="ar-SA"/>
    </w:rPr>
  </w:style>
  <w:style w:type="paragraph" w:customStyle="1" w:styleId="68">
    <w:name w:val="1ji"/>
    <w:basedOn w:val="2"/>
    <w:link w:val="67"/>
    <w:qFormat/>
    <w:uiPriority w:val="0"/>
    <w:pPr>
      <w:keepLines w:val="0"/>
      <w:widowControl/>
      <w:spacing w:before="0" w:after="0" w:line="240" w:lineRule="auto"/>
      <w:jc w:val="center"/>
    </w:pPr>
    <w:rPr>
      <w:rFonts w:ascii="宋体" w:hAnsi="宋体"/>
      <w:sz w:val="36"/>
    </w:rPr>
  </w:style>
  <w:style w:type="character" w:customStyle="1" w:styleId="69">
    <w:name w:val="普通文字 Char Char2"/>
    <w:qFormat/>
    <w:uiPriority w:val="0"/>
    <w:rPr>
      <w:rFonts w:ascii="宋体" w:hAnsi="Courier New" w:eastAsia="宋体"/>
      <w:kern w:val="2"/>
      <w:sz w:val="21"/>
      <w:lang w:val="en-US" w:eastAsia="zh-CN" w:bidi="ar-SA"/>
    </w:rPr>
  </w:style>
  <w:style w:type="character" w:customStyle="1" w:styleId="70">
    <w:name w:val="10"/>
    <w:qFormat/>
    <w:uiPriority w:val="0"/>
    <w:rPr>
      <w:rFonts w:hint="default" w:ascii="Times New Roman" w:hAnsi="Times New Roman" w:cs="Times New Roman"/>
    </w:rPr>
  </w:style>
  <w:style w:type="character" w:customStyle="1" w:styleId="71">
    <w:name w:val="font11"/>
    <w:qFormat/>
    <w:uiPriority w:val="0"/>
    <w:rPr>
      <w:rFonts w:hint="eastAsia" w:ascii="宋体" w:hAnsi="宋体" w:eastAsia="宋体" w:cs="宋体"/>
      <w:color w:val="000000"/>
      <w:sz w:val="20"/>
      <w:szCs w:val="20"/>
      <w:u w:val="none"/>
    </w:rPr>
  </w:style>
  <w:style w:type="character" w:customStyle="1" w:styleId="72">
    <w:name w:val="apple-converted-space"/>
    <w:qFormat/>
    <w:uiPriority w:val="0"/>
  </w:style>
  <w:style w:type="character" w:customStyle="1" w:styleId="73">
    <w:name w:val="mark"/>
    <w:qFormat/>
    <w:uiPriority w:val="0"/>
  </w:style>
  <w:style w:type="character" w:customStyle="1" w:styleId="74">
    <w:name w:val="15"/>
    <w:qFormat/>
    <w:uiPriority w:val="0"/>
    <w:rPr>
      <w:rFonts w:hint="default" w:ascii="Times New Roman" w:hAnsi="Times New Roman" w:cs="Times New Roman"/>
    </w:rPr>
  </w:style>
  <w:style w:type="paragraph" w:customStyle="1" w:styleId="75">
    <w:name w:val="默认段落字体 Para Char Char Char Char Char Char Char Char Char1 Char Char Char Char"/>
    <w:basedOn w:val="1"/>
    <w:qFormat/>
    <w:uiPriority w:val="0"/>
    <w:rPr>
      <w:rFonts w:ascii="Tahoma" w:hAnsi="Tahoma"/>
      <w:sz w:val="24"/>
      <w:szCs w:val="20"/>
    </w:rPr>
  </w:style>
  <w:style w:type="paragraph" w:customStyle="1" w:styleId="76">
    <w:name w:val="列出段落1"/>
    <w:basedOn w:val="1"/>
    <w:qFormat/>
    <w:uiPriority w:val="0"/>
    <w:pPr>
      <w:ind w:firstLine="420" w:firstLineChars="200"/>
    </w:pPr>
    <w:rPr>
      <w:szCs w:val="20"/>
    </w:rPr>
  </w:style>
  <w:style w:type="paragraph" w:customStyle="1" w:styleId="77">
    <w:name w:val="1"/>
    <w:basedOn w:val="1"/>
    <w:next w:val="22"/>
    <w:qFormat/>
    <w:uiPriority w:val="0"/>
    <w:rPr>
      <w:rFonts w:ascii="宋体" w:hAnsi="Courier New"/>
      <w:szCs w:val="20"/>
    </w:rPr>
  </w:style>
  <w:style w:type="paragraph" w:customStyle="1" w:styleId="78">
    <w:name w:val="列出段落11"/>
    <w:qFormat/>
    <w:uiPriority w:val="34"/>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79">
    <w:name w:val="正文段"/>
    <w:basedOn w:val="1"/>
    <w:qFormat/>
    <w:uiPriority w:val="0"/>
    <w:pPr>
      <w:widowControl/>
      <w:snapToGrid w:val="0"/>
      <w:spacing w:after="50" w:afterLines="50"/>
      <w:ind w:firstLine="200" w:firstLineChars="200"/>
    </w:pPr>
    <w:rPr>
      <w:kern w:val="0"/>
      <w:sz w:val="24"/>
      <w:szCs w:val="20"/>
    </w:rPr>
  </w:style>
  <w:style w:type="paragraph" w:customStyle="1" w:styleId="8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1">
    <w:name w:val="newp"/>
    <w:basedOn w:val="1"/>
    <w:qFormat/>
    <w:uiPriority w:val="99"/>
    <w:pPr>
      <w:widowControl/>
      <w:spacing w:before="100" w:beforeAutospacing="1" w:after="100" w:afterAutospacing="1"/>
      <w:jc w:val="left"/>
    </w:pPr>
    <w:rPr>
      <w:rFonts w:ascii="宋体" w:hAnsi="宋体" w:cs="宋体"/>
      <w:kern w:val="0"/>
      <w:sz w:val="24"/>
    </w:rPr>
  </w:style>
  <w:style w:type="paragraph" w:customStyle="1" w:styleId="82">
    <w:name w:val="_Style 34"/>
    <w:basedOn w:val="15"/>
    <w:qFormat/>
    <w:uiPriority w:val="0"/>
    <w:pPr>
      <w:widowControl/>
      <w:ind w:firstLine="454"/>
      <w:jc w:val="left"/>
    </w:pPr>
  </w:style>
  <w:style w:type="paragraph" w:customStyle="1" w:styleId="83">
    <w:name w:val="样式 加粗 段前: 7.8 磅 段后: 7.8 磅 行距: 固定值 20 磅"/>
    <w:basedOn w:val="1"/>
    <w:qFormat/>
    <w:uiPriority w:val="0"/>
    <w:pPr>
      <w:spacing w:before="60" w:after="60" w:line="360" w:lineRule="exact"/>
    </w:pPr>
    <w:rPr>
      <w:rFonts w:cs="宋体"/>
      <w:b/>
      <w:bCs/>
      <w:spacing w:val="-2"/>
      <w:sz w:val="24"/>
      <w:szCs w:val="20"/>
    </w:rPr>
  </w:style>
  <w:style w:type="paragraph" w:customStyle="1" w:styleId="84">
    <w:name w:val="_Style 5"/>
    <w:basedOn w:val="1"/>
    <w:qFormat/>
    <w:uiPriority w:val="0"/>
    <w:pPr>
      <w:spacing w:after="78" w:afterLines="25"/>
    </w:pPr>
    <w:rPr>
      <w:rFonts w:ascii="Arial" w:hAnsi="Arial"/>
    </w:rPr>
  </w:style>
  <w:style w:type="paragraph" w:customStyle="1" w:styleId="85">
    <w:name w:val="Char"/>
    <w:basedOn w:val="15"/>
    <w:qFormat/>
    <w:uiPriority w:val="0"/>
    <w:pPr>
      <w:widowControl/>
      <w:ind w:firstLine="454"/>
      <w:jc w:val="left"/>
    </w:pPr>
    <w:rPr>
      <w:rFonts w:ascii="Tahoma" w:hAnsi="Tahoma" w:cs="宋体"/>
      <w:kern w:val="0"/>
      <w:sz w:val="24"/>
      <w:szCs w:val="20"/>
    </w:rPr>
  </w:style>
  <w:style w:type="paragraph" w:customStyle="1" w:styleId="86">
    <w:name w:val="msolistparagraph"/>
    <w:basedOn w:val="1"/>
    <w:qFormat/>
    <w:uiPriority w:val="0"/>
    <w:pPr>
      <w:spacing w:line="360" w:lineRule="auto"/>
      <w:ind w:firstLine="420" w:firstLineChars="200"/>
    </w:pPr>
    <w:rPr>
      <w:sz w:val="28"/>
    </w:rPr>
  </w:style>
  <w:style w:type="paragraph" w:customStyle="1" w:styleId="8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8">
    <w:name w:val="Char Char Char"/>
    <w:basedOn w:val="15"/>
    <w:qFormat/>
    <w:uiPriority w:val="0"/>
    <w:pPr>
      <w:snapToGrid w:val="0"/>
    </w:pPr>
    <w:rPr>
      <w:rFonts w:ascii="Calibri" w:hAnsi="Calibri"/>
      <w:sz w:val="28"/>
      <w:szCs w:val="20"/>
    </w:rPr>
  </w:style>
  <w:style w:type="paragraph" w:customStyle="1" w:styleId="89">
    <w:name w:val="_Style 341"/>
    <w:basedOn w:val="15"/>
    <w:qFormat/>
    <w:uiPriority w:val="0"/>
    <w:pPr>
      <w:widowControl/>
      <w:ind w:firstLine="454"/>
      <w:jc w:val="left"/>
    </w:pPr>
  </w:style>
  <w:style w:type="paragraph" w:customStyle="1" w:styleId="90">
    <w:name w:val="Char1"/>
    <w:basedOn w:val="15"/>
    <w:qFormat/>
    <w:uiPriority w:val="0"/>
    <w:pPr>
      <w:widowControl/>
      <w:ind w:firstLine="454"/>
      <w:jc w:val="left"/>
    </w:pPr>
    <w:rPr>
      <w:rFonts w:ascii="Tahoma" w:hAnsi="Tahoma" w:cs="宋体"/>
      <w:kern w:val="0"/>
      <w:sz w:val="24"/>
      <w:szCs w:val="20"/>
    </w:rPr>
  </w:style>
  <w:style w:type="paragraph" w:styleId="91">
    <w:name w:val="List Paragraph"/>
    <w:basedOn w:val="1"/>
    <w:qFormat/>
    <w:uiPriority w:val="34"/>
    <w:pPr>
      <w:ind w:firstLine="420" w:firstLineChars="200"/>
    </w:pPr>
    <w:rPr>
      <w:rFonts w:ascii="Book Antiqua" w:hAnsi="Book Antiqua" w:cs="Book Antiqua"/>
    </w:rPr>
  </w:style>
  <w:style w:type="paragraph" w:styleId="9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样式 标题 2 + 宋体"/>
    <w:basedOn w:val="3"/>
    <w:qFormat/>
    <w:uiPriority w:val="0"/>
    <w:pPr>
      <w:tabs>
        <w:tab w:val="left" w:pos="360"/>
      </w:tabs>
    </w:pPr>
    <w:rPr>
      <w:rFonts w:ascii="宋体" w:hAnsi="宋体" w:eastAsia="宋体"/>
      <w:sz w:val="30"/>
    </w:rPr>
  </w:style>
  <w:style w:type="paragraph" w:customStyle="1" w:styleId="94">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table" w:customStyle="1" w:styleId="95">
    <w:name w:val="Table Normal"/>
    <w:unhideWhenUsed/>
    <w:qFormat/>
    <w:uiPriority w:val="0"/>
    <w:tblPr>
      <w:tblCellMar>
        <w:top w:w="0" w:type="dxa"/>
        <w:left w:w="0" w:type="dxa"/>
        <w:bottom w:w="0" w:type="dxa"/>
        <w:right w:w="0" w:type="dxa"/>
      </w:tblCellMar>
    </w:tblPr>
  </w:style>
  <w:style w:type="paragraph" w:customStyle="1" w:styleId="96">
    <w:name w:val="正文2"/>
    <w:basedOn w:val="1"/>
    <w:link w:val="97"/>
    <w:qFormat/>
    <w:uiPriority w:val="0"/>
    <w:pPr>
      <w:adjustRightInd w:val="0"/>
      <w:spacing w:before="156" w:line="360" w:lineRule="auto"/>
      <w:ind w:firstLine="510" w:firstLineChars="200"/>
    </w:pPr>
    <w:rPr>
      <w:sz w:val="24"/>
      <w:szCs w:val="20"/>
    </w:rPr>
  </w:style>
  <w:style w:type="character" w:customStyle="1" w:styleId="97">
    <w:name w:val="正文2 Char Char"/>
    <w:link w:val="96"/>
    <w:qFormat/>
    <w:uiPriority w:val="0"/>
    <w:rPr>
      <w:kern w:val="2"/>
      <w:sz w:val="24"/>
    </w:rPr>
  </w:style>
  <w:style w:type="table" w:customStyle="1" w:styleId="98">
    <w:name w:val="网格型1"/>
    <w:basedOn w:val="3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网格型2"/>
    <w:basedOn w:val="3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0">
    <w:name w:val="*正文 Char"/>
    <w:link w:val="101"/>
    <w:qFormat/>
    <w:locked/>
    <w:uiPriority w:val="0"/>
    <w:rPr>
      <w:rFonts w:ascii="宋体" w:hAnsi="宋体"/>
      <w:sz w:val="24"/>
    </w:rPr>
  </w:style>
  <w:style w:type="paragraph" w:customStyle="1" w:styleId="101">
    <w:name w:val="*正文"/>
    <w:basedOn w:val="1"/>
    <w:link w:val="100"/>
    <w:qFormat/>
    <w:uiPriority w:val="0"/>
    <w:pPr>
      <w:adjustRightInd w:val="0"/>
      <w:snapToGrid w:val="0"/>
      <w:spacing w:line="360" w:lineRule="auto"/>
      <w:ind w:firstLine="482"/>
      <w:jc w:val="left"/>
    </w:pPr>
    <w:rPr>
      <w:rFonts w:ascii="宋体" w:hAnsi="宋体"/>
      <w:kern w:val="0"/>
      <w:sz w:val="24"/>
      <w:szCs w:val="20"/>
    </w:rPr>
  </w:style>
  <w:style w:type="paragraph" w:customStyle="1" w:styleId="102">
    <w:name w:val="Table Text"/>
    <w:basedOn w:val="1"/>
    <w:semiHidden/>
    <w:qFormat/>
    <w:uiPriority w:val="0"/>
    <w:rPr>
      <w:rFonts w:ascii="宋体" w:hAnsi="宋体" w:cs="宋体"/>
      <w:sz w:val="20"/>
      <w:szCs w:val="20"/>
      <w:lang w:eastAsia="en-US"/>
    </w:rPr>
  </w:style>
  <w:style w:type="paragraph" w:customStyle="1" w:styleId="103">
    <w:name w:val="正文呀2_0"/>
    <w:basedOn w:val="104"/>
    <w:qFormat/>
    <w:uiPriority w:val="0"/>
    <w:rPr>
      <w:rFonts w:ascii="Calibri" w:hAnsi="Calibri"/>
      <w:kern w:val="0"/>
      <w:sz w:val="20"/>
    </w:rPr>
  </w:style>
  <w:style w:type="paragraph" w:customStyle="1" w:styleId="104">
    <w:name w:val="正文呀_0"/>
    <w:basedOn w:val="47"/>
    <w:qFormat/>
    <w:uiPriority w:val="0"/>
    <w:pPr>
      <w:spacing w:line="420" w:lineRule="exact"/>
      <w:ind w:firstLine="420" w:firstLineChars="200"/>
    </w:pPr>
    <w:rPr>
      <w:rFonts w:ascii="宋体" w:hAnsi="宋体"/>
      <w:szCs w:val="21"/>
    </w:rPr>
  </w:style>
  <w:style w:type="paragraph" w:customStyle="1" w:styleId="105">
    <w:name w:val="正文呀2_1"/>
    <w:basedOn w:val="104"/>
    <w:qFormat/>
    <w:uiPriority w:val="0"/>
  </w:style>
  <w:style w:type="paragraph" w:customStyle="1" w:styleId="106">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
    <w:name w:val="正文_2_1"/>
    <w:basedOn w:val="108"/>
    <w:qFormat/>
    <w:uiPriority w:val="0"/>
    <w:rPr>
      <w:szCs w:val="22"/>
    </w:rPr>
  </w:style>
  <w:style w:type="paragraph" w:customStyle="1" w:styleId="108">
    <w:name w:val="正文_2_2"/>
    <w:basedOn w:val="49"/>
    <w:qFormat/>
    <w:uiPriority w:val="0"/>
    <w:rPr>
      <w:szCs w:val="21"/>
    </w:rPr>
  </w:style>
  <w:style w:type="paragraph" w:customStyle="1" w:styleId="109">
    <w:name w:val="正文_3"/>
    <w:next w:val="1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
    <w:name w:val="表格文字_0"/>
    <w:basedOn w:val="111"/>
    <w:next w:val="112"/>
    <w:qFormat/>
    <w:uiPriority w:val="0"/>
    <w:pPr>
      <w:adjustRightInd w:val="0"/>
      <w:snapToGrid w:val="0"/>
      <w:jc w:val="center"/>
    </w:pPr>
    <w:rPr>
      <w:rFonts w:ascii="Times New Roman" w:hAnsi="Times New Roman"/>
      <w:kern w:val="0"/>
      <w:sz w:val="24"/>
      <w:szCs w:val="24"/>
    </w:rPr>
  </w:style>
  <w:style w:type="paragraph" w:customStyle="1" w:styleId="111">
    <w:name w:val="正文文本缩进_1"/>
    <w:basedOn w:val="109"/>
    <w:unhideWhenUsed/>
    <w:qFormat/>
    <w:uiPriority w:val="99"/>
    <w:pPr>
      <w:spacing w:after="120"/>
      <w:ind w:left="420" w:leftChars="200"/>
    </w:pPr>
  </w:style>
  <w:style w:type="paragraph" w:customStyle="1" w:styleId="112">
    <w:name w:val="正文文本_1"/>
    <w:basedOn w:val="109"/>
    <w:next w:val="109"/>
    <w:qFormat/>
    <w:uiPriority w:val="99"/>
    <w:pPr>
      <w:spacing w:after="120"/>
    </w:pPr>
    <w:rPr>
      <w:rFonts w:ascii="Times New Roman" w:hAnsi="Times New Roman"/>
      <w:szCs w:val="24"/>
    </w:rPr>
  </w:style>
  <w:style w:type="paragraph" w:customStyle="1" w:styleId="113">
    <w:name w:val="Normal_0"/>
    <w:qFormat/>
    <w:uiPriority w:val="0"/>
    <w:rPr>
      <w:rFonts w:ascii="Times New Roman" w:hAnsi="Times New Roman" w:eastAsia="Times New Roman" w:cs="Times New Roman"/>
      <w:sz w:val="24"/>
      <w:szCs w:val="24"/>
      <w:lang w:val="en-US" w:eastAsia="zh-CN" w:bidi="ar-SA"/>
    </w:rPr>
  </w:style>
  <w:style w:type="paragraph" w:customStyle="1" w:styleId="114">
    <w:name w:val="标题 2_1"/>
    <w:basedOn w:val="47"/>
    <w:next w:val="47"/>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115">
    <w:name w:val="Body text|1_1"/>
    <w:basedOn w:val="47"/>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116">
    <w:name w:val="标题 3_1"/>
    <w:basedOn w:val="47"/>
    <w:next w:val="47"/>
    <w:qFormat/>
    <w:uiPriority w:val="0"/>
    <w:pPr>
      <w:keepNext/>
      <w:keepLines/>
      <w:spacing w:before="240" w:after="120"/>
      <w:outlineLvl w:val="2"/>
    </w:pPr>
    <w:rPr>
      <w:rFonts w:eastAsia="宋体"/>
      <w:b/>
      <w:color w:val="auto"/>
      <w:sz w:val="32"/>
      <w:szCs w:val="20"/>
      <w:lang w:bidi="ar-SA"/>
    </w:rPr>
  </w:style>
  <w:style w:type="paragraph" w:customStyle="1" w:styleId="117">
    <w:name w:val="Body text|2_0"/>
    <w:basedOn w:val="47"/>
    <w:qFormat/>
    <w:uiPriority w:val="0"/>
    <w:pPr>
      <w:spacing w:after="30"/>
      <w:ind w:firstLine="420"/>
    </w:pPr>
    <w:rPr>
      <w:rFonts w:eastAsia="宋体"/>
      <w:color w:val="auto"/>
      <w:sz w:val="20"/>
      <w:szCs w:val="20"/>
      <w:lang w:bidi="ar-SA"/>
    </w:rPr>
  </w:style>
  <w:style w:type="paragraph" w:customStyle="1" w:styleId="118">
    <w:name w:val="Other|1_1"/>
    <w:basedOn w:val="47"/>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119">
    <w:name w:val="Body text|1"/>
    <w:basedOn w:val="1"/>
    <w:qFormat/>
    <w:uiPriority w:val="0"/>
    <w:pPr>
      <w:spacing w:line="360" w:lineRule="auto"/>
      <w:ind w:firstLine="400"/>
    </w:pPr>
    <w:rPr>
      <w:rFonts w:ascii="宋体" w:hAnsi="宋体" w:cs="宋体"/>
      <w:sz w:val="20"/>
      <w:szCs w:val="20"/>
      <w:lang w:val="zh-CN" w:bidi="zh-CN"/>
    </w:rPr>
  </w:style>
  <w:style w:type="paragraph" w:customStyle="1" w:styleId="120">
    <w:name w:val="Body text|1_0_0"/>
    <w:basedOn w:val="49"/>
    <w:qFormat/>
    <w:uiPriority w:val="0"/>
    <w:pPr>
      <w:spacing w:line="360" w:lineRule="auto"/>
      <w:ind w:firstLine="400"/>
    </w:pPr>
    <w:rPr>
      <w:rFonts w:ascii="宋体" w:hAnsi="宋体" w:cs="宋体"/>
      <w:sz w:val="20"/>
      <w:szCs w:val="20"/>
      <w:lang w:val="zh-CN" w:bidi="zh-CN"/>
    </w:rPr>
  </w:style>
  <w:style w:type="paragraph" w:customStyle="1" w:styleId="121">
    <w:name w:val="正文_4"/>
    <w:qFormat/>
    <w:uiPriority w:val="0"/>
    <w:pPr>
      <w:widowControl w:val="0"/>
    </w:pPr>
    <w:rPr>
      <w:rFonts w:ascii="Times New Roman" w:hAnsi="Times New Roman" w:eastAsia="Times New Roman" w:cs="Times New Roman"/>
      <w:color w:val="000000"/>
      <w:sz w:val="24"/>
      <w:szCs w:val="24"/>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wmf"/><Relationship Id="rId13" Type="http://schemas.openxmlformats.org/officeDocument/2006/relationships/oleObject" Target="embeddings/oleObject1.bin"/><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4F8AC1-96F9-4F9A-8C27-E34FA8A8ADB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136</Pages>
  <Words>23384</Words>
  <Characters>25705</Characters>
  <Lines>474</Lines>
  <Paragraphs>133</Paragraphs>
  <TotalTime>1</TotalTime>
  <ScaleCrop>false</ScaleCrop>
  <LinksUpToDate>false</LinksUpToDate>
  <CharactersWithSpaces>26809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2024-10-30T08:15:00Z</dcterms:created>
  <dc:creator>北海市政府采购中心</dc:creator>
  <cp:lastModifiedBy>御坂未来</cp:lastModifiedBy>
  <cp:lastPrinted>2021-08-15T09:50:00Z</cp:lastPrinted>
  <dcterms:modified xsi:type="dcterms:W3CDTF">2025-12-04T08:19:02Z</dcterms:modified>
  <dc:title>北海市政府采购中心;</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8FE7566DB6CE4421BE86ECC699C1DA9B_13</vt:lpwstr>
  </property>
  <property fmtid="{D5CDD505-2E9C-101B-9397-08002B2CF9AE}" pid="4" name="KSOTemplateDocerSaveRecord">
    <vt:lpwstr>eyJoZGlkIjoiNzVmYzY5MTYyOGRmZTQ0ZTdmNDBhNTQ4MTkxNzE2OWQiLCJ1c2VySWQiOiIxMTM0OTgwNDc2In0=</vt:lpwstr>
  </property>
</Properties>
</file>