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99399">
      <w:pPr>
        <w:spacing w:line="360" w:lineRule="auto"/>
        <w:jc w:val="center"/>
        <w:rPr>
          <w:rFonts w:ascii="宋体" w:hAnsi="宋体" w:cs="宋体"/>
          <w:b/>
          <w:color w:val="auto"/>
          <w:sz w:val="24"/>
          <w:highlight w:val="none"/>
        </w:rPr>
      </w:pPr>
    </w:p>
    <w:p w14:paraId="1B0993FF">
      <w:pPr>
        <w:spacing w:line="360" w:lineRule="auto"/>
        <w:jc w:val="center"/>
        <w:rPr>
          <w:rFonts w:ascii="宋体" w:hAnsi="宋体" w:cs="宋体"/>
          <w:b/>
          <w:color w:val="auto"/>
          <w:sz w:val="24"/>
          <w:highlight w:val="none"/>
        </w:rPr>
      </w:pPr>
    </w:p>
    <w:p w14:paraId="52CBDE90">
      <w:pPr>
        <w:adjustRightInd/>
        <w:spacing w:line="360" w:lineRule="auto"/>
        <w:jc w:val="center"/>
        <w:rPr>
          <w:rFonts w:ascii="宋体" w:hAnsi="宋体" w:cs="宋体"/>
          <w:b/>
          <w:color w:val="auto"/>
          <w:sz w:val="44"/>
          <w:szCs w:val="44"/>
          <w:highlight w:val="none"/>
        </w:rPr>
      </w:pPr>
    </w:p>
    <w:p w14:paraId="23A099CC">
      <w:pPr>
        <w:spacing w:line="360" w:lineRule="auto"/>
        <w:jc w:val="center"/>
        <w:rPr>
          <w:rFonts w:ascii="宋体" w:hAnsi="宋体" w:cs="宋体"/>
          <w:b/>
          <w:color w:val="auto"/>
          <w:sz w:val="44"/>
          <w:szCs w:val="44"/>
          <w:highlight w:val="none"/>
        </w:rPr>
      </w:pPr>
    </w:p>
    <w:p w14:paraId="66750AC9">
      <w:pPr>
        <w:adjustRightInd/>
        <w:spacing w:line="360" w:lineRule="auto"/>
        <w:jc w:val="center"/>
        <w:rPr>
          <w:rFonts w:ascii="宋体" w:hAnsi="宋体" w:cs="宋体"/>
          <w:b/>
          <w:color w:val="auto"/>
          <w:sz w:val="48"/>
          <w:szCs w:val="48"/>
          <w:highlight w:val="none"/>
        </w:rPr>
      </w:pPr>
    </w:p>
    <w:p w14:paraId="4DE27D0A">
      <w:pPr>
        <w:adjustRightInd/>
        <w:spacing w:line="360" w:lineRule="auto"/>
        <w:jc w:val="center"/>
        <w:rPr>
          <w:rFonts w:ascii="宋体" w:hAnsi="宋体" w:cs="宋体"/>
          <w:color w:val="auto"/>
          <w:sz w:val="48"/>
          <w:szCs w:val="48"/>
          <w:highlight w:val="none"/>
        </w:rPr>
      </w:pPr>
      <w:r>
        <w:rPr>
          <w:rFonts w:ascii="宋体" w:hAnsi="宋体" w:cs="宋体"/>
          <w:color w:val="auto"/>
          <w:sz w:val="48"/>
          <w:szCs w:val="48"/>
          <w:highlight w:val="none"/>
          <w:lang w:val="en-US" w:eastAsia="zh-CN"/>
        </w:rPr>
        <w:fldChar w:fldCharType="begin"/>
      </w:r>
      <w:r>
        <w:rPr>
          <w:rFonts w:ascii="宋体" w:hAnsi="宋体" w:cs="宋体"/>
          <w:color w:val="auto"/>
          <w:sz w:val="48"/>
          <w:szCs w:val="48"/>
          <w:highlight w:val="none"/>
          <w:lang w:val="en-US" w:eastAsia="zh-CN"/>
        </w:rPr>
        <w:instrText xml:space="preserve"> HYPERLINK "https://www.gcy.zfcg.gxzf.gov.cn/delegation-order/_procurement_/order/orderInfo/detail/6821773913934694803" \t "https://www.gcy.zfcg.gxzf.gov.cn/delegation-order/_procurement_/order/_blank" </w:instrText>
      </w:r>
      <w:r>
        <w:rPr>
          <w:rFonts w:ascii="宋体" w:hAnsi="宋体" w:cs="宋体"/>
          <w:color w:val="auto"/>
          <w:sz w:val="48"/>
          <w:szCs w:val="48"/>
          <w:highlight w:val="none"/>
          <w:lang w:val="en-US" w:eastAsia="zh-CN"/>
        </w:rPr>
        <w:fldChar w:fldCharType="separate"/>
      </w:r>
    </w:p>
    <w:p w14:paraId="34D603D5">
      <w:pPr>
        <w:adjustRightInd/>
        <w:spacing w:line="360" w:lineRule="auto"/>
        <w:jc w:val="center"/>
        <w:rPr>
          <w:rFonts w:hint="eastAsia" w:ascii="宋体" w:hAnsi="宋体" w:eastAsia="宋体" w:cs="宋体"/>
          <w:color w:val="auto"/>
          <w:sz w:val="48"/>
          <w:szCs w:val="48"/>
          <w:highlight w:val="none"/>
          <w:lang w:eastAsia="zh-CN"/>
        </w:rPr>
      </w:pPr>
      <w:r>
        <w:rPr>
          <w:rFonts w:hint="eastAsia" w:ascii="宋体" w:hAnsi="宋体" w:cs="宋体"/>
          <w:color w:val="auto"/>
          <w:sz w:val="48"/>
          <w:szCs w:val="48"/>
          <w:highlight w:val="none"/>
          <w:lang w:eastAsia="zh-CN"/>
        </w:rPr>
        <w:t>北海市网络应急指挥中心二期项目</w:t>
      </w:r>
    </w:p>
    <w:p w14:paraId="5551E511">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val="en-US" w:eastAsia="zh-CN"/>
        </w:rPr>
        <w:fldChar w:fldCharType="end"/>
      </w:r>
    </w:p>
    <w:p w14:paraId="19998C5C">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招标文件</w:t>
      </w:r>
    </w:p>
    <w:p w14:paraId="0D8C41F4">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（电子招投标）</w:t>
      </w:r>
    </w:p>
    <w:p w14:paraId="73637D82">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：（BHZC2025-G3-990205-CGZX）</w:t>
      </w:r>
    </w:p>
    <w:p w14:paraId="1F0B323C">
      <w:pPr>
        <w:adjustRightInd/>
        <w:spacing w:line="360" w:lineRule="auto"/>
        <w:rPr>
          <w:rFonts w:ascii="宋体" w:hAnsi="宋体" w:cs="宋体"/>
          <w:color w:val="auto"/>
          <w:sz w:val="28"/>
          <w:szCs w:val="20"/>
          <w:highlight w:val="none"/>
        </w:rPr>
      </w:pPr>
    </w:p>
    <w:p w14:paraId="007818DD">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265822D3">
      <w:pPr>
        <w:spacing w:line="360" w:lineRule="auto"/>
        <w:jc w:val="center"/>
        <w:rPr>
          <w:rFonts w:ascii="宋体" w:hAnsi="宋体" w:cs="宋体"/>
          <w:b/>
          <w:color w:val="auto"/>
          <w:sz w:val="44"/>
          <w:szCs w:val="44"/>
          <w:highlight w:val="none"/>
        </w:rPr>
      </w:pPr>
    </w:p>
    <w:p w14:paraId="2818DB20">
      <w:pPr>
        <w:spacing w:line="360" w:lineRule="auto"/>
        <w:jc w:val="center"/>
        <w:rPr>
          <w:rFonts w:ascii="宋体" w:hAnsi="宋体" w:cs="宋体"/>
          <w:color w:val="auto"/>
          <w:sz w:val="24"/>
          <w:highlight w:val="none"/>
        </w:rPr>
      </w:pPr>
    </w:p>
    <w:p w14:paraId="7127B241">
      <w:pPr>
        <w:spacing w:line="360" w:lineRule="auto"/>
        <w:jc w:val="center"/>
        <w:rPr>
          <w:rFonts w:ascii="宋体" w:hAnsi="宋体" w:cs="宋体"/>
          <w:color w:val="auto"/>
          <w:sz w:val="24"/>
          <w:highlight w:val="none"/>
        </w:rPr>
      </w:pPr>
    </w:p>
    <w:p w14:paraId="772A5F7F">
      <w:pPr>
        <w:spacing w:line="360" w:lineRule="auto"/>
        <w:rPr>
          <w:rFonts w:ascii="宋体" w:hAnsi="宋体" w:cs="宋体"/>
          <w:color w:val="auto"/>
          <w:sz w:val="32"/>
          <w:szCs w:val="32"/>
          <w:highlight w:val="none"/>
        </w:rPr>
      </w:pPr>
    </w:p>
    <w:p w14:paraId="7DE91F03">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eastAsia="zh-CN"/>
        </w:rPr>
        <w:t>中国共产党北海市委员会网络安全和信息化委员会办公室</w:t>
      </w:r>
    </w:p>
    <w:p w14:paraId="3E06A554">
      <w:pPr>
        <w:spacing w:line="360" w:lineRule="auto"/>
        <w:jc w:val="center"/>
        <w:rPr>
          <w:rFonts w:ascii="宋体" w:hAnsi="宋体" w:cs="宋体"/>
          <w:bCs/>
          <w:color w:val="auto"/>
          <w:sz w:val="32"/>
          <w:szCs w:val="32"/>
          <w:highlight w:val="none"/>
        </w:rPr>
      </w:pPr>
      <w:r>
        <w:rPr>
          <w:rFonts w:ascii="宋体" w:hAnsi="宋体" w:cs="宋体"/>
          <w:bCs/>
          <w:color w:val="auto"/>
          <w:sz w:val="32"/>
          <w:szCs w:val="32"/>
          <w:highlight w:val="none"/>
        </w:rPr>
        <w:t>北海市政府采购中心</w:t>
      </w:r>
    </w:p>
    <w:p w14:paraId="639CAF04">
      <w:pPr>
        <w:pStyle w:val="634"/>
        <w:jc w:val="center"/>
        <w:outlineLvl w:val="9"/>
        <w:rPr>
          <w:rFonts w:hint="eastAsia" w:ascii="宋体" w:hAnsi="宋体" w:cs="宋体"/>
          <w:bCs/>
          <w:color w:val="auto"/>
          <w:sz w:val="32"/>
          <w:szCs w:val="32"/>
          <w:highlight w:val="none"/>
        </w:rPr>
        <w:sectPr>
          <w:headerReference r:id="rId4" w:type="first"/>
          <w:headerReference r:id="rId3" w:type="default"/>
          <w:footerReference r:id="rId5" w:type="even"/>
          <w:pgSz w:w="11906" w:h="16838"/>
          <w:pgMar w:top="1134" w:right="1134" w:bottom="1134" w:left="1134" w:header="567" w:footer="680" w:gutter="0"/>
          <w:pgNumType w:fmt="decimal" w:start="1"/>
          <w:cols w:space="720" w:num="1"/>
          <w:titlePg/>
          <w:docGrid w:type="lines" w:linePitch="312" w:charSpace="0"/>
        </w:sectPr>
      </w:pPr>
      <w:r>
        <w:rPr>
          <w:rFonts w:hint="eastAsia" w:ascii="宋体" w:hAnsi="宋体" w:eastAsia="宋体" w:cs="宋体"/>
          <w:b w:val="0"/>
          <w:bCs w:val="0"/>
          <w:color w:val="auto"/>
          <w:kern w:val="2"/>
          <w:sz w:val="32"/>
          <w:szCs w:val="32"/>
          <w:highlight w:val="none"/>
          <w:lang w:val="en-US" w:eastAsia="zh-CN" w:bidi="ar-SA"/>
        </w:rPr>
        <w:t>二〇二五年九月</w:t>
      </w:r>
      <w:r>
        <w:rPr>
          <w:rFonts w:hint="eastAsia" w:ascii="宋体" w:hAnsi="宋体" w:eastAsia="宋体" w:cs="宋体"/>
          <w:b w:val="0"/>
          <w:bCs w:val="0"/>
          <w:color w:val="auto"/>
          <w:kern w:val="2"/>
          <w:sz w:val="32"/>
          <w:szCs w:val="32"/>
          <w:highlight w:val="none"/>
          <w:lang w:val="en-US" w:eastAsia="zh-CN" w:bidi="ar-SA"/>
        </w:rPr>
        <w:t>十九</w:t>
      </w:r>
      <w:r>
        <w:rPr>
          <w:rFonts w:hint="eastAsia" w:ascii="宋体" w:hAnsi="宋体" w:eastAsia="宋体" w:cs="宋体"/>
          <w:b w:val="0"/>
          <w:bCs w:val="0"/>
          <w:color w:val="auto"/>
          <w:kern w:val="2"/>
          <w:sz w:val="32"/>
          <w:szCs w:val="32"/>
          <w:highlight w:val="none"/>
          <w:lang w:val="en-US" w:eastAsia="zh-CN" w:bidi="ar-SA"/>
        </w:rPr>
        <w:t>日</w:t>
      </w:r>
    </w:p>
    <w:p w14:paraId="0BCA591C">
      <w:pPr>
        <w:pStyle w:val="634"/>
        <w:outlineLvl w:val="9"/>
        <w:rPr>
          <w:rFonts w:hint="eastAsia" w:ascii="宋体" w:hAnsi="宋体" w:cs="宋体"/>
          <w:bCs/>
          <w:color w:val="auto"/>
          <w:sz w:val="32"/>
          <w:szCs w:val="32"/>
          <w:highlight w:val="none"/>
        </w:rPr>
      </w:pPr>
    </w:p>
    <w:p w14:paraId="2CF08EAA">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84D396C">
      <w:pPr>
        <w:spacing w:line="360" w:lineRule="auto"/>
        <w:rPr>
          <w:rFonts w:ascii="宋体" w:hAnsi="宋体" w:cs="宋体"/>
          <w:color w:val="auto"/>
          <w:sz w:val="32"/>
          <w:szCs w:val="32"/>
          <w:highlight w:val="none"/>
        </w:rPr>
      </w:pPr>
    </w:p>
    <w:sdt>
      <w:sdtPr>
        <w:rPr>
          <w:rFonts w:ascii="宋体" w:hAnsi="宋体" w:eastAsia="宋体" w:cs="Times New Roman"/>
          <w:color w:val="auto"/>
          <w:kern w:val="2"/>
          <w:sz w:val="21"/>
          <w:szCs w:val="24"/>
          <w:highlight w:val="none"/>
          <w:lang w:val="en-US" w:eastAsia="zh-CN" w:bidi="ar-SA"/>
        </w:rPr>
        <w:id w:val="147479748"/>
        <w15:color w:val="DBDBDB"/>
        <w:docPartObj>
          <w:docPartGallery w:val="Table of Contents"/>
          <w:docPartUnique/>
        </w:docPartObj>
      </w:sdtPr>
      <w:sdtEndPr>
        <w:rPr>
          <w:rFonts w:ascii="宋体" w:hAnsi="宋体" w:eastAsia="宋体" w:cs="宋体"/>
          <w:color w:val="auto"/>
          <w:kern w:val="2"/>
          <w:sz w:val="21"/>
          <w:szCs w:val="24"/>
          <w:highlight w:val="none"/>
          <w:lang w:val="en-US" w:eastAsia="zh-CN" w:bidi="ar-SA"/>
        </w:rPr>
      </w:sdtEndPr>
      <w:sdtContent>
        <w:p w14:paraId="542ED85A">
          <w:pPr>
            <w:spacing w:before="0" w:beforeLines="0" w:after="0" w:afterLines="0" w:line="240" w:lineRule="auto"/>
            <w:ind w:left="0" w:leftChars="0" w:right="0" w:rightChars="0" w:firstLine="0" w:firstLineChars="0"/>
            <w:jc w:val="center"/>
            <w:rPr>
              <w:color w:val="auto"/>
              <w:highlight w:val="none"/>
            </w:rPr>
          </w:pPr>
          <w:bookmarkStart w:id="0" w:name="_Hlt91233176"/>
          <w:bookmarkEnd w:id="0"/>
          <w:bookmarkStart w:id="1" w:name="_Toc91899869"/>
        </w:p>
        <w:p w14:paraId="7FD62ABE">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_Toc12366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招标公告</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p>
        <w:p w14:paraId="78527B0B">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_Toc24634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投标人须知</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14:paraId="014DF7C0">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_Toc29010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_Toc29010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3CB8735">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_Toc11298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评标办法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_Toc11298 \h </w:instrText>
          </w:r>
          <w:r>
            <w:rPr>
              <w:rFonts w:hint="eastAsia" w:ascii="宋体" w:hAnsi="宋体" w:eastAsia="宋体" w:cs="宋体"/>
              <w:color w:val="auto"/>
              <w:sz w:val="28"/>
              <w:szCs w:val="28"/>
              <w:highlight w:val="none"/>
            </w:rPr>
            <w:fldChar w:fldCharType="separate"/>
          </w:r>
          <w:r>
            <w:rPr>
              <w:rFonts w:hint="eastAsia" w:ascii="宋体" w:hAnsi="宋体" w:cs="宋体"/>
              <w:color w:val="auto"/>
              <w:sz w:val="28"/>
              <w:szCs w:val="28"/>
              <w:highlight w:val="none"/>
              <w:lang w:val="en-US" w:eastAsia="zh-CN"/>
            </w:rPr>
            <w:t>55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04EBC4A">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_Toc32594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_Toc32594 \h </w:instrText>
          </w:r>
          <w:r>
            <w:rPr>
              <w:rFonts w:hint="eastAsia" w:ascii="宋体" w:hAnsi="宋体" w:eastAsia="宋体" w:cs="宋体"/>
              <w:color w:val="auto"/>
              <w:sz w:val="28"/>
              <w:szCs w:val="28"/>
              <w:highlight w:val="none"/>
            </w:rPr>
            <w:fldChar w:fldCharType="separate"/>
          </w:r>
          <w:r>
            <w:rPr>
              <w:rFonts w:hint="eastAsia" w:ascii="宋体" w:hAnsi="宋体" w:cs="宋体"/>
              <w:color w:val="auto"/>
              <w:sz w:val="28"/>
              <w:szCs w:val="28"/>
              <w:highlight w:val="none"/>
              <w:lang w:val="en-US" w:eastAsia="zh-CN"/>
            </w:rPr>
            <w:t>64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C0D23C2">
          <w:pPr>
            <w:pStyle w:val="42"/>
            <w:tabs>
              <w:tab w:val="right" w:leader="dot" w:pos="9638"/>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_Toc20755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_Toc20755 \h </w:instrText>
          </w:r>
          <w:r>
            <w:rPr>
              <w:rFonts w:hint="eastAsia" w:ascii="宋体" w:hAnsi="宋体" w:eastAsia="宋体" w:cs="宋体"/>
              <w:color w:val="auto"/>
              <w:sz w:val="28"/>
              <w:szCs w:val="28"/>
              <w:highlight w:val="none"/>
            </w:rPr>
            <w:fldChar w:fldCharType="separate"/>
          </w:r>
          <w:r>
            <w:rPr>
              <w:rFonts w:hint="eastAsia" w:ascii="宋体" w:hAnsi="宋体" w:cs="宋体"/>
              <w:color w:val="auto"/>
              <w:sz w:val="28"/>
              <w:szCs w:val="28"/>
              <w:highlight w:val="none"/>
              <w:lang w:val="en-US" w:eastAsia="zh-CN"/>
            </w:rPr>
            <w:t>70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65639A">
          <w:pPr>
            <w:spacing w:line="360" w:lineRule="auto"/>
            <w:ind w:firstLine="641" w:firstLineChars="229"/>
            <w:rPr>
              <w:rFonts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8"/>
              <w:szCs w:val="28"/>
              <w:highlight w:val="none"/>
            </w:rPr>
            <w:fldChar w:fldCharType="end"/>
          </w:r>
        </w:p>
      </w:sdtContent>
    </w:sdt>
    <w:p w14:paraId="4863C5AA">
      <w:pPr>
        <w:spacing w:line="360" w:lineRule="auto"/>
        <w:ind w:firstLine="549" w:firstLineChars="229"/>
        <w:rPr>
          <w:rFonts w:ascii="宋体" w:hAnsi="宋体" w:cs="宋体"/>
          <w:color w:val="auto"/>
          <w:sz w:val="24"/>
          <w:highlight w:val="none"/>
        </w:rPr>
      </w:pPr>
    </w:p>
    <w:p w14:paraId="3EFA6175">
      <w:pPr>
        <w:spacing w:line="360" w:lineRule="auto"/>
        <w:ind w:firstLine="549" w:firstLineChars="229"/>
        <w:rPr>
          <w:rFonts w:ascii="宋体" w:hAnsi="宋体" w:cs="宋体"/>
          <w:color w:val="auto"/>
          <w:sz w:val="24"/>
          <w:highlight w:val="none"/>
        </w:rPr>
      </w:pPr>
    </w:p>
    <w:p w14:paraId="1FAD7913">
      <w:pPr>
        <w:spacing w:line="360" w:lineRule="auto"/>
        <w:ind w:firstLine="549" w:firstLineChars="229"/>
        <w:rPr>
          <w:rFonts w:ascii="宋体" w:hAnsi="宋体" w:cs="宋体"/>
          <w:color w:val="auto"/>
          <w:sz w:val="24"/>
          <w:highlight w:val="none"/>
        </w:rPr>
      </w:pPr>
      <w:bookmarkStart w:id="406" w:name="_GoBack"/>
      <w:bookmarkEnd w:id="406"/>
    </w:p>
    <w:p w14:paraId="2F5D9AA7">
      <w:pPr>
        <w:spacing w:line="360" w:lineRule="auto"/>
        <w:ind w:firstLine="549" w:firstLineChars="229"/>
        <w:rPr>
          <w:rFonts w:ascii="宋体" w:hAnsi="宋体" w:cs="宋体"/>
          <w:color w:val="auto"/>
          <w:sz w:val="24"/>
          <w:highlight w:val="none"/>
        </w:rPr>
      </w:pPr>
    </w:p>
    <w:p w14:paraId="699E5C59">
      <w:pPr>
        <w:spacing w:line="360" w:lineRule="auto"/>
        <w:ind w:firstLine="549" w:firstLineChars="229"/>
        <w:rPr>
          <w:rFonts w:ascii="宋体" w:hAnsi="宋体" w:cs="宋体"/>
          <w:color w:val="auto"/>
          <w:sz w:val="24"/>
          <w:highlight w:val="none"/>
        </w:rPr>
      </w:pPr>
    </w:p>
    <w:p w14:paraId="228B21D8">
      <w:pPr>
        <w:spacing w:line="360" w:lineRule="auto"/>
        <w:ind w:firstLine="549" w:firstLineChars="229"/>
        <w:rPr>
          <w:rFonts w:ascii="宋体" w:hAnsi="宋体" w:cs="宋体"/>
          <w:color w:val="auto"/>
          <w:sz w:val="24"/>
          <w:highlight w:val="none"/>
        </w:rPr>
      </w:pPr>
    </w:p>
    <w:p w14:paraId="2EB72B09">
      <w:pPr>
        <w:spacing w:line="360" w:lineRule="auto"/>
        <w:ind w:firstLine="549" w:firstLineChars="229"/>
        <w:rPr>
          <w:rFonts w:ascii="宋体" w:hAnsi="宋体" w:cs="宋体"/>
          <w:color w:val="auto"/>
          <w:sz w:val="24"/>
          <w:highlight w:val="none"/>
        </w:rPr>
      </w:pPr>
    </w:p>
    <w:p w14:paraId="71A41372">
      <w:pPr>
        <w:spacing w:line="360" w:lineRule="auto"/>
        <w:ind w:firstLine="549" w:firstLineChars="229"/>
        <w:rPr>
          <w:rFonts w:ascii="宋体" w:hAnsi="宋体" w:cs="宋体"/>
          <w:color w:val="auto"/>
          <w:sz w:val="24"/>
          <w:highlight w:val="none"/>
        </w:rPr>
      </w:pPr>
    </w:p>
    <w:p w14:paraId="09539919">
      <w:pPr>
        <w:spacing w:line="360" w:lineRule="auto"/>
        <w:rPr>
          <w:rFonts w:ascii="宋体" w:hAnsi="宋体" w:cs="宋体"/>
          <w:color w:val="auto"/>
          <w:sz w:val="24"/>
          <w:highlight w:val="none"/>
        </w:rPr>
      </w:pPr>
    </w:p>
    <w:p w14:paraId="0445ED6E">
      <w:pPr>
        <w:numPr>
          <w:ilvl w:val="0"/>
          <w:numId w:val="0"/>
        </w:numPr>
        <w:adjustRightInd/>
        <w:spacing w:line="360" w:lineRule="auto"/>
        <w:jc w:val="center"/>
        <w:outlineLvl w:val="0"/>
        <w:rPr>
          <w:rFonts w:hint="eastAsia" w:ascii="宋体" w:hAnsi="宋体" w:cs="宋体"/>
          <w:b/>
          <w:color w:val="auto"/>
          <w:sz w:val="36"/>
          <w:szCs w:val="20"/>
          <w:highlight w:val="none"/>
        </w:rPr>
      </w:pPr>
      <w:bookmarkStart w:id="2" w:name="第一部分"/>
      <w:r>
        <w:rPr>
          <w:rFonts w:hint="eastAsia" w:ascii="宋体" w:hAnsi="宋体" w:cs="宋体"/>
          <w:b/>
          <w:color w:val="auto"/>
          <w:sz w:val="36"/>
          <w:szCs w:val="36"/>
          <w:highlight w:val="none"/>
        </w:rPr>
        <w:br w:type="page"/>
      </w:r>
      <w:bookmarkEnd w:id="1"/>
      <w:bookmarkEnd w:id="2"/>
      <w:bookmarkStart w:id="3" w:name="_Hlt74728647"/>
      <w:bookmarkEnd w:id="3"/>
      <w:bookmarkStart w:id="4" w:name="_Hlt74729822"/>
      <w:bookmarkEnd w:id="4"/>
      <w:bookmarkStart w:id="5" w:name="_Hlt74707423"/>
      <w:bookmarkEnd w:id="5"/>
      <w:bookmarkStart w:id="6" w:name="_Hlt74649545"/>
      <w:bookmarkEnd w:id="6"/>
      <w:bookmarkStart w:id="7" w:name="_Toc12366"/>
      <w:bookmarkStart w:id="8" w:name="_Toc176343848"/>
      <w:bookmarkStart w:id="9" w:name="_Toc176185119"/>
      <w:bookmarkStart w:id="10" w:name="第二部分"/>
      <w:bookmarkStart w:id="11" w:name="_Toc91899870"/>
      <w:bookmarkStart w:id="12" w:name="_Toc91899871"/>
      <w:r>
        <w:rPr>
          <w:rFonts w:hint="eastAsia" w:ascii="宋体" w:hAnsi="宋体" w:cs="宋体"/>
          <w:b/>
          <w:color w:val="auto"/>
          <w:sz w:val="36"/>
          <w:szCs w:val="36"/>
          <w:highlight w:val="none"/>
          <w:lang w:val="en-US" w:eastAsia="zh-CN"/>
        </w:rPr>
        <w:t>第一部分</w:t>
      </w:r>
      <w:r>
        <w:rPr>
          <w:rFonts w:hint="eastAsia" w:ascii="宋体" w:hAnsi="宋体" w:cs="宋体"/>
          <w:b/>
          <w:color w:val="auto"/>
          <w:sz w:val="36"/>
          <w:szCs w:val="20"/>
          <w:highlight w:val="none"/>
        </w:rPr>
        <w:t xml:space="preserve"> 招标公告</w:t>
      </w:r>
      <w:bookmarkEnd w:id="7"/>
      <w:bookmarkEnd w:id="8"/>
      <w:bookmarkEnd w:id="9"/>
    </w:p>
    <w:p w14:paraId="5F61646F">
      <w:pPr>
        <w:pStyle w:val="40"/>
        <w:numPr>
          <w:ilvl w:val="0"/>
          <w:numId w:val="0"/>
        </w:numPr>
        <w:jc w:val="center"/>
        <w:rPr>
          <w:rFonts w:hint="eastAsia" w:ascii="宋体" w:hAnsi="宋体" w:eastAsia="宋体" w:cs="宋体"/>
          <w:b/>
          <w:color w:val="auto"/>
          <w:kern w:val="2"/>
          <w:sz w:val="36"/>
          <w:szCs w:val="20"/>
          <w:highlight w:val="none"/>
          <w:lang w:val="en-US" w:eastAsia="zh-CN" w:bidi="ar-SA"/>
        </w:rPr>
      </w:pPr>
      <w:r>
        <w:rPr>
          <w:rFonts w:hint="eastAsia" w:ascii="宋体" w:hAnsi="宋体" w:eastAsia="宋体" w:cs="宋体"/>
          <w:b/>
          <w:color w:val="auto"/>
          <w:kern w:val="2"/>
          <w:sz w:val="32"/>
          <w:szCs w:val="32"/>
          <w:highlight w:val="none"/>
          <w:lang w:val="en-US" w:eastAsia="zh-CN" w:bidi="ar-SA"/>
        </w:rPr>
        <w:t>北海市政府采购中心关于</w:t>
      </w:r>
      <w:r>
        <w:rPr>
          <w:rFonts w:hint="eastAsia" w:ascii="宋体" w:hAnsi="宋体" w:cs="宋体"/>
          <w:b/>
          <w:color w:val="auto"/>
          <w:kern w:val="2"/>
          <w:sz w:val="32"/>
          <w:szCs w:val="32"/>
          <w:highlight w:val="none"/>
          <w:lang w:val="en-US" w:eastAsia="zh-CN" w:bidi="ar-SA"/>
        </w:rPr>
        <w:t>中国共产党北海市委员会网络安全和信息化委员会办公室北海市网络应急指挥中心二期项目</w:t>
      </w:r>
      <w:r>
        <w:rPr>
          <w:rFonts w:hint="eastAsia" w:ascii="宋体" w:hAnsi="宋体" w:eastAsia="宋体" w:cs="宋体"/>
          <w:b/>
          <w:color w:val="auto"/>
          <w:kern w:val="2"/>
          <w:sz w:val="32"/>
          <w:szCs w:val="32"/>
          <w:highlight w:val="none"/>
          <w:lang w:val="en-US" w:eastAsia="zh-CN" w:bidi="ar-SA"/>
        </w:rPr>
        <w:t>(</w:t>
      </w:r>
      <w:r>
        <w:rPr>
          <w:rFonts w:hint="eastAsia" w:ascii="宋体" w:hAnsi="宋体" w:cs="宋体"/>
          <w:b/>
          <w:color w:val="auto"/>
          <w:kern w:val="2"/>
          <w:sz w:val="32"/>
          <w:szCs w:val="32"/>
          <w:highlight w:val="none"/>
          <w:lang w:val="en-US" w:eastAsia="zh-CN" w:bidi="ar-SA"/>
        </w:rPr>
        <w:t>BHZC2025-G3-990205-CGZX</w:t>
      </w:r>
      <w:r>
        <w:rPr>
          <w:rFonts w:hint="eastAsia" w:ascii="宋体" w:hAnsi="宋体" w:eastAsia="宋体" w:cs="宋体"/>
          <w:b/>
          <w:color w:val="auto"/>
          <w:kern w:val="2"/>
          <w:sz w:val="32"/>
          <w:szCs w:val="32"/>
          <w:highlight w:val="none"/>
          <w:lang w:val="en-US" w:eastAsia="zh-CN" w:bidi="ar-SA"/>
        </w:rPr>
        <w:t>)公开招标公告</w:t>
      </w:r>
      <w:r>
        <w:rPr>
          <w:rFonts w:hint="eastAsia" w:ascii="宋体" w:hAnsi="宋体" w:cs="宋体"/>
          <w:b/>
          <w:color w:val="auto"/>
          <w:kern w:val="2"/>
          <w:sz w:val="32"/>
          <w:szCs w:val="32"/>
          <w:highlight w:val="none"/>
          <w:lang w:val="en-US" w:eastAsia="zh-CN" w:bidi="ar-SA"/>
        </w:rPr>
        <w:t>（远程异地评标）</w:t>
      </w:r>
    </w:p>
    <w:p w14:paraId="1D09305E">
      <w:pPr>
        <w:pBdr>
          <w:top w:val="single" w:color="auto" w:sz="4" w:space="1"/>
          <w:left w:val="single" w:color="auto" w:sz="4" w:space="4"/>
          <w:bottom w:val="single" w:color="auto" w:sz="4" w:space="2"/>
          <w:right w:val="single" w:color="auto" w:sz="4" w:space="4"/>
        </w:pBd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3E01C90C">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val="0"/>
        <w:overflowPunct/>
        <w:topLinePunct w:val="0"/>
        <w:autoSpaceDE/>
        <w:autoSpaceDN/>
        <w:bidi w:val="0"/>
        <w:adjustRightInd w:val="0"/>
        <w:snapToGrid/>
        <w:spacing w:line="360" w:lineRule="auto"/>
        <w:ind w:firstLine="480" w:firstLineChars="200"/>
        <w:textAlignment w:val="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中国共产党北海市委员会网络安全和信息化委员会办公室北海市网络应急指挥中心二期项目招标项目的潜在投标人应在广西政府采购云平台（https://www.gcy.zfcg.gxzf.gov.cn/）获取（下载）招标</w:t>
      </w:r>
      <w:r>
        <w:rPr>
          <w:rFonts w:hint="eastAsia" w:asciiTheme="minorEastAsia" w:hAnsiTheme="minorEastAsia" w:eastAsiaTheme="minorEastAsia"/>
          <w:color w:val="auto"/>
          <w:sz w:val="24"/>
          <w:highlight w:val="none"/>
        </w:rPr>
        <w:t>文件，并于</w:t>
      </w:r>
      <w:r>
        <w:rPr>
          <w:rFonts w:hint="eastAsia" w:asciiTheme="minorEastAsia" w:hAnsiTheme="minorEastAsia" w:eastAsiaTheme="minorEastAsia"/>
          <w:color w:val="auto"/>
          <w:sz w:val="24"/>
          <w:highlight w:val="none"/>
          <w:lang w:eastAsia="zh-CN"/>
        </w:rPr>
        <w:t>2025年10月10日9时整</w:t>
      </w:r>
      <w:r>
        <w:rPr>
          <w:rFonts w:hint="eastAsia" w:asciiTheme="minorEastAsia" w:hAnsiTheme="minorEastAsia" w:eastAsiaTheme="minorEastAsia"/>
          <w:color w:val="auto"/>
          <w:sz w:val="24"/>
          <w:highlight w:val="none"/>
        </w:rPr>
        <w:t>（北京时间）前递交（</w:t>
      </w:r>
      <w:r>
        <w:rPr>
          <w:rFonts w:hint="eastAsia" w:asciiTheme="minorEastAsia" w:hAnsiTheme="minorEastAsia" w:eastAsiaTheme="minorEastAsia"/>
          <w:color w:val="auto"/>
          <w:sz w:val="24"/>
          <w:highlight w:val="none"/>
        </w:rPr>
        <w:t>上传）投标文件。</w:t>
      </w:r>
    </w:p>
    <w:p w14:paraId="5CE3E7C0">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一、项目基本情况</w:t>
      </w:r>
    </w:p>
    <w:p w14:paraId="109B5CB7">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项目编号：BHZC2025-G3-990205-CGZX</w:t>
      </w:r>
      <w:r>
        <w:rPr>
          <w:rFonts w:hint="eastAsia" w:ascii="宋体" w:hAnsi="宋体" w:cs="宋体"/>
          <w:color w:val="auto"/>
          <w:sz w:val="24"/>
          <w:szCs w:val="24"/>
          <w:highlight w:val="none"/>
          <w:lang w:eastAsia="zh-CN"/>
        </w:rPr>
        <w:t>。</w:t>
      </w:r>
    </w:p>
    <w:p w14:paraId="5F6DEADD">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项目名称：北海市网络应急指挥中心二期项目</w:t>
      </w:r>
      <w:r>
        <w:rPr>
          <w:rFonts w:hint="eastAsia" w:ascii="宋体" w:hAnsi="宋体" w:cs="宋体"/>
          <w:color w:val="auto"/>
          <w:sz w:val="24"/>
          <w:szCs w:val="24"/>
          <w:highlight w:val="none"/>
          <w:lang w:eastAsia="zh-CN"/>
        </w:rPr>
        <w:t>。</w:t>
      </w:r>
    </w:p>
    <w:p w14:paraId="17033E32">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预算金额（元）：5660659.45元</w:t>
      </w:r>
      <w:r>
        <w:rPr>
          <w:rFonts w:hint="eastAsia" w:ascii="宋体" w:hAnsi="宋体" w:cs="宋体"/>
          <w:color w:val="auto"/>
          <w:sz w:val="24"/>
          <w:szCs w:val="24"/>
          <w:highlight w:val="none"/>
          <w:lang w:eastAsia="zh-CN"/>
        </w:rPr>
        <w:t>。</w:t>
      </w:r>
    </w:p>
    <w:p w14:paraId="0B90B505">
      <w:pP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采购需求</w:t>
      </w:r>
      <w:r>
        <w:rPr>
          <w:rFonts w:hint="eastAsia" w:ascii="宋体" w:hAnsi="宋体" w:eastAsia="宋体" w:cs="宋体"/>
          <w:color w:val="auto"/>
          <w:sz w:val="24"/>
          <w:szCs w:val="24"/>
          <w:highlight w:val="none"/>
        </w:rPr>
        <w:t>：</w:t>
      </w:r>
    </w:p>
    <w:p w14:paraId="3DB6EAAF">
      <w:pPr>
        <w:pStyle w:val="5"/>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标项名称</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中国共产党北海市委员会网络安全和信息化委员会办公室北海市网络应急指挥中心二期项目。</w:t>
      </w:r>
    </w:p>
    <w:p w14:paraId="4FEE2498">
      <w:pPr>
        <w:pStyle w:val="5"/>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数量</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1批</w:t>
      </w:r>
      <w:r>
        <w:rPr>
          <w:rFonts w:hint="eastAsia" w:hAnsi="宋体" w:cs="宋体"/>
          <w:color w:val="auto"/>
          <w:kern w:val="0"/>
          <w:sz w:val="24"/>
          <w:szCs w:val="24"/>
          <w:highlight w:val="none"/>
          <w:lang w:eastAsia="zh-CN"/>
        </w:rPr>
        <w:t>。</w:t>
      </w:r>
    </w:p>
    <w:p w14:paraId="64142938">
      <w:pPr>
        <w:pStyle w:val="5"/>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预算金额（元）</w:t>
      </w:r>
      <w:r>
        <w:rPr>
          <w:rFonts w:hint="eastAsia" w:hAnsi="宋体" w:cs="宋体"/>
          <w:color w:val="auto"/>
          <w:kern w:val="0"/>
          <w:sz w:val="24"/>
          <w:szCs w:val="24"/>
          <w:highlight w:val="none"/>
          <w:lang w:eastAsia="zh-CN"/>
        </w:rPr>
        <w:t>：5660659.45</w:t>
      </w:r>
      <w:r>
        <w:rPr>
          <w:rFonts w:hint="eastAsia" w:ascii="宋体" w:hAnsi="宋体" w:eastAsia="宋体" w:cs="宋体"/>
          <w:color w:val="auto"/>
          <w:kern w:val="0"/>
          <w:sz w:val="24"/>
          <w:szCs w:val="24"/>
          <w:highlight w:val="none"/>
          <w:lang w:eastAsia="zh-CN"/>
        </w:rPr>
        <w:t>元</w:t>
      </w:r>
      <w:r>
        <w:rPr>
          <w:rFonts w:hint="eastAsia" w:hAnsi="宋体" w:cs="宋体"/>
          <w:color w:val="auto"/>
          <w:kern w:val="0"/>
          <w:sz w:val="24"/>
          <w:szCs w:val="24"/>
          <w:highlight w:val="none"/>
          <w:lang w:eastAsia="zh-CN"/>
        </w:rPr>
        <w:t>。</w:t>
      </w:r>
    </w:p>
    <w:p w14:paraId="7DBAE646">
      <w:pPr>
        <w:pStyle w:val="5"/>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简要规格描述或项目基本概况介绍、用途：</w:t>
      </w:r>
      <w:r>
        <w:rPr>
          <w:rFonts w:hint="eastAsia" w:hAnsi="宋体" w:cs="宋体"/>
          <w:color w:val="auto"/>
          <w:kern w:val="0"/>
          <w:sz w:val="24"/>
          <w:szCs w:val="24"/>
          <w:highlight w:val="none"/>
          <w:lang w:eastAsia="zh-CN"/>
        </w:rPr>
        <w:t>信息系统建设及指挥场所装修（其中指挥场所装修为分包内容）</w:t>
      </w:r>
      <w:r>
        <w:rPr>
          <w:rFonts w:hint="eastAsia" w:ascii="宋体" w:hAnsi="宋体" w:eastAsia="宋体" w:cs="宋体"/>
          <w:color w:val="auto"/>
          <w:kern w:val="0"/>
          <w:sz w:val="24"/>
          <w:szCs w:val="24"/>
          <w:highlight w:val="none"/>
        </w:rPr>
        <w:t>，具体详见招标文件。</w:t>
      </w:r>
    </w:p>
    <w:p w14:paraId="7537D49E">
      <w:pPr>
        <w:pStyle w:val="5"/>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最高限价（如有）：/</w:t>
      </w:r>
    </w:p>
    <w:p w14:paraId="370E492C">
      <w:pPr>
        <w:pStyle w:val="5"/>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约期限：在合同签订之日起6个月内完成需求调研、设备供应、系统设计、系统开发、系统集成、系统测试、系统部署、系统等保测评和商用密码应用安全性评估、人员培训等工作，达到技术系统试运行要求，在合同签订之日起2个月内完成指挥场所装修工作。</w:t>
      </w:r>
    </w:p>
    <w:p w14:paraId="4F331607">
      <w:pPr>
        <w:pStyle w:val="5"/>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本标项（否）接受联合体投标</w:t>
      </w:r>
      <w:r>
        <w:rPr>
          <w:rFonts w:hint="eastAsia" w:hAnsi="宋体" w:cs="宋体"/>
          <w:color w:val="auto"/>
          <w:kern w:val="0"/>
          <w:sz w:val="24"/>
          <w:szCs w:val="24"/>
          <w:highlight w:val="none"/>
          <w:lang w:eastAsia="zh-CN"/>
        </w:rPr>
        <w:t>。</w:t>
      </w:r>
    </w:p>
    <w:p w14:paraId="5C7A2499">
      <w:pPr>
        <w:pStyle w:val="5"/>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hAnsi="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359ED1CA">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二、</w:t>
      </w:r>
      <w:bookmarkStart w:id="13" w:name="_Hlk101132948"/>
      <w:r>
        <w:rPr>
          <w:rFonts w:hint="eastAsia" w:ascii="宋体" w:hAnsi="宋体" w:cs="宋体"/>
          <w:b/>
          <w:color w:val="auto"/>
          <w:sz w:val="24"/>
          <w:szCs w:val="24"/>
          <w:highlight w:val="none"/>
        </w:rPr>
        <w:t>申请人的资格要求</w:t>
      </w:r>
      <w:bookmarkEnd w:id="13"/>
    </w:p>
    <w:p w14:paraId="43EE1FD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14:paraId="0CEF4B6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2.落实政府采购政策需满足的资格要求：无；</w:t>
      </w:r>
    </w:p>
    <w:p w14:paraId="53961E05">
      <w:pPr>
        <w:pStyle w:val="5"/>
        <w:keepNext w:val="0"/>
        <w:keepLines w:val="0"/>
        <w:pageBreakBefore w:val="0"/>
        <w:kinsoku/>
        <w:wordWrap/>
        <w:overflowPunct/>
        <w:topLinePunct w:val="0"/>
        <w:autoSpaceDE/>
        <w:autoSpaceDN/>
        <w:bidi w:val="0"/>
        <w:adjustRightInd w:val="0"/>
        <w:spacing w:line="360" w:lineRule="auto"/>
        <w:ind w:firstLine="480"/>
        <w:textAlignment w:val="auto"/>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3.本项目的特定资格要求：</w:t>
      </w:r>
      <w:r>
        <w:rPr>
          <w:rFonts w:hint="eastAsia" w:hAnsi="宋体" w:cs="宋体"/>
          <w:color w:val="auto"/>
          <w:sz w:val="24"/>
          <w:highlight w:val="none"/>
          <w:lang w:eastAsia="zh-CN"/>
        </w:rPr>
        <w:t>无。</w:t>
      </w:r>
    </w:p>
    <w:p w14:paraId="31D58C37">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三、获取招标文件</w:t>
      </w:r>
    </w:p>
    <w:p w14:paraId="27612789">
      <w:pPr>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时间：</w:t>
      </w:r>
      <w:r>
        <w:rPr>
          <w:rFonts w:hint="eastAsia" w:ascii="宋体" w:hAnsi="宋体" w:cs="宋体"/>
          <w:color w:val="auto"/>
          <w:sz w:val="24"/>
          <w:highlight w:val="none"/>
          <w:u w:val="none"/>
          <w:lang w:eastAsia="zh-CN"/>
        </w:rPr>
        <w:t>2025年9月</w:t>
      </w:r>
      <w:r>
        <w:rPr>
          <w:rFonts w:hint="eastAsia" w:ascii="宋体" w:hAnsi="宋体" w:cs="宋体"/>
          <w:color w:val="auto"/>
          <w:sz w:val="24"/>
          <w:highlight w:val="none"/>
          <w:u w:val="none"/>
          <w:lang w:val="en-US" w:eastAsia="zh-CN"/>
        </w:rPr>
        <w:t>19</w:t>
      </w:r>
      <w:r>
        <w:rPr>
          <w:rFonts w:hint="eastAsia" w:ascii="宋体" w:hAnsi="宋体" w:cs="宋体"/>
          <w:color w:val="auto"/>
          <w:sz w:val="24"/>
          <w:highlight w:val="none"/>
          <w:u w:val="none"/>
          <w:lang w:eastAsia="zh-CN"/>
        </w:rPr>
        <w:t>日</w:t>
      </w:r>
      <w:r>
        <w:rPr>
          <w:rFonts w:hint="eastAsia" w:ascii="宋体" w:hAnsi="宋体" w:cs="宋体"/>
          <w:color w:val="auto"/>
          <w:sz w:val="24"/>
          <w:highlight w:val="none"/>
          <w:u w:val="none"/>
        </w:rPr>
        <w:t>至</w:t>
      </w:r>
      <w:r>
        <w:rPr>
          <w:rFonts w:hint="eastAsia" w:ascii="宋体" w:hAnsi="宋体" w:cs="宋体"/>
          <w:color w:val="auto"/>
          <w:sz w:val="24"/>
          <w:highlight w:val="none"/>
          <w:u w:val="none"/>
          <w:lang w:eastAsia="zh-CN"/>
        </w:rPr>
        <w:t>2025年9月</w:t>
      </w:r>
      <w:r>
        <w:rPr>
          <w:rFonts w:hint="eastAsia" w:ascii="宋体" w:hAnsi="宋体" w:cs="宋体"/>
          <w:color w:val="auto"/>
          <w:sz w:val="24"/>
          <w:highlight w:val="none"/>
          <w:u w:val="none"/>
          <w:lang w:val="en-US" w:eastAsia="zh-CN"/>
        </w:rPr>
        <w:t>26</w:t>
      </w:r>
      <w:r>
        <w:rPr>
          <w:rFonts w:hint="eastAsia" w:ascii="宋体" w:hAnsi="宋体" w:cs="宋体"/>
          <w:color w:val="auto"/>
          <w:sz w:val="24"/>
          <w:highlight w:val="none"/>
          <w:u w:val="none"/>
          <w:lang w:eastAsia="zh-CN"/>
        </w:rPr>
        <w:t>日</w:t>
      </w:r>
      <w:r>
        <w:rPr>
          <w:rFonts w:hint="eastAsia" w:ascii="宋体" w:hAnsi="宋体" w:cs="宋体"/>
          <w:color w:val="auto"/>
          <w:sz w:val="24"/>
          <w:highlight w:val="none"/>
          <w:u w:val="none"/>
        </w:rPr>
        <w:t>，每天上午00:00至12:00，下午12:00至23:59（北京时间，法定节假日除外）</w:t>
      </w:r>
      <w:r>
        <w:rPr>
          <w:rFonts w:hint="eastAsia" w:ascii="宋体" w:hAnsi="宋体" w:cs="宋体"/>
          <w:color w:val="auto"/>
          <w:sz w:val="24"/>
          <w:highlight w:val="none"/>
          <w:u w:val="none"/>
          <w:lang w:eastAsia="zh-CN"/>
        </w:rPr>
        <w:t>。</w:t>
      </w:r>
    </w:p>
    <w:p w14:paraId="4CF8995B">
      <w:pPr>
        <w:spacing w:line="360" w:lineRule="auto"/>
        <w:ind w:firstLine="480" w:firstLineChars="200"/>
        <w:rPr>
          <w:rFonts w:hint="eastAsia" w:ascii="宋体" w:hAnsi="宋体" w:eastAsia="宋体" w:cs="宋体"/>
          <w:color w:val="auto"/>
          <w:sz w:val="24"/>
          <w:highlight w:val="none"/>
          <w:u w:val="none"/>
          <w:lang w:eastAsia="zh-CN"/>
        </w:rPr>
      </w:pPr>
      <w:r>
        <w:rPr>
          <w:rFonts w:hint="eastAsia" w:ascii="宋体" w:hAnsi="宋体" w:cs="宋体"/>
          <w:color w:val="auto"/>
          <w:sz w:val="24"/>
          <w:highlight w:val="none"/>
          <w:u w:val="none"/>
        </w:rPr>
        <w:t>地点（网址）：广西政府采购云平台（https://www.gcy.zfcg.gxzf.gov.cn/）</w:t>
      </w:r>
      <w:r>
        <w:rPr>
          <w:rFonts w:hint="eastAsia" w:ascii="宋体" w:hAnsi="宋体" w:cs="宋体"/>
          <w:color w:val="auto"/>
          <w:sz w:val="24"/>
          <w:highlight w:val="none"/>
          <w:u w:val="none"/>
          <w:lang w:eastAsia="zh-CN"/>
        </w:rPr>
        <w:t>。</w:t>
      </w:r>
    </w:p>
    <w:p w14:paraId="6638B0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方式：供应商登录广西政府采购云平台（https://www.gcy.zfcg.gxzf.gov.cn/）在线申请获取采购文件（进入“项目采购”应用，在</w:t>
      </w:r>
      <w:r>
        <w:rPr>
          <w:rFonts w:hint="eastAsia" w:ascii="宋体" w:hAnsi="宋体" w:cs="宋体"/>
          <w:color w:val="auto"/>
          <w:sz w:val="24"/>
          <w:highlight w:val="none"/>
        </w:rPr>
        <w:t>获取采购文件菜单中选择项目，申请获取采购文件）。</w:t>
      </w:r>
    </w:p>
    <w:p w14:paraId="6872D4A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售价（元）：0</w:t>
      </w:r>
      <w:r>
        <w:rPr>
          <w:rFonts w:hint="eastAsia" w:ascii="宋体" w:hAnsi="宋体" w:cs="宋体"/>
          <w:color w:val="auto"/>
          <w:sz w:val="24"/>
          <w:highlight w:val="none"/>
          <w:lang w:eastAsia="zh-CN"/>
        </w:rPr>
        <w:t>。</w:t>
      </w:r>
    </w:p>
    <w:p w14:paraId="104B826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DDA4847">
      <w:pPr>
        <w:spacing w:line="360" w:lineRule="auto"/>
        <w:ind w:firstLine="480" w:firstLineChars="200"/>
        <w:rPr>
          <w:rFonts w:hint="eastAsia" w:ascii="宋体" w:hAnsi="宋体" w:eastAsia="宋体" w:cs="宋体"/>
          <w:b w:val="0"/>
          <w:bCs w:val="0"/>
          <w:color w:val="auto"/>
          <w:sz w:val="24"/>
          <w:highlight w:val="none"/>
          <w:u w:val="none"/>
          <w:lang w:eastAsia="zh-CN"/>
        </w:rPr>
      </w:pPr>
      <w:r>
        <w:rPr>
          <w:rFonts w:hint="eastAsia" w:ascii="宋体" w:hAnsi="宋体" w:cs="宋体"/>
          <w:color w:val="auto"/>
          <w:sz w:val="24"/>
          <w:highlight w:val="none"/>
        </w:rPr>
        <w:t>提交</w:t>
      </w:r>
      <w:r>
        <w:rPr>
          <w:rFonts w:hint="eastAsia" w:ascii="宋体" w:hAnsi="宋体" w:cs="宋体"/>
          <w:b w:val="0"/>
          <w:bCs w:val="0"/>
          <w:color w:val="auto"/>
          <w:sz w:val="24"/>
          <w:highlight w:val="none"/>
          <w:u w:val="none"/>
        </w:rPr>
        <w:t>投标文件截止时间</w:t>
      </w:r>
      <w:r>
        <w:rPr>
          <w:rFonts w:hint="eastAsia" w:ascii="宋体" w:hAnsi="宋体" w:cs="宋体"/>
          <w:b w:val="0"/>
          <w:bCs w:val="0"/>
          <w:color w:val="auto"/>
          <w:sz w:val="24"/>
          <w:highlight w:val="none"/>
          <w:u w:val="none"/>
        </w:rPr>
        <w:t>：</w:t>
      </w:r>
      <w:r>
        <w:rPr>
          <w:rFonts w:hint="eastAsia" w:ascii="宋体" w:hAnsi="宋体" w:cs="宋体"/>
          <w:b w:val="0"/>
          <w:bCs w:val="0"/>
          <w:color w:val="auto"/>
          <w:sz w:val="24"/>
          <w:highlight w:val="none"/>
          <w:u w:val="none"/>
          <w:lang w:eastAsia="zh-CN"/>
        </w:rPr>
        <w:t>2025年10月10日9时整（北京时间）</w:t>
      </w:r>
      <w:r>
        <w:rPr>
          <w:rFonts w:hint="eastAsia" w:ascii="宋体" w:hAnsi="宋体" w:cs="宋体"/>
          <w:b w:val="0"/>
          <w:bCs w:val="0"/>
          <w:color w:val="auto"/>
          <w:sz w:val="24"/>
          <w:highlight w:val="none"/>
          <w:u w:val="none"/>
          <w:lang w:eastAsia="zh-CN"/>
        </w:rPr>
        <w:t>。</w:t>
      </w:r>
    </w:p>
    <w:p w14:paraId="7ACE27D2">
      <w:pPr>
        <w:spacing w:line="360" w:lineRule="auto"/>
        <w:ind w:firstLine="480" w:firstLineChars="200"/>
        <w:rPr>
          <w:rFonts w:hint="eastAsia" w:ascii="宋体" w:hAnsi="宋体" w:eastAsia="宋体" w:cs="宋体"/>
          <w:b w:val="0"/>
          <w:bCs w:val="0"/>
          <w:color w:val="auto"/>
          <w:sz w:val="24"/>
          <w:highlight w:val="none"/>
          <w:u w:val="none"/>
          <w:lang w:eastAsia="zh-CN"/>
        </w:rPr>
      </w:pPr>
      <w:r>
        <w:rPr>
          <w:rFonts w:hint="eastAsia" w:ascii="宋体" w:hAnsi="宋体" w:cs="宋体"/>
          <w:b w:val="0"/>
          <w:bCs w:val="0"/>
          <w:color w:val="auto"/>
          <w:sz w:val="24"/>
          <w:highlight w:val="none"/>
          <w:u w:val="none"/>
        </w:rPr>
        <w:t>投标地点（网址）：广西政府采购云平台（https://www.gcy.zfcg.gxzf.gov.cn/）</w:t>
      </w:r>
      <w:r>
        <w:rPr>
          <w:rFonts w:hint="eastAsia" w:ascii="宋体" w:hAnsi="宋体" w:cs="宋体"/>
          <w:b w:val="0"/>
          <w:bCs w:val="0"/>
          <w:color w:val="auto"/>
          <w:sz w:val="24"/>
          <w:highlight w:val="none"/>
          <w:u w:val="none"/>
          <w:lang w:eastAsia="zh-CN"/>
        </w:rPr>
        <w:t>。</w:t>
      </w:r>
    </w:p>
    <w:p w14:paraId="1C2875CA">
      <w:pPr>
        <w:spacing w:line="360" w:lineRule="auto"/>
        <w:ind w:firstLine="480" w:firstLineChars="200"/>
        <w:rPr>
          <w:rFonts w:hint="eastAsia" w:ascii="宋体" w:hAnsi="宋体" w:eastAsia="宋体" w:cs="宋体"/>
          <w:b w:val="0"/>
          <w:bCs w:val="0"/>
          <w:color w:val="auto"/>
          <w:sz w:val="24"/>
          <w:highlight w:val="none"/>
          <w:u w:val="none"/>
          <w:lang w:eastAsia="zh-CN"/>
        </w:rPr>
      </w:pPr>
      <w:r>
        <w:rPr>
          <w:rFonts w:hint="eastAsia" w:ascii="宋体" w:hAnsi="宋体" w:cs="宋体"/>
          <w:b w:val="0"/>
          <w:bCs w:val="0"/>
          <w:color w:val="auto"/>
          <w:sz w:val="24"/>
          <w:highlight w:val="none"/>
          <w:u w:val="none"/>
        </w:rPr>
        <w:t>开标时间：</w:t>
      </w:r>
      <w:r>
        <w:rPr>
          <w:rFonts w:hint="eastAsia" w:ascii="宋体" w:hAnsi="宋体" w:cs="宋体"/>
          <w:b w:val="0"/>
          <w:bCs w:val="0"/>
          <w:color w:val="auto"/>
          <w:sz w:val="24"/>
          <w:highlight w:val="none"/>
          <w:u w:val="none"/>
          <w:lang w:eastAsia="zh-CN"/>
        </w:rPr>
        <w:t>2025年10月10日9时整（北京时间）</w:t>
      </w:r>
      <w:r>
        <w:rPr>
          <w:rFonts w:hint="eastAsia" w:ascii="宋体" w:hAnsi="宋体" w:cs="宋体"/>
          <w:b w:val="0"/>
          <w:bCs w:val="0"/>
          <w:color w:val="auto"/>
          <w:sz w:val="24"/>
          <w:highlight w:val="none"/>
          <w:u w:val="none"/>
          <w:lang w:eastAsia="zh-CN"/>
        </w:rPr>
        <w:t>。</w:t>
      </w:r>
    </w:p>
    <w:p w14:paraId="351F918E">
      <w:pPr>
        <w:spacing w:line="360" w:lineRule="auto"/>
        <w:ind w:firstLine="480" w:firstLineChars="200"/>
        <w:rPr>
          <w:rFonts w:hint="eastAsia" w:ascii="宋体" w:hAnsi="宋体" w:eastAsia="宋体" w:cs="宋体"/>
          <w:b w:val="0"/>
          <w:bCs w:val="0"/>
          <w:color w:val="auto"/>
          <w:sz w:val="24"/>
          <w:highlight w:val="none"/>
          <w:u w:val="none"/>
          <w:lang w:val="en-US" w:eastAsia="zh-CN"/>
        </w:rPr>
      </w:pPr>
      <w:r>
        <w:rPr>
          <w:rFonts w:hint="eastAsia" w:ascii="宋体" w:hAnsi="宋体" w:cs="宋体"/>
          <w:b w:val="0"/>
          <w:bCs w:val="0"/>
          <w:color w:val="auto"/>
          <w:sz w:val="24"/>
          <w:highlight w:val="none"/>
          <w:u w:val="none"/>
        </w:rPr>
        <w:t>开标地点（网址）：广西政府采购云平台（https://www.gcy.zfcg.gxzf.gov.cn/）</w:t>
      </w:r>
      <w:r>
        <w:rPr>
          <w:rFonts w:hint="eastAsia" w:ascii="宋体" w:hAnsi="宋体" w:cs="宋体"/>
          <w:b w:val="0"/>
          <w:bCs w:val="0"/>
          <w:color w:val="auto"/>
          <w:sz w:val="24"/>
          <w:highlight w:val="none"/>
          <w:u w:val="none"/>
          <w:lang w:eastAsia="zh-CN"/>
        </w:rPr>
        <w:t>。</w:t>
      </w:r>
    </w:p>
    <w:p w14:paraId="703AE63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五、公告期限</w:t>
      </w:r>
    </w:p>
    <w:p w14:paraId="436ACAD2">
      <w:pPr>
        <w:spacing w:line="360" w:lineRule="auto"/>
        <w:ind w:firstLine="480" w:firstLineChars="200"/>
        <w:rPr>
          <w:rFonts w:ascii="宋体" w:hAnsi="宋体" w:cs="宋体"/>
          <w:b w:val="0"/>
          <w:bCs w:val="0"/>
          <w:color w:val="auto"/>
          <w:sz w:val="24"/>
          <w:highlight w:val="none"/>
          <w:u w:val="none"/>
        </w:rPr>
      </w:pPr>
      <w:r>
        <w:rPr>
          <w:rFonts w:hint="eastAsia" w:ascii="宋体" w:hAnsi="宋体" w:cs="宋体"/>
          <w:b w:val="0"/>
          <w:bCs w:val="0"/>
          <w:color w:val="auto"/>
          <w:sz w:val="24"/>
          <w:highlight w:val="none"/>
          <w:u w:val="none"/>
        </w:rPr>
        <w:t>自本公告发布之日起5个工作日。</w:t>
      </w:r>
    </w:p>
    <w:p w14:paraId="61F28553">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六、其他补充事宜</w:t>
      </w:r>
    </w:p>
    <w:p w14:paraId="2B92F52A">
      <w:pPr>
        <w:spacing w:line="360" w:lineRule="auto"/>
        <w:ind w:firstLine="480" w:firstLineChars="200"/>
        <w:rPr>
          <w:rFonts w:ascii="宋体" w:hAnsi="宋体" w:cs="宋体"/>
          <w:b w:val="0"/>
          <w:bCs w:val="0"/>
          <w:color w:val="auto"/>
          <w:sz w:val="24"/>
          <w:highlight w:val="none"/>
          <w:u w:val="none"/>
        </w:rPr>
      </w:pPr>
      <w:r>
        <w:rPr>
          <w:rFonts w:hint="eastAsia" w:ascii="宋体" w:hAnsi="宋体" w:cs="宋体"/>
          <w:b w:val="0"/>
          <w:bCs w:val="0"/>
          <w:color w:val="auto"/>
          <w:sz w:val="24"/>
          <w:highlight w:val="none"/>
          <w:u w:val="none"/>
        </w:rPr>
        <w:t>1.本项目不收取投标保证金。</w:t>
      </w:r>
    </w:p>
    <w:p w14:paraId="2C289B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4A612DF8">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p w14:paraId="7F0295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4.网上公告媒体查询：中国政府采购网、广西政府采购网、全国公共资源交易平台（广西•北海）、北海市政府采购监管网、北海市人民政府网-北海市政府采购中心网站。</w:t>
      </w:r>
    </w:p>
    <w:p w14:paraId="219271E6">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99D14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6EC09B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7.本项目采用远程异地评标。</w:t>
      </w:r>
    </w:p>
    <w:p w14:paraId="25BF31C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本项目为北海市推动解决政府采购异常低价试点项目</w:t>
      </w:r>
      <w:r>
        <w:rPr>
          <w:rFonts w:hint="eastAsia" w:ascii="宋体" w:hAnsi="宋体" w:cs="宋体"/>
          <w:color w:val="auto"/>
          <w:sz w:val="24"/>
          <w:highlight w:val="none"/>
          <w:lang w:eastAsia="zh-CN"/>
        </w:rPr>
        <w:t>。</w:t>
      </w:r>
    </w:p>
    <w:p w14:paraId="7F4D8CB1">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七、对本次采购提出询问，请按以下方式联系</w:t>
      </w:r>
    </w:p>
    <w:p w14:paraId="1BFD1CC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396647E5">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称：中国共产党北海市委员会网络安全和信息化委员会办公室</w:t>
      </w:r>
      <w:r>
        <w:rPr>
          <w:rFonts w:hint="eastAsia" w:ascii="宋体" w:hAnsi="宋体" w:cs="宋体"/>
          <w:color w:val="auto"/>
          <w:sz w:val="24"/>
          <w:highlight w:val="none"/>
          <w:lang w:eastAsia="zh-CN"/>
        </w:rPr>
        <w:t>。</w:t>
      </w:r>
    </w:p>
    <w:p w14:paraId="718F9A2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址：北海市海城区中山东路213号北海市机关第二办公区2号楼</w:t>
      </w:r>
      <w:r>
        <w:rPr>
          <w:rFonts w:hint="eastAsia" w:ascii="宋体" w:hAnsi="宋体" w:cs="宋体"/>
          <w:color w:val="auto"/>
          <w:sz w:val="24"/>
          <w:highlight w:val="none"/>
          <w:lang w:eastAsia="zh-CN"/>
        </w:rPr>
        <w:t>。</w:t>
      </w:r>
    </w:p>
    <w:p w14:paraId="260777A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项目联系人：朱庆丰</w:t>
      </w:r>
      <w:r>
        <w:rPr>
          <w:rFonts w:hint="eastAsia" w:ascii="宋体" w:hAnsi="宋体" w:cs="宋体"/>
          <w:color w:val="auto"/>
          <w:sz w:val="24"/>
          <w:highlight w:val="none"/>
          <w:lang w:eastAsia="zh-CN"/>
        </w:rPr>
        <w:t>。</w:t>
      </w:r>
    </w:p>
    <w:p w14:paraId="47A60FCA">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项目联系方式：0779-2021285</w:t>
      </w:r>
      <w:r>
        <w:rPr>
          <w:rFonts w:hint="eastAsia" w:ascii="宋体" w:hAnsi="宋体" w:cs="宋体"/>
          <w:color w:val="auto"/>
          <w:sz w:val="24"/>
          <w:highlight w:val="none"/>
          <w:lang w:eastAsia="zh-CN"/>
        </w:rPr>
        <w:t>。</w:t>
      </w:r>
    </w:p>
    <w:p w14:paraId="3B26741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3089511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称：北海市政府采购中心</w:t>
      </w:r>
      <w:r>
        <w:rPr>
          <w:rFonts w:hint="eastAsia" w:ascii="宋体" w:hAnsi="宋体" w:cs="宋体"/>
          <w:color w:val="auto"/>
          <w:sz w:val="24"/>
          <w:highlight w:val="none"/>
          <w:lang w:eastAsia="zh-CN"/>
        </w:rPr>
        <w:t>。</w:t>
      </w:r>
    </w:p>
    <w:p w14:paraId="1E23E19D">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址：北海市海城区陈文村北路7号市直机关第三办公区2号楼一层</w:t>
      </w:r>
      <w:r>
        <w:rPr>
          <w:rFonts w:hint="eastAsia" w:ascii="宋体" w:hAnsi="宋体" w:cs="宋体"/>
          <w:color w:val="auto"/>
          <w:sz w:val="24"/>
          <w:highlight w:val="none"/>
          <w:lang w:eastAsia="zh-CN"/>
        </w:rPr>
        <w:t>。</w:t>
      </w:r>
    </w:p>
    <w:p w14:paraId="45D6AB8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项目联系人(询问)：易思行。项目联系方式(询问)：0779-3960815。</w:t>
      </w:r>
    </w:p>
    <w:p w14:paraId="565F7D1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14:paraId="58070CC2">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6DE4EB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color w:val="auto"/>
          <w:sz w:val="36"/>
          <w:szCs w:val="20"/>
          <w:highlight w:val="none"/>
        </w:rPr>
      </w:pPr>
      <w:bookmarkStart w:id="14" w:name="_Toc24634"/>
      <w:bookmarkStart w:id="15" w:name="_Toc176368903"/>
      <w:r>
        <w:rPr>
          <w:rFonts w:hint="eastAsia" w:ascii="宋体" w:hAnsi="宋体" w:cs="宋体"/>
          <w:b/>
          <w:color w:val="auto"/>
          <w:sz w:val="36"/>
          <w:szCs w:val="20"/>
          <w:highlight w:val="none"/>
        </w:rPr>
        <w:t>第二部分</w:t>
      </w:r>
      <w:bookmarkEnd w:id="10"/>
      <w:r>
        <w:rPr>
          <w:rFonts w:hint="eastAsia" w:ascii="宋体" w:hAnsi="宋体" w:cs="宋体"/>
          <w:b/>
          <w:color w:val="auto"/>
          <w:sz w:val="36"/>
          <w:szCs w:val="20"/>
          <w:highlight w:val="none"/>
        </w:rPr>
        <w:t xml:space="preserve"> 投标人须知</w:t>
      </w:r>
      <w:bookmarkEnd w:id="11"/>
      <w:bookmarkEnd w:id="14"/>
      <w:bookmarkEnd w:id="15"/>
    </w:p>
    <w:p w14:paraId="55E99B76">
      <w:pPr>
        <w:adjustRightInd/>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82"/>
        <w:gridCol w:w="7005"/>
      </w:tblGrid>
      <w:tr w14:paraId="17D75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60" w:hRule="atLeast"/>
        </w:trPr>
        <w:tc>
          <w:tcPr>
            <w:tcW w:w="629" w:type="dxa"/>
            <w:tcBorders>
              <w:top w:val="single" w:color="auto" w:sz="4" w:space="0"/>
              <w:left w:val="single" w:color="auto" w:sz="4" w:space="0"/>
              <w:bottom w:val="single" w:color="auto" w:sz="4" w:space="0"/>
              <w:right w:val="single" w:color="auto" w:sz="4" w:space="0"/>
            </w:tcBorders>
          </w:tcPr>
          <w:p w14:paraId="0EC457B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182" w:type="dxa"/>
            <w:tcBorders>
              <w:top w:val="single" w:color="000000" w:sz="8" w:space="0"/>
              <w:left w:val="single" w:color="auto" w:sz="4" w:space="0"/>
              <w:bottom w:val="single" w:color="000000" w:sz="8" w:space="0"/>
              <w:right w:val="single" w:color="000000" w:sz="8" w:space="0"/>
            </w:tcBorders>
            <w:vAlign w:val="center"/>
          </w:tcPr>
          <w:p w14:paraId="4A5F5C0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7005" w:type="dxa"/>
            <w:tcBorders>
              <w:top w:val="single" w:color="000000" w:sz="8" w:space="0"/>
              <w:left w:val="single" w:color="000000" w:sz="2" w:space="0"/>
              <w:bottom w:val="single" w:color="000000" w:sz="8" w:space="0"/>
              <w:right w:val="single" w:color="000000" w:sz="8" w:space="0"/>
            </w:tcBorders>
            <w:vAlign w:val="center"/>
          </w:tcPr>
          <w:p w14:paraId="6B9B5F1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7AC7D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780D2BB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82" w:type="dxa"/>
            <w:tcBorders>
              <w:top w:val="single" w:color="000000" w:sz="8" w:space="0"/>
              <w:left w:val="single" w:color="auto" w:sz="4" w:space="0"/>
              <w:bottom w:val="single" w:color="000000" w:sz="8" w:space="0"/>
              <w:right w:val="single" w:color="000000" w:sz="8" w:space="0"/>
            </w:tcBorders>
            <w:vAlign w:val="center"/>
          </w:tcPr>
          <w:p w14:paraId="541B1D0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7005" w:type="dxa"/>
            <w:tcBorders>
              <w:top w:val="single" w:color="000000" w:sz="8" w:space="0"/>
              <w:left w:val="single" w:color="000000" w:sz="2" w:space="0"/>
              <w:bottom w:val="single" w:color="000000" w:sz="8" w:space="0"/>
              <w:right w:val="single" w:color="000000" w:sz="8" w:space="0"/>
            </w:tcBorders>
            <w:vAlign w:val="center"/>
          </w:tcPr>
          <w:p w14:paraId="2B96A2E1">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78E57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9AFAF4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182" w:type="dxa"/>
            <w:tcBorders>
              <w:top w:val="single" w:color="000000" w:sz="8" w:space="0"/>
              <w:left w:val="single" w:color="auto" w:sz="4" w:space="0"/>
              <w:bottom w:val="single" w:color="000000" w:sz="8" w:space="0"/>
              <w:right w:val="single" w:color="000000" w:sz="8" w:space="0"/>
            </w:tcBorders>
            <w:vAlign w:val="center"/>
          </w:tcPr>
          <w:p w14:paraId="1E5F637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7005" w:type="dxa"/>
            <w:tcBorders>
              <w:top w:val="single" w:color="000000" w:sz="8" w:space="0"/>
              <w:left w:val="single" w:color="000000" w:sz="2" w:space="0"/>
              <w:bottom w:val="single" w:color="000000" w:sz="8" w:space="0"/>
              <w:right w:val="single" w:color="000000" w:sz="8" w:space="0"/>
            </w:tcBorders>
            <w:vAlign w:val="center"/>
          </w:tcPr>
          <w:p w14:paraId="18E08662">
            <w:pPr>
              <w:snapToGrid w:val="0"/>
              <w:spacing w:line="360" w:lineRule="auto"/>
              <w:rPr>
                <w:rFonts w:ascii="宋体" w:hAnsi="宋体" w:eastAsia="宋体" w:cs="宋体"/>
                <w:color w:val="auto"/>
                <w:highlight w:val="none"/>
                <w:lang w:val="en-US"/>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eastAsia="zh-CN"/>
              </w:rPr>
              <w:t>北海市网络应急指挥中心二期项目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软件和信息技术服务业 </w:t>
            </w:r>
            <w:r>
              <w:rPr>
                <w:rFonts w:hint="eastAsia" w:ascii="宋体" w:hAnsi="宋体" w:cs="宋体"/>
                <w:color w:val="auto"/>
                <w:kern w:val="0"/>
                <w:sz w:val="24"/>
                <w:highlight w:val="none"/>
              </w:rPr>
              <w:t>行业；</w:t>
            </w:r>
          </w:p>
        </w:tc>
      </w:tr>
      <w:tr w14:paraId="558FE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278693A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182" w:type="dxa"/>
            <w:tcBorders>
              <w:top w:val="single" w:color="000000" w:sz="8" w:space="0"/>
              <w:left w:val="single" w:color="auto" w:sz="4" w:space="0"/>
              <w:bottom w:val="single" w:color="000000" w:sz="8" w:space="0"/>
              <w:right w:val="single" w:color="000000" w:sz="8" w:space="0"/>
            </w:tcBorders>
            <w:vAlign w:val="center"/>
          </w:tcPr>
          <w:p w14:paraId="56282C5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7005" w:type="dxa"/>
            <w:tcBorders>
              <w:top w:val="single" w:color="000000" w:sz="8" w:space="0"/>
              <w:left w:val="single" w:color="000000" w:sz="2" w:space="0"/>
              <w:bottom w:val="single" w:color="000000" w:sz="8" w:space="0"/>
              <w:right w:val="single" w:color="000000" w:sz="8" w:space="0"/>
            </w:tcBorders>
            <w:vAlign w:val="center"/>
          </w:tcPr>
          <w:p w14:paraId="1AF18B6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40EB1F68">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1E2DBD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D3CFCE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2182" w:type="dxa"/>
            <w:tcBorders>
              <w:top w:val="single" w:color="000000" w:sz="8" w:space="0"/>
              <w:left w:val="single" w:color="auto" w:sz="4" w:space="0"/>
              <w:bottom w:val="single" w:color="000000" w:sz="8" w:space="0"/>
              <w:right w:val="single" w:color="000000" w:sz="8" w:space="0"/>
            </w:tcBorders>
            <w:vAlign w:val="center"/>
          </w:tcPr>
          <w:p w14:paraId="3EFE22C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分包</w:t>
            </w:r>
          </w:p>
        </w:tc>
        <w:tc>
          <w:tcPr>
            <w:tcW w:w="7005" w:type="dxa"/>
            <w:tcBorders>
              <w:top w:val="single" w:color="000000" w:sz="8" w:space="0"/>
              <w:left w:val="single" w:color="000000" w:sz="2" w:space="0"/>
              <w:bottom w:val="single" w:color="000000" w:sz="8" w:space="0"/>
              <w:right w:val="single" w:color="000000" w:sz="8" w:space="0"/>
            </w:tcBorders>
            <w:vAlign w:val="center"/>
          </w:tcPr>
          <w:p w14:paraId="4F70C039">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728692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指挥场所装修 </w:t>
            </w:r>
            <w:r>
              <w:rPr>
                <w:rFonts w:hint="eastAsia" w:ascii="宋体" w:hAnsi="宋体" w:cs="宋体"/>
                <w:color w:val="auto"/>
                <w:sz w:val="24"/>
                <w:highlight w:val="none"/>
              </w:rPr>
              <w:t>工作分包。</w:t>
            </w:r>
          </w:p>
          <w:p w14:paraId="30367E3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7633135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37B628C0">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083C5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1DDCE7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2182" w:type="dxa"/>
            <w:tcBorders>
              <w:top w:val="single" w:color="000000" w:sz="8" w:space="0"/>
              <w:left w:val="single" w:color="auto" w:sz="4" w:space="0"/>
              <w:bottom w:val="single" w:color="000000" w:sz="8" w:space="0"/>
              <w:right w:val="single" w:color="000000" w:sz="8" w:space="0"/>
            </w:tcBorders>
            <w:vAlign w:val="center"/>
          </w:tcPr>
          <w:p w14:paraId="7320C2F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7005" w:type="dxa"/>
            <w:tcBorders>
              <w:top w:val="single" w:color="000000" w:sz="8" w:space="0"/>
              <w:left w:val="single" w:color="000000" w:sz="2" w:space="0"/>
              <w:bottom w:val="single" w:color="000000" w:sz="8" w:space="0"/>
              <w:right w:val="single" w:color="000000" w:sz="8" w:space="0"/>
            </w:tcBorders>
            <w:vAlign w:val="center"/>
          </w:tcPr>
          <w:p w14:paraId="57D914C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2129664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62C63EEB">
            <w:pPr>
              <w:spacing w:line="360" w:lineRule="auto"/>
              <w:rPr>
                <w:rFonts w:ascii="宋体" w:hAnsi="宋体" w:cs="宋体"/>
                <w:color w:val="auto"/>
                <w:sz w:val="24"/>
                <w:szCs w:val="20"/>
                <w:highlight w:val="none"/>
              </w:rPr>
            </w:pPr>
            <w:sdt>
              <w:sdtPr>
                <w:rPr>
                  <w:rFonts w:hint="eastAsia" w:ascii="宋体" w:hAnsi="宋体" w:cs="宋体"/>
                  <w:color w:val="auto"/>
                  <w:kern w:val="0"/>
                  <w:sz w:val="24"/>
                  <w:highlight w:val="none"/>
                </w:rPr>
                <w:id w:val="-99980297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2025年9月26日上午9时</w:t>
            </w:r>
            <w:r>
              <w:rPr>
                <w:rFonts w:hint="eastAsia" w:ascii="宋体" w:hAnsi="宋体" w:cs="宋体"/>
                <w:color w:val="auto"/>
                <w:sz w:val="24"/>
                <w:highlight w:val="none"/>
                <w:u w:val="none"/>
                <w:lang w:eastAsia="zh-CN"/>
              </w:rPr>
              <w:t>，</w:t>
            </w:r>
            <w:r>
              <w:rPr>
                <w:rFonts w:hint="eastAsia" w:ascii="宋体" w:hAnsi="宋体" w:cs="宋体"/>
                <w:color w:val="auto"/>
                <w:sz w:val="24"/>
                <w:highlight w:val="none"/>
              </w:rPr>
              <w:t>地点：</w:t>
            </w:r>
            <w:r>
              <w:rPr>
                <w:rFonts w:hint="eastAsia" w:ascii="宋体" w:hAnsi="宋体" w:cs="宋体"/>
                <w:color w:val="auto"/>
                <w:sz w:val="24"/>
                <w:highlight w:val="none"/>
                <w:u w:val="single"/>
                <w:lang w:val="en-US" w:eastAsia="zh-CN"/>
              </w:rPr>
              <w:t>广西北海市海城区中山东路213号2号楼</w:t>
            </w:r>
            <w:r>
              <w:rPr>
                <w:rFonts w:hint="eastAsia" w:ascii="宋体" w:hAnsi="宋体" w:cs="宋体"/>
                <w:color w:val="auto"/>
                <w:sz w:val="24"/>
                <w:highlight w:val="none"/>
              </w:rPr>
              <w:t>，联系人：</w:t>
            </w:r>
            <w:r>
              <w:rPr>
                <w:rFonts w:hint="eastAsia" w:ascii="宋体" w:hAnsi="宋体" w:cs="宋体"/>
                <w:color w:val="auto"/>
                <w:sz w:val="24"/>
                <w:highlight w:val="none"/>
                <w:u w:val="single"/>
                <w:lang w:val="en-US" w:eastAsia="zh-CN"/>
              </w:rPr>
              <w:t>朱庆丰</w:t>
            </w:r>
            <w:r>
              <w:rPr>
                <w:rFonts w:hint="eastAsia" w:ascii="宋体" w:hAnsi="宋体" w:cs="宋体"/>
                <w:color w:val="auto"/>
                <w:sz w:val="24"/>
                <w:highlight w:val="none"/>
              </w:rPr>
              <w:t>，联系方式：</w:t>
            </w:r>
            <w:r>
              <w:rPr>
                <w:rFonts w:hint="eastAsia" w:ascii="宋体" w:hAnsi="宋体" w:cs="宋体"/>
                <w:color w:val="auto"/>
                <w:sz w:val="24"/>
                <w:highlight w:val="none"/>
                <w:u w:val="single"/>
                <w:lang w:val="en-US" w:eastAsia="zh-CN"/>
              </w:rPr>
              <w:t>0779-2021285</w:t>
            </w:r>
            <w:r>
              <w:rPr>
                <w:rFonts w:hint="eastAsia" w:ascii="宋体" w:hAnsi="宋体" w:cs="宋体"/>
                <w:color w:val="auto"/>
                <w:sz w:val="24"/>
                <w:szCs w:val="20"/>
                <w:highlight w:val="none"/>
              </w:rPr>
              <w:t>。</w:t>
            </w:r>
          </w:p>
        </w:tc>
      </w:tr>
      <w:tr w14:paraId="35F51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61F1C8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2182" w:type="dxa"/>
            <w:tcBorders>
              <w:top w:val="single" w:color="000000" w:sz="8" w:space="0"/>
              <w:left w:val="single" w:color="auto" w:sz="4" w:space="0"/>
              <w:bottom w:val="single" w:color="000000" w:sz="8" w:space="0"/>
              <w:right w:val="single" w:color="000000" w:sz="8" w:space="0"/>
            </w:tcBorders>
            <w:vAlign w:val="center"/>
          </w:tcPr>
          <w:p w14:paraId="357FB1A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7005" w:type="dxa"/>
            <w:tcBorders>
              <w:top w:val="single" w:color="000000" w:sz="8" w:space="0"/>
              <w:left w:val="single" w:color="000000" w:sz="2" w:space="0"/>
              <w:bottom w:val="single" w:color="000000" w:sz="8" w:space="0"/>
              <w:right w:val="single" w:color="000000" w:sz="8" w:space="0"/>
            </w:tcBorders>
            <w:vAlign w:val="center"/>
          </w:tcPr>
          <w:p w14:paraId="2522E0D5">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5C6FE15E">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52AA991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715C0E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2C185ABB">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DF5ABA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8D878FA">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3594A5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6571BACA">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3D27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E31AD1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2182" w:type="dxa"/>
            <w:tcBorders>
              <w:top w:val="single" w:color="000000" w:sz="8" w:space="0"/>
              <w:left w:val="single" w:color="auto" w:sz="4" w:space="0"/>
              <w:bottom w:val="single" w:color="000000" w:sz="8" w:space="0"/>
              <w:right w:val="single" w:color="000000" w:sz="8" w:space="0"/>
            </w:tcBorders>
            <w:vAlign w:val="center"/>
          </w:tcPr>
          <w:p w14:paraId="588D4BBE">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7005" w:type="dxa"/>
            <w:tcBorders>
              <w:top w:val="single" w:color="000000" w:sz="8" w:space="0"/>
              <w:left w:val="single" w:color="000000" w:sz="2" w:space="0"/>
              <w:bottom w:val="single" w:color="000000" w:sz="8" w:space="0"/>
              <w:right w:val="single" w:color="000000" w:sz="8" w:space="0"/>
            </w:tcBorders>
            <w:vAlign w:val="center"/>
          </w:tcPr>
          <w:p w14:paraId="22F423D4">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8F4A401">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p w14:paraId="21783BA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人。讲解演示结束后按要求解答评标委员会提问。</w:t>
            </w:r>
          </w:p>
          <w:p w14:paraId="40ED005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31A7768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方式一：广西政府采购云平台在线讲解演示。广西政府采购云平台在线讲解需投标人根据广西政府采购云平台操作要求做好准备工作，提前完善软硬件配置环境。</w:t>
            </w:r>
          </w:p>
          <w:p w14:paraId="21BD98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方式二：评审现场讲解演示。现场讲解地点为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7DCCAC9B">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注：因投标人自身原因导致无法演示或者演示效果不理想的，责任自负。因平台原因导致本项目方案讲解演示环节无法顺利开展，按照相关规定执行。</w:t>
            </w:r>
          </w:p>
        </w:tc>
      </w:tr>
      <w:tr w14:paraId="304CF1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58FDAD2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2182" w:type="dxa"/>
            <w:vMerge w:val="restart"/>
            <w:tcBorders>
              <w:top w:val="single" w:color="000000" w:sz="8" w:space="0"/>
              <w:left w:val="single" w:color="auto" w:sz="4" w:space="0"/>
              <w:right w:val="single" w:color="000000" w:sz="8" w:space="0"/>
            </w:tcBorders>
            <w:vAlign w:val="center"/>
          </w:tcPr>
          <w:p w14:paraId="3E2417D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7005" w:type="dxa"/>
            <w:tcBorders>
              <w:top w:val="single" w:color="000000" w:sz="8" w:space="0"/>
              <w:left w:val="single" w:color="000000" w:sz="2" w:space="0"/>
              <w:bottom w:val="single" w:color="auto" w:sz="4" w:space="0"/>
              <w:right w:val="single" w:color="000000" w:sz="8" w:space="0"/>
            </w:tcBorders>
            <w:vAlign w:val="center"/>
          </w:tcPr>
          <w:p w14:paraId="2AB409CB">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10DFC291">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5907F4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4" w:hRule="atLeast"/>
        </w:trPr>
        <w:tc>
          <w:tcPr>
            <w:tcW w:w="629" w:type="dxa"/>
            <w:vMerge w:val="continue"/>
            <w:tcBorders>
              <w:left w:val="single" w:color="auto" w:sz="4" w:space="0"/>
              <w:bottom w:val="single" w:color="auto" w:sz="4" w:space="0"/>
              <w:right w:val="single" w:color="auto" w:sz="4" w:space="0"/>
            </w:tcBorders>
            <w:vAlign w:val="center"/>
          </w:tcPr>
          <w:p w14:paraId="146F4386">
            <w:pPr>
              <w:snapToGrid w:val="0"/>
              <w:spacing w:line="360" w:lineRule="auto"/>
              <w:jc w:val="center"/>
              <w:rPr>
                <w:rFonts w:ascii="宋体" w:hAnsi="宋体" w:cs="宋体"/>
                <w:color w:val="auto"/>
                <w:sz w:val="24"/>
                <w:highlight w:val="none"/>
              </w:rPr>
            </w:pPr>
          </w:p>
        </w:tc>
        <w:tc>
          <w:tcPr>
            <w:tcW w:w="2182" w:type="dxa"/>
            <w:vMerge w:val="continue"/>
            <w:tcBorders>
              <w:left w:val="single" w:color="auto" w:sz="4" w:space="0"/>
              <w:bottom w:val="single" w:color="000000" w:sz="8" w:space="0"/>
              <w:right w:val="single" w:color="000000" w:sz="8" w:space="0"/>
            </w:tcBorders>
            <w:vAlign w:val="center"/>
          </w:tcPr>
          <w:p w14:paraId="081699D6">
            <w:pPr>
              <w:snapToGrid w:val="0"/>
              <w:spacing w:line="360" w:lineRule="auto"/>
              <w:jc w:val="center"/>
              <w:rPr>
                <w:rFonts w:ascii="宋体" w:hAnsi="宋体" w:cs="宋体"/>
                <w:b/>
                <w:color w:val="auto"/>
                <w:sz w:val="24"/>
                <w:highlight w:val="none"/>
              </w:rPr>
            </w:pPr>
          </w:p>
        </w:tc>
        <w:tc>
          <w:tcPr>
            <w:tcW w:w="7005" w:type="dxa"/>
            <w:tcBorders>
              <w:top w:val="single" w:color="auto" w:sz="4" w:space="0"/>
              <w:left w:val="single" w:color="000000" w:sz="2" w:space="0"/>
              <w:bottom w:val="single" w:color="000000" w:sz="8" w:space="0"/>
              <w:right w:val="single" w:color="000000" w:sz="8" w:space="0"/>
            </w:tcBorders>
            <w:vAlign w:val="center"/>
          </w:tcPr>
          <w:p w14:paraId="73B04264">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（2）资信证明文件：根据招标文件第三部分采购需求及第四部分评标标准的要求提供。</w:t>
            </w:r>
          </w:p>
        </w:tc>
      </w:tr>
      <w:tr w14:paraId="6BA46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64D270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2182" w:type="dxa"/>
            <w:tcBorders>
              <w:top w:val="single" w:color="000000" w:sz="8" w:space="0"/>
              <w:left w:val="single" w:color="000000" w:sz="2" w:space="0"/>
              <w:bottom w:val="single" w:color="000000" w:sz="8" w:space="0"/>
              <w:right w:val="single" w:color="000000" w:sz="8" w:space="0"/>
            </w:tcBorders>
            <w:vAlign w:val="center"/>
          </w:tcPr>
          <w:p w14:paraId="33AC729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7005" w:type="dxa"/>
            <w:tcBorders>
              <w:top w:val="single" w:color="000000" w:sz="8" w:space="0"/>
              <w:left w:val="single" w:color="000000" w:sz="2" w:space="0"/>
              <w:bottom w:val="single" w:color="000000" w:sz="8" w:space="0"/>
              <w:right w:val="single" w:color="000000" w:sz="8" w:space="0"/>
            </w:tcBorders>
            <w:vAlign w:val="center"/>
          </w:tcPr>
          <w:p w14:paraId="28680439">
            <w:pPr>
              <w:snapToGrid w:val="0"/>
              <w:spacing w:line="360" w:lineRule="auto"/>
              <w:rPr>
                <w:rFonts w:ascii="宋体" w:hAnsi="宋体" w:cs="宋体"/>
                <w:color w:val="auto"/>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5CA7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460FCE8">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2182" w:type="dxa"/>
            <w:tcBorders>
              <w:top w:val="single" w:color="000000" w:sz="8" w:space="0"/>
              <w:left w:val="single" w:color="000000" w:sz="2" w:space="0"/>
              <w:bottom w:val="single" w:color="000000" w:sz="8" w:space="0"/>
              <w:right w:val="single" w:color="000000" w:sz="8" w:space="0"/>
            </w:tcBorders>
            <w:vAlign w:val="center"/>
          </w:tcPr>
          <w:p w14:paraId="37DB568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7005" w:type="dxa"/>
            <w:tcBorders>
              <w:top w:val="single" w:color="000000" w:sz="8" w:space="0"/>
              <w:left w:val="single" w:color="000000" w:sz="2" w:space="0"/>
              <w:bottom w:val="single" w:color="000000" w:sz="8" w:space="0"/>
              <w:right w:val="single" w:color="000000" w:sz="8" w:space="0"/>
            </w:tcBorders>
            <w:vAlign w:val="center"/>
          </w:tcPr>
          <w:p w14:paraId="6AA8D150">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Cs/>
                <w:color w:val="auto"/>
                <w:kern w:val="0"/>
                <w:sz w:val="24"/>
                <w:highlight w:val="none"/>
                <w:lang w:val="zh-CN"/>
              </w:rPr>
              <w:t>投标文件</w:t>
            </w:r>
            <w:r>
              <w:rPr>
                <w:rFonts w:hint="eastAsia" w:ascii="宋体" w:hAnsi="宋体" w:cs="宋体"/>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投标文件中价格全部采用人民币报价。招标文件未列明，而投标人认为必需的费用也需列入报价。提醒：验收时检测费用由采购人承担，不包含在投标总价中。</w:t>
            </w:r>
          </w:p>
          <w:p w14:paraId="30297F31">
            <w:pPr>
              <w:keepNext w:val="0"/>
              <w:keepLines w:val="0"/>
              <w:pageBreakBefore w:val="0"/>
              <w:widowControl w:val="0"/>
              <w:kinsoku/>
              <w:wordWrap/>
              <w:overflowPunct/>
              <w:topLinePunct w:val="0"/>
              <w:autoSpaceDE/>
              <w:autoSpaceDN/>
              <w:bidi w:val="0"/>
              <w:adjustRightInd w:val="0"/>
              <w:snapToGrid/>
              <w:spacing w:line="440" w:lineRule="exact"/>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投标报价出现下列情形的，投标无效：</w:t>
            </w:r>
          </w:p>
          <w:p w14:paraId="30223D10">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投标文件出现不是唯一的、有选择性投标报价的；</w:t>
            </w:r>
          </w:p>
          <w:p w14:paraId="2F4549DF">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投标报价超过招标文件中规定的预算金额或者最高限价的；</w:t>
            </w:r>
          </w:p>
          <w:p w14:paraId="08B2F4F7">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报价</w:t>
            </w:r>
            <w:r>
              <w:rPr>
                <w:rFonts w:hint="eastAsia" w:ascii="宋体" w:hAnsi="宋体" w:cs="宋体"/>
                <w:color w:val="auto"/>
                <w:kern w:val="0"/>
                <w:sz w:val="24"/>
                <w:highlight w:val="none"/>
                <w:lang w:eastAsia="zh-CN"/>
              </w:rPr>
              <w:t>属于采购文件规定异常低价情况之一，</w:t>
            </w:r>
            <w:r>
              <w:rPr>
                <w:rFonts w:hint="eastAsia" w:ascii="宋体" w:hAnsi="宋体" w:cs="宋体"/>
                <w:color w:val="auto"/>
                <w:kern w:val="0"/>
                <w:sz w:val="24"/>
                <w:highlight w:val="none"/>
              </w:rPr>
              <w:t>未能按要求提供书面说明或者提交相关证明材料证明其报价合理性的</w:t>
            </w:r>
            <w:r>
              <w:rPr>
                <w:rFonts w:hint="eastAsia" w:ascii="宋体" w:hAnsi="宋体" w:cs="宋体"/>
                <w:color w:val="auto"/>
                <w:sz w:val="24"/>
                <w:szCs w:val="21"/>
                <w:highlight w:val="none"/>
                <w:lang w:eastAsia="zh-CN"/>
              </w:rPr>
              <w:t>；</w:t>
            </w:r>
          </w:p>
          <w:p w14:paraId="4050E6E8">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textAlignment w:val="auto"/>
              <w:rPr>
                <w:rFonts w:ascii="宋体" w:hAnsi="宋体" w:cs="宋体"/>
                <w:color w:val="auto"/>
                <w:sz w:val="24"/>
                <w:highlight w:val="none"/>
              </w:rPr>
            </w:pPr>
            <w:r>
              <w:rPr>
                <w:rFonts w:hint="eastAsia" w:ascii="宋体" w:hAnsi="宋体" w:cs="宋体"/>
                <w:color w:val="auto"/>
                <w:kern w:val="0"/>
                <w:sz w:val="24"/>
                <w:highlight w:val="none"/>
              </w:rPr>
              <w:t>投标人对根据修正原则修正后的报价不确认的</w:t>
            </w:r>
            <w:r>
              <w:rPr>
                <w:rFonts w:hint="eastAsia" w:ascii="宋体" w:hAnsi="宋体" w:cs="宋体"/>
                <w:color w:val="auto"/>
                <w:sz w:val="24"/>
                <w:highlight w:val="none"/>
              </w:rPr>
              <w:t>。</w:t>
            </w:r>
          </w:p>
        </w:tc>
      </w:tr>
      <w:tr w14:paraId="3F755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29C7596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2182" w:type="dxa"/>
            <w:tcBorders>
              <w:top w:val="single" w:color="000000" w:sz="8" w:space="0"/>
              <w:left w:val="single" w:color="000000" w:sz="2" w:space="0"/>
              <w:right w:val="single" w:color="000000" w:sz="8" w:space="0"/>
            </w:tcBorders>
            <w:vAlign w:val="center"/>
          </w:tcPr>
          <w:p w14:paraId="49A683A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7005" w:type="dxa"/>
            <w:tcBorders>
              <w:top w:val="single" w:color="000000" w:sz="8" w:space="0"/>
              <w:left w:val="single" w:color="000000" w:sz="2" w:space="0"/>
              <w:right w:val="single" w:color="000000" w:sz="8" w:space="0"/>
            </w:tcBorders>
            <w:vAlign w:val="center"/>
          </w:tcPr>
          <w:p w14:paraId="09F2228A">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FA50076">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供应商中标后也可在“广西政府采购云”平台申请政采贷：操作路径：登录广西政府采购云平台-金融服务中心-【融资服务】，可在热门申请中选择产品直接申请。</w:t>
            </w:r>
          </w:p>
        </w:tc>
      </w:tr>
      <w:tr w14:paraId="18107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49FD2A5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2182" w:type="dxa"/>
            <w:tcBorders>
              <w:top w:val="single" w:color="000000" w:sz="8" w:space="0"/>
              <w:left w:val="single" w:color="000000" w:sz="2" w:space="0"/>
              <w:bottom w:val="single" w:color="000000" w:sz="8" w:space="0"/>
              <w:right w:val="single" w:color="000000" w:sz="8" w:space="0"/>
            </w:tcBorders>
            <w:vAlign w:val="center"/>
          </w:tcPr>
          <w:p w14:paraId="4229D84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7005" w:type="dxa"/>
            <w:tcBorders>
              <w:top w:val="single" w:color="000000" w:sz="8" w:space="0"/>
              <w:left w:val="single" w:color="000000" w:sz="2" w:space="0"/>
              <w:bottom w:val="single" w:color="000000" w:sz="8" w:space="0"/>
              <w:right w:val="single" w:color="000000" w:sz="8" w:space="0"/>
            </w:tcBorders>
            <w:vAlign w:val="center"/>
          </w:tcPr>
          <w:p w14:paraId="50649D92">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6E6BA722">
            <w:pPr>
              <w:pStyle w:val="32"/>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采购人、采购代理机构不强制或变相强制投标人提交备份投标文件。</w:t>
            </w:r>
          </w:p>
        </w:tc>
      </w:tr>
      <w:tr w14:paraId="5BA0F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restart"/>
            <w:tcBorders>
              <w:top w:val="single" w:color="auto" w:sz="4" w:space="0"/>
              <w:left w:val="single" w:color="000000" w:sz="8" w:space="0"/>
              <w:right w:val="single" w:color="000000" w:sz="2" w:space="0"/>
            </w:tcBorders>
            <w:vAlign w:val="center"/>
          </w:tcPr>
          <w:p w14:paraId="769145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2182" w:type="dxa"/>
            <w:vMerge w:val="restart"/>
            <w:tcBorders>
              <w:top w:val="single" w:color="000000" w:sz="8" w:space="0"/>
              <w:left w:val="single" w:color="000000" w:sz="2" w:space="0"/>
              <w:right w:val="single" w:color="000000" w:sz="8" w:space="0"/>
            </w:tcBorders>
            <w:vAlign w:val="center"/>
          </w:tcPr>
          <w:p w14:paraId="1908DB7F">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7005" w:type="dxa"/>
            <w:tcBorders>
              <w:top w:val="single" w:color="000000" w:sz="8" w:space="0"/>
              <w:left w:val="single" w:color="000000" w:sz="2" w:space="0"/>
              <w:bottom w:val="single" w:color="000000" w:sz="8" w:space="0"/>
              <w:right w:val="single" w:color="000000" w:sz="8" w:space="0"/>
            </w:tcBorders>
            <w:vAlign w:val="center"/>
          </w:tcPr>
          <w:p w14:paraId="68398AB8">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16B56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rPr>
        <w:tc>
          <w:tcPr>
            <w:tcW w:w="629" w:type="dxa"/>
            <w:vMerge w:val="continue"/>
            <w:tcBorders>
              <w:left w:val="single" w:color="000000" w:sz="8" w:space="0"/>
              <w:bottom w:val="single" w:color="auto" w:sz="4" w:space="0"/>
              <w:right w:val="single" w:color="000000" w:sz="2" w:space="0"/>
            </w:tcBorders>
            <w:vAlign w:val="center"/>
          </w:tcPr>
          <w:p w14:paraId="43D273C7">
            <w:pPr>
              <w:snapToGrid w:val="0"/>
              <w:spacing w:line="360" w:lineRule="auto"/>
              <w:jc w:val="center"/>
              <w:rPr>
                <w:rFonts w:ascii="宋体" w:hAnsi="宋体" w:cs="宋体"/>
                <w:color w:val="auto"/>
                <w:sz w:val="24"/>
                <w:highlight w:val="none"/>
              </w:rPr>
            </w:pPr>
          </w:p>
        </w:tc>
        <w:tc>
          <w:tcPr>
            <w:tcW w:w="2182" w:type="dxa"/>
            <w:vMerge w:val="continue"/>
            <w:tcBorders>
              <w:left w:val="single" w:color="000000" w:sz="2" w:space="0"/>
              <w:bottom w:val="single" w:color="auto" w:sz="4" w:space="0"/>
              <w:right w:val="single" w:color="000000" w:sz="8" w:space="0"/>
            </w:tcBorders>
            <w:vAlign w:val="center"/>
          </w:tcPr>
          <w:p w14:paraId="6AFDDF8B">
            <w:pPr>
              <w:snapToGrid w:val="0"/>
              <w:spacing w:line="360" w:lineRule="auto"/>
              <w:jc w:val="center"/>
              <w:rPr>
                <w:rFonts w:ascii="宋体" w:hAnsi="宋体" w:cs="宋体"/>
                <w:b/>
                <w:color w:val="auto"/>
                <w:sz w:val="24"/>
                <w:highlight w:val="none"/>
              </w:rPr>
            </w:pPr>
          </w:p>
        </w:tc>
        <w:tc>
          <w:tcPr>
            <w:tcW w:w="7005" w:type="dxa"/>
            <w:tcBorders>
              <w:top w:val="single" w:color="000000" w:sz="8" w:space="0"/>
              <w:left w:val="single" w:color="000000" w:sz="2" w:space="0"/>
              <w:bottom w:val="single" w:color="auto" w:sz="4" w:space="0"/>
              <w:right w:val="single" w:color="000000" w:sz="8" w:space="0"/>
            </w:tcBorders>
            <w:vAlign w:val="center"/>
          </w:tcPr>
          <w:p w14:paraId="38679F0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12F41361">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181E3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71" w:hRule="atLeast"/>
        </w:trPr>
        <w:tc>
          <w:tcPr>
            <w:tcW w:w="629" w:type="dxa"/>
            <w:tcBorders>
              <w:top w:val="single" w:color="auto" w:sz="4" w:space="0"/>
              <w:left w:val="single" w:color="auto" w:sz="4" w:space="0"/>
              <w:bottom w:val="single" w:color="auto" w:sz="4" w:space="0"/>
              <w:right w:val="single" w:color="auto" w:sz="4" w:space="0"/>
            </w:tcBorders>
            <w:vAlign w:val="center"/>
          </w:tcPr>
          <w:p w14:paraId="3E9F985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182" w:type="dxa"/>
            <w:tcBorders>
              <w:top w:val="single" w:color="auto" w:sz="4" w:space="0"/>
              <w:left w:val="single" w:color="auto" w:sz="4" w:space="0"/>
              <w:bottom w:val="single" w:color="auto" w:sz="4" w:space="0"/>
              <w:right w:val="single" w:color="auto" w:sz="4" w:space="0"/>
            </w:tcBorders>
            <w:vAlign w:val="center"/>
          </w:tcPr>
          <w:p w14:paraId="3BF44BC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7005" w:type="dxa"/>
            <w:tcBorders>
              <w:top w:val="single" w:color="auto" w:sz="4" w:space="0"/>
              <w:left w:val="single" w:color="auto" w:sz="4" w:space="0"/>
              <w:bottom w:val="single" w:color="auto" w:sz="4" w:space="0"/>
              <w:right w:val="single" w:color="auto" w:sz="4" w:space="0"/>
            </w:tcBorders>
            <w:vAlign w:val="center"/>
          </w:tcPr>
          <w:p w14:paraId="68C65436">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本招标文件解释权属采购人及代理机构。</w:t>
            </w:r>
          </w:p>
        </w:tc>
      </w:tr>
    </w:tbl>
    <w:p w14:paraId="641530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color w:val="auto"/>
          <w:sz w:val="32"/>
          <w:szCs w:val="20"/>
          <w:highlight w:val="none"/>
        </w:rPr>
      </w:pPr>
    </w:p>
    <w:bookmarkEnd w:id="12"/>
    <w:p w14:paraId="08488A8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ascii="宋体" w:hAnsi="宋体" w:cs="宋体"/>
          <w:b/>
          <w:color w:val="auto"/>
          <w:sz w:val="32"/>
          <w:szCs w:val="20"/>
          <w:highlight w:val="none"/>
        </w:rPr>
      </w:pPr>
      <w:bookmarkStart w:id="16" w:name="_Toc164416483"/>
      <w:bookmarkStart w:id="17" w:name="第三部分"/>
      <w:r>
        <w:rPr>
          <w:rFonts w:hint="eastAsia" w:ascii="宋体" w:hAnsi="宋体" w:cs="宋体"/>
          <w:b/>
          <w:color w:val="auto"/>
          <w:sz w:val="32"/>
          <w:szCs w:val="20"/>
          <w:highlight w:val="none"/>
        </w:rPr>
        <w:t>一、总则</w:t>
      </w:r>
    </w:p>
    <w:p w14:paraId="521749A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color w:val="auto"/>
          <w:sz w:val="24"/>
          <w:highlight w:val="none"/>
        </w:rPr>
      </w:pPr>
      <w:r>
        <w:rPr>
          <w:rFonts w:hint="eastAsia" w:ascii="宋体" w:hAnsi="宋体" w:cs="宋体"/>
          <w:b/>
          <w:color w:val="auto"/>
          <w:sz w:val="24"/>
          <w:highlight w:val="none"/>
        </w:rPr>
        <w:t>1.适用范围</w:t>
      </w:r>
    </w:p>
    <w:p w14:paraId="1A6D8BEB">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1BC1B24">
      <w:pPr>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2.定义</w:t>
      </w:r>
    </w:p>
    <w:p w14:paraId="278710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111018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“采购代理机构”系指招标公告中载明的本项目的采购代理机构。</w:t>
      </w:r>
    </w:p>
    <w:p w14:paraId="3EC43C1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2ADF145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“法定代表人（负责人）”系指法人企业的法定负责人，或其他组织为法律、行政法规规定代表单位行使职权的主要负责人，或自然人本人。</w:t>
      </w:r>
    </w:p>
    <w:p w14:paraId="7E6F1D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529A4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14:paraId="3E7BE0B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“电子交易平台”系指本项目政府采购活动所依托的广西政府采购云平台（https://www.gcy.zfcg.gxzf.gov.cn/）。</w:t>
      </w:r>
    </w:p>
    <w:p w14:paraId="14D5EC9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r>
        <w:rPr>
          <w:rFonts w:hint="eastAsia" w:ascii="宋体" w:hAnsi="宋体" w:cs="宋体"/>
          <w:color w:val="auto"/>
          <w:kern w:val="0"/>
          <w:sz w:val="24"/>
          <w:highlight w:val="none"/>
        </w:rPr>
        <w:sym w:font="Wingdings" w:char="F0FE"/>
      </w:r>
      <w:r>
        <w:rPr>
          <w:rFonts w:ascii="宋体" w:hAnsi="宋体" w:cs="宋体"/>
          <w:color w:val="auto"/>
          <w:kern w:val="0"/>
          <w:sz w:val="24"/>
          <w:highlight w:val="none"/>
        </w:rPr>
        <w:t>”</w:t>
      </w:r>
      <w:r>
        <w:rPr>
          <w:rFonts w:hint="eastAsia" w:ascii="宋体" w:hAnsi="宋体" w:cs="宋体"/>
          <w:color w:val="auto"/>
          <w:sz w:val="24"/>
          <w:highlight w:val="none"/>
        </w:rPr>
        <w:t>系指适用本项目的要求，“</w:t>
      </w:r>
      <w:r>
        <w:rPr>
          <w:rFonts w:hint="eastAsia" w:ascii="宋体" w:hAnsi="宋体" w:cs="宋体"/>
          <w:color w:val="auto"/>
          <w:kern w:val="0"/>
          <w:sz w:val="24"/>
          <w:highlight w:val="none"/>
        </w:rPr>
        <w:t>□</w:t>
      </w:r>
      <w:r>
        <w:rPr>
          <w:rFonts w:ascii="宋体" w:hAnsi="宋体" w:cs="宋体"/>
          <w:color w:val="auto"/>
          <w:kern w:val="0"/>
          <w:sz w:val="24"/>
          <w:highlight w:val="none"/>
        </w:rPr>
        <w:t>”</w:t>
      </w:r>
      <w:r>
        <w:rPr>
          <w:rFonts w:hint="eastAsia" w:ascii="宋体" w:hAnsi="宋体" w:cs="宋体"/>
          <w:color w:val="auto"/>
          <w:sz w:val="24"/>
          <w:highlight w:val="none"/>
        </w:rPr>
        <w:t>系指不适用本项目的要求。</w:t>
      </w:r>
    </w:p>
    <w:p w14:paraId="569FF4A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3.采购项目需要落实的政府采购政策</w:t>
      </w:r>
    </w:p>
    <w:p w14:paraId="25BE449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0D1654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5221C31C">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4D7557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484F159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CBADA06">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24639A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支持中小企业发展</w:t>
      </w:r>
    </w:p>
    <w:p w14:paraId="443B3A7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27569C0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F2CC1FF">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bCs/>
          <w:color w:val="auto"/>
          <w:sz w:val="24"/>
          <w:highlight w:val="none"/>
          <w:lang w:val="en-US" w:eastAsia="zh-CN"/>
        </w:rPr>
        <w:t xml:space="preserve"> </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CCCE19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5492549A">
      <w:pPr>
        <w:spacing w:line="360" w:lineRule="auto"/>
        <w:ind w:firstLine="480" w:firstLineChars="200"/>
        <w:rPr>
          <w:rFonts w:cs="宋体" w:asciiTheme="minorEastAsia" w:hAnsiTheme="minorEastAsia" w:eastAsiaTheme="minorEastAsia"/>
          <w:color w:val="auto"/>
          <w:sz w:val="24"/>
          <w:highlight w:val="none"/>
        </w:rPr>
      </w:pPr>
      <w:r>
        <w:rPr>
          <w:rFonts w:hint="eastAsia" w:ascii="宋体" w:hAnsi="宋体" w:cs="宋体"/>
          <w:color w:val="auto"/>
          <w:sz w:val="24"/>
          <w:highlight w:val="none"/>
        </w:rPr>
        <w:t>3.3.3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%的扣除，用扣除后的价格参与评审。接受大中型企业与小微企业组成联合体或者允许大中型企业向一家或者多家小微企业分包的政府采购项目，对于</w:t>
      </w:r>
      <w:bookmarkStart w:id="18" w:name="_Hlk101132181"/>
      <w:r>
        <w:rPr>
          <w:rFonts w:hint="eastAsia" w:ascii="宋体" w:hAnsi="宋体" w:cs="宋体"/>
          <w:color w:val="auto"/>
          <w:sz w:val="24"/>
          <w:highlight w:val="none"/>
        </w:rPr>
        <w:t>联合协议或者分包意向协议约定小微企业的合同份额占到合同总金额30%以上的</w:t>
      </w:r>
      <w:bookmarkEnd w:id="18"/>
      <w:r>
        <w:rPr>
          <w:rFonts w:hint="eastAsia" w:ascii="宋体" w:hAnsi="宋体" w:cs="宋体"/>
          <w:color w:val="auto"/>
          <w:sz w:val="24"/>
          <w:highlight w:val="none"/>
        </w:rPr>
        <w:t>，对联合体或者大中型企业的报价给予</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w:t>
      </w:r>
      <w:r>
        <w:rPr>
          <w:rFonts w:hint="eastAsia" w:cs="宋体" w:asciiTheme="minorEastAsia" w:hAnsiTheme="minorEastAsia" w:eastAsiaTheme="minorEastAsia"/>
          <w:color w:val="auto"/>
          <w:sz w:val="24"/>
          <w:highlight w:val="none"/>
        </w:rPr>
        <w:t>面向中小企业采购的政府采购项目或者采购包不再执行价格扣除政策。</w:t>
      </w:r>
    </w:p>
    <w:p w14:paraId="0B35F6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w:t>
      </w:r>
    </w:p>
    <w:p w14:paraId="72BFAB5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DBBA13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A2892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中小企业享受扶持政策获得政府采购合同的，小微企业不得将合同分包给大中型企业，中型企业不得将合同分包给大型企业。</w:t>
      </w:r>
    </w:p>
    <w:p w14:paraId="750C55F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color w:val="auto"/>
          <w:sz w:val="24"/>
          <w:highlight w:val="none"/>
          <w:lang w:val="en-US" w:eastAsia="zh-CN"/>
        </w:rPr>
        <w:t xml:space="preserve"> </w:t>
      </w:r>
      <w:r>
        <w:rPr>
          <w:rFonts w:hint="eastAsia" w:ascii="宋体" w:hAnsi="宋体" w:cs="宋体"/>
          <w:bCs/>
          <w:color w:val="auto"/>
          <w:sz w:val="24"/>
          <w:highlight w:val="none"/>
        </w:rPr>
        <w:t>支持创新发展</w:t>
      </w:r>
    </w:p>
    <w:p w14:paraId="6BF7DB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3.4.1 采购人优先采购被认定为首台套产品和“制造精品”的自主创新产品。</w:t>
      </w:r>
    </w:p>
    <w:p w14:paraId="5E7E1F0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首台套产品被纳入《首台套产品推广应用指导目录》之日起</w:t>
      </w:r>
      <w:r>
        <w:rPr>
          <w:rFonts w:ascii="宋体" w:hAnsi="宋体" w:cs="宋体"/>
          <w:color w:val="auto"/>
          <w:sz w:val="24"/>
          <w:highlight w:val="none"/>
        </w:rPr>
        <w:t>3</w:t>
      </w:r>
      <w:r>
        <w:rPr>
          <w:rFonts w:hint="eastAsia" w:ascii="宋体" w:hAnsi="宋体" w:cs="宋体"/>
          <w:color w:val="auto"/>
          <w:sz w:val="24"/>
          <w:highlight w:val="none"/>
        </w:rPr>
        <w:t>年内，以及产品核心技术高于国内领先水平，并具有明晰自主知识产权的“制造精品”产品，自认定之日起2年内视同已具备相应销售业绩，参加政府采购活动时业绩分值为满分。</w:t>
      </w:r>
    </w:p>
    <w:p w14:paraId="2E21C5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平等对待内外资企业</w:t>
      </w:r>
    </w:p>
    <w:p w14:paraId="344AE9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30D379">
      <w:pPr>
        <w:pStyle w:val="83"/>
        <w:rPr>
          <w:bCs/>
          <w:color w:val="auto"/>
          <w:highlight w:val="none"/>
        </w:rPr>
      </w:pPr>
      <w:r>
        <w:rPr>
          <w:rFonts w:hint="eastAsia"/>
          <w:color w:val="auto"/>
          <w:highlight w:val="none"/>
        </w:rPr>
        <w:t>3.6</w:t>
      </w:r>
      <w:r>
        <w:rPr>
          <w:rFonts w:hint="eastAsia"/>
          <w:color w:val="auto"/>
          <w:highlight w:val="none"/>
          <w:lang w:val="en-US" w:eastAsia="zh-CN"/>
        </w:rPr>
        <w:t xml:space="preserve"> </w:t>
      </w:r>
      <w:r>
        <w:rPr>
          <w:rFonts w:hint="eastAsia"/>
          <w:color w:val="auto"/>
          <w:highlight w:val="none"/>
        </w:rPr>
        <w:t>平等对待符合条件的破产重整企业</w:t>
      </w:r>
    </w:p>
    <w:p w14:paraId="03F7BD4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平等对待符合条件的破产重整企业，切实保障企业公平竞争，平等维护企业的合法利益。</w:t>
      </w:r>
    </w:p>
    <w:p w14:paraId="561C61E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4. 询问、质疑、投诉</w:t>
      </w:r>
    </w:p>
    <w:p w14:paraId="62DB85CB">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在线询问、质疑、投诉。</w:t>
      </w:r>
    </w:p>
    <w:p w14:paraId="277C217E">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14:paraId="5CA7FAF1">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eastAsia="zh-CN"/>
        </w:rPr>
      </w:pPr>
      <w:r>
        <w:rPr>
          <w:rFonts w:hint="eastAsia" w:ascii="宋体" w:hAnsi="宋体"/>
          <w:color w:val="auto"/>
          <w:kern w:val="0"/>
          <w:sz w:val="24"/>
          <w:szCs w:val="20"/>
          <w:highlight w:val="none"/>
        </w:rPr>
        <w:t>询问联系部门：北海市</w:t>
      </w:r>
      <w:r>
        <w:rPr>
          <w:rFonts w:hint="eastAsia" w:ascii="宋体" w:hAnsi="宋体" w:eastAsia="宋体" w:cs="Times New Roman"/>
          <w:color w:val="auto"/>
          <w:kern w:val="0"/>
          <w:sz w:val="24"/>
          <w:szCs w:val="20"/>
          <w:highlight w:val="none"/>
        </w:rPr>
        <w:t>政府采购中心采购</w:t>
      </w:r>
      <w:r>
        <w:rPr>
          <w:rFonts w:hint="eastAsia" w:ascii="宋体" w:hAnsi="宋体" w:eastAsia="宋体" w:cs="Times New Roman"/>
          <w:color w:val="auto"/>
          <w:kern w:val="0"/>
          <w:sz w:val="24"/>
          <w:szCs w:val="20"/>
          <w:highlight w:val="none"/>
          <w:lang w:eastAsia="zh-CN"/>
        </w:rPr>
        <w:t>一</w:t>
      </w:r>
      <w:r>
        <w:rPr>
          <w:rFonts w:hint="eastAsia" w:ascii="宋体" w:hAnsi="宋体" w:eastAsia="宋体" w:cs="Times New Roman"/>
          <w:color w:val="auto"/>
          <w:kern w:val="0"/>
          <w:sz w:val="24"/>
          <w:szCs w:val="20"/>
          <w:highlight w:val="none"/>
        </w:rPr>
        <w:t>科</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联系电话：</w:t>
      </w:r>
      <w:r>
        <w:rPr>
          <w:rFonts w:hint="eastAsia" w:ascii="宋体" w:hAnsi="宋体" w:eastAsia="宋体" w:cs="Times New Roman"/>
          <w:color w:val="auto"/>
          <w:kern w:val="0"/>
          <w:sz w:val="24"/>
          <w:szCs w:val="20"/>
          <w:highlight w:val="none"/>
          <w:lang w:eastAsia="zh-CN"/>
        </w:rPr>
        <w:t>0779-3960815</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地址：北海市海城区陈文村北路7号市直机关第三办公区</w:t>
      </w:r>
      <w:r>
        <w:rPr>
          <w:rFonts w:hint="eastAsia" w:ascii="宋体" w:hAnsi="宋体" w:cs="Times New Roman"/>
          <w:color w:val="auto"/>
          <w:kern w:val="0"/>
          <w:sz w:val="24"/>
          <w:szCs w:val="20"/>
          <w:highlight w:val="none"/>
          <w:lang w:eastAsia="zh-CN"/>
        </w:rPr>
        <w:t>。</w:t>
      </w:r>
    </w:p>
    <w:p w14:paraId="18FF058C">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rPr>
        <w:t>质疑联系部门：北海市政府采购中心监督科</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联系电话：0779-3960826</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地址：北海市海城区陈文村北路7号市直机关第三办公区</w:t>
      </w:r>
      <w:r>
        <w:rPr>
          <w:rFonts w:hint="eastAsia" w:ascii="宋体" w:hAnsi="宋体" w:cs="Times New Roman"/>
          <w:color w:val="auto"/>
          <w:kern w:val="0"/>
          <w:sz w:val="24"/>
          <w:szCs w:val="20"/>
          <w:highlight w:val="none"/>
          <w:lang w:eastAsia="zh-CN"/>
        </w:rPr>
        <w:t>。</w:t>
      </w:r>
    </w:p>
    <w:p w14:paraId="5BA51664">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eastAsia="zh-CN"/>
        </w:rPr>
      </w:pPr>
      <w:r>
        <w:rPr>
          <w:rFonts w:hint="eastAsia" w:ascii="宋体" w:hAnsi="宋体" w:eastAsia="宋体" w:cs="Times New Roman"/>
          <w:color w:val="auto"/>
          <w:kern w:val="0"/>
          <w:sz w:val="24"/>
          <w:szCs w:val="20"/>
          <w:highlight w:val="none"/>
        </w:rPr>
        <w:t>投诉联系部门：</w:t>
      </w:r>
      <w:r>
        <w:rPr>
          <w:rFonts w:hint="eastAsia" w:ascii="宋体" w:hAnsi="宋体" w:eastAsia="宋体" w:cs="Times New Roman"/>
          <w:color w:val="auto"/>
          <w:kern w:val="0"/>
          <w:sz w:val="24"/>
          <w:szCs w:val="20"/>
          <w:highlight w:val="none"/>
          <w:lang w:eastAsia="zh-CN"/>
        </w:rPr>
        <w:t>北海市</w:t>
      </w:r>
      <w:r>
        <w:rPr>
          <w:rFonts w:hint="eastAsia" w:ascii="宋体" w:hAnsi="宋体" w:eastAsia="宋体" w:cs="Times New Roman"/>
          <w:color w:val="auto"/>
          <w:kern w:val="0"/>
          <w:sz w:val="24"/>
          <w:szCs w:val="20"/>
          <w:highlight w:val="none"/>
          <w:lang w:val="en-US" w:eastAsia="zh-CN"/>
        </w:rPr>
        <w:t>财政局</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联系电话：</w:t>
      </w:r>
      <w:r>
        <w:rPr>
          <w:rFonts w:hint="eastAsia" w:ascii="宋体" w:hAnsi="宋体" w:eastAsia="宋体" w:cs="Times New Roman"/>
          <w:color w:val="auto"/>
          <w:kern w:val="0"/>
          <w:sz w:val="24"/>
          <w:szCs w:val="20"/>
          <w:highlight w:val="none"/>
          <w:lang w:eastAsia="zh-CN"/>
        </w:rPr>
        <w:t>0779-3063975</w:t>
      </w:r>
      <w:r>
        <w:rPr>
          <w:rFonts w:hint="eastAsia" w:ascii="宋体" w:hAnsi="宋体" w:cs="Times New Roman"/>
          <w:color w:val="auto"/>
          <w:kern w:val="0"/>
          <w:sz w:val="24"/>
          <w:szCs w:val="20"/>
          <w:highlight w:val="none"/>
          <w:lang w:eastAsia="zh-CN"/>
        </w:rPr>
        <w:t>，</w:t>
      </w:r>
      <w:r>
        <w:rPr>
          <w:rFonts w:hint="eastAsia" w:ascii="宋体" w:hAnsi="宋体" w:eastAsia="宋体" w:cs="Times New Roman"/>
          <w:color w:val="auto"/>
          <w:kern w:val="0"/>
          <w:sz w:val="24"/>
          <w:szCs w:val="20"/>
          <w:highlight w:val="none"/>
        </w:rPr>
        <w:t>地址：广西壮族自治区北海市海城区北部湾西路19号</w:t>
      </w:r>
      <w:r>
        <w:rPr>
          <w:rFonts w:hint="eastAsia" w:ascii="宋体" w:hAnsi="宋体" w:cs="Times New Roman"/>
          <w:color w:val="auto"/>
          <w:kern w:val="0"/>
          <w:sz w:val="24"/>
          <w:szCs w:val="20"/>
          <w:highlight w:val="none"/>
          <w:lang w:eastAsia="zh-CN"/>
        </w:rPr>
        <w:t>。</w:t>
      </w:r>
    </w:p>
    <w:p w14:paraId="68D795A4">
      <w:pPr>
        <w:autoSpaceDE w:val="0"/>
        <w:autoSpaceDN w:val="0"/>
        <w:spacing w:line="360" w:lineRule="auto"/>
        <w:ind w:firstLine="480" w:firstLineChars="200"/>
        <w:jc w:val="left"/>
        <w:rPr>
          <w:rFonts w:hint="eastAsia" w:ascii="宋体" w:hAnsi="宋体" w:eastAsia="宋体" w:cs="Times New Roman"/>
          <w:color w:val="auto"/>
          <w:kern w:val="0"/>
          <w:sz w:val="24"/>
          <w:szCs w:val="20"/>
          <w:highlight w:val="none"/>
          <w:lang w:val="zh-CN"/>
        </w:rPr>
      </w:pPr>
      <w:r>
        <w:rPr>
          <w:rFonts w:hint="eastAsia" w:ascii="宋体" w:hAnsi="宋体" w:eastAsia="宋体" w:cs="Times New Roman"/>
          <w:color w:val="auto"/>
          <w:kern w:val="0"/>
          <w:sz w:val="24"/>
          <w:szCs w:val="20"/>
          <w:highlight w:val="none"/>
          <w:lang w:val="zh-CN"/>
        </w:rPr>
        <w:t>4.2</w:t>
      </w:r>
      <w:r>
        <w:rPr>
          <w:rFonts w:hint="eastAsia" w:ascii="宋体" w:hAnsi="宋体" w:cs="Times New Roman"/>
          <w:color w:val="auto"/>
          <w:kern w:val="0"/>
          <w:sz w:val="24"/>
          <w:szCs w:val="20"/>
          <w:highlight w:val="none"/>
          <w:lang w:val="en-US" w:eastAsia="zh-CN"/>
        </w:rPr>
        <w:t xml:space="preserve"> </w:t>
      </w:r>
      <w:r>
        <w:rPr>
          <w:rFonts w:hint="eastAsia" w:ascii="宋体" w:hAnsi="宋体" w:eastAsia="宋体" w:cs="Times New Roman"/>
          <w:color w:val="auto"/>
          <w:kern w:val="0"/>
          <w:sz w:val="24"/>
          <w:szCs w:val="20"/>
          <w:highlight w:val="none"/>
          <w:lang w:val="zh-CN"/>
        </w:rPr>
        <w:t>供应商询问</w:t>
      </w:r>
    </w:p>
    <w:p w14:paraId="5B274A51">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eastAsia="宋体" w:cs="Times New Roman"/>
          <w:color w:val="auto"/>
          <w:kern w:val="0"/>
          <w:sz w:val="24"/>
          <w:szCs w:val="20"/>
          <w:highlight w:val="none"/>
          <w:lang w:val="zh-CN"/>
        </w:rPr>
        <w:t>供应商对政府采购活动事项有疑问的，可以提出询问，采购人或者采购代理机构应当在3个工作日内对供应商依法提出的询问作出答</w:t>
      </w:r>
      <w:r>
        <w:rPr>
          <w:rFonts w:hint="eastAsia" w:ascii="宋体" w:hAnsi="宋体" w:cs="宋体"/>
          <w:color w:val="auto"/>
          <w:kern w:val="0"/>
          <w:sz w:val="24"/>
          <w:highlight w:val="none"/>
          <w:lang w:val="zh-CN"/>
        </w:rPr>
        <w:t>复，但答复的内容不得涉及商业秘密。供应商提出的询问超出采购人对采购代理机构委托授权范围的，采购代理机构应当告知供应商向采购人提出。</w:t>
      </w:r>
    </w:p>
    <w:p w14:paraId="23D2FFD4">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供应商质疑</w:t>
      </w:r>
    </w:p>
    <w:p w14:paraId="43AE083C">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w:t>
      </w:r>
      <w:r>
        <w:rPr>
          <w:rFonts w:hint="eastAsia" w:hAnsi="宋体" w:cs="宋体"/>
          <w:color w:val="auto"/>
          <w:sz w:val="24"/>
          <w:highlight w:val="none"/>
          <w:lang w:val="en-US" w:eastAsia="zh-CN"/>
        </w:rPr>
        <w:t xml:space="preserve"> </w:t>
      </w:r>
      <w:r>
        <w:rPr>
          <w:rFonts w:hint="eastAsia" w:hAnsi="宋体" w:cs="宋体"/>
          <w:color w:val="auto"/>
          <w:sz w:val="24"/>
          <w:highlight w:val="none"/>
        </w:rPr>
        <w:t>提出质疑的供应商应当是参与所质疑项目采购活动的供应商。潜在供应商已依法获取其可质疑的招标文件的，可以对该文件提出质疑。</w:t>
      </w:r>
    </w:p>
    <w:p w14:paraId="18E65037">
      <w:pPr>
        <w:pStyle w:val="32"/>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w:t>
      </w:r>
      <w:r>
        <w:rPr>
          <w:rFonts w:hint="eastAsia" w:hAnsi="宋体" w:cs="宋体"/>
          <w:color w:val="auto"/>
          <w:sz w:val="24"/>
          <w:highlight w:val="none"/>
          <w:lang w:val="en-US" w:eastAsia="zh-CN"/>
        </w:rPr>
        <w:t xml:space="preserve"> </w:t>
      </w:r>
      <w:r>
        <w:rPr>
          <w:rFonts w:hint="eastAsia" w:hAnsi="宋体" w:cs="宋体"/>
          <w:color w:val="auto"/>
          <w:sz w:val="24"/>
          <w:highlight w:val="none"/>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2E9FABB">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w:t>
      </w:r>
      <w:r>
        <w:rPr>
          <w:rFonts w:hint="eastAsia" w:hAnsi="宋体" w:cs="宋体"/>
          <w:snapToGrid/>
          <w:color w:val="auto"/>
          <w:kern w:val="2"/>
          <w:sz w:val="24"/>
          <w:highlight w:val="none"/>
          <w:lang w:val="en-US" w:eastAsia="zh-CN"/>
        </w:rPr>
        <w:t xml:space="preserve"> </w:t>
      </w:r>
      <w:r>
        <w:rPr>
          <w:rFonts w:hint="eastAsia" w:hAnsi="宋体" w:cs="宋体"/>
          <w:snapToGrid/>
          <w:color w:val="auto"/>
          <w:kern w:val="2"/>
          <w:sz w:val="24"/>
          <w:highlight w:val="none"/>
        </w:rPr>
        <w:t>对招标文件提出质疑的，质疑期限为供应商获得招标文件之日或者招标文件公告期限届满之日起计算。</w:t>
      </w:r>
    </w:p>
    <w:p w14:paraId="3B3C6540">
      <w:pPr>
        <w:pStyle w:val="32"/>
        <w:spacing w:line="360" w:lineRule="auto"/>
        <w:ind w:left="479" w:leftChars="228"/>
        <w:rPr>
          <w:rFonts w:hint="eastAsia" w:hAnsi="宋体" w:cs="宋体"/>
          <w:color w:val="auto"/>
          <w:sz w:val="24"/>
          <w:highlight w:val="none"/>
        </w:rPr>
      </w:pPr>
      <w:r>
        <w:rPr>
          <w:rFonts w:hint="eastAsia" w:hAnsi="宋体" w:cs="宋体"/>
          <w:color w:val="auto"/>
          <w:sz w:val="24"/>
          <w:highlight w:val="none"/>
        </w:rPr>
        <w:t>4.3.2.2</w:t>
      </w:r>
      <w:r>
        <w:rPr>
          <w:rFonts w:hint="eastAsia" w:hAnsi="宋体" w:cs="宋体"/>
          <w:color w:val="auto"/>
          <w:sz w:val="24"/>
          <w:highlight w:val="none"/>
          <w:lang w:val="en-US" w:eastAsia="zh-CN"/>
        </w:rPr>
        <w:t xml:space="preserve"> </w:t>
      </w:r>
      <w:r>
        <w:rPr>
          <w:rFonts w:hint="eastAsia" w:hAnsi="宋体" w:cs="宋体"/>
          <w:color w:val="auto"/>
          <w:sz w:val="24"/>
          <w:highlight w:val="none"/>
        </w:rPr>
        <w:t>对采购过程提出质疑的，质疑期限为各采购程序环节结束之日起计算。</w:t>
      </w:r>
    </w:p>
    <w:p w14:paraId="1FBEC1BE">
      <w:pPr>
        <w:pStyle w:val="32"/>
        <w:spacing w:line="360" w:lineRule="auto"/>
        <w:ind w:left="479" w:leftChars="228"/>
        <w:rPr>
          <w:rFonts w:hAnsi="宋体" w:cs="宋体"/>
          <w:color w:val="auto"/>
          <w:sz w:val="24"/>
          <w:highlight w:val="none"/>
        </w:rPr>
      </w:pPr>
      <w:r>
        <w:rPr>
          <w:rFonts w:hint="eastAsia" w:hAnsi="宋体" w:cs="宋体"/>
          <w:color w:val="auto"/>
          <w:sz w:val="24"/>
          <w:highlight w:val="none"/>
        </w:rPr>
        <w:t>4.3.2.3</w:t>
      </w:r>
      <w:r>
        <w:rPr>
          <w:rFonts w:hint="eastAsia" w:hAnsi="宋体" w:cs="宋体"/>
          <w:color w:val="auto"/>
          <w:sz w:val="24"/>
          <w:highlight w:val="none"/>
          <w:lang w:val="en-US" w:eastAsia="zh-CN"/>
        </w:rPr>
        <w:t xml:space="preserve"> </w:t>
      </w:r>
      <w:r>
        <w:rPr>
          <w:rFonts w:hint="eastAsia" w:hAnsi="宋体" w:cs="宋体"/>
          <w:color w:val="auto"/>
          <w:sz w:val="24"/>
          <w:highlight w:val="none"/>
        </w:rPr>
        <w:t>对采购结果提出质疑的，质疑期限自采购结果公告期限届满之日起计算。</w:t>
      </w:r>
    </w:p>
    <w:p w14:paraId="756E56CB">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kern w:val="0"/>
          <w:sz w:val="24"/>
          <w:highlight w:val="none"/>
          <w:lang w:val="en-US" w:eastAsia="zh-CN"/>
        </w:rPr>
        <w:t xml:space="preserve"> </w:t>
      </w:r>
      <w:r>
        <w:rPr>
          <w:rFonts w:hint="eastAsia" w:hAnsi="宋体" w:cs="宋体"/>
          <w:color w:val="auto"/>
          <w:sz w:val="24"/>
          <w:highlight w:val="none"/>
        </w:rPr>
        <w:t>供应商提出质疑应当提交质疑函和必要的证明材料。质疑函应当包括下列内容：</w:t>
      </w:r>
    </w:p>
    <w:p w14:paraId="10BB4A81">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4.3.3.1</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供应商的姓名或者名称、地址、邮编、联系人及联系电话；</w:t>
      </w:r>
    </w:p>
    <w:p w14:paraId="501DAFA8">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4.3.3.2</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质疑项目的名称、编号；</w:t>
      </w:r>
    </w:p>
    <w:p w14:paraId="5124DF22">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4.3.3.3</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具体、明确的质疑事项和与质疑事项相关的请求；</w:t>
      </w:r>
    </w:p>
    <w:p w14:paraId="61A9E8AC">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4.3.3.4</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事实依据；</w:t>
      </w:r>
    </w:p>
    <w:p w14:paraId="74E67203">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4.3.3.5</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必要的法律依据；</w:t>
      </w:r>
    </w:p>
    <w:p w14:paraId="75325D09">
      <w:pPr>
        <w:pStyle w:val="32"/>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4.3.3.6</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提出质疑的日期。</w:t>
      </w:r>
    </w:p>
    <w:p w14:paraId="5E154670">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62D7A8FF">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质疑函范本及制作说明详见附件2。</w:t>
      </w:r>
    </w:p>
    <w:p w14:paraId="673951C0">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4.3.4</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对同一采购程序环节的质疑，供应商须在法定质疑期内一次性提出。</w:t>
      </w:r>
    </w:p>
    <w:p w14:paraId="6EE0E86B">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4.3.5</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75428B8">
      <w:pPr>
        <w:pStyle w:val="32"/>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4.3.6</w:t>
      </w:r>
      <w:r>
        <w:rPr>
          <w:rFonts w:hint="eastAsia" w:hAnsi="宋体" w:cs="宋体"/>
          <w:color w:val="auto"/>
          <w:kern w:val="0"/>
          <w:sz w:val="24"/>
          <w:highlight w:val="none"/>
          <w:lang w:val="en-US" w:eastAsia="zh-CN"/>
        </w:rPr>
        <w:t xml:space="preserve"> </w:t>
      </w:r>
      <w:r>
        <w:rPr>
          <w:rFonts w:hint="eastAsia" w:hAnsi="宋体" w:cs="宋体"/>
          <w:color w:val="auto"/>
          <w:kern w:val="0"/>
          <w:sz w:val="24"/>
          <w:highlight w:val="none"/>
          <w:lang w:val="zh-CN"/>
        </w:rPr>
        <w:t>根据采购人与采购代理机构签订的采购委托协议，质疑答复责任主体如下：</w:t>
      </w:r>
    </w:p>
    <w:p w14:paraId="2F73E238">
      <w:pPr>
        <w:widowControl/>
        <w:adjustRightInd/>
        <w:spacing w:line="360" w:lineRule="auto"/>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3273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gridSpan w:val="2"/>
            <w:tcBorders>
              <w:top w:val="single" w:color="auto" w:sz="4" w:space="0"/>
              <w:left w:val="single" w:color="auto" w:sz="4" w:space="0"/>
              <w:bottom w:val="single" w:color="auto" w:sz="4" w:space="0"/>
              <w:right w:val="single" w:color="auto" w:sz="4" w:space="0"/>
            </w:tcBorders>
            <w:vAlign w:val="center"/>
          </w:tcPr>
          <w:p w14:paraId="5CF91B21">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tcBorders>
              <w:top w:val="single" w:color="auto" w:sz="4" w:space="0"/>
              <w:left w:val="single" w:color="auto" w:sz="4" w:space="0"/>
              <w:bottom w:val="single" w:color="auto" w:sz="4" w:space="0"/>
              <w:right w:val="single" w:color="auto" w:sz="4" w:space="0"/>
            </w:tcBorders>
            <w:vAlign w:val="center"/>
          </w:tcPr>
          <w:p w14:paraId="22B2767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7A96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70365A7">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42A5461D">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098B1F9F">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CE5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A66F5E1">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60BEDF9">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2F72144">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87A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vMerge w:val="restart"/>
            <w:tcBorders>
              <w:top w:val="single" w:color="auto" w:sz="4" w:space="0"/>
              <w:left w:val="single" w:color="auto" w:sz="4" w:space="0"/>
              <w:bottom w:val="single" w:color="auto" w:sz="4" w:space="0"/>
              <w:right w:val="single" w:color="auto" w:sz="4" w:space="0"/>
            </w:tcBorders>
            <w:vAlign w:val="center"/>
          </w:tcPr>
          <w:p w14:paraId="789392A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0C36C1A1">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292735FC">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1B8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86C8352">
            <w:pPr>
              <w:widowControl/>
              <w:adjustRightInd/>
              <w:spacing w:line="360" w:lineRule="auto"/>
              <w:jc w:val="left"/>
              <w:rPr>
                <w:rFonts w:asciiTheme="minorEastAsia" w:hAnsiTheme="minorEastAsia" w:eastAsiaTheme="minorEastAsia"/>
                <w:color w:val="auto"/>
                <w:sz w:val="24"/>
                <w:szCs w:val="20"/>
                <w:highlight w:val="none"/>
              </w:rPr>
            </w:pPr>
          </w:p>
        </w:tc>
        <w:tc>
          <w:tcPr>
            <w:tcW w:w="4536" w:type="dxa"/>
            <w:tcBorders>
              <w:top w:val="single" w:color="auto" w:sz="4" w:space="0"/>
              <w:left w:val="single" w:color="auto" w:sz="4" w:space="0"/>
              <w:bottom w:val="single" w:color="auto" w:sz="4" w:space="0"/>
              <w:right w:val="single" w:color="auto" w:sz="4" w:space="0"/>
            </w:tcBorders>
            <w:vAlign w:val="center"/>
          </w:tcPr>
          <w:p w14:paraId="0D71CD17">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580D29C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2E04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8" w:type="dxa"/>
            <w:tcBorders>
              <w:top w:val="single" w:color="auto" w:sz="4" w:space="0"/>
              <w:left w:val="single" w:color="auto" w:sz="4" w:space="0"/>
              <w:bottom w:val="single" w:color="auto" w:sz="4" w:space="0"/>
              <w:right w:val="single" w:color="auto" w:sz="4" w:space="0"/>
            </w:tcBorders>
            <w:vAlign w:val="center"/>
          </w:tcPr>
          <w:p w14:paraId="1BB53A90">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tcBorders>
              <w:top w:val="single" w:color="auto" w:sz="4" w:space="0"/>
              <w:left w:val="single" w:color="auto" w:sz="4" w:space="0"/>
              <w:bottom w:val="single" w:color="auto" w:sz="4" w:space="0"/>
              <w:right w:val="single" w:color="auto" w:sz="4" w:space="0"/>
            </w:tcBorders>
            <w:vAlign w:val="center"/>
          </w:tcPr>
          <w:p w14:paraId="23F194D6">
            <w:pPr>
              <w:pStyle w:val="32"/>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tcBorders>
              <w:top w:val="single" w:color="auto" w:sz="4" w:space="0"/>
              <w:left w:val="single" w:color="auto" w:sz="4" w:space="0"/>
              <w:bottom w:val="single" w:color="auto" w:sz="4" w:space="0"/>
              <w:right w:val="single" w:color="auto" w:sz="4" w:space="0"/>
            </w:tcBorders>
            <w:vAlign w:val="center"/>
          </w:tcPr>
          <w:p w14:paraId="12702C08">
            <w:pPr>
              <w:pStyle w:val="32"/>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58FAF7FE">
      <w:pPr>
        <w:pStyle w:val="886"/>
        <w:shd w:val="clear" w:color="auto" w:fill="FFFFFF"/>
        <w:snapToGrid w:val="0"/>
        <w:spacing w:before="0" w:beforeAutospacing="0" w:after="0" w:afterAutospacing="0" w:line="360" w:lineRule="auto"/>
        <w:ind w:firstLine="480" w:firstLineChars="200"/>
        <w:contextualSpacing/>
        <w:rPr>
          <w:color w:val="auto"/>
          <w:highlight w:val="none"/>
          <w:lang w:val="zh-CN"/>
        </w:rPr>
      </w:pPr>
      <w:r>
        <w:rPr>
          <w:rFonts w:hint="eastAsia"/>
          <w:color w:val="auto"/>
          <w:highlight w:val="none"/>
          <w:lang w:val="zh-CN"/>
        </w:rPr>
        <w:t>注：</w:t>
      </w:r>
      <w:r>
        <w:rPr>
          <w:rFonts w:hint="eastAsia" w:asciiTheme="minorEastAsia" w:hAnsiTheme="minorEastAsia" w:eastAsiaTheme="minorEastAsia"/>
          <w:color w:val="auto"/>
          <w:highlight w:val="none"/>
        </w:rPr>
        <w:t>采购人或代理机构或应当协助质疑答复责任主体及时答复</w:t>
      </w:r>
      <w:r>
        <w:rPr>
          <w:rFonts w:hint="eastAsia"/>
          <w:color w:val="auto"/>
          <w:highlight w:val="none"/>
        </w:rPr>
        <w:t>供应商的书面质疑。</w:t>
      </w:r>
    </w:p>
    <w:p w14:paraId="232DB3FE">
      <w:pPr>
        <w:pStyle w:val="886"/>
        <w:shd w:val="clear" w:color="auto" w:fill="FFFFFF"/>
        <w:snapToGrid w:val="0"/>
        <w:spacing w:before="0" w:beforeAutospacing="0" w:after="0" w:afterAutospacing="0" w:line="360" w:lineRule="auto"/>
        <w:ind w:firstLine="480" w:firstLineChars="200"/>
        <w:contextualSpacing/>
        <w:rPr>
          <w:color w:val="auto"/>
          <w:highlight w:val="none"/>
        </w:rPr>
      </w:pPr>
      <w:r>
        <w:rPr>
          <w:rFonts w:hint="eastAsia"/>
          <w:color w:val="auto"/>
          <w:highlight w:val="none"/>
          <w:lang w:val="zh-CN"/>
        </w:rPr>
        <w:t>4.3</w:t>
      </w:r>
      <w:r>
        <w:rPr>
          <w:rFonts w:hint="eastAsia"/>
          <w:color w:val="auto"/>
          <w:highlight w:val="none"/>
        </w:rPr>
        <w:t>.7</w:t>
      </w:r>
      <w:r>
        <w:rPr>
          <w:rFonts w:hint="eastAsia"/>
          <w:color w:val="auto"/>
          <w:highlight w:val="none"/>
          <w:lang w:val="en-US" w:eastAsia="zh-CN"/>
        </w:rPr>
        <w:t xml:space="preserve"> </w:t>
      </w:r>
      <w:r>
        <w:rPr>
          <w:rFonts w:hint="eastAsia"/>
          <w:color w:val="auto"/>
          <w:highlight w:val="none"/>
        </w:rPr>
        <w:t>询问或者质疑事项可能影响采购结果的，采购人应当暂停签订合同，已经签订合同的，应当中止履行合同。</w:t>
      </w:r>
    </w:p>
    <w:p w14:paraId="133B095C">
      <w:pPr>
        <w:pStyle w:val="886"/>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w:t>
      </w:r>
      <w:r>
        <w:rPr>
          <w:rFonts w:hint="eastAsia"/>
          <w:color w:val="auto"/>
          <w:highlight w:val="none"/>
          <w:lang w:val="en-US" w:eastAsia="zh-CN"/>
        </w:rPr>
        <w:t xml:space="preserve"> </w:t>
      </w:r>
      <w:r>
        <w:rPr>
          <w:rFonts w:hint="eastAsia"/>
          <w:color w:val="auto"/>
          <w:highlight w:val="none"/>
          <w:lang w:val="zh-CN"/>
        </w:rPr>
        <w:t>供应商投诉</w:t>
      </w:r>
    </w:p>
    <w:p w14:paraId="333994D6">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4.4.1</w:t>
      </w:r>
      <w:r>
        <w:rPr>
          <w:rFonts w:hint="eastAsia"/>
          <w:color w:val="auto"/>
          <w:highlight w:val="none"/>
          <w:lang w:val="en-US" w:eastAsia="zh-CN"/>
        </w:rPr>
        <w:t xml:space="preserve"> </w:t>
      </w:r>
      <w:r>
        <w:rPr>
          <w:rFonts w:hint="eastAsia"/>
          <w:color w:val="auto"/>
          <w:highlight w:val="none"/>
        </w:rPr>
        <w:t>质疑供应商对采购人、采购代理机构的答复不满意或者采购人、采购代理机构未在规定的时间内作出答复的，可以在答复期满后十五个工作日内向同级政府采购监督管理部门提出投诉。</w:t>
      </w:r>
    </w:p>
    <w:p w14:paraId="23DE0201">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lang w:val="en-US" w:eastAsia="zh-CN"/>
        </w:rPr>
        <w:t xml:space="preserve"> </w:t>
      </w:r>
      <w:r>
        <w:rPr>
          <w:rFonts w:hint="eastAsia"/>
          <w:color w:val="auto"/>
          <w:highlight w:val="none"/>
        </w:rPr>
        <w:t>供应商投诉的事项不得超出已质疑事项的范围，基于质疑答复内容提出的投诉事项除外。</w:t>
      </w:r>
    </w:p>
    <w:p w14:paraId="4D2B2515">
      <w:pPr>
        <w:pStyle w:val="886"/>
        <w:shd w:val="clear" w:color="auto" w:fill="FFFFFF"/>
        <w:snapToGrid w:val="0"/>
        <w:spacing w:after="240" w:afterAutospacing="0" w:line="360" w:lineRule="auto"/>
        <w:ind w:firstLine="480" w:firstLineChars="200"/>
        <w:contextualSpacing/>
        <w:rPr>
          <w:color w:val="auto"/>
          <w:highlight w:val="none"/>
        </w:rPr>
      </w:pPr>
      <w:r>
        <w:rPr>
          <w:rFonts w:hint="eastAsia"/>
          <w:color w:val="auto"/>
          <w:highlight w:val="none"/>
        </w:rPr>
        <w:t>4.4.3</w:t>
      </w:r>
      <w:r>
        <w:rPr>
          <w:rFonts w:hint="eastAsia"/>
          <w:color w:val="auto"/>
          <w:highlight w:val="none"/>
          <w:lang w:val="en-US" w:eastAsia="zh-CN"/>
        </w:rPr>
        <w:t xml:space="preserve"> </w:t>
      </w:r>
      <w:r>
        <w:rPr>
          <w:rFonts w:hint="eastAsia"/>
          <w:color w:val="auto"/>
          <w:highlight w:val="none"/>
        </w:rPr>
        <w:t>供应商投诉应当有明确的请求和必要的证明材料。</w:t>
      </w:r>
    </w:p>
    <w:p w14:paraId="01125F35">
      <w:pPr>
        <w:pStyle w:val="886"/>
        <w:keepNext w:val="0"/>
        <w:keepLines w:val="0"/>
        <w:pageBreakBefore w:val="0"/>
        <w:shd w:val="clear" w:color="auto" w:fill="FFFFFF"/>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rPr>
          <w:color w:val="auto"/>
          <w:highlight w:val="none"/>
        </w:rPr>
      </w:pPr>
      <w:r>
        <w:rPr>
          <w:rFonts w:hint="eastAsia"/>
          <w:color w:val="auto"/>
          <w:highlight w:val="none"/>
        </w:rPr>
        <w:t>4.4.4</w:t>
      </w:r>
      <w:r>
        <w:rPr>
          <w:rFonts w:hint="eastAsia"/>
          <w:color w:val="auto"/>
          <w:highlight w:val="none"/>
          <w:lang w:val="en-US" w:eastAsia="zh-CN"/>
        </w:rPr>
        <w:t xml:space="preserve"> </w:t>
      </w:r>
      <w:r>
        <w:rPr>
          <w:rFonts w:hint="eastAsia"/>
          <w:color w:val="auto"/>
          <w:highlight w:val="none"/>
        </w:rPr>
        <w:t>以联合体形式参加政府采购活动的，其投诉应当由组成联合体的所有供应商共同提出。</w:t>
      </w:r>
    </w:p>
    <w:p w14:paraId="30D4D93B">
      <w:pPr>
        <w:pStyle w:val="129"/>
        <w:keepNext w:val="0"/>
        <w:keepLines w:val="0"/>
        <w:pageBreakBefore w:val="0"/>
        <w:widowControl w:val="0"/>
        <w:kinsoku/>
        <w:wordWrap/>
        <w:overflowPunct/>
        <w:topLinePunct w:val="0"/>
        <w:autoSpaceDE/>
        <w:autoSpaceDN/>
        <w:bidi w:val="0"/>
        <w:adjustRightInd w:val="0"/>
        <w:snapToGrid w:val="0"/>
        <w:spacing w:before="0" w:beforeAutospacing="0"/>
        <w:ind w:firstLine="360"/>
        <w:textAlignment w:val="auto"/>
        <w:rPr>
          <w:rFonts w:ascii="宋体" w:hAnsi="宋体" w:cs="宋体"/>
          <w:color w:val="auto"/>
          <w:sz w:val="24"/>
          <w:szCs w:val="24"/>
          <w:highlight w:val="none"/>
        </w:rPr>
      </w:pPr>
    </w:p>
    <w:p w14:paraId="44DCED0F">
      <w:pPr>
        <w:keepNext w:val="0"/>
        <w:keepLines w:val="0"/>
        <w:pageBreakBefore w:val="0"/>
        <w:kinsoku/>
        <w:wordWrap/>
        <w:overflowPunct/>
        <w:topLinePunct w:val="0"/>
        <w:autoSpaceDE/>
        <w:autoSpaceDN/>
        <w:bidi w:val="0"/>
        <w:adjustRightInd/>
        <w:spacing w:beforeAutospacing="0" w:line="360" w:lineRule="auto"/>
        <w:jc w:val="center"/>
        <w:textAlignment w:val="auto"/>
        <w:outlineLvl w:val="1"/>
        <w:rPr>
          <w:rFonts w:ascii="宋体" w:hAnsi="宋体" w:cs="宋体"/>
          <w:b/>
          <w:color w:val="auto"/>
          <w:sz w:val="32"/>
          <w:szCs w:val="20"/>
          <w:highlight w:val="none"/>
        </w:rPr>
      </w:pPr>
      <w:r>
        <w:rPr>
          <w:rFonts w:hint="eastAsia" w:ascii="宋体" w:hAnsi="宋体" w:cs="宋体"/>
          <w:b/>
          <w:color w:val="auto"/>
          <w:sz w:val="32"/>
          <w:szCs w:val="20"/>
          <w:highlight w:val="none"/>
        </w:rPr>
        <w:t>二、招标文件的构成、澄清、修改</w:t>
      </w:r>
    </w:p>
    <w:p w14:paraId="4F5B0317">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64C8AE3D">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2987545">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招标公告；</w:t>
      </w:r>
    </w:p>
    <w:p w14:paraId="3ED5D33C">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投标人须知；</w:t>
      </w:r>
    </w:p>
    <w:p w14:paraId="237E652F">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5.1.3</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采购需求；</w:t>
      </w:r>
    </w:p>
    <w:p w14:paraId="2354DD11">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5.1.4</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评标办法；</w:t>
      </w:r>
    </w:p>
    <w:p w14:paraId="094974E4">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5.1.5</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拟签订的合同文本；</w:t>
      </w:r>
    </w:p>
    <w:p w14:paraId="6E75A2AB">
      <w:pPr>
        <w:pStyle w:val="32"/>
        <w:tabs>
          <w:tab w:val="left" w:pos="840"/>
        </w:tabs>
        <w:spacing w:line="360" w:lineRule="auto"/>
        <w:ind w:firstLine="480" w:firstLineChars="2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highlight w:val="none"/>
          <w:lang w:val="en-US" w:eastAsia="zh-CN"/>
        </w:rPr>
        <w:t xml:space="preserve"> </w:t>
      </w:r>
      <w:r>
        <w:rPr>
          <w:rFonts w:hint="eastAsia" w:hAnsi="宋体" w:cs="宋体"/>
          <w:color w:val="auto"/>
          <w:sz w:val="24"/>
          <w:szCs w:val="24"/>
          <w:highlight w:val="none"/>
        </w:rPr>
        <w:t>应提交的有关格式范例。</w:t>
      </w:r>
    </w:p>
    <w:p w14:paraId="77F542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53FDB8CE">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6.招标文件的澄清、修改</w:t>
      </w:r>
    </w:p>
    <w:p w14:paraId="65AFA6BA">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6.1</w:t>
      </w:r>
      <w:r>
        <w:rPr>
          <w:rFonts w:hint="eastAsia" w:ascii="宋体" w:hAnsi="宋体" w:cs="宋体"/>
          <w:color w:val="auto"/>
          <w:highlight w:val="none"/>
          <w:lang w:val="en-US" w:eastAsia="zh-CN"/>
        </w:rPr>
        <w:t xml:space="preserve"> </w:t>
      </w:r>
      <w:r>
        <w:rPr>
          <w:rFonts w:hint="eastAsia" w:ascii="宋体" w:hAnsi="宋体" w:cs="宋体"/>
          <w:color w:val="auto"/>
          <w:highlight w:val="none"/>
        </w:rPr>
        <w:t>已获取招标文件的潜在投标人，若有问题需要澄清，应于投标截止时间前，以书面形式向采购代理机构提出。</w:t>
      </w:r>
    </w:p>
    <w:p w14:paraId="314475E1">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A322A1A">
      <w:pPr>
        <w:pStyle w:val="23"/>
        <w:keepNext w:val="0"/>
        <w:keepLines w:val="0"/>
        <w:pageBreakBefore w:val="0"/>
        <w:widowControl w:val="0"/>
        <w:kinsoku/>
        <w:wordWrap/>
        <w:overflowPunct/>
        <w:topLinePunct w:val="0"/>
        <w:bidi w:val="0"/>
        <w:adjustRightInd/>
        <w:snapToGrid/>
        <w:textAlignment w:val="auto"/>
        <w:rPr>
          <w:rFonts w:hAnsi="宋体" w:cs="宋体"/>
          <w:color w:val="auto"/>
          <w:sz w:val="24"/>
          <w:szCs w:val="24"/>
          <w:highlight w:val="none"/>
          <w:lang w:val="en-US"/>
        </w:rPr>
      </w:pPr>
    </w:p>
    <w:p w14:paraId="77601960">
      <w:pPr>
        <w:keepNext w:val="0"/>
        <w:keepLines w:val="0"/>
        <w:pageBreakBefore w:val="0"/>
        <w:widowControl w:val="0"/>
        <w:kinsoku/>
        <w:wordWrap/>
        <w:overflowPunct/>
        <w:topLinePunct w:val="0"/>
        <w:bidi w:val="0"/>
        <w:adjustRightInd/>
        <w:snapToGrid/>
        <w:spacing w:line="360" w:lineRule="auto"/>
        <w:jc w:val="center"/>
        <w:textAlignment w:val="auto"/>
        <w:outlineLvl w:val="1"/>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4F5355C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Ansi="宋体" w:cs="宋体"/>
          <w:b/>
          <w:color w:val="auto"/>
          <w:sz w:val="24"/>
          <w:szCs w:val="24"/>
          <w:highlight w:val="none"/>
        </w:rPr>
      </w:pPr>
      <w:r>
        <w:rPr>
          <w:rFonts w:hint="eastAsia" w:hAnsi="宋体" w:cs="宋体"/>
          <w:b/>
          <w:color w:val="auto"/>
          <w:sz w:val="24"/>
          <w:szCs w:val="24"/>
          <w:highlight w:val="none"/>
        </w:rPr>
        <w:t>7.招标文件的获取</w:t>
      </w:r>
    </w:p>
    <w:p w14:paraId="68014FFF">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32E661B">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8.开标前答疑会或现场考察</w:t>
      </w:r>
    </w:p>
    <w:p w14:paraId="6663D925">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269F11F2">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9.投标保证金</w:t>
      </w:r>
    </w:p>
    <w:p w14:paraId="4F3055CE">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本项目不收取投标保证金。</w:t>
      </w:r>
    </w:p>
    <w:p w14:paraId="634F9CFB">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10.投标文件的语言</w:t>
      </w:r>
    </w:p>
    <w:p w14:paraId="05BAE241">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29C7D4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11.投标文件的组成（标注“▲”为实质性要求，供应商必须提供，否则投标无效。相关格式见招标文件第六部分）</w:t>
      </w:r>
    </w:p>
    <w:p w14:paraId="35CB30F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4A5D188">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11.1.1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符合参加政府采购活动应当具备的一般条件的承诺函；</w:t>
      </w:r>
    </w:p>
    <w:p w14:paraId="033CDF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color w:val="auto"/>
          <w:sz w:val="24"/>
          <w:highlight w:val="none"/>
          <w:lang w:val="en-US" w:eastAsia="zh-CN"/>
        </w:rPr>
        <w:t xml:space="preserve"> </w:t>
      </w:r>
      <w:r>
        <w:rPr>
          <w:rFonts w:hint="eastAsia" w:ascii="宋体" w:hAnsi="宋体" w:cs="宋体"/>
          <w:snapToGrid w:val="0"/>
          <w:color w:val="auto"/>
          <w:kern w:val="28"/>
          <w:sz w:val="24"/>
          <w:szCs w:val="20"/>
          <w:highlight w:val="none"/>
        </w:rPr>
        <w:t>联合协议（如果有)；</w:t>
      </w:r>
    </w:p>
    <w:p w14:paraId="036BB53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06BCE7C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7F7F34F">
      <w:pPr>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11.</w:t>
      </w:r>
      <w:r>
        <w:rPr>
          <w:rFonts w:hint="eastAsia" w:ascii="宋体" w:hAnsi="宋体" w:cs="宋体"/>
          <w:b/>
          <w:color w:val="auto"/>
          <w:sz w:val="24"/>
          <w:highlight w:val="none"/>
        </w:rPr>
        <w:t>2</w:t>
      </w:r>
      <w:r>
        <w:rPr>
          <w:rFonts w:hint="eastAsia" w:ascii="宋体" w:hAnsi="宋体" w:cs="宋体"/>
          <w:b/>
          <w:color w:val="auto"/>
          <w:sz w:val="24"/>
          <w:highlight w:val="none"/>
          <w:lang w:val="zh-CN"/>
        </w:rPr>
        <w:t xml:space="preserve"> </w:t>
      </w:r>
      <w:r>
        <w:rPr>
          <w:rFonts w:hint="eastAsia" w:ascii="宋体" w:hAnsi="宋体" w:cs="宋体"/>
          <w:b/>
          <w:color w:val="auto"/>
          <w:sz w:val="24"/>
          <w:highlight w:val="none"/>
        </w:rPr>
        <w:t>商务技术</w:t>
      </w:r>
      <w:r>
        <w:rPr>
          <w:rFonts w:hint="eastAsia" w:ascii="宋体" w:hAnsi="宋体" w:cs="宋体"/>
          <w:b/>
          <w:color w:val="auto"/>
          <w:sz w:val="24"/>
          <w:highlight w:val="none"/>
          <w:lang w:val="zh-CN"/>
        </w:rPr>
        <w:t>文件：</w:t>
      </w:r>
    </w:p>
    <w:p w14:paraId="6C5933FC">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投标函；</w:t>
      </w:r>
      <w:r>
        <w:rPr>
          <w:rFonts w:hint="eastAsia" w:ascii="宋体" w:hAnsi="宋体" w:cs="宋体"/>
          <w:color w:val="auto"/>
          <w:sz w:val="24"/>
          <w:highlight w:val="none"/>
          <w:lang w:val="zh-CN"/>
        </w:rPr>
        <w:t xml:space="preserve"> </w:t>
      </w:r>
    </w:p>
    <w:p w14:paraId="0ED37F5A">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授权委托书或法定代表人（单位负责人、自然人本人）身份证明；</w:t>
      </w:r>
    </w:p>
    <w:p w14:paraId="399A59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22A6A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符合性审查资料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8E9B3F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评标标准相应的商务技术资料</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6FEC2C4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投标标的清单</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3A9E5FD8">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商务技术偏离表；</w:t>
      </w:r>
    </w:p>
    <w:p w14:paraId="1AEBFEBE">
      <w:pPr>
        <w:snapToGrid w:val="0"/>
        <w:spacing w:line="360" w:lineRule="auto"/>
        <w:ind w:firstLine="482" w:firstLineChars="200"/>
        <w:rPr>
          <w:rFonts w:ascii="宋体" w:hAnsi="宋体" w:cs="宋体"/>
          <w:color w:val="auto"/>
          <w:sz w:val="24"/>
          <w:highlight w:val="none"/>
          <w:lang w:val="zh-CN"/>
        </w:rPr>
      </w:pPr>
      <w:r>
        <w:rPr>
          <w:rFonts w:hint="eastAsia" w:hAnsi="宋体" w:cs="宋体"/>
          <w:b/>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政府采购供应商廉洁自律承诺书；</w:t>
      </w:r>
    </w:p>
    <w:p w14:paraId="614ADC19">
      <w:pPr>
        <w:pStyle w:val="83"/>
        <w:rPr>
          <w:color w:val="auto"/>
          <w:highlight w:val="none"/>
        </w:rPr>
      </w:pPr>
      <w:r>
        <w:rPr>
          <w:rFonts w:hint="eastAsia" w:cs="宋体"/>
          <w:b/>
          <w:color w:val="auto"/>
          <w:szCs w:val="24"/>
          <w:highlight w:val="none"/>
        </w:rPr>
        <w:t>▲</w:t>
      </w:r>
      <w:r>
        <w:rPr>
          <w:rFonts w:hint="eastAsia"/>
          <w:color w:val="auto"/>
          <w:highlight w:val="none"/>
        </w:rPr>
        <w:t>11.2.9</w:t>
      </w:r>
      <w:r>
        <w:rPr>
          <w:rFonts w:hint="eastAsia"/>
          <w:color w:val="auto"/>
          <w:highlight w:val="none"/>
          <w:lang w:val="en-US" w:eastAsia="zh-CN"/>
        </w:rPr>
        <w:t xml:space="preserve"> </w:t>
      </w:r>
      <w:r>
        <w:rPr>
          <w:rFonts w:hint="eastAsia"/>
          <w:color w:val="auto"/>
          <w:highlight w:val="none"/>
        </w:rPr>
        <w:t>承诺函；</w:t>
      </w:r>
    </w:p>
    <w:p w14:paraId="0BCC1CA7">
      <w:pPr>
        <w:pStyle w:val="83"/>
        <w:rPr>
          <w:color w:val="auto"/>
          <w:highlight w:val="none"/>
        </w:rPr>
      </w:pPr>
      <w:r>
        <w:rPr>
          <w:rFonts w:hint="eastAsia"/>
          <w:color w:val="auto"/>
          <w:highlight w:val="none"/>
        </w:rPr>
        <w:t>11.2.10</w:t>
      </w:r>
      <w:r>
        <w:rPr>
          <w:rFonts w:hint="eastAsia"/>
          <w:color w:val="auto"/>
          <w:highlight w:val="none"/>
          <w:lang w:val="en-US" w:eastAsia="zh-CN"/>
        </w:rPr>
        <w:t xml:space="preserve"> </w:t>
      </w:r>
      <w:r>
        <w:rPr>
          <w:rFonts w:hint="eastAsia"/>
          <w:color w:val="auto"/>
          <w:highlight w:val="none"/>
        </w:rPr>
        <w:t>技术解决方案</w:t>
      </w:r>
      <w:r>
        <w:rPr>
          <w:rFonts w:hint="eastAsia" w:cs="宋体"/>
          <w:snapToGrid w:val="0"/>
          <w:color w:val="auto"/>
          <w:kern w:val="28"/>
          <w:highlight w:val="none"/>
        </w:rPr>
        <w:t>（如果有)</w:t>
      </w:r>
      <w:r>
        <w:rPr>
          <w:rFonts w:hint="eastAsia"/>
          <w:color w:val="auto"/>
          <w:highlight w:val="none"/>
        </w:rPr>
        <w:t>。可以是针对本项目的完整技术解决方案和实施方案；详细阐述项目方案的实现思路及关键技术；符合本项目对当前和未来发展的要求；以及对功能设计和实施计划的建议；</w:t>
      </w:r>
    </w:p>
    <w:p w14:paraId="5B3ADEB1">
      <w:pPr>
        <w:pStyle w:val="83"/>
        <w:rPr>
          <w:color w:val="auto"/>
          <w:highlight w:val="none"/>
        </w:rPr>
      </w:pPr>
      <w:r>
        <w:rPr>
          <w:rFonts w:hint="eastAsia"/>
          <w:color w:val="auto"/>
          <w:highlight w:val="none"/>
        </w:rPr>
        <w:t>11.2.11</w:t>
      </w:r>
      <w:r>
        <w:rPr>
          <w:rFonts w:hint="eastAsia"/>
          <w:color w:val="auto"/>
          <w:highlight w:val="none"/>
          <w:lang w:val="en-US" w:eastAsia="zh-CN"/>
        </w:rPr>
        <w:t xml:space="preserve"> </w:t>
      </w:r>
      <w:r>
        <w:rPr>
          <w:rFonts w:hint="eastAsia"/>
          <w:color w:val="auto"/>
          <w:highlight w:val="none"/>
        </w:rPr>
        <w:t>组织实施方案</w:t>
      </w:r>
      <w:r>
        <w:rPr>
          <w:rFonts w:hint="eastAsia" w:cs="宋体"/>
          <w:snapToGrid w:val="0"/>
          <w:color w:val="auto"/>
          <w:kern w:val="28"/>
          <w:highlight w:val="none"/>
        </w:rPr>
        <w:t>（如果有)</w:t>
      </w:r>
      <w:r>
        <w:rPr>
          <w:rFonts w:hint="eastAsia"/>
          <w:color w:val="auto"/>
          <w:highlight w:val="none"/>
        </w:rPr>
        <w:t>。可以是本项目详细工作实施组织方案，包括(但不限于)以下内容：组织机构、工作时间进度表、工作程序和步骤、管理和协调方法、关键步骤的思路和要点；</w:t>
      </w:r>
    </w:p>
    <w:p w14:paraId="0D63B186">
      <w:pPr>
        <w:pStyle w:val="83"/>
        <w:rPr>
          <w:color w:val="auto"/>
          <w:highlight w:val="none"/>
        </w:rPr>
      </w:pPr>
      <w:r>
        <w:rPr>
          <w:rFonts w:hint="eastAsia"/>
          <w:color w:val="auto"/>
          <w:highlight w:val="none"/>
        </w:rPr>
        <w:t>11.2.12</w:t>
      </w:r>
      <w:r>
        <w:rPr>
          <w:rFonts w:hint="eastAsia"/>
          <w:color w:val="auto"/>
          <w:highlight w:val="none"/>
          <w:lang w:val="en-US" w:eastAsia="zh-CN"/>
        </w:rPr>
        <w:t xml:space="preserve"> </w:t>
      </w:r>
      <w:r>
        <w:rPr>
          <w:rFonts w:hint="eastAsia"/>
          <w:color w:val="auto"/>
          <w:highlight w:val="none"/>
        </w:rPr>
        <w:t>运维服务方案。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73E3BCF8">
      <w:pPr>
        <w:snapToGrid w:val="0"/>
        <w:spacing w:line="360" w:lineRule="auto"/>
        <w:ind w:firstLine="482" w:firstLineChars="200"/>
        <w:rPr>
          <w:rFonts w:ascii="宋体" w:hAnsi="宋体" w:cs="宋体"/>
          <w:b/>
          <w:color w:val="auto"/>
          <w:sz w:val="24"/>
          <w:highlight w:val="none"/>
          <w:u w:val="single"/>
          <w:lang w:val="zh-CN"/>
        </w:rPr>
      </w:pPr>
      <w:r>
        <w:rPr>
          <w:rFonts w:hint="eastAsia" w:ascii="宋体" w:hAnsi="宋体" w:cs="宋体"/>
          <w:b/>
          <w:color w:val="auto"/>
          <w:kern w:val="0"/>
          <w:sz w:val="24"/>
          <w:highlight w:val="none"/>
          <w:lang w:val="zh-CN"/>
        </w:rPr>
        <w:t>11.</w:t>
      </w:r>
      <w:r>
        <w:rPr>
          <w:rFonts w:hint="eastAsia" w:ascii="宋体" w:hAnsi="宋体" w:cs="宋体"/>
          <w:b/>
          <w:color w:val="auto"/>
          <w:kern w:val="0"/>
          <w:sz w:val="24"/>
          <w:highlight w:val="none"/>
        </w:rPr>
        <w:t>3</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sz w:val="24"/>
          <w:highlight w:val="none"/>
        </w:rPr>
        <w:t xml:space="preserve">报价文件： </w:t>
      </w:r>
    </w:p>
    <w:p w14:paraId="2FC3C84B">
      <w:pPr>
        <w:snapToGrid w:val="0"/>
        <w:spacing w:line="360" w:lineRule="auto"/>
        <w:ind w:firstLine="482" w:firstLineChars="200"/>
        <w:rPr>
          <w:rFonts w:ascii="宋体" w:hAnsi="宋体" w:cs="宋体"/>
          <w:color w:val="auto"/>
          <w:sz w:val="24"/>
          <w:highlight w:val="none"/>
        </w:rPr>
      </w:pPr>
      <w:r>
        <w:rPr>
          <w:rFonts w:hint="eastAsia" w:hAnsi="宋体" w:cs="宋体"/>
          <w:b/>
          <w:color w:val="auto"/>
          <w:sz w:val="24"/>
          <w:highlight w:val="none"/>
        </w:rPr>
        <w:t>▲</w:t>
      </w:r>
      <w:r>
        <w:rPr>
          <w:rFonts w:hint="eastAsia" w:ascii="宋体" w:hAnsi="宋体" w:cs="宋体"/>
          <w:color w:val="auto"/>
          <w:sz w:val="24"/>
          <w:highlight w:val="none"/>
        </w:rPr>
        <w:t>11.3.1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开标一览表（报价表）；</w:t>
      </w:r>
    </w:p>
    <w:p w14:paraId="607E55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中小企业声明函。</w:t>
      </w:r>
    </w:p>
    <w:p w14:paraId="61BF825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62080B94">
      <w:pPr>
        <w:spacing w:line="360" w:lineRule="auto"/>
        <w:ind w:firstLine="482" w:firstLineChars="200"/>
        <w:rPr>
          <w:rFonts w:ascii="宋体" w:hAnsi="宋体" w:cs="宋体"/>
          <w:b/>
          <w:color w:val="auto"/>
          <w:sz w:val="24"/>
          <w:szCs w:val="21"/>
          <w:highlight w:val="none"/>
        </w:rPr>
      </w:pPr>
      <w:r>
        <w:rPr>
          <w:rFonts w:hint="eastAsia" w:ascii="宋体" w:hAnsi="宋体" w:cs="宋体"/>
          <w:b/>
          <w:color w:val="auto"/>
          <w:sz w:val="24"/>
          <w:highlight w:val="none"/>
        </w:rPr>
        <w:t>投标人提供虚假材料投标的，投标无效。</w:t>
      </w:r>
    </w:p>
    <w:p w14:paraId="6DF28A08">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12</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投标文件的编制</w:t>
      </w:r>
    </w:p>
    <w:p w14:paraId="74AD4F73">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77A963D">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投标人进行电子投标应安装客户端软件—“广西政府采购云平台电子交易客户端”，并按照招标文件和电子交易平台的要求编制并加密投标文件。投标人未按规定加密的投标文件，电子交易平台将拒收并提示。</w:t>
      </w:r>
    </w:p>
    <w:p w14:paraId="515B8711">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val="zh-CN"/>
        </w:rPr>
        <w:t>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42ACDFB6">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13.投标文件的签署、盖章</w:t>
      </w:r>
    </w:p>
    <w:p w14:paraId="35FEF49E">
      <w:pPr>
        <w:pStyle w:val="129"/>
        <w:snapToGrid w:val="0"/>
        <w:spacing w:before="0"/>
        <w:ind w:firstLine="480"/>
        <w:rPr>
          <w:rFonts w:ascii="宋体" w:hAnsi="宋体" w:cs="宋体"/>
          <w:b/>
          <w:color w:val="auto"/>
          <w:highlight w:val="none"/>
        </w:rPr>
      </w:pPr>
      <w:r>
        <w:rPr>
          <w:rFonts w:hint="eastAsia" w:ascii="宋体" w:hAnsi="宋体" w:cs="宋体"/>
          <w:color w:val="auto"/>
          <w:szCs w:val="24"/>
          <w:highlight w:val="none"/>
        </w:rPr>
        <w:t>13.1</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4532D1E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13.2</w:t>
      </w:r>
      <w:r>
        <w:rPr>
          <w:rFonts w:hint="eastAsia" w:ascii="宋体" w:hAnsi="宋体" w:cs="宋体"/>
          <w:color w:val="auto"/>
          <w:highlight w:val="none"/>
          <w:lang w:val="en-US" w:eastAsia="zh-CN"/>
        </w:rPr>
        <w:t xml:space="preserve"> </w:t>
      </w:r>
      <w:r>
        <w:rPr>
          <w:rFonts w:hint="eastAsia" w:ascii="宋体" w:hAnsi="宋体" w:cs="宋体"/>
          <w:color w:val="auto"/>
          <w:highlight w:val="none"/>
        </w:rPr>
        <w:t>为确保网上操作合法、有效和安全，投标人应当在投标截止时间前完成在“广西政府采购云平台”的身份认证，确保在电子投标过程中能够对相关数据电文进行加密和使用电子签名。</w:t>
      </w:r>
    </w:p>
    <w:p w14:paraId="2FDD793F">
      <w:pPr>
        <w:pStyle w:val="129"/>
        <w:snapToGrid w:val="0"/>
        <w:spacing w:before="0"/>
        <w:ind w:firstLine="480"/>
        <w:rPr>
          <w:rFonts w:ascii="宋体" w:hAnsi="宋体" w:cs="宋体"/>
          <w:color w:val="auto"/>
          <w:szCs w:val="24"/>
          <w:highlight w:val="none"/>
        </w:rPr>
      </w:pPr>
      <w:r>
        <w:rPr>
          <w:rFonts w:hint="eastAsia" w:ascii="宋体" w:hAnsi="宋体" w:cs="宋体"/>
          <w:color w:val="auto"/>
          <w:highlight w:val="none"/>
        </w:rPr>
        <w:t>13.3</w:t>
      </w:r>
      <w:r>
        <w:rPr>
          <w:rFonts w:hint="eastAsia" w:ascii="宋体" w:hAnsi="宋体" w:cs="宋体"/>
          <w:color w:val="auto"/>
          <w:highlight w:val="none"/>
          <w:lang w:val="en-US" w:eastAsia="zh-CN"/>
        </w:rPr>
        <w:t xml:space="preserve"> </w:t>
      </w:r>
      <w:r>
        <w:rPr>
          <w:rFonts w:hint="eastAsia" w:ascii="宋体" w:hAnsi="宋体" w:cs="宋体"/>
          <w:color w:val="auto"/>
          <w:highlight w:val="none"/>
        </w:rPr>
        <w:t>招标文件对投标文件签署、盖章的要求适用于电子签名、CA签章以及招标文件明确允许的其他方式。</w:t>
      </w:r>
    </w:p>
    <w:p w14:paraId="399C7EE9">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14.投标文件的提交、补充、修改、撤回</w:t>
      </w:r>
    </w:p>
    <w:p w14:paraId="765E9020">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E092646">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14.2</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电子交易平台收到投标文件，将妥善保存并即时向供应商发出确认回执通知。在投标截止时间前，除供应商补充、修改或者撤回投标文件外，任何单位和个人不得解密或提取投标文件。</w:t>
      </w:r>
    </w:p>
    <w:p w14:paraId="74378F24">
      <w:pPr>
        <w:pStyle w:val="129"/>
        <w:spacing w:before="0"/>
        <w:ind w:firstLine="480"/>
        <w:rPr>
          <w:rFonts w:ascii="宋体" w:hAnsi="宋体" w:cs="宋体"/>
          <w:color w:val="auto"/>
          <w:szCs w:val="24"/>
          <w:highlight w:val="none"/>
        </w:rPr>
      </w:pPr>
      <w:r>
        <w:rPr>
          <w:rFonts w:hint="eastAsia" w:ascii="宋体" w:hAnsi="宋体" w:cs="宋体"/>
          <w:color w:val="auto"/>
          <w:szCs w:val="24"/>
          <w:highlight w:val="none"/>
        </w:rPr>
        <w:t>14.3</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采购人、采购代理机构可以视情况延长投标文件提交的截止时间。在上述情况下，采购代理机构与投标人以前在投标截止期方面的全部权利、责任和义务，将适用于延长至新的投标截止期。</w:t>
      </w:r>
    </w:p>
    <w:p w14:paraId="2366665E">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15.备份投标文件</w:t>
      </w:r>
    </w:p>
    <w:p w14:paraId="57269FF1">
      <w:pPr>
        <w:pStyle w:val="32"/>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Ansi="宋体" w:cs="宋体"/>
          <w:b/>
          <w:color w:val="auto"/>
          <w:sz w:val="24"/>
          <w:szCs w:val="24"/>
          <w:highlight w:val="none"/>
        </w:rPr>
      </w:pPr>
      <w:r>
        <w:rPr>
          <w:rFonts w:hint="eastAsia" w:hAnsi="宋体" w:cs="宋体"/>
          <w:color w:val="auto"/>
          <w:sz w:val="24"/>
          <w:szCs w:val="24"/>
          <w:highlight w:val="none"/>
        </w:rPr>
        <w:t>15.1</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但采购人、采购代理机构不强制或变相强制投标人提交备份投标文件。</w:t>
      </w:r>
    </w:p>
    <w:p w14:paraId="50B90C78">
      <w:pPr>
        <w:pStyle w:val="32"/>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备份投标文件须在“</w:t>
      </w:r>
      <w:r>
        <w:rPr>
          <w:rFonts w:hint="eastAsia" w:hAnsi="宋体" w:cs="宋体"/>
          <w:color w:val="auto"/>
          <w:sz w:val="24"/>
          <w:highlight w:val="none"/>
        </w:rPr>
        <w:t>广西政府采购云平台</w:t>
      </w:r>
      <w:r>
        <w:rPr>
          <w:rFonts w:hint="eastAsia" w:hAnsi="宋体" w:cs="宋体"/>
          <w:color w:val="auto"/>
          <w:sz w:val="24"/>
          <w:szCs w:val="24"/>
          <w:highlight w:val="none"/>
        </w:rPr>
        <w:t>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7DD613B">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直接提交备份投标文件的，投标人应于投标截止时间前在招标公告中载明的开标地点将备份投标文件提交给采购代理机构，采购代理机构将拒绝接受逾期送达的备份投标文件。</w:t>
      </w:r>
    </w:p>
    <w:p w14:paraId="233B6D77">
      <w:pPr>
        <w:pStyle w:val="32"/>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w:t>
      </w:r>
      <w:r>
        <w:rPr>
          <w:rFonts w:hint="eastAsia" w:hAnsi="宋体" w:cs="宋体"/>
          <w:color w:val="auto"/>
          <w:sz w:val="24"/>
          <w:szCs w:val="24"/>
          <w:highlight w:val="none"/>
          <w:lang w:val="en-US" w:eastAsia="zh-CN"/>
        </w:rPr>
        <w:t xml:space="preserve"> </w:t>
      </w:r>
      <w:r>
        <w:rPr>
          <w:rFonts w:hint="eastAsia" w:hAnsi="宋体" w:cs="宋体"/>
          <w:color w:val="auto"/>
          <w:sz w:val="24"/>
          <w:szCs w:val="24"/>
          <w:highlight w:val="none"/>
        </w:rPr>
        <w:t>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送达时间以签收人签收时间为准。采购代理机构将拒绝接受逾期送达的备份投标文件。邮寄过程中，电子备份投标文件发生泄露、遗失、损坏或延期送达等情况的，由投标人自行负责。</w:t>
      </w:r>
    </w:p>
    <w:p w14:paraId="7A98208F">
      <w:pPr>
        <w:pStyle w:val="32"/>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w:t>
      </w:r>
      <w:r>
        <w:rPr>
          <w:rFonts w:hint="eastAsia" w:hAnsi="宋体" w:cs="宋体"/>
          <w:b/>
          <w:color w:val="auto"/>
          <w:sz w:val="24"/>
          <w:szCs w:val="24"/>
          <w:highlight w:val="none"/>
          <w:lang w:val="en-US" w:eastAsia="zh-CN"/>
        </w:rPr>
        <w:t xml:space="preserve"> </w:t>
      </w:r>
      <w:r>
        <w:rPr>
          <w:rFonts w:hint="eastAsia" w:hAnsi="宋体" w:cs="宋体"/>
          <w:b/>
          <w:color w:val="auto"/>
          <w:sz w:val="24"/>
          <w:szCs w:val="24"/>
          <w:highlight w:val="none"/>
        </w:rPr>
        <w:t>投标人仅提交备份投标文件，未在电子交易平台传输递交投标文件的，投标无效。</w:t>
      </w:r>
    </w:p>
    <w:p w14:paraId="75D18324">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16.投标文件的无效处理</w:t>
      </w:r>
    </w:p>
    <w:p w14:paraId="1D470206">
      <w:pPr>
        <w:pStyle w:val="24"/>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562BC5A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17.投标有效期</w:t>
      </w:r>
    </w:p>
    <w:p w14:paraId="74ABB432">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w:t>
      </w:r>
      <w:r>
        <w:rPr>
          <w:rFonts w:hint="eastAsia" w:ascii="宋体" w:hAnsi="宋体" w:cs="宋体"/>
          <w:color w:val="auto"/>
          <w:sz w:val="24"/>
          <w:szCs w:val="20"/>
          <w:highlight w:val="none"/>
          <w:lang w:val="en-US" w:eastAsia="zh-CN"/>
        </w:rPr>
        <w:t xml:space="preserve"> </w:t>
      </w:r>
      <w:r>
        <w:rPr>
          <w:rFonts w:hint="eastAsia" w:ascii="宋体" w:hAnsi="宋体" w:cs="宋体"/>
          <w:color w:val="auto"/>
          <w:sz w:val="24"/>
          <w:szCs w:val="20"/>
          <w:highlight w:val="none"/>
        </w:rPr>
        <w:t>投标有效期为从提交投标文件的截止之日起60天。▲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6C296592">
      <w:pPr>
        <w:pStyle w:val="129"/>
        <w:spacing w:before="0"/>
        <w:ind w:firstLine="480"/>
        <w:rPr>
          <w:rFonts w:ascii="宋体" w:hAnsi="宋体" w:cs="宋体"/>
          <w:color w:val="auto"/>
          <w:highlight w:val="none"/>
        </w:rPr>
      </w:pPr>
      <w:r>
        <w:rPr>
          <w:rFonts w:hint="eastAsia" w:ascii="宋体" w:hAnsi="宋体" w:cs="宋体"/>
          <w:color w:val="auto"/>
          <w:highlight w:val="none"/>
        </w:rPr>
        <w:t>17.2</w:t>
      </w:r>
      <w:r>
        <w:rPr>
          <w:rFonts w:hint="eastAsia" w:ascii="宋体" w:hAnsi="宋体" w:cs="宋体"/>
          <w:color w:val="auto"/>
          <w:highlight w:val="none"/>
          <w:lang w:val="en-US" w:eastAsia="zh-CN"/>
        </w:rPr>
        <w:t xml:space="preserve"> </w:t>
      </w:r>
      <w:r>
        <w:rPr>
          <w:rFonts w:hint="eastAsia" w:ascii="宋体" w:hAnsi="宋体" w:cs="宋体"/>
          <w:color w:val="auto"/>
          <w:highlight w:val="none"/>
        </w:rPr>
        <w:t>投标文件合格投递后，自投标截止日期起，在投标有效期内有效。</w:t>
      </w:r>
    </w:p>
    <w:p w14:paraId="4D1738BC">
      <w:pPr>
        <w:pStyle w:val="129"/>
        <w:spacing w:before="0"/>
        <w:ind w:firstLine="480"/>
        <w:rPr>
          <w:rFonts w:ascii="宋体" w:hAnsi="宋体" w:cs="宋体"/>
          <w:color w:val="auto"/>
          <w:highlight w:val="none"/>
        </w:rPr>
      </w:pPr>
      <w:r>
        <w:rPr>
          <w:rFonts w:hint="eastAsia" w:ascii="宋体" w:hAnsi="宋体" w:cs="宋体"/>
          <w:color w:val="auto"/>
          <w:highlight w:val="none"/>
        </w:rPr>
        <w:t>17.3</w:t>
      </w:r>
      <w:r>
        <w:rPr>
          <w:rFonts w:hint="eastAsia" w:ascii="宋体" w:hAnsi="宋体" w:cs="宋体"/>
          <w:color w:val="auto"/>
          <w:highlight w:val="none"/>
          <w:lang w:val="en-US" w:eastAsia="zh-CN"/>
        </w:rPr>
        <w:t xml:space="preserve"> </w:t>
      </w:r>
      <w:r>
        <w:rPr>
          <w:rFonts w:hint="eastAsia" w:ascii="宋体" w:hAnsi="宋体" w:cs="宋体"/>
          <w:color w:val="auto"/>
          <w:highlight w:val="none"/>
        </w:rPr>
        <w:t>在原定投标有效期满之前，如果出现特殊情况，采购人或采购代理机构可以以书面形式通知所有投标人延长投标有效期。投标人同意延长的，不得要求或被允许修改其投标文件，投标人拒绝延长的，其投标无效。</w:t>
      </w:r>
    </w:p>
    <w:p w14:paraId="0D73A5C0">
      <w:pPr>
        <w:pStyle w:val="129"/>
        <w:spacing w:before="0"/>
        <w:ind w:firstLine="643"/>
        <w:rPr>
          <w:rFonts w:ascii="宋体" w:hAnsi="宋体" w:cs="宋体"/>
          <w:b/>
          <w:color w:val="auto"/>
          <w:sz w:val="32"/>
          <w:highlight w:val="none"/>
        </w:rPr>
      </w:pPr>
    </w:p>
    <w:p w14:paraId="27B33980">
      <w:pPr>
        <w:pStyle w:val="129"/>
        <w:spacing w:before="0"/>
        <w:ind w:firstLine="1928" w:firstLineChars="600"/>
        <w:outlineLvl w:val="1"/>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E6AF175">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18.开标</w:t>
      </w:r>
    </w:p>
    <w:p w14:paraId="12CB18B6">
      <w:pPr>
        <w:pStyle w:val="55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采购代理机构按照招标文件规定的时间通过电子交易平台组织开标，所有投标人均应当准时在线参加。投标人不足3家的，不得开标。</w:t>
      </w:r>
    </w:p>
    <w:p w14:paraId="102180FC">
      <w:pPr>
        <w:pStyle w:val="554"/>
        <w:keepNext w:val="0"/>
        <w:keepLines w:val="0"/>
        <w:pageBreakBefore w:val="0"/>
        <w:widowControl w:val="0"/>
        <w:kinsoku/>
        <w:wordWrap/>
        <w:overflowPunct/>
        <w:topLinePunct w:val="0"/>
        <w:autoSpaceDE w:val="0"/>
        <w:autoSpaceDN w:val="0"/>
        <w:bidi w:val="0"/>
        <w:adjustRightInd w:val="0"/>
        <w:snapToGrid/>
        <w:spacing w:before="0" w:line="360" w:lineRule="auto"/>
        <w:ind w:left="0" w:firstLine="480" w:firstLineChars="200"/>
        <w:contextualSpacing/>
        <w:textAlignment w:val="auto"/>
        <w:rPr>
          <w:rFonts w:ascii="宋体" w:hAnsi="宋体" w:cs="宋体"/>
          <w:color w:val="auto"/>
          <w:sz w:val="24"/>
          <w:highlight w:val="none"/>
        </w:rPr>
      </w:pPr>
      <w:r>
        <w:rPr>
          <w:rFonts w:hint="eastAsia" w:ascii="宋体" w:hAnsi="宋体" w:cs="宋体"/>
          <w:color w:val="auto"/>
          <w:sz w:val="24"/>
          <w:highlight w:val="none"/>
        </w:rPr>
        <w:t>18.2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开标时，电子交易平台按开标时间自动提取所有投标文件。采购代理机构依托电子交易平台发起开始解密指令，投标人按照平台提示和招标文件的规定在半小时内完成在线解密。</w:t>
      </w:r>
    </w:p>
    <w:p w14:paraId="1A59AB6C">
      <w:pPr>
        <w:pStyle w:val="554"/>
        <w:keepNext w:val="0"/>
        <w:keepLines w:val="0"/>
        <w:pageBreakBefore w:val="0"/>
        <w:widowControl w:val="0"/>
        <w:kinsoku/>
        <w:wordWrap/>
        <w:overflowPunct/>
        <w:topLinePunct w:val="0"/>
        <w:autoSpaceDE w:val="0"/>
        <w:autoSpaceDN w:val="0"/>
        <w:bidi w:val="0"/>
        <w:adjustRightInd w:val="0"/>
        <w:snapToGrid/>
        <w:spacing w:before="0" w:line="360" w:lineRule="auto"/>
        <w:ind w:left="0" w:firstLine="480" w:firstLineChars="200"/>
        <w:contextualSpacing/>
        <w:textAlignment w:val="auto"/>
        <w:rPr>
          <w:rFonts w:ascii="宋体" w:hAnsi="宋体" w:cs="宋体"/>
          <w:b/>
          <w:color w:val="auto"/>
          <w:sz w:val="24"/>
          <w:highlight w:val="none"/>
        </w:rPr>
      </w:pPr>
      <w:r>
        <w:rPr>
          <w:rFonts w:hint="eastAsia" w:ascii="宋体" w:hAnsi="宋体" w:cs="宋体"/>
          <w:color w:val="auto"/>
          <w:sz w:val="24"/>
          <w:highlight w:val="none"/>
        </w:rPr>
        <w:t>18.3</w:t>
      </w:r>
      <w:r>
        <w:rPr>
          <w:rFonts w:hint="eastAsia" w:ascii="宋体" w:hAnsi="宋体" w:cs="宋体"/>
          <w:color w:val="auto"/>
          <w:sz w:val="24"/>
          <w:highlight w:val="none"/>
          <w:lang w:val="en-US" w:eastAsia="zh-CN"/>
        </w:rPr>
        <w:t xml:space="preserve"> </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D0AADD1">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19</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资格审查</w:t>
      </w:r>
    </w:p>
    <w:p w14:paraId="3E0B8D3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kern w:val="0"/>
          <w:sz w:val="24"/>
          <w:highlight w:val="none"/>
          <w:lang w:val="en-US" w:eastAsia="zh-CN"/>
        </w:rPr>
        <w:t xml:space="preserve"> </w:t>
      </w:r>
      <w:r>
        <w:rPr>
          <w:rFonts w:hint="eastAsia" w:ascii="宋体" w:hAnsi="宋体" w:cs="宋体"/>
          <w:color w:val="auto"/>
          <w:sz w:val="24"/>
          <w:highlight w:val="none"/>
        </w:rPr>
        <w:t>采购人或采购代理机构依据法律法规和招标文件的规定，对投标人的资格进行审查。</w:t>
      </w:r>
    </w:p>
    <w:p w14:paraId="65FAEBA3">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19.2</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182A1EB8">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w:t>
      </w:r>
      <w:r>
        <w:rPr>
          <w:rFonts w:hint="eastAsia" w:ascii="宋体" w:hAnsi="宋体" w:cs="宋体"/>
          <w:color w:val="auto"/>
          <w:highlight w:val="none"/>
          <w:lang w:val="en-US" w:eastAsia="zh-CN"/>
        </w:rPr>
        <w:t xml:space="preserve"> </w:t>
      </w:r>
      <w:r>
        <w:rPr>
          <w:rFonts w:hint="eastAsia" w:ascii="宋体" w:hAnsi="宋体" w:cs="宋体"/>
          <w:color w:val="auto"/>
          <w:highlight w:val="none"/>
        </w:rPr>
        <w:t>对未通过资格审查的投标人，采购人或采购代理机构告知其未通过的原因。</w:t>
      </w:r>
    </w:p>
    <w:p w14:paraId="5BEF9BE2">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w:t>
      </w:r>
      <w:r>
        <w:rPr>
          <w:rFonts w:hint="eastAsia" w:ascii="宋体" w:hAnsi="宋体" w:cs="宋体"/>
          <w:color w:val="auto"/>
          <w:highlight w:val="none"/>
          <w:lang w:val="en-US" w:eastAsia="zh-CN"/>
        </w:rPr>
        <w:t xml:space="preserve"> </w:t>
      </w:r>
      <w:r>
        <w:rPr>
          <w:rFonts w:hint="eastAsia" w:ascii="宋体" w:hAnsi="宋体" w:cs="宋体"/>
          <w:color w:val="auto"/>
          <w:highlight w:val="none"/>
        </w:rPr>
        <w:t>合格投标人不足3家的，不再评标。</w:t>
      </w:r>
    </w:p>
    <w:p w14:paraId="7B59C262">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20</w:t>
      </w:r>
      <w:r>
        <w:rPr>
          <w:rFonts w:hint="eastAsia" w:hAnsi="宋体" w:cs="宋体"/>
          <w:b/>
          <w:color w:val="auto"/>
          <w:sz w:val="24"/>
          <w:szCs w:val="24"/>
          <w:highlight w:val="none"/>
          <w:lang w:val="en-US" w:eastAsia="zh-CN"/>
        </w:rPr>
        <w:t>.</w:t>
      </w:r>
      <w:r>
        <w:rPr>
          <w:rFonts w:hint="eastAsia" w:hAnsi="宋体" w:cs="宋体"/>
          <w:b/>
          <w:color w:val="auto"/>
          <w:sz w:val="24"/>
          <w:szCs w:val="24"/>
          <w:highlight w:val="none"/>
        </w:rPr>
        <w:t>信用信息查询</w:t>
      </w:r>
    </w:p>
    <w:p w14:paraId="0905D81E">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信用信息查询渠道及截止时间：采购人或采购代理机构将在资格审查时通过“信用中国”网站(www.creditchina.gov.cn)、中国政府采购网(www.ccgp.gov.cn)渠道查询投标人接受资格时的信用记录。</w:t>
      </w:r>
    </w:p>
    <w:p w14:paraId="6F7AAD4A">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信用信息查询记录和证据留存的具体方式：现场查询的投标人的信用记录、查询结果经确认后将与采购文件一起存档。</w:t>
      </w:r>
    </w:p>
    <w:p w14:paraId="4E57C30B">
      <w:pPr>
        <w:pStyle w:val="129"/>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信用信息的使用规则：经查询列入失信被执行人名单、重大税收违法案件当事人名单、政府采购严重违法失信行为记录名单的投标人将被拒绝参与政府采购活动。</w:t>
      </w:r>
    </w:p>
    <w:p w14:paraId="6600D886">
      <w:pPr>
        <w:pStyle w:val="129"/>
        <w:spacing w:before="0"/>
        <w:ind w:firstLine="480"/>
        <w:rPr>
          <w:rFonts w:ascii="宋体" w:hAnsi="宋体" w:cs="宋体"/>
          <w:color w:val="auto"/>
          <w:highlight w:val="none"/>
        </w:rPr>
      </w:pPr>
      <w:r>
        <w:rPr>
          <w:rFonts w:hint="eastAsia" w:ascii="宋体" w:hAnsi="宋体" w:cs="宋体"/>
          <w:color w:val="auto"/>
          <w:kern w:val="0"/>
          <w:szCs w:val="24"/>
          <w:highlight w:val="none"/>
        </w:rPr>
        <w:t>20.4</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128F101F">
      <w:pPr>
        <w:pStyle w:val="129"/>
        <w:spacing w:before="0"/>
        <w:ind w:firstLine="0" w:firstLineChars="0"/>
        <w:rPr>
          <w:rFonts w:ascii="宋体" w:hAnsi="宋体" w:cs="宋体"/>
          <w:color w:val="auto"/>
          <w:kern w:val="0"/>
          <w:szCs w:val="24"/>
          <w:highlight w:val="none"/>
        </w:rPr>
      </w:pPr>
    </w:p>
    <w:p w14:paraId="6279B0EF">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5E14B22E">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bookmarkStart w:id="19" w:name="_Toc91899903"/>
      <w:r>
        <w:rPr>
          <w:rFonts w:hint="eastAsia" w:hAnsi="宋体" w:cs="宋体"/>
          <w:b/>
          <w:color w:val="auto"/>
          <w:sz w:val="24"/>
          <w:szCs w:val="24"/>
          <w:highlight w:val="none"/>
        </w:rPr>
        <w:t>21.评标</w:t>
      </w:r>
    </w:p>
    <w:p w14:paraId="49530FC2">
      <w:pPr>
        <w:pStyle w:val="83"/>
        <w:rPr>
          <w:color w:val="auto"/>
          <w:highlight w:val="none"/>
        </w:rPr>
      </w:pPr>
      <w:r>
        <w:rPr>
          <w:rFonts w:hint="eastAsia"/>
          <w:color w:val="auto"/>
          <w:highlight w:val="none"/>
        </w:rPr>
        <w:t>21.1</w:t>
      </w:r>
      <w:r>
        <w:rPr>
          <w:rFonts w:hint="eastAsia"/>
          <w:color w:val="auto"/>
          <w:highlight w:val="none"/>
          <w:lang w:val="en-US" w:eastAsia="zh-CN"/>
        </w:rPr>
        <w:t xml:space="preserve"> </w:t>
      </w:r>
      <w:r>
        <w:rPr>
          <w:rFonts w:hint="eastAsia"/>
          <w:color w:val="auto"/>
          <w:highlight w:val="none"/>
        </w:rPr>
        <w:t>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14:paraId="38F17D7C">
      <w:pPr>
        <w:spacing w:line="360" w:lineRule="auto"/>
        <w:ind w:firstLine="482" w:firstLineChars="200"/>
        <w:rPr>
          <w:rFonts w:cs="宋体" w:asciiTheme="minorEastAsia" w:hAnsiTheme="minorEastAsia" w:eastAsiaTheme="minorEastAsia"/>
          <w:b/>
          <w:color w:val="auto"/>
          <w:sz w:val="24"/>
          <w:highlight w:val="none"/>
        </w:rPr>
      </w:pPr>
      <w:r>
        <w:rPr>
          <w:rFonts w:hint="eastAsia" w:ascii="宋体" w:hAnsi="宋体" w:cs="宋体"/>
          <w:b/>
          <w:color w:val="auto"/>
          <w:sz w:val="24"/>
          <w:highlight w:val="none"/>
        </w:rPr>
        <w:t>21.2</w:t>
      </w:r>
      <w:r>
        <w:rPr>
          <w:rFonts w:hint="eastAsia" w:ascii="宋体" w:hAnsi="宋体" w:cs="宋体"/>
          <w:b/>
          <w:color w:val="auto"/>
          <w:sz w:val="24"/>
          <w:highlight w:val="none"/>
          <w:lang w:val="en-US" w:eastAsia="zh-CN"/>
        </w:rPr>
        <w:t xml:space="preserve"> </w:t>
      </w:r>
      <w:r>
        <w:rPr>
          <w:rFonts w:hint="eastAsia" w:cs="宋体" w:asciiTheme="minorEastAsia" w:hAnsiTheme="minorEastAsia" w:eastAsiaTheme="minorEastAsia"/>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cs="宋体" w:asciiTheme="minorEastAsia" w:hAnsiTheme="minorEastAsia" w:eastAsiaTheme="minorEastAsia"/>
          <w:b/>
          <w:color w:val="auto"/>
          <w:sz w:val="24"/>
          <w:highlight w:val="none"/>
        </w:rPr>
        <w:t>详见招标文件第四部分评标办法。</w:t>
      </w:r>
    </w:p>
    <w:p w14:paraId="230B788A">
      <w:pPr>
        <w:spacing w:line="360" w:lineRule="auto"/>
        <w:rPr>
          <w:rFonts w:ascii="宋体" w:hAnsi="宋体" w:cs="宋体"/>
          <w:b/>
          <w:color w:val="auto"/>
          <w:sz w:val="24"/>
          <w:highlight w:val="none"/>
        </w:rPr>
      </w:pPr>
    </w:p>
    <w:p w14:paraId="331C0FC8">
      <w:pPr>
        <w:snapToGrid w:val="0"/>
        <w:spacing w:line="360" w:lineRule="auto"/>
        <w:jc w:val="center"/>
        <w:outlineLvl w:val="1"/>
        <w:rPr>
          <w:rFonts w:ascii="宋体" w:hAnsi="宋体" w:cs="宋体"/>
          <w:b/>
          <w:color w:val="auto"/>
          <w:sz w:val="36"/>
          <w:szCs w:val="36"/>
          <w:highlight w:val="none"/>
        </w:rPr>
      </w:pPr>
      <w:r>
        <w:rPr>
          <w:rFonts w:hint="eastAsia" w:ascii="宋体" w:hAnsi="宋体" w:cs="宋体"/>
          <w:b/>
          <w:color w:val="auto"/>
          <w:sz w:val="36"/>
          <w:szCs w:val="36"/>
          <w:highlight w:val="none"/>
        </w:rPr>
        <w:t>六、定标</w:t>
      </w:r>
    </w:p>
    <w:p w14:paraId="7415660E">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22.确定中标供应商</w:t>
      </w:r>
    </w:p>
    <w:p w14:paraId="31AC6C38">
      <w:pPr>
        <w:pStyle w:val="129"/>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14:paraId="7AF39430">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23.中标通知与中标结果公告</w:t>
      </w:r>
    </w:p>
    <w:p w14:paraId="0B4B7C0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自中标人确定之日起2个工作日内，采购代理机构通过电子交易平台向中标人发出中标通知书，同时编制发布采购结果公告。采购代理机构也可以以纸质形式进行中标通知。</w:t>
      </w:r>
    </w:p>
    <w:p w14:paraId="208265D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中标结果公告内容包括采购人及其委托的采购代理机构的名称、地址、联系方式，项目名称和项目编号，中标人名称、地址和中标金额，主要中标标的的名称、规格型号、数量、单价、服务要求，开标记录、评审专家抽取规则、未中标情况说明、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14:paraId="38946D41">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公告期限为1个工作日。</w:t>
      </w:r>
    </w:p>
    <w:p w14:paraId="379F39F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150"/>
        <w:jc w:val="center"/>
        <w:textAlignment w:val="auto"/>
        <w:rPr>
          <w:rFonts w:ascii="宋体" w:hAnsi="宋体" w:cs="宋体"/>
          <w:b/>
          <w:color w:val="auto"/>
          <w:sz w:val="32"/>
          <w:highlight w:val="none"/>
        </w:rPr>
      </w:pPr>
    </w:p>
    <w:p w14:paraId="0A67285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150"/>
        <w:jc w:val="center"/>
        <w:textAlignment w:val="auto"/>
        <w:outlineLvl w:val="1"/>
        <w:rPr>
          <w:rFonts w:ascii="宋体" w:hAnsi="宋体" w:cs="宋体"/>
          <w:b/>
          <w:color w:val="auto"/>
          <w:sz w:val="32"/>
          <w:highlight w:val="none"/>
        </w:rPr>
      </w:pPr>
      <w:r>
        <w:rPr>
          <w:rFonts w:hint="eastAsia" w:ascii="宋体" w:hAnsi="宋体" w:cs="宋体"/>
          <w:b/>
          <w:color w:val="auto"/>
          <w:sz w:val="32"/>
          <w:highlight w:val="none"/>
        </w:rPr>
        <w:t>七、合同授予</w:t>
      </w:r>
    </w:p>
    <w:p w14:paraId="58286854">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24.合同主要条款详见第五部分拟签订的合同文本。</w:t>
      </w:r>
    </w:p>
    <w:p w14:paraId="180EB5EA">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25.合同的签订</w:t>
      </w:r>
    </w:p>
    <w:p w14:paraId="7156C66C">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lang w:val="en-US" w:eastAsia="zh-CN"/>
        </w:rPr>
        <w:t xml:space="preserve"> </w:t>
      </w:r>
      <w:r>
        <w:rPr>
          <w:rFonts w:hint="eastAsia" w:ascii="宋体" w:hAnsi="宋体" w:cs="宋体"/>
          <w:color w:val="auto"/>
          <w:kern w:val="0"/>
          <w:sz w:val="24"/>
          <w:highlight w:val="none"/>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CBFCB64">
      <w:pPr>
        <w:pStyle w:val="129"/>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lang w:val="zh-CN"/>
        </w:rPr>
        <w:t>中标人按规定的日期、时间、地点，由法定代表人或其授权代表与采购人代表签订合同。如中标人为联合体的，由联合体成员各方法定代表人或其授权代表与采购人代表签订合同。</w:t>
      </w:r>
    </w:p>
    <w:p w14:paraId="2D78901B">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25.3</w:t>
      </w:r>
      <w:r>
        <w:rPr>
          <w:rFonts w:hint="eastAsia" w:ascii="宋体" w:hAnsi="宋体" w:cs="宋体"/>
          <w:color w:val="auto"/>
          <w:highlight w:val="none"/>
          <w:lang w:val="en-US" w:eastAsia="zh-CN"/>
        </w:rPr>
        <w:t xml:space="preserve"> </w:t>
      </w:r>
      <w:r>
        <w:rPr>
          <w:rFonts w:hint="eastAsia" w:ascii="宋体" w:hAnsi="宋体" w:cs="宋体"/>
          <w:color w:val="auto"/>
          <w:highlight w:val="none"/>
        </w:rPr>
        <w:t>如签订合同并生效后，供应商无故拒绝或延期，除按照合同条款处理外，列入不良行为记录一次，并给予通报。</w:t>
      </w:r>
    </w:p>
    <w:p w14:paraId="4BF56610">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25.4</w:t>
      </w:r>
      <w:r>
        <w:rPr>
          <w:rFonts w:hint="eastAsia" w:ascii="宋体" w:hAnsi="宋体" w:cs="宋体"/>
          <w:color w:val="auto"/>
          <w:highlight w:val="none"/>
          <w:lang w:val="en-US" w:eastAsia="zh-CN"/>
        </w:rPr>
        <w:t xml:space="preserve"> </w:t>
      </w:r>
      <w:r>
        <w:rPr>
          <w:rFonts w:hint="eastAsia" w:ascii="宋体" w:hAnsi="宋体" w:cs="宋体"/>
          <w:color w:val="auto"/>
          <w:highlight w:val="none"/>
        </w:rPr>
        <w:t>中标供应商拒绝与采购人签订合同的，采购人可以按照评审报告推荐的中标候选人名单排序，确定下一候选人为中标供应商，也可以重新开展政府采购活动。</w:t>
      </w:r>
    </w:p>
    <w:p w14:paraId="73AABC9A">
      <w:pPr>
        <w:pStyle w:val="129"/>
        <w:snapToGrid w:val="0"/>
        <w:spacing w:before="0"/>
        <w:ind w:firstLine="480"/>
        <w:rPr>
          <w:rFonts w:hint="eastAsia" w:ascii="宋体" w:hAnsi="宋体" w:cs="宋体"/>
          <w:color w:val="auto"/>
          <w:highlight w:val="none"/>
        </w:rPr>
      </w:pPr>
      <w:r>
        <w:rPr>
          <w:rFonts w:hint="eastAsia" w:ascii="宋体" w:hAnsi="宋体" w:cs="宋体"/>
          <w:color w:val="auto"/>
          <w:highlight w:val="none"/>
        </w:rPr>
        <w:t>25.5</w:t>
      </w:r>
      <w:r>
        <w:rPr>
          <w:rFonts w:hint="eastAsia" w:ascii="宋体" w:hAnsi="宋体" w:cs="宋体"/>
          <w:color w:val="auto"/>
          <w:highlight w:val="none"/>
          <w:lang w:val="en-US" w:eastAsia="zh-CN"/>
        </w:rPr>
        <w:t xml:space="preserve"> </w:t>
      </w:r>
      <w:r>
        <w:rPr>
          <w:rFonts w:hint="eastAsia" w:ascii="宋体" w:hAnsi="宋体" w:cs="宋体"/>
          <w:color w:val="auto"/>
          <w:highlight w:val="none"/>
        </w:rPr>
        <w:t>采购合同由采购人与中标供应商根据招标文件、投标文件等内容通过政府采购电子交易平台在线签订，自动备案。</w:t>
      </w:r>
    </w:p>
    <w:p w14:paraId="3D824984">
      <w:pPr>
        <w:pStyle w:val="129"/>
        <w:snapToGrid w:val="0"/>
        <w:spacing w:before="0"/>
        <w:ind w:firstLine="480"/>
        <w:rPr>
          <w:rFonts w:hint="eastAsia" w:ascii="宋体" w:hAnsi="宋体" w:cs="宋体"/>
          <w:color w:val="auto"/>
          <w:highlight w:val="none"/>
        </w:rPr>
      </w:pPr>
      <w:r>
        <w:rPr>
          <w:rFonts w:hint="eastAsia" w:ascii="宋体" w:hAnsi="宋体" w:cs="宋体"/>
          <w:color w:val="auto"/>
          <w:highlight w:val="none"/>
        </w:rPr>
        <w:t>25.6</w:t>
      </w:r>
      <w:r>
        <w:rPr>
          <w:rFonts w:hint="eastAsia" w:ascii="宋体" w:hAnsi="宋体" w:cs="宋体"/>
          <w:color w:val="auto"/>
          <w:highlight w:val="none"/>
          <w:lang w:val="en-US" w:eastAsia="zh-CN"/>
        </w:rPr>
        <w:t xml:space="preserve"> </w:t>
      </w:r>
      <w:r>
        <w:rPr>
          <w:rFonts w:hint="eastAsia" w:ascii="宋体" w:hAnsi="宋体" w:cs="宋体"/>
          <w:color w:val="auto"/>
          <w:highlight w:val="none"/>
        </w:rPr>
        <w:t>政采贷</w:t>
      </w:r>
    </w:p>
    <w:p w14:paraId="1CF67669">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FE80613">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一）融资申请。有融资需求的供应商取得《中标通知书》后，在签订采购合同前，向贷款金融机构递交融资申请表。中标供应商可以根据贷款需求等实际情况选择是否需要北海市小微企业融资担保有限公司提供担保增信，如需要提供担保增信则同时向北海市小微企业融资担保有限公司递交融资申请表。</w:t>
      </w:r>
    </w:p>
    <w:p w14:paraId="75DD6700">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0C7385E5">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2BC9ED1">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（四）贷款发放。贷款金融机构根据贷款协议向供应商发放贷款。</w:t>
      </w:r>
    </w:p>
    <w:p w14:paraId="2684E796">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69E9EBD3">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（六）业务终止。贷款偿清后，贷款金融机构或北海市小微企业融资担保有限公司及时办理应收账款质押注销登记，业务终止。</w:t>
      </w:r>
    </w:p>
    <w:p w14:paraId="67BA659C">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注：相关合作银行的具体操作流程详见北海市政府采购中心首页“政采贷”板块。</w:t>
      </w:r>
    </w:p>
    <w:p w14:paraId="329BF794">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10C3FB3">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供应商中标后可在“广西政府采购云”平台申请政采贷：操作路径：登录广西政府采购云平台-金融服务中心-【融资服务】，可在热门申请中选择产品直接申请。详见如下：</w:t>
      </w:r>
    </w:p>
    <w:p w14:paraId="6AB1A629">
      <w:pPr>
        <w:pStyle w:val="83"/>
        <w:rPr>
          <w:color w:val="auto"/>
          <w:highlight w:val="none"/>
        </w:rPr>
      </w:pPr>
      <w:r>
        <w:rPr>
          <w:rFonts w:hint="eastAsia"/>
          <w:color w:val="auto"/>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Style w:val="76"/>
          <w:rFonts w:ascii="宋体" w:hAnsi="宋体" w:eastAsia="宋体" w:cs="Times New Roman"/>
          <w:snapToGrid/>
          <w:color w:val="auto"/>
          <w:sz w:val="24"/>
          <w:szCs w:val="20"/>
          <w:highlight w:val="none"/>
        </w:rPr>
        <w:t>https://jinrong.gcy.zfcg.gxzf.gov.cn/finance/loan/gx</w:t>
      </w:r>
      <w:r>
        <w:rPr>
          <w:rStyle w:val="76"/>
          <w:rFonts w:ascii="宋体" w:hAnsi="宋体" w:eastAsia="宋体" w:cs="Times New Roman"/>
          <w:snapToGrid/>
          <w:color w:val="auto"/>
          <w:sz w:val="24"/>
          <w:szCs w:val="20"/>
          <w:highlight w:val="none"/>
        </w:rPr>
        <w:fldChar w:fldCharType="end"/>
      </w:r>
      <w:r>
        <w:rPr>
          <w:rFonts w:hint="eastAsia"/>
          <w:color w:val="auto"/>
          <w:highlight w:val="none"/>
        </w:rPr>
        <w:t>）</w:t>
      </w:r>
    </w:p>
    <w:p w14:paraId="1D64525D">
      <w:pPr>
        <w:pStyle w:val="83"/>
        <w:rPr>
          <w:color w:val="auto"/>
          <w:highlight w:val="none"/>
        </w:rPr>
      </w:pPr>
      <w:r>
        <w:rPr>
          <w:rFonts w:hint="eastAsia"/>
          <w:color w:val="auto"/>
          <w:highlight w:val="none"/>
        </w:rPr>
        <w:t>2.合作银行咨询办理</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6058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242" w:type="dxa"/>
            <w:vAlign w:val="center"/>
          </w:tcPr>
          <w:p w14:paraId="04579096">
            <w:pPr>
              <w:pStyle w:val="83"/>
              <w:ind w:firstLine="0"/>
              <w:jc w:val="center"/>
              <w:rPr>
                <w:color w:val="auto"/>
                <w:highlight w:val="none"/>
              </w:rPr>
            </w:pPr>
            <w:r>
              <w:rPr>
                <w:rFonts w:hint="eastAsia"/>
                <w:color w:val="auto"/>
                <w:highlight w:val="none"/>
              </w:rPr>
              <w:t>银行名称</w:t>
            </w:r>
          </w:p>
        </w:tc>
        <w:tc>
          <w:tcPr>
            <w:tcW w:w="1134" w:type="dxa"/>
            <w:vAlign w:val="center"/>
          </w:tcPr>
          <w:p w14:paraId="2E1EF39A">
            <w:pPr>
              <w:pStyle w:val="83"/>
              <w:ind w:firstLine="0"/>
              <w:jc w:val="center"/>
              <w:rPr>
                <w:color w:val="auto"/>
                <w:highlight w:val="none"/>
              </w:rPr>
            </w:pPr>
            <w:r>
              <w:rPr>
                <w:rFonts w:hint="eastAsia"/>
                <w:color w:val="auto"/>
                <w:highlight w:val="none"/>
              </w:rPr>
              <w:t>联系电话</w:t>
            </w:r>
          </w:p>
        </w:tc>
        <w:tc>
          <w:tcPr>
            <w:tcW w:w="1701" w:type="dxa"/>
            <w:vAlign w:val="center"/>
          </w:tcPr>
          <w:p w14:paraId="07785493">
            <w:pPr>
              <w:pStyle w:val="83"/>
              <w:ind w:firstLine="0"/>
              <w:jc w:val="center"/>
              <w:rPr>
                <w:color w:val="auto"/>
                <w:highlight w:val="none"/>
              </w:rPr>
            </w:pPr>
            <w:r>
              <w:rPr>
                <w:rFonts w:hint="eastAsia"/>
                <w:color w:val="auto"/>
                <w:highlight w:val="none"/>
              </w:rPr>
              <w:t>最高授信金额</w:t>
            </w:r>
          </w:p>
        </w:tc>
        <w:tc>
          <w:tcPr>
            <w:tcW w:w="993" w:type="dxa"/>
            <w:vAlign w:val="center"/>
          </w:tcPr>
          <w:p w14:paraId="4996676A">
            <w:pPr>
              <w:pStyle w:val="83"/>
              <w:ind w:firstLine="0"/>
              <w:jc w:val="center"/>
              <w:rPr>
                <w:color w:val="auto"/>
                <w:highlight w:val="none"/>
              </w:rPr>
            </w:pPr>
            <w:r>
              <w:rPr>
                <w:rFonts w:hint="eastAsia"/>
                <w:color w:val="auto"/>
                <w:highlight w:val="none"/>
              </w:rPr>
              <w:t>最长授信期限</w:t>
            </w:r>
          </w:p>
        </w:tc>
        <w:tc>
          <w:tcPr>
            <w:tcW w:w="850" w:type="dxa"/>
            <w:vAlign w:val="center"/>
          </w:tcPr>
          <w:p w14:paraId="446A6122">
            <w:pPr>
              <w:pStyle w:val="83"/>
              <w:ind w:firstLine="0"/>
              <w:jc w:val="center"/>
              <w:rPr>
                <w:color w:val="auto"/>
                <w:highlight w:val="none"/>
              </w:rPr>
            </w:pPr>
            <w:r>
              <w:rPr>
                <w:rFonts w:hint="eastAsia"/>
                <w:color w:val="auto"/>
                <w:highlight w:val="none"/>
              </w:rPr>
              <w:t>最低利率</w:t>
            </w:r>
          </w:p>
        </w:tc>
        <w:tc>
          <w:tcPr>
            <w:tcW w:w="3366" w:type="dxa"/>
            <w:vAlign w:val="center"/>
          </w:tcPr>
          <w:p w14:paraId="67DD9AFF">
            <w:pPr>
              <w:pStyle w:val="83"/>
              <w:ind w:firstLine="0"/>
              <w:jc w:val="center"/>
              <w:rPr>
                <w:color w:val="auto"/>
                <w:highlight w:val="none"/>
              </w:rPr>
            </w:pPr>
            <w:r>
              <w:rPr>
                <w:rFonts w:hint="eastAsia"/>
                <w:color w:val="auto"/>
                <w:highlight w:val="none"/>
              </w:rPr>
              <w:t>流程简介</w:t>
            </w:r>
          </w:p>
        </w:tc>
      </w:tr>
      <w:tr w14:paraId="318E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1C8DD41">
            <w:pPr>
              <w:pStyle w:val="83"/>
              <w:ind w:firstLine="0"/>
              <w:jc w:val="center"/>
              <w:rPr>
                <w:color w:val="auto"/>
                <w:highlight w:val="none"/>
              </w:rPr>
            </w:pPr>
            <w:r>
              <w:rPr>
                <w:rFonts w:hint="eastAsia"/>
                <w:color w:val="auto"/>
                <w:highlight w:val="none"/>
              </w:rPr>
              <w:t>建设银行</w:t>
            </w:r>
          </w:p>
        </w:tc>
        <w:tc>
          <w:tcPr>
            <w:tcW w:w="1134" w:type="dxa"/>
            <w:vAlign w:val="center"/>
          </w:tcPr>
          <w:p w14:paraId="0ECC6B46">
            <w:pPr>
              <w:pStyle w:val="83"/>
              <w:ind w:firstLine="0"/>
              <w:jc w:val="center"/>
              <w:rPr>
                <w:color w:val="auto"/>
                <w:highlight w:val="none"/>
              </w:rPr>
            </w:pPr>
            <w:r>
              <w:rPr>
                <w:rFonts w:hint="eastAsia"/>
                <w:color w:val="auto"/>
                <w:highlight w:val="none"/>
              </w:rPr>
              <w:t>13077729988</w:t>
            </w:r>
          </w:p>
        </w:tc>
        <w:tc>
          <w:tcPr>
            <w:tcW w:w="1701" w:type="dxa"/>
            <w:vAlign w:val="center"/>
          </w:tcPr>
          <w:p w14:paraId="603525FE">
            <w:pPr>
              <w:pStyle w:val="83"/>
              <w:ind w:firstLine="0"/>
              <w:rPr>
                <w:color w:val="auto"/>
                <w:highlight w:val="none"/>
              </w:rPr>
            </w:pPr>
            <w:r>
              <w:rPr>
                <w:rFonts w:hint="eastAsia"/>
                <w:color w:val="auto"/>
                <w:highlight w:val="none"/>
              </w:rPr>
              <w:t>最高3千万</w:t>
            </w:r>
          </w:p>
        </w:tc>
        <w:tc>
          <w:tcPr>
            <w:tcW w:w="993" w:type="dxa"/>
            <w:vAlign w:val="center"/>
          </w:tcPr>
          <w:p w14:paraId="172D9EB5">
            <w:pPr>
              <w:pStyle w:val="83"/>
              <w:ind w:firstLine="0"/>
              <w:jc w:val="center"/>
              <w:rPr>
                <w:color w:val="auto"/>
                <w:highlight w:val="none"/>
              </w:rPr>
            </w:pPr>
            <w:r>
              <w:rPr>
                <w:rFonts w:hint="eastAsia"/>
                <w:color w:val="auto"/>
                <w:highlight w:val="none"/>
              </w:rPr>
              <w:t>1年</w:t>
            </w:r>
          </w:p>
        </w:tc>
        <w:tc>
          <w:tcPr>
            <w:tcW w:w="850" w:type="dxa"/>
            <w:vAlign w:val="center"/>
          </w:tcPr>
          <w:p w14:paraId="2262FF57">
            <w:pPr>
              <w:pStyle w:val="83"/>
              <w:ind w:firstLine="0"/>
              <w:jc w:val="center"/>
              <w:rPr>
                <w:color w:val="auto"/>
                <w:highlight w:val="none"/>
              </w:rPr>
            </w:pPr>
            <w:r>
              <w:rPr>
                <w:rFonts w:hint="eastAsia"/>
                <w:color w:val="auto"/>
                <w:highlight w:val="none"/>
              </w:rPr>
              <w:t>4%</w:t>
            </w:r>
          </w:p>
        </w:tc>
        <w:tc>
          <w:tcPr>
            <w:tcW w:w="3366" w:type="dxa"/>
            <w:vAlign w:val="center"/>
          </w:tcPr>
          <w:p w14:paraId="599CCB42">
            <w:pPr>
              <w:pStyle w:val="83"/>
              <w:ind w:firstLine="0"/>
              <w:rPr>
                <w:color w:val="auto"/>
                <w:highlight w:val="none"/>
              </w:rPr>
            </w:pPr>
            <w:r>
              <w:rPr>
                <w:rFonts w:hint="eastAsia"/>
                <w:color w:val="auto"/>
                <w:highlight w:val="none"/>
              </w:rPr>
              <w:t>开设账号，线下提供申请材料，进入贷款审批流程，贷款审批通过后可自主用款，银行官方网银可自主还款。</w:t>
            </w:r>
          </w:p>
        </w:tc>
      </w:tr>
      <w:tr w14:paraId="14EAE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A967FD3">
            <w:pPr>
              <w:pStyle w:val="83"/>
              <w:ind w:firstLine="0"/>
              <w:jc w:val="center"/>
              <w:rPr>
                <w:color w:val="auto"/>
                <w:highlight w:val="none"/>
              </w:rPr>
            </w:pPr>
            <w:r>
              <w:rPr>
                <w:rFonts w:hint="eastAsia"/>
                <w:color w:val="auto"/>
                <w:highlight w:val="none"/>
              </w:rPr>
              <w:t>中国银行</w:t>
            </w:r>
          </w:p>
        </w:tc>
        <w:tc>
          <w:tcPr>
            <w:tcW w:w="1134" w:type="dxa"/>
            <w:vAlign w:val="center"/>
          </w:tcPr>
          <w:p w14:paraId="29B3C865">
            <w:pPr>
              <w:pStyle w:val="83"/>
              <w:ind w:firstLine="0"/>
              <w:jc w:val="center"/>
              <w:rPr>
                <w:color w:val="auto"/>
                <w:highlight w:val="none"/>
              </w:rPr>
            </w:pPr>
            <w:r>
              <w:rPr>
                <w:rFonts w:hint="eastAsia"/>
                <w:color w:val="auto"/>
                <w:highlight w:val="none"/>
              </w:rPr>
              <w:t>0779-3997084</w:t>
            </w:r>
          </w:p>
        </w:tc>
        <w:tc>
          <w:tcPr>
            <w:tcW w:w="1701" w:type="dxa"/>
            <w:vAlign w:val="center"/>
          </w:tcPr>
          <w:p w14:paraId="4024C4E6">
            <w:pPr>
              <w:pStyle w:val="83"/>
              <w:ind w:firstLine="0"/>
              <w:rPr>
                <w:color w:val="auto"/>
                <w:highlight w:val="none"/>
              </w:rPr>
            </w:pPr>
            <w:r>
              <w:rPr>
                <w:rFonts w:hint="eastAsia"/>
                <w:color w:val="auto"/>
                <w:highlight w:val="none"/>
              </w:rPr>
              <w:t>最高1千万</w:t>
            </w:r>
          </w:p>
        </w:tc>
        <w:tc>
          <w:tcPr>
            <w:tcW w:w="993" w:type="dxa"/>
            <w:vAlign w:val="center"/>
          </w:tcPr>
          <w:p w14:paraId="788240B6">
            <w:pPr>
              <w:pStyle w:val="83"/>
              <w:ind w:firstLine="0"/>
              <w:jc w:val="center"/>
              <w:rPr>
                <w:color w:val="auto"/>
                <w:highlight w:val="none"/>
              </w:rPr>
            </w:pPr>
            <w:r>
              <w:rPr>
                <w:rFonts w:hint="eastAsia"/>
                <w:color w:val="auto"/>
                <w:highlight w:val="none"/>
              </w:rPr>
              <w:t>3年</w:t>
            </w:r>
          </w:p>
        </w:tc>
        <w:tc>
          <w:tcPr>
            <w:tcW w:w="850" w:type="dxa"/>
            <w:vAlign w:val="center"/>
          </w:tcPr>
          <w:p w14:paraId="7BC5C081">
            <w:pPr>
              <w:pStyle w:val="83"/>
              <w:ind w:firstLine="0"/>
              <w:jc w:val="center"/>
              <w:rPr>
                <w:color w:val="auto"/>
                <w:highlight w:val="none"/>
              </w:rPr>
            </w:pPr>
            <w:r>
              <w:rPr>
                <w:rFonts w:hint="eastAsia"/>
                <w:color w:val="auto"/>
                <w:highlight w:val="none"/>
              </w:rPr>
              <w:t>1.93%</w:t>
            </w:r>
          </w:p>
        </w:tc>
        <w:tc>
          <w:tcPr>
            <w:tcW w:w="3366" w:type="dxa"/>
            <w:vAlign w:val="center"/>
          </w:tcPr>
          <w:p w14:paraId="7100677A">
            <w:pPr>
              <w:pStyle w:val="83"/>
              <w:ind w:firstLine="0"/>
              <w:rPr>
                <w:color w:val="auto"/>
                <w:highlight w:val="none"/>
              </w:rPr>
            </w:pPr>
            <w:r>
              <w:rPr>
                <w:rFonts w:hint="eastAsia"/>
                <w:color w:val="auto"/>
                <w:highlight w:val="none"/>
              </w:rPr>
              <w:t>在银行开户，线上申请，上传所需材料，等待审批，审批通过后可直接在手机银行提款。</w:t>
            </w:r>
          </w:p>
        </w:tc>
      </w:tr>
      <w:tr w14:paraId="081B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DF5753">
            <w:pPr>
              <w:pStyle w:val="83"/>
              <w:ind w:firstLine="0"/>
              <w:jc w:val="center"/>
              <w:rPr>
                <w:color w:val="auto"/>
                <w:highlight w:val="none"/>
              </w:rPr>
            </w:pPr>
            <w:r>
              <w:rPr>
                <w:rFonts w:hint="eastAsia"/>
                <w:color w:val="auto"/>
                <w:highlight w:val="none"/>
              </w:rPr>
              <w:t>兴业银行</w:t>
            </w:r>
          </w:p>
        </w:tc>
        <w:tc>
          <w:tcPr>
            <w:tcW w:w="1134" w:type="dxa"/>
            <w:vAlign w:val="center"/>
          </w:tcPr>
          <w:p w14:paraId="17D9A5FB">
            <w:pPr>
              <w:pStyle w:val="83"/>
              <w:ind w:firstLine="0"/>
              <w:jc w:val="center"/>
              <w:rPr>
                <w:color w:val="auto"/>
                <w:highlight w:val="none"/>
              </w:rPr>
            </w:pPr>
            <w:r>
              <w:rPr>
                <w:rFonts w:hint="eastAsia"/>
                <w:color w:val="auto"/>
                <w:highlight w:val="none"/>
              </w:rPr>
              <w:t>0779-3158330</w:t>
            </w:r>
          </w:p>
        </w:tc>
        <w:tc>
          <w:tcPr>
            <w:tcW w:w="1701" w:type="dxa"/>
            <w:vAlign w:val="center"/>
          </w:tcPr>
          <w:p w14:paraId="2C6C7B2B">
            <w:pPr>
              <w:pStyle w:val="83"/>
              <w:ind w:firstLine="0"/>
              <w:rPr>
                <w:color w:val="auto"/>
                <w:highlight w:val="none"/>
              </w:rPr>
            </w:pPr>
            <w:r>
              <w:rPr>
                <w:rFonts w:hint="eastAsia"/>
                <w:color w:val="auto"/>
                <w:highlight w:val="none"/>
              </w:rPr>
              <w:t>最高1千万（单笔提款金额达合同金额70%）</w:t>
            </w:r>
          </w:p>
        </w:tc>
        <w:tc>
          <w:tcPr>
            <w:tcW w:w="993" w:type="dxa"/>
            <w:vAlign w:val="center"/>
          </w:tcPr>
          <w:p w14:paraId="105879BA">
            <w:pPr>
              <w:pStyle w:val="83"/>
              <w:ind w:firstLine="0"/>
              <w:jc w:val="center"/>
              <w:rPr>
                <w:color w:val="auto"/>
                <w:highlight w:val="none"/>
              </w:rPr>
            </w:pPr>
            <w:r>
              <w:rPr>
                <w:rFonts w:hint="eastAsia"/>
                <w:color w:val="auto"/>
                <w:highlight w:val="none"/>
              </w:rPr>
              <w:t>1年</w:t>
            </w:r>
          </w:p>
        </w:tc>
        <w:tc>
          <w:tcPr>
            <w:tcW w:w="850" w:type="dxa"/>
            <w:vAlign w:val="center"/>
          </w:tcPr>
          <w:p w14:paraId="658D9EFE">
            <w:pPr>
              <w:pStyle w:val="83"/>
              <w:ind w:firstLine="0"/>
              <w:jc w:val="center"/>
              <w:rPr>
                <w:color w:val="auto"/>
                <w:highlight w:val="none"/>
              </w:rPr>
            </w:pPr>
            <w:r>
              <w:rPr>
                <w:rFonts w:hint="eastAsia"/>
                <w:color w:val="auto"/>
                <w:highlight w:val="none"/>
              </w:rPr>
              <w:t>3.70%</w:t>
            </w:r>
          </w:p>
        </w:tc>
        <w:tc>
          <w:tcPr>
            <w:tcW w:w="3366" w:type="dxa"/>
            <w:vAlign w:val="center"/>
          </w:tcPr>
          <w:p w14:paraId="2B5AB393">
            <w:pPr>
              <w:pStyle w:val="83"/>
              <w:ind w:firstLine="0"/>
              <w:rPr>
                <w:color w:val="auto"/>
                <w:highlight w:val="none"/>
              </w:rPr>
            </w:pPr>
            <w:r>
              <w:rPr>
                <w:rFonts w:hint="eastAsia"/>
                <w:color w:val="auto"/>
                <w:highlight w:val="none"/>
              </w:rPr>
              <w:t>全流程线上，初次申请开立账户，提供营业执照、采购合同、信用材料等，申请复审，签订合同，提交单笔贷款使用需求，贷款到账后受托使用。</w:t>
            </w:r>
          </w:p>
        </w:tc>
      </w:tr>
      <w:tr w14:paraId="6B08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8EF5DC">
            <w:pPr>
              <w:pStyle w:val="83"/>
              <w:ind w:firstLine="0"/>
              <w:jc w:val="center"/>
              <w:rPr>
                <w:color w:val="auto"/>
                <w:highlight w:val="none"/>
              </w:rPr>
            </w:pPr>
            <w:r>
              <w:rPr>
                <w:rFonts w:hint="eastAsia"/>
                <w:color w:val="auto"/>
                <w:highlight w:val="none"/>
              </w:rPr>
              <w:t>工商银行</w:t>
            </w:r>
          </w:p>
        </w:tc>
        <w:tc>
          <w:tcPr>
            <w:tcW w:w="1134" w:type="dxa"/>
            <w:vAlign w:val="center"/>
          </w:tcPr>
          <w:p w14:paraId="40E1C2BA">
            <w:pPr>
              <w:pStyle w:val="83"/>
              <w:ind w:firstLine="0"/>
              <w:jc w:val="center"/>
              <w:rPr>
                <w:color w:val="auto"/>
                <w:highlight w:val="none"/>
              </w:rPr>
            </w:pPr>
            <w:r>
              <w:rPr>
                <w:rFonts w:hint="eastAsia"/>
                <w:color w:val="auto"/>
                <w:highlight w:val="none"/>
              </w:rPr>
              <w:t>0779-3050645</w:t>
            </w:r>
          </w:p>
        </w:tc>
        <w:tc>
          <w:tcPr>
            <w:tcW w:w="1701" w:type="dxa"/>
            <w:vAlign w:val="center"/>
          </w:tcPr>
          <w:p w14:paraId="6C24EB5D">
            <w:pPr>
              <w:pStyle w:val="83"/>
              <w:ind w:firstLine="0"/>
              <w:rPr>
                <w:color w:val="auto"/>
                <w:highlight w:val="none"/>
              </w:rPr>
            </w:pPr>
            <w:r>
              <w:rPr>
                <w:rFonts w:hint="eastAsia"/>
                <w:color w:val="auto"/>
                <w:highlight w:val="none"/>
              </w:rPr>
              <w:t>最高1千万且不超过合同金额70%</w:t>
            </w:r>
          </w:p>
        </w:tc>
        <w:tc>
          <w:tcPr>
            <w:tcW w:w="993" w:type="dxa"/>
            <w:vAlign w:val="center"/>
          </w:tcPr>
          <w:p w14:paraId="1832D271">
            <w:pPr>
              <w:pStyle w:val="83"/>
              <w:ind w:firstLine="0"/>
              <w:jc w:val="center"/>
              <w:rPr>
                <w:color w:val="auto"/>
                <w:highlight w:val="none"/>
              </w:rPr>
            </w:pPr>
            <w:r>
              <w:rPr>
                <w:rFonts w:hint="eastAsia"/>
                <w:color w:val="auto"/>
                <w:highlight w:val="none"/>
              </w:rPr>
              <w:t>货物类1年</w:t>
            </w:r>
          </w:p>
          <w:p w14:paraId="59880E9C">
            <w:pPr>
              <w:pStyle w:val="83"/>
              <w:ind w:firstLine="0"/>
              <w:jc w:val="center"/>
              <w:rPr>
                <w:color w:val="auto"/>
                <w:highlight w:val="none"/>
              </w:rPr>
            </w:pPr>
            <w:r>
              <w:rPr>
                <w:rFonts w:hint="eastAsia"/>
                <w:color w:val="auto"/>
                <w:highlight w:val="none"/>
              </w:rPr>
              <w:t>服务类3年</w:t>
            </w:r>
          </w:p>
          <w:p w14:paraId="2E52E0A0">
            <w:pPr>
              <w:pStyle w:val="83"/>
              <w:ind w:firstLine="0"/>
              <w:jc w:val="center"/>
              <w:rPr>
                <w:color w:val="auto"/>
                <w:highlight w:val="none"/>
              </w:rPr>
            </w:pPr>
            <w:r>
              <w:rPr>
                <w:rFonts w:hint="eastAsia"/>
                <w:color w:val="auto"/>
                <w:highlight w:val="none"/>
              </w:rPr>
              <w:t>工程类5年</w:t>
            </w:r>
          </w:p>
        </w:tc>
        <w:tc>
          <w:tcPr>
            <w:tcW w:w="850" w:type="dxa"/>
            <w:vAlign w:val="center"/>
          </w:tcPr>
          <w:p w14:paraId="56760666">
            <w:pPr>
              <w:pStyle w:val="83"/>
              <w:ind w:firstLine="0"/>
              <w:jc w:val="center"/>
              <w:rPr>
                <w:color w:val="auto"/>
                <w:highlight w:val="none"/>
              </w:rPr>
            </w:pPr>
            <w:r>
              <w:rPr>
                <w:rFonts w:hint="eastAsia"/>
                <w:color w:val="auto"/>
                <w:highlight w:val="none"/>
              </w:rPr>
              <w:t>3.45%</w:t>
            </w:r>
          </w:p>
        </w:tc>
        <w:tc>
          <w:tcPr>
            <w:tcW w:w="3366" w:type="dxa"/>
            <w:vAlign w:val="center"/>
          </w:tcPr>
          <w:p w14:paraId="2A4DDDD2">
            <w:pPr>
              <w:pStyle w:val="83"/>
              <w:ind w:firstLine="0"/>
              <w:rPr>
                <w:color w:val="auto"/>
                <w:highlight w:val="none"/>
              </w:rPr>
            </w:pPr>
            <w:r>
              <w:rPr>
                <w:rFonts w:hint="eastAsia"/>
                <w:color w:val="auto"/>
                <w:highlight w:val="none"/>
              </w:rPr>
              <w:t>为中征系统白名单企业，提供相关要求材料，内部审批后放款自主借还。</w:t>
            </w:r>
          </w:p>
        </w:tc>
      </w:tr>
      <w:tr w14:paraId="36DC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431FF6E">
            <w:pPr>
              <w:pStyle w:val="83"/>
              <w:ind w:firstLine="0"/>
              <w:jc w:val="center"/>
              <w:rPr>
                <w:color w:val="auto"/>
                <w:highlight w:val="none"/>
              </w:rPr>
            </w:pPr>
            <w:r>
              <w:rPr>
                <w:rFonts w:hint="eastAsia"/>
                <w:color w:val="auto"/>
                <w:highlight w:val="none"/>
              </w:rPr>
              <w:t>国民村镇银行</w:t>
            </w:r>
          </w:p>
        </w:tc>
        <w:tc>
          <w:tcPr>
            <w:tcW w:w="1134" w:type="dxa"/>
            <w:vAlign w:val="center"/>
          </w:tcPr>
          <w:p w14:paraId="4529CB6F">
            <w:pPr>
              <w:pStyle w:val="83"/>
              <w:ind w:firstLine="0"/>
              <w:jc w:val="center"/>
              <w:rPr>
                <w:color w:val="auto"/>
                <w:highlight w:val="none"/>
              </w:rPr>
            </w:pPr>
            <w:r>
              <w:rPr>
                <w:rFonts w:hint="eastAsia"/>
                <w:color w:val="auto"/>
                <w:highlight w:val="none"/>
              </w:rPr>
              <w:t>0779-2668801</w:t>
            </w:r>
          </w:p>
        </w:tc>
        <w:tc>
          <w:tcPr>
            <w:tcW w:w="1701" w:type="dxa"/>
            <w:vAlign w:val="center"/>
          </w:tcPr>
          <w:p w14:paraId="6DB67BCC">
            <w:pPr>
              <w:pStyle w:val="83"/>
              <w:ind w:firstLine="0"/>
              <w:rPr>
                <w:color w:val="auto"/>
                <w:highlight w:val="none"/>
              </w:rPr>
            </w:pPr>
            <w:r>
              <w:rPr>
                <w:rFonts w:hint="eastAsia"/>
                <w:color w:val="auto"/>
                <w:highlight w:val="none"/>
              </w:rPr>
              <w:t>最高500万</w:t>
            </w:r>
          </w:p>
        </w:tc>
        <w:tc>
          <w:tcPr>
            <w:tcW w:w="993" w:type="dxa"/>
            <w:vAlign w:val="center"/>
          </w:tcPr>
          <w:p w14:paraId="09880F97">
            <w:pPr>
              <w:pStyle w:val="83"/>
              <w:ind w:firstLine="0"/>
              <w:jc w:val="center"/>
              <w:rPr>
                <w:color w:val="auto"/>
                <w:highlight w:val="none"/>
              </w:rPr>
            </w:pPr>
            <w:r>
              <w:rPr>
                <w:rFonts w:hint="eastAsia"/>
                <w:color w:val="auto"/>
                <w:highlight w:val="none"/>
              </w:rPr>
              <w:t>5年</w:t>
            </w:r>
          </w:p>
        </w:tc>
        <w:tc>
          <w:tcPr>
            <w:tcW w:w="850" w:type="dxa"/>
            <w:vAlign w:val="center"/>
          </w:tcPr>
          <w:p w14:paraId="263039D3">
            <w:pPr>
              <w:pStyle w:val="83"/>
              <w:ind w:firstLine="0"/>
              <w:jc w:val="center"/>
              <w:rPr>
                <w:color w:val="auto"/>
                <w:highlight w:val="none"/>
              </w:rPr>
            </w:pPr>
            <w:r>
              <w:rPr>
                <w:rFonts w:hint="eastAsia"/>
                <w:color w:val="auto"/>
                <w:highlight w:val="none"/>
              </w:rPr>
              <w:t>2.80%</w:t>
            </w:r>
          </w:p>
        </w:tc>
        <w:tc>
          <w:tcPr>
            <w:tcW w:w="3366" w:type="dxa"/>
            <w:vAlign w:val="center"/>
          </w:tcPr>
          <w:p w14:paraId="71CFEF74">
            <w:pPr>
              <w:pStyle w:val="83"/>
              <w:ind w:firstLine="0"/>
              <w:rPr>
                <w:color w:val="auto"/>
                <w:highlight w:val="none"/>
              </w:rPr>
            </w:pPr>
            <w:r>
              <w:rPr>
                <w:rFonts w:hint="eastAsia"/>
                <w:color w:val="auto"/>
                <w:highlight w:val="none"/>
              </w:rPr>
              <w:t>银行开户，线下申请并提供材料，信用良好企业最快1天获批即可提款</w:t>
            </w:r>
          </w:p>
        </w:tc>
      </w:tr>
      <w:tr w14:paraId="0145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604EF70">
            <w:pPr>
              <w:pStyle w:val="83"/>
              <w:ind w:firstLine="0"/>
              <w:jc w:val="center"/>
              <w:rPr>
                <w:color w:val="auto"/>
                <w:highlight w:val="none"/>
              </w:rPr>
            </w:pPr>
            <w:r>
              <w:rPr>
                <w:rFonts w:hint="eastAsia"/>
                <w:color w:val="auto"/>
                <w:highlight w:val="none"/>
              </w:rPr>
              <w:t>桂林银行</w:t>
            </w:r>
          </w:p>
        </w:tc>
        <w:tc>
          <w:tcPr>
            <w:tcW w:w="1134" w:type="dxa"/>
            <w:vAlign w:val="center"/>
          </w:tcPr>
          <w:p w14:paraId="55B8B3AF">
            <w:pPr>
              <w:pStyle w:val="83"/>
              <w:ind w:firstLine="0"/>
              <w:jc w:val="center"/>
              <w:rPr>
                <w:color w:val="auto"/>
                <w:highlight w:val="none"/>
              </w:rPr>
            </w:pPr>
            <w:r>
              <w:rPr>
                <w:rFonts w:hint="eastAsia"/>
                <w:color w:val="auto"/>
                <w:highlight w:val="none"/>
              </w:rPr>
              <w:t>18577993959</w:t>
            </w:r>
          </w:p>
        </w:tc>
        <w:tc>
          <w:tcPr>
            <w:tcW w:w="1701" w:type="dxa"/>
            <w:vAlign w:val="center"/>
          </w:tcPr>
          <w:p w14:paraId="4B21BB98">
            <w:pPr>
              <w:pStyle w:val="83"/>
              <w:ind w:firstLine="0"/>
              <w:rPr>
                <w:color w:val="auto"/>
                <w:highlight w:val="none"/>
              </w:rPr>
            </w:pPr>
            <w:r>
              <w:rPr>
                <w:rFonts w:hint="eastAsia"/>
                <w:color w:val="auto"/>
                <w:highlight w:val="none"/>
              </w:rPr>
              <w:t>最高1千万</w:t>
            </w:r>
          </w:p>
        </w:tc>
        <w:tc>
          <w:tcPr>
            <w:tcW w:w="993" w:type="dxa"/>
            <w:vAlign w:val="center"/>
          </w:tcPr>
          <w:p w14:paraId="6A89F260">
            <w:pPr>
              <w:pStyle w:val="83"/>
              <w:ind w:firstLine="0"/>
              <w:jc w:val="center"/>
              <w:rPr>
                <w:color w:val="auto"/>
                <w:highlight w:val="none"/>
              </w:rPr>
            </w:pPr>
            <w:r>
              <w:rPr>
                <w:rFonts w:hint="eastAsia"/>
                <w:color w:val="auto"/>
                <w:highlight w:val="none"/>
              </w:rPr>
              <w:t>1年</w:t>
            </w:r>
          </w:p>
        </w:tc>
        <w:tc>
          <w:tcPr>
            <w:tcW w:w="850" w:type="dxa"/>
            <w:vAlign w:val="center"/>
          </w:tcPr>
          <w:p w14:paraId="1F5BE19F">
            <w:pPr>
              <w:pStyle w:val="83"/>
              <w:ind w:firstLine="0"/>
              <w:jc w:val="center"/>
              <w:rPr>
                <w:color w:val="auto"/>
                <w:highlight w:val="none"/>
              </w:rPr>
            </w:pPr>
            <w:r>
              <w:rPr>
                <w:rFonts w:hint="eastAsia"/>
                <w:color w:val="auto"/>
                <w:highlight w:val="none"/>
              </w:rPr>
              <w:t>3.45%</w:t>
            </w:r>
          </w:p>
        </w:tc>
        <w:tc>
          <w:tcPr>
            <w:tcW w:w="3366" w:type="dxa"/>
            <w:vAlign w:val="center"/>
          </w:tcPr>
          <w:p w14:paraId="5806984A">
            <w:pPr>
              <w:pStyle w:val="83"/>
              <w:ind w:firstLine="0"/>
              <w:rPr>
                <w:color w:val="auto"/>
                <w:highlight w:val="none"/>
              </w:rPr>
            </w:pPr>
            <w:r>
              <w:rPr>
                <w:rFonts w:hint="eastAsia"/>
                <w:color w:val="auto"/>
                <w:highlight w:val="none"/>
              </w:rPr>
              <w:t>线下申请，材料齐全最快1周内即可放款。</w:t>
            </w:r>
          </w:p>
        </w:tc>
      </w:tr>
      <w:tr w14:paraId="78909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DD44DF9">
            <w:pPr>
              <w:pStyle w:val="83"/>
              <w:ind w:firstLine="0"/>
              <w:jc w:val="center"/>
              <w:rPr>
                <w:color w:val="auto"/>
                <w:highlight w:val="none"/>
              </w:rPr>
            </w:pPr>
            <w:r>
              <w:rPr>
                <w:rFonts w:hint="eastAsia"/>
                <w:color w:val="auto"/>
                <w:highlight w:val="none"/>
              </w:rPr>
              <w:t>中小微商务服务公司</w:t>
            </w:r>
          </w:p>
        </w:tc>
        <w:tc>
          <w:tcPr>
            <w:tcW w:w="1134" w:type="dxa"/>
            <w:vAlign w:val="center"/>
          </w:tcPr>
          <w:p w14:paraId="551CB5E5">
            <w:pPr>
              <w:pStyle w:val="83"/>
              <w:ind w:firstLine="0"/>
              <w:jc w:val="center"/>
              <w:rPr>
                <w:color w:val="auto"/>
                <w:highlight w:val="none"/>
              </w:rPr>
            </w:pPr>
            <w:r>
              <w:rPr>
                <w:rFonts w:hint="eastAsia"/>
                <w:color w:val="auto"/>
                <w:highlight w:val="none"/>
              </w:rPr>
              <w:t>19907799988</w:t>
            </w:r>
          </w:p>
        </w:tc>
        <w:tc>
          <w:tcPr>
            <w:tcW w:w="1701" w:type="dxa"/>
            <w:vAlign w:val="center"/>
          </w:tcPr>
          <w:p w14:paraId="0D8C1B04">
            <w:pPr>
              <w:pStyle w:val="83"/>
              <w:ind w:firstLine="0"/>
              <w:rPr>
                <w:color w:val="auto"/>
                <w:highlight w:val="none"/>
              </w:rPr>
            </w:pPr>
          </w:p>
        </w:tc>
        <w:tc>
          <w:tcPr>
            <w:tcW w:w="993" w:type="dxa"/>
            <w:vAlign w:val="center"/>
          </w:tcPr>
          <w:p w14:paraId="5EC247BB">
            <w:pPr>
              <w:pStyle w:val="83"/>
              <w:ind w:firstLine="0"/>
              <w:jc w:val="center"/>
              <w:rPr>
                <w:color w:val="auto"/>
                <w:highlight w:val="none"/>
              </w:rPr>
            </w:pPr>
          </w:p>
        </w:tc>
        <w:tc>
          <w:tcPr>
            <w:tcW w:w="850" w:type="dxa"/>
            <w:vAlign w:val="center"/>
          </w:tcPr>
          <w:p w14:paraId="15B4BDEA">
            <w:pPr>
              <w:pStyle w:val="83"/>
              <w:ind w:firstLine="0"/>
              <w:jc w:val="center"/>
              <w:rPr>
                <w:color w:val="auto"/>
                <w:highlight w:val="none"/>
              </w:rPr>
            </w:pPr>
          </w:p>
        </w:tc>
        <w:tc>
          <w:tcPr>
            <w:tcW w:w="3366" w:type="dxa"/>
            <w:vAlign w:val="center"/>
          </w:tcPr>
          <w:p w14:paraId="2A39A013">
            <w:pPr>
              <w:pStyle w:val="83"/>
              <w:ind w:firstLine="0"/>
              <w:rPr>
                <w:color w:val="auto"/>
                <w:highlight w:val="none"/>
              </w:rPr>
            </w:pPr>
            <w:r>
              <w:rPr>
                <w:rFonts w:hint="eastAsia"/>
                <w:color w:val="auto"/>
                <w:highlight w:val="none"/>
              </w:rPr>
              <w:t>具体业务可电话咨询。</w:t>
            </w:r>
          </w:p>
        </w:tc>
      </w:tr>
    </w:tbl>
    <w:p w14:paraId="70116B6F">
      <w:pPr>
        <w:pStyle w:val="8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101AE95A">
      <w:pPr>
        <w:pStyle w:val="32"/>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hAnsi="宋体" w:cs="宋体"/>
          <w:b/>
          <w:color w:val="auto"/>
          <w:sz w:val="24"/>
          <w:szCs w:val="24"/>
          <w:highlight w:val="none"/>
        </w:rPr>
      </w:pPr>
      <w:r>
        <w:rPr>
          <w:rFonts w:hint="eastAsia" w:hAnsi="宋体" w:cs="宋体"/>
          <w:b/>
          <w:color w:val="auto"/>
          <w:sz w:val="24"/>
          <w:szCs w:val="24"/>
          <w:highlight w:val="none"/>
        </w:rPr>
        <w:t>26.履约保证金</w:t>
      </w:r>
    </w:p>
    <w:p w14:paraId="52B3B24C">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w:t>
      </w:r>
      <w:r>
        <w:rPr>
          <w:rFonts w:hint="eastAsia" w:ascii="宋体" w:hAnsi="宋体" w:cs="宋体"/>
          <w:color w:val="auto"/>
          <w:sz w:val="24"/>
          <w:highlight w:val="none"/>
          <w:lang w:eastAsia="zh-CN"/>
        </w:rPr>
        <w:t>为</w:t>
      </w:r>
      <w:r>
        <w:rPr>
          <w:rFonts w:hint="eastAsia" w:ascii="宋体" w:hAnsi="宋体" w:cs="宋体"/>
          <w:color w:val="auto"/>
          <w:sz w:val="24"/>
          <w:highlight w:val="none"/>
        </w:rPr>
        <w:t>政府采购合同金额的5%；加大对中小企业发展的扶持力度，对中小企业收取的履约保证金数额</w:t>
      </w:r>
      <w:r>
        <w:rPr>
          <w:rFonts w:hint="eastAsia" w:ascii="宋体" w:hAnsi="宋体" w:cs="宋体"/>
          <w:color w:val="auto"/>
          <w:sz w:val="24"/>
          <w:highlight w:val="none"/>
          <w:lang w:eastAsia="zh-CN"/>
        </w:rPr>
        <w:t>为</w:t>
      </w:r>
      <w:r>
        <w:rPr>
          <w:rFonts w:hint="eastAsia" w:ascii="宋体" w:hAnsi="宋体" w:cs="宋体"/>
          <w:color w:val="auto"/>
          <w:sz w:val="24"/>
          <w:highlight w:val="none"/>
        </w:rPr>
        <w:t>政府采购合同金额的2%。政府采购信用白名单供应商可以免于缴纳保证金，降低信用白名单供应商参与政府采购活动成本。鼓励和支持供应商以银行、保险公司出具的保函形式提供履约保证金。</w:t>
      </w:r>
    </w:p>
    <w:p w14:paraId="06A866E9">
      <w:pPr>
        <w:pStyle w:val="83"/>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570594C7">
      <w:pPr>
        <w:pStyle w:val="83"/>
        <w:ind w:firstLine="480" w:firstLineChars="200"/>
        <w:rPr>
          <w:rFonts w:hint="eastAsia" w:eastAsia="宋体" w:cs="宋体"/>
          <w:color w:val="auto"/>
          <w:kern w:val="2"/>
          <w:szCs w:val="24"/>
          <w:highlight w:val="none"/>
          <w:lang w:val="en-US" w:eastAsia="zh-CN"/>
        </w:rPr>
      </w:pPr>
      <w:r>
        <w:rPr>
          <w:rFonts w:hint="eastAsia" w:cs="宋体"/>
          <w:color w:val="auto"/>
          <w:kern w:val="2"/>
          <w:szCs w:val="24"/>
          <w:highlight w:val="none"/>
        </w:rPr>
        <w:t>开户名称：</w:t>
      </w:r>
      <w:r>
        <w:rPr>
          <w:rFonts w:hint="eastAsia" w:ascii="宋体" w:hAnsi="宋体" w:cs="宋体"/>
          <w:color w:val="auto"/>
          <w:kern w:val="0"/>
          <w:sz w:val="24"/>
          <w:szCs w:val="21"/>
          <w:highlight w:val="none"/>
        </w:rPr>
        <w:t>中国共产党北海市委员会网络安全和信息化委员会办公室</w:t>
      </w:r>
      <w:r>
        <w:rPr>
          <w:rFonts w:hint="eastAsia" w:cs="宋体"/>
          <w:color w:val="auto"/>
          <w:kern w:val="0"/>
          <w:sz w:val="24"/>
          <w:szCs w:val="21"/>
          <w:highlight w:val="none"/>
          <w:lang w:eastAsia="zh-CN"/>
        </w:rPr>
        <w:t>。</w:t>
      </w:r>
    </w:p>
    <w:p w14:paraId="1C853847">
      <w:pPr>
        <w:pStyle w:val="83"/>
        <w:ind w:firstLine="480" w:firstLineChars="200"/>
        <w:rPr>
          <w:rFonts w:hint="eastAsia" w:eastAsia="宋体" w:cs="宋体"/>
          <w:color w:val="auto"/>
          <w:kern w:val="2"/>
          <w:szCs w:val="24"/>
          <w:highlight w:val="none"/>
          <w:lang w:eastAsia="zh-CN"/>
        </w:rPr>
      </w:pPr>
      <w:r>
        <w:rPr>
          <w:rFonts w:hint="eastAsia" w:cs="宋体"/>
          <w:color w:val="auto"/>
          <w:kern w:val="2"/>
          <w:szCs w:val="24"/>
          <w:highlight w:val="none"/>
        </w:rPr>
        <w:t>开户银行：</w:t>
      </w:r>
      <w:r>
        <w:rPr>
          <w:rFonts w:hint="eastAsia" w:ascii="宋体" w:hAnsi="宋体" w:cs="宋体"/>
          <w:color w:val="auto"/>
          <w:kern w:val="0"/>
          <w:sz w:val="24"/>
          <w:szCs w:val="21"/>
          <w:highlight w:val="none"/>
        </w:rPr>
        <w:t>中</w:t>
      </w:r>
      <w:r>
        <w:rPr>
          <w:rFonts w:hint="eastAsia" w:cs="宋体"/>
          <w:color w:val="auto"/>
          <w:kern w:val="0"/>
          <w:sz w:val="24"/>
          <w:szCs w:val="21"/>
          <w:highlight w:val="none"/>
          <w:lang w:val="en-US" w:eastAsia="zh-CN"/>
        </w:rPr>
        <w:t>国银</w:t>
      </w:r>
      <w:r>
        <w:rPr>
          <w:rFonts w:hint="eastAsia" w:ascii="宋体" w:hAnsi="宋体" w:cs="宋体"/>
          <w:color w:val="auto"/>
          <w:kern w:val="0"/>
          <w:sz w:val="24"/>
          <w:szCs w:val="21"/>
          <w:highlight w:val="none"/>
        </w:rPr>
        <w:t>行北海分行和平东路支行</w:t>
      </w:r>
      <w:r>
        <w:rPr>
          <w:rFonts w:hint="eastAsia" w:cs="宋体"/>
          <w:color w:val="auto"/>
          <w:kern w:val="0"/>
          <w:sz w:val="24"/>
          <w:szCs w:val="21"/>
          <w:highlight w:val="none"/>
          <w:lang w:eastAsia="zh-CN"/>
        </w:rPr>
        <w:t>。</w:t>
      </w:r>
    </w:p>
    <w:p w14:paraId="3185DD79">
      <w:pPr>
        <w:pStyle w:val="83"/>
        <w:ind w:firstLine="480" w:firstLineChars="200"/>
        <w:rPr>
          <w:rFonts w:hint="eastAsia" w:eastAsia="宋体" w:cs="宋体"/>
          <w:color w:val="auto"/>
          <w:kern w:val="2"/>
          <w:szCs w:val="24"/>
          <w:highlight w:val="none"/>
          <w:lang w:eastAsia="zh-CN"/>
        </w:rPr>
      </w:pPr>
      <w:r>
        <w:rPr>
          <w:rFonts w:hint="eastAsia" w:cs="宋体"/>
          <w:color w:val="auto"/>
          <w:kern w:val="2"/>
          <w:szCs w:val="24"/>
          <w:highlight w:val="none"/>
        </w:rPr>
        <w:t>银行账号：</w:t>
      </w:r>
      <w:r>
        <w:rPr>
          <w:rFonts w:hint="eastAsia" w:ascii="宋体" w:hAnsi="宋体" w:cs="宋体"/>
          <w:color w:val="auto"/>
          <w:kern w:val="0"/>
          <w:sz w:val="24"/>
          <w:szCs w:val="21"/>
          <w:highlight w:val="none"/>
        </w:rPr>
        <w:t>623677627663</w:t>
      </w:r>
      <w:r>
        <w:rPr>
          <w:rFonts w:hint="eastAsia" w:cs="宋体"/>
          <w:color w:val="auto"/>
          <w:kern w:val="0"/>
          <w:sz w:val="24"/>
          <w:szCs w:val="21"/>
          <w:highlight w:val="none"/>
          <w:lang w:eastAsia="zh-CN"/>
        </w:rPr>
        <w:t>。</w:t>
      </w:r>
    </w:p>
    <w:p w14:paraId="3E421F94">
      <w:pPr>
        <w:pStyle w:val="83"/>
        <w:ind w:firstLine="480" w:firstLineChars="200"/>
        <w:rPr>
          <w:snapToGrid w:val="0"/>
          <w:color w:val="auto"/>
          <w:highlight w:val="none"/>
        </w:rPr>
      </w:pPr>
      <w:r>
        <w:rPr>
          <w:rFonts w:hint="eastAsia"/>
          <w:snapToGrid w:val="0"/>
          <w:color w:val="auto"/>
          <w:highlight w:val="none"/>
        </w:rPr>
        <w:t>26.2</w:t>
      </w:r>
      <w:r>
        <w:rPr>
          <w:rFonts w:hint="eastAsia"/>
          <w:snapToGrid w:val="0"/>
          <w:color w:val="auto"/>
          <w:highlight w:val="none"/>
          <w:lang w:val="en-US" w:eastAsia="zh-CN"/>
        </w:rPr>
        <w:t xml:space="preserve"> </w:t>
      </w:r>
      <w:r>
        <w:rPr>
          <w:rFonts w:hint="eastAsia"/>
          <w:snapToGrid w:val="0"/>
          <w:color w:val="auto"/>
          <w:highlight w:val="none"/>
        </w:rPr>
        <w:t>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AC14BD7">
      <w:pPr>
        <w:pStyle w:val="83"/>
        <w:rPr>
          <w:color w:val="auto"/>
          <w:highlight w:val="none"/>
        </w:rPr>
      </w:pPr>
      <w:r>
        <w:rPr>
          <w:rFonts w:hint="eastAsia"/>
          <w:color w:val="auto"/>
          <w:highlight w:val="none"/>
        </w:rPr>
        <w:t>26.3</w:t>
      </w:r>
      <w:r>
        <w:rPr>
          <w:rFonts w:hint="eastAsia"/>
          <w:color w:val="auto"/>
          <w:highlight w:val="none"/>
          <w:lang w:val="en-US" w:eastAsia="zh-CN"/>
        </w:rPr>
        <w:t xml:space="preserve"> </w:t>
      </w:r>
      <w:r>
        <w:rPr>
          <w:rFonts w:hint="eastAsia"/>
          <w:color w:val="auto"/>
          <w:highlight w:val="none"/>
        </w:rPr>
        <w:t>履约保证金的退还。中标供应商按照采购人要求，完成所承诺的驻场售后服务和平台运行服务，经采购人确认后，向采购人提出履约保证金退付申请，采购人履行完必要的审批手续后，向中标供应商退付履约保证金（不计利息）。</w:t>
      </w:r>
    </w:p>
    <w:p w14:paraId="38DC7179">
      <w:pPr>
        <w:pStyle w:val="83"/>
        <w:rPr>
          <w:color w:val="auto"/>
          <w:highlight w:val="none"/>
        </w:rPr>
      </w:pPr>
      <w:r>
        <w:rPr>
          <w:rFonts w:hint="eastAsia"/>
          <w:color w:val="auto"/>
          <w:highlight w:val="none"/>
        </w:rPr>
        <w:t>26.4</w:t>
      </w:r>
      <w:r>
        <w:rPr>
          <w:rFonts w:hint="eastAsia"/>
          <w:color w:val="auto"/>
          <w:highlight w:val="none"/>
          <w:lang w:val="en-US" w:eastAsia="zh-CN"/>
        </w:rPr>
        <w:t xml:space="preserve"> </w:t>
      </w:r>
      <w:r>
        <w:rPr>
          <w:rFonts w:hint="eastAsia"/>
          <w:color w:val="auto"/>
          <w:highlight w:val="none"/>
        </w:rPr>
        <w:t>履约保证金不予退还情形：（1）中标供应商未能全部履行政府采购合同的；（2）采购文件规定的其他情形。</w:t>
      </w:r>
    </w:p>
    <w:p w14:paraId="7DC6E01C">
      <w:pPr>
        <w:pStyle w:val="83"/>
        <w:rPr>
          <w:color w:val="auto"/>
          <w:highlight w:val="none"/>
        </w:rPr>
      </w:pPr>
      <w:r>
        <w:rPr>
          <w:color w:val="auto"/>
          <w:highlight w:val="none"/>
        </w:rPr>
        <w:t>27.预付款</w:t>
      </w:r>
    </w:p>
    <w:p w14:paraId="60298829">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4731368B">
      <w:pPr>
        <w:adjustRightInd/>
        <w:spacing w:line="360" w:lineRule="auto"/>
        <w:ind w:firstLine="480" w:firstLineChars="200"/>
        <w:rPr>
          <w:color w:val="auto"/>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277BC13F">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b/>
          <w:color w:val="auto"/>
          <w:sz w:val="32"/>
          <w:highlight w:val="none"/>
        </w:rPr>
      </w:pPr>
    </w:p>
    <w:p w14:paraId="2C251C9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1"/>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7B6F3953">
      <w:pPr>
        <w:pStyle w:val="129"/>
        <w:keepNext w:val="0"/>
        <w:keepLines w:val="0"/>
        <w:pageBreakBefore w:val="0"/>
        <w:widowControl w:val="0"/>
        <w:kinsoku/>
        <w:wordWrap/>
        <w:overflowPunct/>
        <w:topLinePunct w:val="0"/>
        <w:autoSpaceDE/>
        <w:autoSpaceDN/>
        <w:bidi w:val="0"/>
        <w:adjustRightInd w:val="0"/>
        <w:snapToGrid w:val="0"/>
        <w:spacing w:before="0"/>
        <w:ind w:firstLine="482" w:firstLineChars="200"/>
        <w:textAlignment w:val="auto"/>
        <w:rPr>
          <w:rFonts w:ascii="宋体" w:hAnsi="宋体" w:cs="宋体"/>
          <w:color w:val="auto"/>
          <w:highlight w:val="none"/>
        </w:rPr>
      </w:pPr>
      <w:r>
        <w:rPr>
          <w:rFonts w:hint="eastAsia" w:ascii="宋体" w:hAnsi="宋体" w:eastAsia="宋体" w:cs="宋体"/>
          <w:b/>
          <w:snapToGrid w:val="0"/>
          <w:color w:val="auto"/>
          <w:kern w:val="2"/>
          <w:sz w:val="24"/>
          <w:szCs w:val="24"/>
          <w:highlight w:val="none"/>
          <w:lang w:val="en-US" w:eastAsia="zh-CN" w:bidi="ar-SA"/>
        </w:rPr>
        <w:t>28.电子交易活动的中止。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33B79578">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28.1</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电子交易平台发生故障而无法登录访问的； </w:t>
      </w:r>
    </w:p>
    <w:p w14:paraId="240B838A">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28.2</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电子交易平台应用或数据库出现错误，不能进行正常操作的；</w:t>
      </w:r>
    </w:p>
    <w:p w14:paraId="6FFCC072">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28.3</w:t>
      </w:r>
      <w:r>
        <w:rPr>
          <w:rFonts w:hint="eastAsia" w:ascii="宋体" w:hAnsi="宋体" w:cs="宋体"/>
          <w:color w:val="auto"/>
          <w:highlight w:val="none"/>
          <w:lang w:val="en-US" w:eastAsia="zh-CN"/>
        </w:rPr>
        <w:t xml:space="preserve"> </w:t>
      </w:r>
      <w:r>
        <w:rPr>
          <w:rFonts w:hint="eastAsia" w:ascii="宋体" w:hAnsi="宋体" w:cs="宋体"/>
          <w:color w:val="auto"/>
          <w:highlight w:val="none"/>
        </w:rPr>
        <w:t>电子交易平台发现严重安全漏洞，有潜在泄密危险的；</w:t>
      </w:r>
    </w:p>
    <w:p w14:paraId="65B536CC">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28.4</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病毒发作导致不能进行正常操作的； </w:t>
      </w:r>
    </w:p>
    <w:p w14:paraId="52F137BA">
      <w:pPr>
        <w:pStyle w:val="129"/>
        <w:snapToGrid w:val="0"/>
        <w:spacing w:before="0"/>
        <w:ind w:firstLine="480"/>
        <w:rPr>
          <w:rFonts w:ascii="宋体" w:hAnsi="宋体" w:cs="宋体"/>
          <w:color w:val="auto"/>
          <w:highlight w:val="none"/>
        </w:rPr>
      </w:pPr>
      <w:r>
        <w:rPr>
          <w:rFonts w:hint="eastAsia" w:ascii="宋体" w:hAnsi="宋体" w:cs="宋体"/>
          <w:color w:val="auto"/>
          <w:highlight w:val="none"/>
        </w:rPr>
        <w:t>28.5</w:t>
      </w:r>
      <w:r>
        <w:rPr>
          <w:rFonts w:hint="eastAsia" w:ascii="宋体" w:hAnsi="宋体" w:cs="宋体"/>
          <w:color w:val="auto"/>
          <w:highlight w:val="none"/>
          <w:lang w:val="en-US" w:eastAsia="zh-CN"/>
        </w:rPr>
        <w:t xml:space="preserve"> </w:t>
      </w:r>
      <w:r>
        <w:rPr>
          <w:rFonts w:hint="eastAsia" w:ascii="宋体" w:hAnsi="宋体" w:cs="宋体"/>
          <w:color w:val="auto"/>
          <w:highlight w:val="none"/>
        </w:rPr>
        <w:t>其他无法保证电子交易的公平、公正和安全的情况。</w:t>
      </w:r>
    </w:p>
    <w:p w14:paraId="32AA4662">
      <w:pPr>
        <w:pStyle w:val="129"/>
        <w:keepNext w:val="0"/>
        <w:keepLines w:val="0"/>
        <w:pageBreakBefore w:val="0"/>
        <w:widowControl w:val="0"/>
        <w:kinsoku/>
        <w:wordWrap/>
        <w:overflowPunct/>
        <w:topLinePunct w:val="0"/>
        <w:autoSpaceDE/>
        <w:autoSpaceDN/>
        <w:bidi w:val="0"/>
        <w:adjustRightInd w:val="0"/>
        <w:snapToGrid w:val="0"/>
        <w:spacing w:before="0"/>
        <w:ind w:firstLine="480" w:firstLineChars="200"/>
        <w:textAlignment w:val="auto"/>
        <w:rPr>
          <w:rFonts w:ascii="宋体" w:hAnsi="宋体" w:cs="宋体"/>
          <w:color w:val="auto"/>
          <w:highlight w:val="none"/>
        </w:rPr>
      </w:pPr>
      <w:r>
        <w:rPr>
          <w:rFonts w:hint="eastAsia" w:ascii="宋体" w:hAnsi="宋体" w:cs="宋体"/>
          <w:color w:val="auto"/>
          <w:highlight w:val="none"/>
        </w:rPr>
        <w:t>29.出现以上情形，不影响采购公平、公正性的，采购组织机构可以待上述情形消除后继续组织电子交易活动，也可以决定某些环节以纸质形式进行；影响或可能影响采购公平、公正性的，应当重新采购。</w:t>
      </w:r>
    </w:p>
    <w:p w14:paraId="1A93A3B6">
      <w:pPr>
        <w:keepNext w:val="0"/>
        <w:keepLines w:val="0"/>
        <w:pageBreakBefore w:val="0"/>
        <w:widowControl w:val="0"/>
        <w:tabs>
          <w:tab w:val="left" w:pos="0"/>
        </w:tabs>
        <w:kinsoku/>
        <w:wordWrap/>
        <w:overflowPunct/>
        <w:topLinePunct w:val="0"/>
        <w:autoSpaceDE/>
        <w:autoSpaceDN/>
        <w:bidi w:val="0"/>
        <w:adjustRightInd w:val="0"/>
        <w:spacing w:line="360" w:lineRule="auto"/>
        <w:ind w:left="0" w:leftChars="0" w:firstLine="0" w:firstLineChars="0"/>
        <w:textAlignment w:val="auto"/>
        <w:rPr>
          <w:rFonts w:ascii="宋体" w:hAnsi="宋体" w:cs="宋体"/>
          <w:color w:val="auto"/>
          <w:sz w:val="24"/>
          <w:highlight w:val="none"/>
        </w:rPr>
      </w:pPr>
    </w:p>
    <w:p w14:paraId="3ED933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1"/>
        <w:rPr>
          <w:rFonts w:ascii="宋体" w:hAnsi="宋体" w:cs="宋体"/>
          <w:b/>
          <w:color w:val="auto"/>
          <w:sz w:val="32"/>
          <w:highlight w:val="none"/>
        </w:rPr>
      </w:pPr>
      <w:r>
        <w:rPr>
          <w:rFonts w:hint="eastAsia" w:ascii="宋体" w:hAnsi="宋体" w:cs="宋体"/>
          <w:b/>
          <w:color w:val="auto"/>
          <w:sz w:val="32"/>
          <w:highlight w:val="none"/>
        </w:rPr>
        <w:t>九、验收</w:t>
      </w:r>
    </w:p>
    <w:p w14:paraId="1F4CA2B7">
      <w:pPr>
        <w:pStyle w:val="24"/>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cs="宋体"/>
          <w:b/>
          <w:color w:val="auto"/>
          <w:highlight w:val="none"/>
        </w:rPr>
      </w:pPr>
      <w:r>
        <w:rPr>
          <w:rFonts w:hint="eastAsia" w:cs="宋体"/>
          <w:b/>
          <w:color w:val="auto"/>
          <w:highlight w:val="none"/>
        </w:rPr>
        <w:t>30.验收</w:t>
      </w:r>
    </w:p>
    <w:p w14:paraId="7492CD8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E4FDB33">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采购人可以邀请参加本项目的其他投标人或者第三方机构参与验收。参与验收的投标人或者第三方机构的意见作为验收书的参考资料一并存档。</w:t>
      </w:r>
    </w:p>
    <w:p w14:paraId="37F9B49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6FFE0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00B94E6">
      <w:pPr>
        <w:keepNext w:val="0"/>
        <w:keepLines w:val="0"/>
        <w:pageBreakBefore w:val="0"/>
        <w:widowControl w:val="0"/>
        <w:tabs>
          <w:tab w:val="left" w:pos="0"/>
        </w:tabs>
        <w:kinsoku/>
        <w:wordWrap/>
        <w:overflowPunct/>
        <w:topLinePunct w:val="0"/>
        <w:autoSpaceDE/>
        <w:autoSpaceDN/>
        <w:bidi w:val="0"/>
        <w:adjustRightInd w:val="0"/>
        <w:spacing w:line="360" w:lineRule="auto"/>
        <w:ind w:left="0" w:leftChars="0" w:firstLine="0" w:firstLineChars="0"/>
        <w:textAlignment w:val="auto"/>
        <w:rPr>
          <w:rFonts w:ascii="宋体" w:hAnsi="宋体" w:cs="宋体"/>
          <w:color w:val="auto"/>
          <w:kern w:val="0"/>
          <w:sz w:val="24"/>
          <w:highlight w:val="none"/>
        </w:rPr>
      </w:pPr>
    </w:p>
    <w:p w14:paraId="0A39A2B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ascii="宋体" w:hAnsi="宋体" w:cs="宋体"/>
          <w:b/>
          <w:color w:val="auto"/>
          <w:sz w:val="32"/>
          <w:highlight w:val="none"/>
        </w:rPr>
      </w:pPr>
      <w:r>
        <w:rPr>
          <w:rFonts w:hint="eastAsia" w:ascii="宋体" w:hAnsi="宋体" w:cs="宋体"/>
          <w:b/>
          <w:color w:val="auto"/>
          <w:sz w:val="32"/>
          <w:highlight w:val="none"/>
        </w:rPr>
        <w:t>十、代理费用的收取标准和方式</w:t>
      </w:r>
    </w:p>
    <w:p w14:paraId="1D951A5F">
      <w:pPr>
        <w:pStyle w:val="24"/>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cs="宋体"/>
          <w:b/>
          <w:color w:val="auto"/>
          <w:highlight w:val="none"/>
        </w:rPr>
      </w:pPr>
      <w:r>
        <w:rPr>
          <w:rFonts w:hint="eastAsia" w:cs="宋体"/>
          <w:b/>
          <w:color w:val="auto"/>
          <w:highlight w:val="none"/>
        </w:rPr>
        <w:t>31.代理费用的收取标准和方式（适用于有权收取代理费用的采购代理机构）</w:t>
      </w:r>
    </w:p>
    <w:bookmarkEnd w:id="16"/>
    <w:bookmarkEnd w:id="17"/>
    <w:bookmarkEnd w:id="19"/>
    <w:p w14:paraId="7239C4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b/>
          <w:color w:val="auto"/>
          <w:sz w:val="36"/>
          <w:szCs w:val="36"/>
          <w:highlight w:val="none"/>
        </w:rPr>
      </w:pPr>
      <w:bookmarkStart w:id="20" w:name="_Toc176368904"/>
      <w:bookmarkStart w:id="21" w:name="第四部分"/>
      <w:r>
        <w:rPr>
          <w:rFonts w:hint="eastAsia" w:cs="宋体"/>
          <w:color w:val="auto"/>
          <w:kern w:val="2"/>
          <w:szCs w:val="24"/>
          <w:highlight w:val="none"/>
          <w:lang w:eastAsia="zh-CN"/>
        </w:rPr>
        <w:t>本项目不收取代理服务费。</w:t>
      </w:r>
      <w:r>
        <w:rPr>
          <w:rFonts w:ascii="宋体" w:hAnsi="宋体" w:cs="宋体"/>
          <w:b/>
          <w:color w:val="auto"/>
          <w:sz w:val="36"/>
          <w:szCs w:val="36"/>
          <w:highlight w:val="none"/>
        </w:rPr>
        <w:br w:type="page"/>
      </w:r>
    </w:p>
    <w:p w14:paraId="24BB6688">
      <w:pPr>
        <w:spacing w:line="360" w:lineRule="auto"/>
        <w:jc w:val="center"/>
        <w:outlineLvl w:val="0"/>
        <w:rPr>
          <w:rFonts w:ascii="宋体" w:hAnsi="宋体" w:cs="宋体"/>
          <w:b/>
          <w:color w:val="auto"/>
          <w:sz w:val="36"/>
          <w:szCs w:val="36"/>
          <w:highlight w:val="none"/>
        </w:rPr>
      </w:pPr>
      <w:bookmarkStart w:id="22" w:name="_Toc29010"/>
      <w:r>
        <w:rPr>
          <w:rFonts w:hint="eastAsia" w:ascii="宋体" w:hAnsi="宋体" w:cs="宋体"/>
          <w:b/>
          <w:color w:val="auto"/>
          <w:sz w:val="36"/>
          <w:szCs w:val="36"/>
          <w:highlight w:val="none"/>
        </w:rPr>
        <w:t>第三部分 采购需求</w:t>
      </w:r>
      <w:bookmarkEnd w:id="20"/>
      <w:bookmarkEnd w:id="22"/>
    </w:p>
    <w:p w14:paraId="1B04C728">
      <w:pPr>
        <w:spacing w:line="340" w:lineRule="exact"/>
        <w:ind w:firstLine="482" w:firstLineChars="200"/>
        <w:jc w:val="left"/>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b/>
          <w:bCs/>
          <w:color w:val="auto"/>
          <w:sz w:val="24"/>
          <w:highlight w:val="none"/>
          <w:u w:val="single"/>
        </w:rPr>
        <w:t>注：“▲”系指实质性要求条款</w:t>
      </w:r>
      <w:r>
        <w:rPr>
          <w:rFonts w:hint="eastAsia" w:asciiTheme="minorEastAsia" w:hAnsiTheme="minorEastAsia" w:eastAsiaTheme="minorEastAsia"/>
          <w:b/>
          <w:bCs/>
          <w:color w:val="auto"/>
          <w:sz w:val="24"/>
          <w:highlight w:val="none"/>
          <w:u w:val="single"/>
          <w:lang w:eastAsia="zh-CN"/>
        </w:rPr>
        <w:t>。</w:t>
      </w:r>
    </w:p>
    <w:p w14:paraId="095D5F21">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一、项目</w:t>
      </w:r>
      <w:r>
        <w:rPr>
          <w:rFonts w:hint="eastAsia" w:asciiTheme="minorEastAsia" w:hAnsiTheme="minorEastAsia" w:eastAsiaTheme="minorEastAsia" w:cstheme="minorEastAsia"/>
          <w:color w:val="auto"/>
          <w:sz w:val="24"/>
          <w:szCs w:val="24"/>
          <w:highlight w:val="none"/>
          <w:lang w:eastAsia="zh-CN"/>
        </w:rPr>
        <w:t>概况</w:t>
      </w:r>
    </w:p>
    <w:p w14:paraId="27A5AA13">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北海市网络应急指挥中心二期项目基于一期项目进行扩容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本项目成交供应商可重新开发整套信息系统，也可在一期项目信息系统基础上进行扩容开发，并由采购人负责协调一期项目信息系统建设单位在扩容开发工作中提供技术支持</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，建设内容主要包括：</w:t>
      </w:r>
    </w:p>
    <w:p w14:paraId="7A16F0D0">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1.对平台的部署方式进行优化：一期项目均部署在电子政务外网内</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本项目</w:t>
      </w:r>
      <w:r>
        <w:rPr>
          <w:rFonts w:hint="eastAsia" w:asciiTheme="minorEastAsia" w:hAnsiTheme="minorEastAsia" w:eastAsiaTheme="minorEastAsia" w:cstheme="minorEastAsia"/>
          <w:color w:val="auto"/>
          <w:sz w:val="24"/>
          <w:szCs w:val="24"/>
          <w:highlight w:val="none"/>
        </w:rPr>
        <w:t>按照</w:t>
      </w:r>
      <w:r>
        <w:rPr>
          <w:rFonts w:hint="eastAsia" w:asciiTheme="minorEastAsia" w:hAnsiTheme="minorEastAsia" w:eastAsiaTheme="minorEastAsia" w:cstheme="minorEastAsia"/>
          <w:color w:val="auto"/>
          <w:sz w:val="24"/>
          <w:szCs w:val="24"/>
          <w:highlight w:val="none"/>
          <w:lang w:val="en-US" w:eastAsia="zh-CN"/>
        </w:rPr>
        <w:t>采购人工作需求</w:t>
      </w:r>
      <w:r>
        <w:rPr>
          <w:rFonts w:hint="eastAsia" w:asciiTheme="minorEastAsia" w:hAnsiTheme="minorEastAsia" w:eastAsiaTheme="minorEastAsia" w:cstheme="minorEastAsia"/>
          <w:color w:val="auto"/>
          <w:sz w:val="24"/>
          <w:szCs w:val="24"/>
          <w:highlight w:val="none"/>
        </w:rPr>
        <w:t>对平台的部署方式进行优化。</w:t>
      </w:r>
    </w:p>
    <w:p w14:paraId="032B524F">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2.扩容网络安全态势感知系统：对网络安全数据采集交换子系统、安全监测子系统、态势感知子系统、预警通报子系统进行扩容，并新建资产管理子系统、网络安全指挥子系统、资产数据重点保护子系统。</w:t>
      </w:r>
    </w:p>
    <w:p w14:paraId="7C34F4E9">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3.扩容</w:t>
      </w:r>
      <w:r>
        <w:rPr>
          <w:rFonts w:hint="eastAsia" w:asciiTheme="minorEastAsia" w:hAnsiTheme="minorEastAsia" w:eastAsiaTheme="minorEastAsia" w:cstheme="minorEastAsia"/>
          <w:color w:val="auto"/>
          <w:sz w:val="24"/>
          <w:szCs w:val="24"/>
          <w:highlight w:val="none"/>
          <w:lang w:val="en-US" w:eastAsia="zh-CN"/>
        </w:rPr>
        <w:t>信息采集分析</w:t>
      </w:r>
      <w:r>
        <w:rPr>
          <w:rFonts w:hint="eastAsia" w:asciiTheme="minorEastAsia" w:hAnsiTheme="minorEastAsia" w:eastAsiaTheme="minorEastAsia" w:cstheme="minorEastAsia"/>
          <w:color w:val="auto"/>
          <w:sz w:val="24"/>
          <w:szCs w:val="24"/>
          <w:highlight w:val="none"/>
        </w:rPr>
        <w:t>系统：对</w:t>
      </w:r>
      <w:r>
        <w:rPr>
          <w:rFonts w:hint="eastAsia" w:asciiTheme="minorEastAsia" w:hAnsiTheme="minorEastAsia" w:eastAsiaTheme="minorEastAsia" w:cstheme="minorEastAsia"/>
          <w:color w:val="auto"/>
          <w:sz w:val="24"/>
          <w:szCs w:val="24"/>
          <w:highlight w:val="none"/>
          <w:lang w:val="en-US" w:eastAsia="zh-CN"/>
        </w:rPr>
        <w:t>信息</w:t>
      </w:r>
      <w:r>
        <w:rPr>
          <w:rFonts w:hint="eastAsia" w:asciiTheme="minorEastAsia" w:hAnsiTheme="minorEastAsia" w:eastAsiaTheme="minorEastAsia" w:cstheme="minorEastAsia"/>
          <w:color w:val="auto"/>
          <w:sz w:val="24"/>
          <w:szCs w:val="24"/>
          <w:highlight w:val="none"/>
        </w:rPr>
        <w:t>数据采集交换子系统、专题</w:t>
      </w:r>
      <w:r>
        <w:rPr>
          <w:rFonts w:hint="eastAsia" w:asciiTheme="minorEastAsia" w:hAnsiTheme="minorEastAsia" w:eastAsiaTheme="minorEastAsia" w:cstheme="minorEastAsia"/>
          <w:color w:val="auto"/>
          <w:sz w:val="24"/>
          <w:szCs w:val="24"/>
          <w:highlight w:val="none"/>
          <w:lang w:val="en-US" w:eastAsia="zh-CN"/>
        </w:rPr>
        <w:t>数据采集分析</w:t>
      </w:r>
      <w:r>
        <w:rPr>
          <w:rFonts w:hint="eastAsia" w:asciiTheme="minorEastAsia" w:hAnsiTheme="minorEastAsia" w:eastAsiaTheme="minorEastAsia" w:cstheme="minorEastAsia"/>
          <w:color w:val="auto"/>
          <w:sz w:val="24"/>
          <w:szCs w:val="24"/>
          <w:highlight w:val="none"/>
        </w:rPr>
        <w:t>子系统、综合态势子系统进行扩容，并新建</w:t>
      </w:r>
      <w:r>
        <w:rPr>
          <w:rFonts w:hint="eastAsia" w:asciiTheme="minorEastAsia" w:hAnsiTheme="minorEastAsia" w:eastAsiaTheme="minorEastAsia" w:cstheme="minorEastAsia"/>
          <w:color w:val="auto"/>
          <w:kern w:val="0"/>
          <w:sz w:val="24"/>
          <w:szCs w:val="24"/>
          <w:highlight w:val="none"/>
          <w:lang w:val="en-US" w:eastAsia="zh-CN"/>
        </w:rPr>
        <w:t>网络生态治理</w:t>
      </w:r>
      <w:r>
        <w:rPr>
          <w:rFonts w:hint="eastAsia" w:asciiTheme="minorEastAsia" w:hAnsiTheme="minorEastAsia" w:eastAsiaTheme="minorEastAsia" w:cstheme="minorEastAsia"/>
          <w:color w:val="auto"/>
          <w:sz w:val="24"/>
          <w:szCs w:val="24"/>
          <w:highlight w:val="none"/>
        </w:rPr>
        <w:t>子系统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网络舆论引导</w:t>
      </w:r>
      <w:r>
        <w:rPr>
          <w:rFonts w:hint="eastAsia" w:asciiTheme="minorEastAsia" w:hAnsiTheme="minorEastAsia" w:eastAsiaTheme="minorEastAsia" w:cstheme="minorEastAsia"/>
          <w:color w:val="auto"/>
          <w:sz w:val="24"/>
          <w:szCs w:val="24"/>
          <w:highlight w:val="none"/>
        </w:rPr>
        <w:t>子系统</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其他信息采集分析子系统、</w:t>
      </w:r>
      <w:r>
        <w:rPr>
          <w:rFonts w:hint="eastAsia" w:asciiTheme="minorEastAsia" w:hAnsiTheme="minorEastAsia" w:eastAsiaTheme="minorEastAsia" w:cstheme="minorEastAsia"/>
          <w:color w:val="auto"/>
          <w:sz w:val="24"/>
          <w:szCs w:val="24"/>
          <w:highlight w:val="none"/>
          <w:lang w:val="en-US" w:eastAsia="zh-CN"/>
        </w:rPr>
        <w:t>工作信息流转子系统等。</w:t>
      </w:r>
    </w:p>
    <w:p w14:paraId="208CF605">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4.新建综合支撑系统：建设业务服务子系统、工作信息流管理子系统、系统管理子系统。</w:t>
      </w:r>
    </w:p>
    <w:p w14:paraId="594FCE5E">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5.新建运行维护系统：建设基础网络子系统、时钟同步子系统、网络管理子系统。</w:t>
      </w:r>
    </w:p>
    <w:p w14:paraId="57D5F2BB">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6.新建安全保障系统：建设等级保护子系统、密码应用子系统、数据安全子系统。</w:t>
      </w:r>
    </w:p>
    <w:p w14:paraId="65C6B8A1">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7.指挥</w:t>
      </w:r>
      <w:r>
        <w:rPr>
          <w:rFonts w:hint="eastAsia" w:asciiTheme="minorEastAsia" w:hAnsiTheme="minorEastAsia" w:eastAsiaTheme="minorEastAsia" w:cstheme="minorEastAsia"/>
          <w:color w:val="auto"/>
          <w:sz w:val="24"/>
          <w:szCs w:val="24"/>
          <w:highlight w:val="none"/>
          <w:lang w:val="en-US" w:eastAsia="zh-CN"/>
        </w:rPr>
        <w:t>场所</w:t>
      </w:r>
      <w:r>
        <w:rPr>
          <w:rFonts w:hint="eastAsia" w:asciiTheme="minorEastAsia" w:hAnsiTheme="minorEastAsia" w:eastAsiaTheme="minorEastAsia" w:cstheme="minorEastAsia"/>
          <w:color w:val="auto"/>
          <w:sz w:val="24"/>
          <w:szCs w:val="24"/>
          <w:highlight w:val="none"/>
        </w:rPr>
        <w:t>设施改造和部分设备购置：包括大屏显示系统、音频扩声系统、视频会议系统、指挥</w:t>
      </w:r>
      <w:r>
        <w:rPr>
          <w:rFonts w:hint="eastAsia" w:asciiTheme="minorEastAsia" w:hAnsiTheme="minorEastAsia" w:eastAsiaTheme="minorEastAsia" w:cstheme="minorEastAsia"/>
          <w:color w:val="auto"/>
          <w:sz w:val="24"/>
          <w:szCs w:val="24"/>
          <w:highlight w:val="none"/>
          <w:lang w:val="en-US" w:eastAsia="zh-CN"/>
        </w:rPr>
        <w:t>场所</w:t>
      </w:r>
      <w:r>
        <w:rPr>
          <w:rFonts w:hint="eastAsia" w:asciiTheme="minorEastAsia" w:hAnsiTheme="minorEastAsia" w:eastAsiaTheme="minorEastAsia" w:cstheme="minorEastAsia"/>
          <w:color w:val="auto"/>
          <w:sz w:val="24"/>
          <w:szCs w:val="24"/>
          <w:highlight w:val="none"/>
        </w:rPr>
        <w:t>装修等。</w:t>
      </w:r>
    </w:p>
    <w:p w14:paraId="3E9FA308">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采购内容</w:t>
      </w:r>
    </w:p>
    <w:tbl>
      <w:tblPr>
        <w:tblStyle w:val="6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2931"/>
        <w:gridCol w:w="1402"/>
        <w:gridCol w:w="1348"/>
        <w:gridCol w:w="2959"/>
      </w:tblGrid>
      <w:tr w14:paraId="5D4E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noWrap w:val="0"/>
            <w:vAlign w:val="center"/>
          </w:tcPr>
          <w:p w14:paraId="44FE2497">
            <w:pPr>
              <w:spacing w:line="5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序号</w:t>
            </w:r>
          </w:p>
        </w:tc>
        <w:tc>
          <w:tcPr>
            <w:tcW w:w="1487" w:type="pct"/>
            <w:noWrap w:val="0"/>
            <w:vAlign w:val="center"/>
          </w:tcPr>
          <w:p w14:paraId="17284B03">
            <w:pPr>
              <w:spacing w:line="560" w:lineRule="exact"/>
              <w:jc w:val="center"/>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采购内容</w:t>
            </w:r>
          </w:p>
        </w:tc>
        <w:tc>
          <w:tcPr>
            <w:tcW w:w="711" w:type="pct"/>
            <w:noWrap w:val="0"/>
            <w:vAlign w:val="center"/>
          </w:tcPr>
          <w:p w14:paraId="130D883B">
            <w:pPr>
              <w:spacing w:line="5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计量</w:t>
            </w:r>
          </w:p>
          <w:p w14:paraId="0A4091BA">
            <w:pPr>
              <w:spacing w:line="5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单位</w:t>
            </w:r>
          </w:p>
        </w:tc>
        <w:tc>
          <w:tcPr>
            <w:tcW w:w="684" w:type="pct"/>
            <w:noWrap w:val="0"/>
            <w:vAlign w:val="center"/>
          </w:tcPr>
          <w:p w14:paraId="1B9AD6D2">
            <w:pPr>
              <w:spacing w:line="5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数量</w:t>
            </w:r>
          </w:p>
        </w:tc>
        <w:tc>
          <w:tcPr>
            <w:tcW w:w="1501" w:type="pct"/>
            <w:noWrap w:val="0"/>
            <w:vAlign w:val="center"/>
          </w:tcPr>
          <w:p w14:paraId="76531277">
            <w:pPr>
              <w:spacing w:line="5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分包</w:t>
            </w:r>
          </w:p>
          <w:p w14:paraId="432A5D0A">
            <w:pPr>
              <w:spacing w:line="560" w:lineRule="exact"/>
              <w:jc w:val="center"/>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要求</w:t>
            </w:r>
          </w:p>
        </w:tc>
      </w:tr>
      <w:tr w14:paraId="6A1F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noWrap w:val="0"/>
            <w:vAlign w:val="center"/>
          </w:tcPr>
          <w:p w14:paraId="012B64F9">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487" w:type="pct"/>
            <w:noWrap w:val="0"/>
            <w:vAlign w:val="center"/>
          </w:tcPr>
          <w:p w14:paraId="210E90AD">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信息系统建设</w:t>
            </w:r>
          </w:p>
        </w:tc>
        <w:tc>
          <w:tcPr>
            <w:tcW w:w="711" w:type="pct"/>
            <w:noWrap w:val="0"/>
            <w:vAlign w:val="center"/>
          </w:tcPr>
          <w:p w14:paraId="0ADC6186">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w:t>
            </w:r>
          </w:p>
        </w:tc>
        <w:tc>
          <w:tcPr>
            <w:tcW w:w="684" w:type="pct"/>
            <w:noWrap w:val="0"/>
            <w:vAlign w:val="center"/>
          </w:tcPr>
          <w:p w14:paraId="00B3289F">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501" w:type="pct"/>
            <w:noWrap w:val="0"/>
            <w:vAlign w:val="center"/>
          </w:tcPr>
          <w:p w14:paraId="7B912335">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w:t>
            </w:r>
            <w:r>
              <w:rPr>
                <w:rFonts w:hint="eastAsia" w:asciiTheme="minorEastAsia" w:hAnsiTheme="minorEastAsia" w:eastAsiaTheme="minorEastAsia" w:cstheme="minorEastAsia"/>
                <w:color w:val="auto"/>
                <w:sz w:val="24"/>
                <w:szCs w:val="24"/>
                <w:highlight w:val="none"/>
                <w:lang w:val="en-US" w:eastAsia="zh-CN"/>
              </w:rPr>
              <w:t>允许</w:t>
            </w:r>
            <w:r>
              <w:rPr>
                <w:rFonts w:hint="eastAsia" w:asciiTheme="minorEastAsia" w:hAnsiTheme="minorEastAsia" w:eastAsiaTheme="minorEastAsia" w:cstheme="minorEastAsia"/>
                <w:color w:val="auto"/>
                <w:sz w:val="24"/>
                <w:szCs w:val="24"/>
                <w:highlight w:val="none"/>
              </w:rPr>
              <w:t>分包</w:t>
            </w:r>
          </w:p>
        </w:tc>
      </w:tr>
      <w:tr w14:paraId="7633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5" w:type="pct"/>
            <w:noWrap w:val="0"/>
            <w:vAlign w:val="center"/>
          </w:tcPr>
          <w:p w14:paraId="2408066F">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487" w:type="pct"/>
            <w:noWrap w:val="0"/>
            <w:vAlign w:val="center"/>
          </w:tcPr>
          <w:p w14:paraId="59498310">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指挥场所装修</w:t>
            </w:r>
          </w:p>
        </w:tc>
        <w:tc>
          <w:tcPr>
            <w:tcW w:w="711" w:type="pct"/>
            <w:noWrap w:val="0"/>
            <w:vAlign w:val="center"/>
          </w:tcPr>
          <w:p w14:paraId="73E8EA05">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w:t>
            </w:r>
          </w:p>
        </w:tc>
        <w:tc>
          <w:tcPr>
            <w:tcW w:w="684" w:type="pct"/>
            <w:noWrap w:val="0"/>
            <w:vAlign w:val="center"/>
          </w:tcPr>
          <w:p w14:paraId="6D1C6B75">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501" w:type="pct"/>
            <w:noWrap w:val="0"/>
            <w:vAlign w:val="center"/>
          </w:tcPr>
          <w:p w14:paraId="422DDCFD">
            <w:pPr>
              <w:adjustRightInd w:val="0"/>
              <w:snapToGrid w:val="0"/>
              <w:spacing w:line="56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允许分包</w:t>
            </w:r>
          </w:p>
        </w:tc>
      </w:tr>
    </w:tbl>
    <w:p w14:paraId="70C3DE27">
      <w:pPr>
        <w:keepNext w:val="0"/>
        <w:keepLines w:val="0"/>
        <w:pageBreakBefore w:val="0"/>
        <w:widowControl w:val="0"/>
        <w:kinsoku/>
        <w:wordWrap/>
        <w:overflowPunct/>
        <w:topLinePunct w:val="0"/>
        <w:autoSpaceDE/>
        <w:autoSpaceDN/>
        <w:bidi w:val="0"/>
        <w:adjustRightInd/>
        <w:snapToGrid/>
        <w:spacing w:line="360" w:lineRule="auto"/>
        <w:ind w:firstLine="482" w:firstLineChars="201"/>
        <w:jc w:val="both"/>
        <w:textAlignment w:val="auto"/>
        <w:rPr>
          <w:rFonts w:hint="default" w:ascii="宋体" w:hAnsi="宋体" w:cs="宋体"/>
          <w:color w:val="auto"/>
          <w:kern w:val="0"/>
          <w:sz w:val="24"/>
          <w:szCs w:val="21"/>
          <w:highlight w:val="none"/>
          <w:lang w:val="en-US" w:eastAsia="zh-CN"/>
        </w:rPr>
      </w:pPr>
      <w:r>
        <w:rPr>
          <w:rFonts w:hint="eastAsia" w:ascii="宋体" w:hAnsi="宋体" w:cs="宋体"/>
          <w:color w:val="auto"/>
          <w:kern w:val="0"/>
          <w:sz w:val="24"/>
          <w:szCs w:val="21"/>
          <w:highlight w:val="none"/>
          <w:lang w:val="en-US" w:eastAsia="zh-CN"/>
        </w:rPr>
        <w:t>三、技术商务要求</w:t>
      </w:r>
    </w:p>
    <w:p w14:paraId="2528406C">
      <w:pPr>
        <w:keepNext w:val="0"/>
        <w:keepLines w:val="0"/>
        <w:pageBreakBefore w:val="0"/>
        <w:widowControl w:val="0"/>
        <w:kinsoku/>
        <w:wordWrap/>
        <w:overflowPunct/>
        <w:topLinePunct w:val="0"/>
        <w:autoSpaceDE/>
        <w:autoSpaceDN/>
        <w:bidi w:val="0"/>
        <w:adjustRightInd/>
        <w:snapToGrid/>
        <w:spacing w:line="360" w:lineRule="auto"/>
        <w:ind w:firstLine="482" w:firstLineChars="201"/>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1"/>
          <w:highlight w:val="none"/>
          <w:lang w:val="en-US" w:eastAsia="zh-CN"/>
        </w:rPr>
        <w:t>1</w:t>
      </w:r>
      <w:r>
        <w:rPr>
          <w:rFonts w:hint="eastAsia" w:ascii="宋体" w:hAnsi="宋体" w:cs="宋体"/>
          <w:color w:val="auto"/>
          <w:kern w:val="0"/>
          <w:sz w:val="24"/>
          <w:szCs w:val="21"/>
          <w:highlight w:val="none"/>
        </w:rPr>
        <w:t>．</w:t>
      </w:r>
      <w:r>
        <w:rPr>
          <w:rFonts w:hint="eastAsia" w:ascii="宋体" w:hAnsi="宋体" w:eastAsia="宋体" w:cs="宋体"/>
          <w:color w:val="auto"/>
          <w:sz w:val="24"/>
          <w:szCs w:val="24"/>
          <w:highlight w:val="none"/>
          <w:lang w:val="en-US" w:eastAsia="zh-CN"/>
        </w:rPr>
        <w:t>采购需求中如出现品牌、型号或者生产厂家等均仅起参考作用，不属于指定品牌、型号或者生产厂家的情形，投标人可参照或者选用其他相当的品牌、型号或者生产供应商替代。但投标人的产品实质上应相当于或优于本需求中的技术要求。</w:t>
      </w:r>
    </w:p>
    <w:p w14:paraId="65FABCE9">
      <w:pPr>
        <w:keepNext w:val="0"/>
        <w:keepLines w:val="0"/>
        <w:pageBreakBefore w:val="0"/>
        <w:widowControl w:val="0"/>
        <w:kinsoku/>
        <w:wordWrap/>
        <w:overflowPunct/>
        <w:topLinePunct w:val="0"/>
        <w:autoSpaceDE/>
        <w:autoSpaceDN/>
        <w:bidi w:val="0"/>
        <w:adjustRightInd/>
        <w:snapToGrid/>
        <w:spacing w:line="360" w:lineRule="auto"/>
        <w:ind w:firstLine="482" w:firstLineChars="201"/>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1"/>
          <w:highlight w:val="none"/>
          <w:lang w:val="en-US" w:eastAsia="zh-CN"/>
        </w:rPr>
        <w:t>2</w:t>
      </w:r>
      <w:r>
        <w:rPr>
          <w:rFonts w:hint="eastAsia" w:ascii="宋体" w:hAnsi="宋体" w:cs="宋体"/>
          <w:color w:val="auto"/>
          <w:kern w:val="0"/>
          <w:sz w:val="24"/>
          <w:szCs w:val="21"/>
          <w:highlight w:val="none"/>
        </w:rPr>
        <w:t>．</w:t>
      </w:r>
      <w:r>
        <w:rPr>
          <w:rFonts w:hint="eastAsia" w:ascii="宋体" w:hAnsi="宋体" w:eastAsia="宋体" w:cs="宋体"/>
          <w:color w:val="auto"/>
          <w:sz w:val="24"/>
          <w:szCs w:val="24"/>
          <w:highlight w:val="none"/>
          <w:lang w:val="en-US" w:eastAsia="zh-CN"/>
        </w:rPr>
        <w:t>根据《财政部 发展改革委 生态环境部 市场监管总局关于调整优化节能产品、环境标志产品政府采购执行机制的通知》（财库〔2019〕9号）和《关于印发节能产品政府采购品目清单的通知》（财库〔2019〕19号）的规定，采购需求中如有货物产品，且货物产品属于节能产品政府采购品目清单内标注“★”的（详见本章后附的节能产品政府采购品目清单），投标人的投标货物必须使用政府强制采购的节能产品，否则投标文件作无效处理。</w:t>
      </w:r>
    </w:p>
    <w:p w14:paraId="2DBCD834">
      <w:pPr>
        <w:keepNext w:val="0"/>
        <w:keepLines w:val="0"/>
        <w:pageBreakBefore w:val="0"/>
        <w:widowControl w:val="0"/>
        <w:kinsoku/>
        <w:wordWrap/>
        <w:overflowPunct/>
        <w:topLinePunct w:val="0"/>
        <w:autoSpaceDE/>
        <w:autoSpaceDN/>
        <w:bidi w:val="0"/>
        <w:adjustRightInd/>
        <w:snapToGrid/>
        <w:spacing w:line="360" w:lineRule="auto"/>
        <w:ind w:firstLine="482" w:firstLineChars="201"/>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1"/>
          <w:highlight w:val="none"/>
          <w:lang w:val="en-US" w:eastAsia="zh-CN"/>
        </w:rPr>
        <w:t>3</w:t>
      </w:r>
      <w:r>
        <w:rPr>
          <w:rFonts w:hint="eastAsia" w:ascii="宋体" w:hAnsi="宋体" w:cs="宋体"/>
          <w:color w:val="auto"/>
          <w:kern w:val="0"/>
          <w:sz w:val="24"/>
          <w:szCs w:val="21"/>
          <w:highlight w:val="none"/>
        </w:rPr>
        <w:t>．</w:t>
      </w:r>
      <w:r>
        <w:rPr>
          <w:rFonts w:hint="eastAsia" w:ascii="宋体" w:hAnsi="宋体" w:eastAsia="宋体" w:cs="宋体"/>
          <w:color w:val="auto"/>
          <w:sz w:val="24"/>
          <w:szCs w:val="24"/>
          <w:highlight w:val="none"/>
          <w:lang w:val="en-US" w:eastAsia="zh-CN"/>
        </w:rPr>
        <w:t>如投标人投标产品存在侵犯他人的知识产权或者专利成果行为的，由投标人自行承担相应法律责任。</w:t>
      </w:r>
    </w:p>
    <w:p w14:paraId="18EBF60D">
      <w:pPr>
        <w:keepNext w:val="0"/>
        <w:keepLines w:val="0"/>
        <w:pageBreakBefore w:val="0"/>
        <w:widowControl w:val="0"/>
        <w:kinsoku/>
        <w:wordWrap/>
        <w:overflowPunct/>
        <w:topLinePunct w:val="0"/>
        <w:autoSpaceDE/>
        <w:autoSpaceDN/>
        <w:bidi w:val="0"/>
        <w:adjustRightInd/>
        <w:snapToGrid/>
        <w:spacing w:line="360" w:lineRule="auto"/>
        <w:ind w:firstLine="482" w:firstLineChars="201"/>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1"/>
          <w:highlight w:val="none"/>
          <w:lang w:val="en-US" w:eastAsia="zh-CN"/>
        </w:rPr>
        <w:t>4</w:t>
      </w:r>
      <w:r>
        <w:rPr>
          <w:rFonts w:hint="eastAsia" w:ascii="宋体" w:hAnsi="宋体" w:cs="宋体"/>
          <w:color w:val="auto"/>
          <w:kern w:val="0"/>
          <w:sz w:val="24"/>
          <w:szCs w:val="21"/>
          <w:highlight w:val="none"/>
        </w:rPr>
        <w:t>．</w:t>
      </w:r>
      <w:r>
        <w:rPr>
          <w:rFonts w:hint="eastAsia" w:ascii="宋体" w:hAnsi="宋体" w:eastAsia="宋体" w:cs="宋体"/>
          <w:color w:val="auto"/>
          <w:sz w:val="24"/>
          <w:szCs w:val="24"/>
          <w:highlight w:val="none"/>
          <w:lang w:val="en-US" w:eastAsia="zh-CN"/>
        </w:rPr>
        <w:t>“实质性要求”是指招标文件中已经指明不满足则投标无效的条款，或者不能负偏离的条款，或者采购需求中带“▲”的条款。</w:t>
      </w:r>
    </w:p>
    <w:p w14:paraId="56DD01B4">
      <w:pPr>
        <w:keepNext w:val="0"/>
        <w:keepLines w:val="0"/>
        <w:pageBreakBefore w:val="0"/>
        <w:widowControl w:val="0"/>
        <w:kinsoku/>
        <w:wordWrap/>
        <w:overflowPunct/>
        <w:topLinePunct w:val="0"/>
        <w:autoSpaceDE/>
        <w:autoSpaceDN/>
        <w:bidi w:val="0"/>
        <w:adjustRightInd/>
        <w:snapToGrid/>
        <w:spacing w:line="360" w:lineRule="auto"/>
        <w:ind w:firstLine="482" w:firstLineChars="201"/>
        <w:jc w:val="both"/>
        <w:textAlignment w:val="auto"/>
        <w:rPr>
          <w:rFonts w:hint="eastAsia" w:ascii="宋体" w:hAnsi="宋体" w:eastAsia="宋体" w:cs="宋体"/>
          <w:color w:val="auto"/>
          <w:sz w:val="24"/>
          <w:szCs w:val="24"/>
          <w:highlight w:val="none"/>
        </w:rPr>
      </w:pPr>
      <w:r>
        <w:rPr>
          <w:rFonts w:ascii="宋体" w:hAnsi="宋体" w:cs="宋体"/>
          <w:color w:val="auto"/>
          <w:kern w:val="0"/>
          <w:sz w:val="24"/>
          <w:szCs w:val="21"/>
          <w:highlight w:val="none"/>
        </w:rPr>
        <w:t>5</w:t>
      </w:r>
      <w:r>
        <w:rPr>
          <w:rFonts w:hint="eastAsia" w:ascii="宋体" w:hAnsi="宋体" w:cs="宋体"/>
          <w:color w:val="auto"/>
          <w:kern w:val="0"/>
          <w:sz w:val="24"/>
          <w:szCs w:val="21"/>
          <w:highlight w:val="none"/>
        </w:rPr>
        <w:t>．</w:t>
      </w:r>
      <w:r>
        <w:rPr>
          <w:rFonts w:hint="eastAsia" w:ascii="宋体" w:hAnsi="宋体" w:eastAsia="宋体" w:cs="宋体"/>
          <w:color w:val="auto"/>
          <w:sz w:val="24"/>
          <w:szCs w:val="24"/>
          <w:highlight w:val="none"/>
          <w:lang w:val="en-US" w:eastAsia="zh-CN"/>
        </w:rPr>
        <w:t>投标人应根据自身实际情况如实响应招标文件，不得仅将招标文件内容简单复制粘贴作为投标响应，否则投标文件作无效处理（定制采购不适用本条款）。</w:t>
      </w:r>
    </w:p>
    <w:p w14:paraId="037A6FE1">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宋体" w:hAnsi="宋体" w:cs="宋体"/>
          <w:color w:val="auto"/>
          <w:kern w:val="0"/>
          <w:sz w:val="24"/>
          <w:szCs w:val="21"/>
          <w:highlight w:val="none"/>
          <w:lang w:val="en-US" w:eastAsia="zh-CN"/>
        </w:rPr>
        <w:t>6</w:t>
      </w:r>
      <w:r>
        <w:rPr>
          <w:rFonts w:hint="eastAsia" w:ascii="宋体" w:hAnsi="宋体" w:cs="宋体"/>
          <w:color w:val="auto"/>
          <w:kern w:val="0"/>
          <w:sz w:val="24"/>
          <w:szCs w:val="21"/>
          <w:highlight w:val="none"/>
        </w:rPr>
        <w:t>．</w:t>
      </w:r>
      <w:r>
        <w:rPr>
          <w:rFonts w:hint="eastAsia" w:ascii="宋体" w:hAnsi="宋体" w:eastAsia="宋体" w:cs="宋体"/>
          <w:color w:val="auto"/>
          <w:sz w:val="24"/>
          <w:szCs w:val="24"/>
          <w:highlight w:val="none"/>
        </w:rPr>
        <w:t>技术要求</w:t>
      </w:r>
    </w:p>
    <w:tbl>
      <w:tblPr>
        <w:tblStyle w:val="62"/>
        <w:tblW w:w="5000" w:type="pct"/>
        <w:tblInd w:w="0" w:type="dxa"/>
        <w:tblLayout w:type="fixed"/>
        <w:tblCellMar>
          <w:top w:w="0" w:type="dxa"/>
          <w:left w:w="108" w:type="dxa"/>
          <w:bottom w:w="0" w:type="dxa"/>
          <w:right w:w="108" w:type="dxa"/>
        </w:tblCellMar>
      </w:tblPr>
      <w:tblGrid>
        <w:gridCol w:w="909"/>
        <w:gridCol w:w="1350"/>
        <w:gridCol w:w="5914"/>
        <w:gridCol w:w="729"/>
        <w:gridCol w:w="952"/>
      </w:tblGrid>
      <w:tr w14:paraId="107145CD">
        <w:tblPrEx>
          <w:tblCellMar>
            <w:top w:w="0" w:type="dxa"/>
            <w:left w:w="108" w:type="dxa"/>
            <w:bottom w:w="0" w:type="dxa"/>
            <w:right w:w="108" w:type="dxa"/>
          </w:tblCellMar>
        </w:tblPrEx>
        <w:trPr>
          <w:trHeight w:val="1518" w:hRule="atLeast"/>
          <w:tblHeader/>
        </w:trPr>
        <w:tc>
          <w:tcPr>
            <w:tcW w:w="461" w:type="pct"/>
            <w:tcBorders>
              <w:top w:val="single" w:color="auto" w:sz="4" w:space="0"/>
              <w:left w:val="single" w:color="auto" w:sz="4" w:space="0"/>
              <w:bottom w:val="single" w:color="auto" w:sz="4" w:space="0"/>
              <w:right w:val="single" w:color="auto" w:sz="4" w:space="0"/>
            </w:tcBorders>
            <w:noWrap w:val="0"/>
            <w:vAlign w:val="center"/>
          </w:tcPr>
          <w:p w14:paraId="29773A5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序号</w:t>
            </w:r>
          </w:p>
        </w:tc>
        <w:tc>
          <w:tcPr>
            <w:tcW w:w="685" w:type="pct"/>
            <w:tcBorders>
              <w:top w:val="single" w:color="auto" w:sz="4" w:space="0"/>
              <w:left w:val="nil"/>
              <w:bottom w:val="single" w:color="auto" w:sz="4" w:space="0"/>
              <w:right w:val="single" w:color="auto" w:sz="4" w:space="0"/>
            </w:tcBorders>
            <w:noWrap w:val="0"/>
            <w:vAlign w:val="center"/>
          </w:tcPr>
          <w:p w14:paraId="2EB845E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设备及软件名称</w:t>
            </w:r>
          </w:p>
        </w:tc>
        <w:tc>
          <w:tcPr>
            <w:tcW w:w="3000" w:type="pct"/>
            <w:tcBorders>
              <w:top w:val="single" w:color="auto" w:sz="4" w:space="0"/>
              <w:left w:val="nil"/>
              <w:bottom w:val="single" w:color="auto" w:sz="4" w:space="0"/>
              <w:right w:val="single" w:color="auto" w:sz="4" w:space="0"/>
            </w:tcBorders>
            <w:noWrap/>
            <w:vAlign w:val="center"/>
          </w:tcPr>
          <w:p w14:paraId="64BF8503">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技术规格及主要性能指标</w:t>
            </w:r>
          </w:p>
        </w:tc>
        <w:tc>
          <w:tcPr>
            <w:tcW w:w="369" w:type="pct"/>
            <w:tcBorders>
              <w:top w:val="single" w:color="auto" w:sz="4" w:space="0"/>
              <w:left w:val="nil"/>
              <w:bottom w:val="single" w:color="auto" w:sz="4" w:space="0"/>
              <w:right w:val="single" w:color="auto" w:sz="4" w:space="0"/>
            </w:tcBorders>
            <w:noWrap w:val="0"/>
            <w:vAlign w:val="center"/>
          </w:tcPr>
          <w:p w14:paraId="21BDBF3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单位</w:t>
            </w:r>
          </w:p>
        </w:tc>
        <w:tc>
          <w:tcPr>
            <w:tcW w:w="483" w:type="pct"/>
            <w:tcBorders>
              <w:top w:val="single" w:color="auto" w:sz="4" w:space="0"/>
              <w:left w:val="nil"/>
              <w:bottom w:val="single" w:color="auto" w:sz="4" w:space="0"/>
              <w:right w:val="single" w:color="auto" w:sz="4" w:space="0"/>
            </w:tcBorders>
            <w:noWrap w:val="0"/>
            <w:vAlign w:val="center"/>
          </w:tcPr>
          <w:p w14:paraId="2FBB539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数量</w:t>
            </w:r>
          </w:p>
        </w:tc>
      </w:tr>
      <w:tr w14:paraId="762707D8">
        <w:tblPrEx>
          <w:tblCellMar>
            <w:top w:w="0" w:type="dxa"/>
            <w:left w:w="108" w:type="dxa"/>
            <w:bottom w:w="0" w:type="dxa"/>
            <w:right w:w="108" w:type="dxa"/>
          </w:tblCellMar>
        </w:tblPrEx>
        <w:trPr>
          <w:trHeight w:val="285"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23CDCB9F">
            <w:pPr>
              <w:widowControl/>
              <w:spacing w:line="240" w:lineRule="auto"/>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采购内容1：信息系统建设</w:t>
            </w:r>
          </w:p>
        </w:tc>
      </w:tr>
      <w:tr w14:paraId="6ACF52E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B2366A6">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一</w:t>
            </w:r>
          </w:p>
        </w:tc>
        <w:tc>
          <w:tcPr>
            <w:tcW w:w="685" w:type="pct"/>
            <w:tcBorders>
              <w:top w:val="nil"/>
              <w:left w:val="nil"/>
              <w:bottom w:val="single" w:color="auto" w:sz="4" w:space="0"/>
              <w:right w:val="single" w:color="auto" w:sz="4" w:space="0"/>
            </w:tcBorders>
            <w:noWrap w:val="0"/>
            <w:vAlign w:val="center"/>
          </w:tcPr>
          <w:p w14:paraId="0AA14016">
            <w:pPr>
              <w:widowControl/>
              <w:spacing w:line="240" w:lineRule="auto"/>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信息采集</w:t>
            </w:r>
          </w:p>
          <w:p w14:paraId="6BF4B883">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分析</w:t>
            </w:r>
            <w:r>
              <w:rPr>
                <w:rFonts w:hint="eastAsia" w:asciiTheme="minorEastAsia" w:hAnsiTheme="minorEastAsia" w:eastAsiaTheme="minorEastAsia" w:cstheme="minorEastAsia"/>
                <w:b/>
                <w:bCs/>
                <w:color w:val="auto"/>
                <w:kern w:val="0"/>
                <w:sz w:val="24"/>
                <w:szCs w:val="24"/>
                <w:highlight w:val="none"/>
              </w:rPr>
              <w:t>系统</w:t>
            </w:r>
          </w:p>
        </w:tc>
        <w:tc>
          <w:tcPr>
            <w:tcW w:w="3000" w:type="pct"/>
            <w:tcBorders>
              <w:top w:val="nil"/>
              <w:left w:val="nil"/>
              <w:bottom w:val="single" w:color="auto" w:sz="4" w:space="0"/>
              <w:right w:val="single" w:color="auto" w:sz="4" w:space="0"/>
            </w:tcBorders>
            <w:noWrap/>
            <w:vAlign w:val="center"/>
          </w:tcPr>
          <w:p w14:paraId="1E091FA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42CE4DF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13AEE09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6CFAFD8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7D87386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noWrap w:val="0"/>
            <w:vAlign w:val="center"/>
          </w:tcPr>
          <w:p w14:paraId="57198BE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数据交换服务器</w:t>
            </w:r>
          </w:p>
        </w:tc>
        <w:tc>
          <w:tcPr>
            <w:tcW w:w="3000" w:type="pct"/>
            <w:tcBorders>
              <w:top w:val="nil"/>
              <w:left w:val="nil"/>
              <w:bottom w:val="single" w:color="auto" w:sz="4" w:space="0"/>
              <w:right w:val="single" w:color="auto" w:sz="4" w:space="0"/>
            </w:tcBorders>
            <w:noWrap/>
            <w:vAlign w:val="center"/>
          </w:tcPr>
          <w:p w14:paraId="7793898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设备必须满足财政部、工业和信息化部《关于印发〈通用服务器政府采购需求标准（2023年版）〉的通知》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（财库〔2023〕33号）</w:t>
            </w:r>
            <w:r>
              <w:rPr>
                <w:rFonts w:hint="eastAsia" w:asciiTheme="minorEastAsia" w:hAnsiTheme="minorEastAsia" w:eastAsiaTheme="minorEastAsia" w:cstheme="minorEastAsia"/>
                <w:color w:val="auto"/>
                <w:kern w:val="0"/>
                <w:sz w:val="24"/>
                <w:szCs w:val="24"/>
                <w:highlight w:val="none"/>
              </w:rPr>
              <w:t>中加“*”的指标。其中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1、CPU：2颗物理CPU，单颗CPU主频≥2.0GHz，物理核心数≥32核；</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2、内存：≥256G DDR4；</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3、磁盘：≥960GB SATA SSD*2，≥4TB SATA HDD*2；</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4、RAID：支持RAID0/1/5/6/10/50/60；</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5、端口：≥2*GE电口，≥2*10GE光口（满配多模光模块）；</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6、IPMI：IPMI2.0；</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7、电源：220V交流冗余电源。</w:t>
            </w:r>
          </w:p>
        </w:tc>
        <w:tc>
          <w:tcPr>
            <w:tcW w:w="369" w:type="pct"/>
            <w:tcBorders>
              <w:top w:val="nil"/>
              <w:left w:val="nil"/>
              <w:bottom w:val="single" w:color="auto" w:sz="4" w:space="0"/>
              <w:right w:val="single" w:color="auto" w:sz="4" w:space="0"/>
            </w:tcBorders>
            <w:noWrap w:val="0"/>
            <w:vAlign w:val="center"/>
          </w:tcPr>
          <w:p w14:paraId="73B709A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41B38F5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230948F">
        <w:tblPrEx>
          <w:tblCellMar>
            <w:top w:w="0" w:type="dxa"/>
            <w:left w:w="108" w:type="dxa"/>
            <w:bottom w:w="0" w:type="dxa"/>
            <w:right w:w="108" w:type="dxa"/>
          </w:tblCellMar>
        </w:tblPrEx>
        <w:trPr>
          <w:trHeight w:val="2358" w:hRule="atLeast"/>
        </w:trPr>
        <w:tc>
          <w:tcPr>
            <w:tcW w:w="461" w:type="pct"/>
            <w:tcBorders>
              <w:top w:val="nil"/>
              <w:left w:val="single" w:color="auto" w:sz="4" w:space="0"/>
              <w:bottom w:val="single" w:color="auto" w:sz="4" w:space="0"/>
              <w:right w:val="single" w:color="auto" w:sz="4" w:space="0"/>
            </w:tcBorders>
            <w:noWrap w:val="0"/>
            <w:vAlign w:val="center"/>
          </w:tcPr>
          <w:p w14:paraId="2E46718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2</w:t>
            </w:r>
          </w:p>
        </w:tc>
        <w:tc>
          <w:tcPr>
            <w:tcW w:w="685" w:type="pct"/>
            <w:tcBorders>
              <w:top w:val="nil"/>
              <w:left w:val="nil"/>
              <w:bottom w:val="single" w:color="auto" w:sz="4" w:space="0"/>
              <w:right w:val="single" w:color="auto" w:sz="4" w:space="0"/>
            </w:tcBorders>
            <w:noWrap w:val="0"/>
            <w:vAlign w:val="center"/>
          </w:tcPr>
          <w:p w14:paraId="4656760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信息</w:t>
            </w:r>
            <w:r>
              <w:rPr>
                <w:rFonts w:hint="eastAsia" w:asciiTheme="minorEastAsia" w:hAnsiTheme="minorEastAsia" w:eastAsiaTheme="minorEastAsia" w:cstheme="minorEastAsia"/>
                <w:color w:val="auto"/>
                <w:kern w:val="0"/>
                <w:sz w:val="24"/>
                <w:szCs w:val="24"/>
                <w:highlight w:val="none"/>
              </w:rPr>
              <w:t>数据采集交换软件</w:t>
            </w:r>
          </w:p>
        </w:tc>
        <w:tc>
          <w:tcPr>
            <w:tcW w:w="3000" w:type="pct"/>
            <w:tcBorders>
              <w:top w:val="nil"/>
              <w:left w:val="nil"/>
              <w:bottom w:val="single" w:color="auto" w:sz="4" w:space="0"/>
              <w:right w:val="single" w:color="auto" w:sz="4" w:space="0"/>
            </w:tcBorders>
            <w:noWrap/>
            <w:vAlign w:val="center"/>
          </w:tcPr>
          <w:p w14:paraId="188532B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本期项目在一期项目基础上对</w:t>
            </w:r>
            <w:r>
              <w:rPr>
                <w:rFonts w:hint="eastAsia" w:asciiTheme="minorEastAsia" w:hAnsiTheme="minorEastAsia" w:eastAsiaTheme="minorEastAsia" w:cstheme="minorEastAsia"/>
                <w:color w:val="auto"/>
                <w:kern w:val="0"/>
                <w:sz w:val="24"/>
                <w:szCs w:val="24"/>
                <w:highlight w:val="none"/>
                <w:lang w:val="en-US" w:eastAsia="zh-CN"/>
              </w:rPr>
              <w:t>信息</w:t>
            </w:r>
            <w:r>
              <w:rPr>
                <w:rFonts w:hint="eastAsia" w:asciiTheme="minorEastAsia" w:hAnsiTheme="minorEastAsia" w:eastAsiaTheme="minorEastAsia" w:cstheme="minorEastAsia"/>
                <w:color w:val="auto"/>
                <w:kern w:val="0"/>
                <w:sz w:val="24"/>
                <w:szCs w:val="24"/>
                <w:highlight w:val="none"/>
              </w:rPr>
              <w:t>数据采集交换子系统的采集数据范围和系统对接功能等进行扩容。扩容功能主要包括：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（一）扩容与自治区网络应急指挥中心平台进行系统对接和数据交换的功能，系统对接和数据交换应符合中央网信办</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自治区党委网信办</w:t>
            </w:r>
            <w:r>
              <w:rPr>
                <w:rFonts w:hint="eastAsia" w:asciiTheme="minorEastAsia" w:hAnsiTheme="minorEastAsia" w:eastAsiaTheme="minorEastAsia" w:cstheme="minorEastAsia"/>
                <w:color w:val="auto"/>
                <w:kern w:val="0"/>
                <w:sz w:val="24"/>
                <w:szCs w:val="24"/>
                <w:highlight w:val="none"/>
                <w:lang w:val="en-US" w:eastAsia="zh-CN"/>
              </w:rPr>
              <w:t>以及采购人</w:t>
            </w:r>
            <w:r>
              <w:rPr>
                <w:rFonts w:hint="eastAsia" w:asciiTheme="minorEastAsia" w:hAnsiTheme="minorEastAsia" w:eastAsiaTheme="minorEastAsia" w:cstheme="minorEastAsia"/>
                <w:color w:val="auto"/>
                <w:kern w:val="0"/>
                <w:sz w:val="24"/>
                <w:szCs w:val="24"/>
                <w:highlight w:val="none"/>
              </w:rPr>
              <w:t>的要求。</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扩容其他单位数据查看、</w:t>
            </w:r>
            <w:r>
              <w:rPr>
                <w:rFonts w:hint="eastAsia" w:asciiTheme="minorEastAsia" w:hAnsiTheme="minorEastAsia" w:eastAsiaTheme="minorEastAsia" w:cstheme="minorEastAsia"/>
                <w:color w:val="auto"/>
                <w:kern w:val="0"/>
                <w:sz w:val="24"/>
                <w:szCs w:val="24"/>
                <w:highlight w:val="none"/>
                <w:lang w:val="en-US" w:eastAsia="zh-CN"/>
              </w:rPr>
              <w:t>报送</w:t>
            </w:r>
            <w:r>
              <w:rPr>
                <w:rFonts w:hint="eastAsia" w:asciiTheme="minorEastAsia" w:hAnsiTheme="minorEastAsia" w:eastAsiaTheme="minorEastAsia" w:cstheme="minorEastAsia"/>
                <w:color w:val="auto"/>
                <w:kern w:val="0"/>
                <w:sz w:val="24"/>
                <w:szCs w:val="24"/>
                <w:highlight w:val="none"/>
              </w:rPr>
              <w:t>功能。向其他单位提供其权限范围内的数据查看功能，并支持其他单位</w:t>
            </w:r>
            <w:r>
              <w:rPr>
                <w:rFonts w:hint="eastAsia" w:asciiTheme="minorEastAsia" w:hAnsiTheme="minorEastAsia" w:eastAsiaTheme="minorEastAsia" w:cstheme="minorEastAsia"/>
                <w:color w:val="auto"/>
                <w:kern w:val="0"/>
                <w:sz w:val="24"/>
                <w:szCs w:val="24"/>
                <w:highlight w:val="none"/>
                <w:lang w:val="en-US" w:eastAsia="zh-CN"/>
              </w:rPr>
              <w:t>报送</w:t>
            </w:r>
            <w:r>
              <w:rPr>
                <w:rFonts w:hint="eastAsia" w:asciiTheme="minorEastAsia" w:hAnsiTheme="minorEastAsia" w:eastAsiaTheme="minorEastAsia" w:cstheme="minorEastAsia"/>
                <w:color w:val="auto"/>
                <w:kern w:val="0"/>
                <w:sz w:val="24"/>
                <w:szCs w:val="24"/>
                <w:highlight w:val="none"/>
              </w:rPr>
              <w:t>数据。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（三）</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w:t>
            </w:r>
            <w:r>
              <w:rPr>
                <w:rFonts w:hint="eastAsia" w:asciiTheme="minorEastAsia" w:hAnsiTheme="minorEastAsia" w:eastAsiaTheme="minorEastAsia" w:cstheme="minorEastAsia"/>
                <w:color w:val="auto"/>
                <w:kern w:val="0"/>
                <w:sz w:val="24"/>
                <w:szCs w:val="24"/>
                <w:highlight w:val="none"/>
                <w:lang w:val="en-US" w:eastAsia="zh-CN"/>
              </w:rPr>
              <w:t>多媒体</w:t>
            </w:r>
            <w:r>
              <w:rPr>
                <w:rFonts w:hint="eastAsia" w:asciiTheme="minorEastAsia" w:hAnsiTheme="minorEastAsia" w:eastAsiaTheme="minorEastAsia" w:cstheme="minorEastAsia"/>
                <w:color w:val="auto"/>
                <w:kern w:val="0"/>
                <w:sz w:val="24"/>
                <w:szCs w:val="24"/>
                <w:highlight w:val="none"/>
              </w:rPr>
              <w:t>数据采集功能。</w:t>
            </w:r>
            <w:r>
              <w:rPr>
                <w:rFonts w:hint="eastAsia" w:asciiTheme="minorEastAsia" w:hAnsiTheme="minorEastAsia" w:eastAsiaTheme="minorEastAsia" w:cstheme="minorEastAsia"/>
                <w:color w:val="auto"/>
                <w:kern w:val="0"/>
                <w:sz w:val="24"/>
                <w:szCs w:val="24"/>
                <w:highlight w:val="none"/>
                <w:lang w:val="en-US" w:eastAsia="zh-CN"/>
              </w:rPr>
              <w:t>支持</w:t>
            </w:r>
            <w:r>
              <w:rPr>
                <w:rFonts w:hint="eastAsia" w:asciiTheme="minorEastAsia" w:hAnsiTheme="minorEastAsia" w:eastAsiaTheme="minorEastAsia" w:cstheme="minorEastAsia"/>
                <w:color w:val="auto"/>
                <w:kern w:val="0"/>
                <w:sz w:val="24"/>
                <w:szCs w:val="24"/>
                <w:highlight w:val="none"/>
              </w:rPr>
              <w:t>与</w:t>
            </w:r>
            <w:r>
              <w:rPr>
                <w:rFonts w:hint="eastAsia" w:asciiTheme="minorEastAsia" w:hAnsiTheme="minorEastAsia" w:eastAsiaTheme="minorEastAsia" w:cstheme="minorEastAsia"/>
                <w:color w:val="auto"/>
                <w:kern w:val="0"/>
                <w:sz w:val="24"/>
                <w:szCs w:val="24"/>
                <w:highlight w:val="none"/>
                <w:lang w:val="en-US" w:eastAsia="zh-CN"/>
              </w:rPr>
              <w:t>2家以上</w:t>
            </w:r>
            <w:r>
              <w:rPr>
                <w:rFonts w:hint="eastAsia" w:asciiTheme="minorEastAsia" w:hAnsiTheme="minorEastAsia" w:eastAsiaTheme="minorEastAsia" w:cstheme="minorEastAsia"/>
                <w:color w:val="auto"/>
                <w:kern w:val="0"/>
                <w:sz w:val="24"/>
                <w:szCs w:val="24"/>
                <w:highlight w:val="none"/>
              </w:rPr>
              <w:t>第三方</w:t>
            </w:r>
            <w:r>
              <w:rPr>
                <w:rFonts w:hint="eastAsia" w:asciiTheme="minorEastAsia" w:hAnsiTheme="minorEastAsia" w:eastAsiaTheme="minorEastAsia" w:cstheme="minorEastAsia"/>
                <w:color w:val="auto"/>
                <w:kern w:val="0"/>
                <w:sz w:val="24"/>
                <w:szCs w:val="24"/>
                <w:highlight w:val="none"/>
                <w:lang w:val="en-US" w:eastAsia="zh-CN"/>
              </w:rPr>
              <w:t>数据服务</w:t>
            </w:r>
            <w:r>
              <w:rPr>
                <w:rFonts w:hint="eastAsia" w:asciiTheme="minorEastAsia" w:hAnsiTheme="minorEastAsia" w:eastAsiaTheme="minorEastAsia" w:cstheme="minorEastAsia"/>
                <w:color w:val="auto"/>
                <w:kern w:val="0"/>
                <w:sz w:val="24"/>
                <w:szCs w:val="24"/>
                <w:highlight w:val="none"/>
              </w:rPr>
              <w:t>单位系统进行对接，获取</w:t>
            </w:r>
            <w:r>
              <w:rPr>
                <w:rFonts w:hint="eastAsia" w:asciiTheme="minorEastAsia" w:hAnsiTheme="minorEastAsia" w:eastAsiaTheme="minorEastAsia" w:cstheme="minorEastAsia"/>
                <w:color w:val="auto"/>
                <w:kern w:val="0"/>
                <w:sz w:val="24"/>
                <w:szCs w:val="24"/>
                <w:highlight w:val="none"/>
                <w:lang w:val="en-US" w:eastAsia="zh-CN"/>
              </w:rPr>
              <w:t>所需多媒体</w:t>
            </w:r>
            <w:r>
              <w:rPr>
                <w:rFonts w:hint="eastAsia" w:asciiTheme="minorEastAsia" w:hAnsiTheme="minorEastAsia" w:eastAsiaTheme="minorEastAsia" w:cstheme="minorEastAsia"/>
                <w:color w:val="auto"/>
                <w:kern w:val="0"/>
                <w:sz w:val="24"/>
                <w:szCs w:val="24"/>
                <w:highlight w:val="none"/>
              </w:rPr>
              <w:t>数据</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四</w:t>
            </w:r>
            <w:r>
              <w:rPr>
                <w:rFonts w:hint="eastAsia" w:asciiTheme="minorEastAsia" w:hAnsiTheme="minorEastAsia" w:eastAsiaTheme="minorEastAsia" w:cstheme="minorEastAsia"/>
                <w:color w:val="auto"/>
                <w:kern w:val="0"/>
                <w:sz w:val="24"/>
                <w:szCs w:val="24"/>
                <w:highlight w:val="none"/>
              </w:rPr>
              <w:t>）支持</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向第三方</w:t>
            </w:r>
            <w:r>
              <w:rPr>
                <w:rFonts w:hint="eastAsia" w:asciiTheme="minorEastAsia" w:hAnsiTheme="minorEastAsia" w:eastAsiaTheme="minorEastAsia" w:cstheme="minorEastAsia"/>
                <w:color w:val="auto"/>
                <w:kern w:val="0"/>
                <w:sz w:val="24"/>
                <w:szCs w:val="24"/>
                <w:highlight w:val="none"/>
                <w:lang w:val="en-US" w:eastAsia="zh-CN"/>
              </w:rPr>
              <w:t>数据服务</w:t>
            </w:r>
            <w:r>
              <w:rPr>
                <w:rFonts w:hint="eastAsia" w:asciiTheme="minorEastAsia" w:hAnsiTheme="minorEastAsia" w:eastAsiaTheme="minorEastAsia" w:cstheme="minorEastAsia"/>
                <w:color w:val="auto"/>
                <w:kern w:val="0"/>
                <w:sz w:val="24"/>
                <w:szCs w:val="24"/>
                <w:highlight w:val="none"/>
              </w:rPr>
              <w:t>单位系统下发</w:t>
            </w:r>
            <w:r>
              <w:rPr>
                <w:rFonts w:hint="eastAsia" w:asciiTheme="minorEastAsia" w:hAnsiTheme="minorEastAsia" w:eastAsiaTheme="minorEastAsia" w:cstheme="minorEastAsia"/>
                <w:color w:val="auto"/>
                <w:kern w:val="0"/>
                <w:sz w:val="24"/>
                <w:szCs w:val="24"/>
                <w:highlight w:val="none"/>
                <w:lang w:val="en-US" w:eastAsia="zh-CN"/>
              </w:rPr>
              <w:t>数据采集</w:t>
            </w:r>
            <w:r>
              <w:rPr>
                <w:rFonts w:hint="eastAsia" w:asciiTheme="minorEastAsia" w:hAnsiTheme="minorEastAsia" w:eastAsiaTheme="minorEastAsia" w:cstheme="minorEastAsia"/>
                <w:color w:val="auto"/>
                <w:kern w:val="0"/>
                <w:sz w:val="24"/>
                <w:szCs w:val="24"/>
                <w:highlight w:val="none"/>
              </w:rPr>
              <w:t>规则等配置，由第三方系统根据配置将</w:t>
            </w:r>
            <w:r>
              <w:rPr>
                <w:rFonts w:hint="eastAsia" w:asciiTheme="minorEastAsia" w:hAnsiTheme="minorEastAsia" w:eastAsiaTheme="minorEastAsia" w:cstheme="minorEastAsia"/>
                <w:color w:val="auto"/>
                <w:kern w:val="0"/>
                <w:sz w:val="24"/>
                <w:szCs w:val="24"/>
                <w:highlight w:val="none"/>
                <w:lang w:val="en-US" w:eastAsia="zh-CN"/>
              </w:rPr>
              <w:t>采集</w:t>
            </w:r>
            <w:r>
              <w:rPr>
                <w:rFonts w:hint="eastAsia" w:asciiTheme="minorEastAsia" w:hAnsiTheme="minorEastAsia" w:eastAsiaTheme="minorEastAsia" w:cstheme="minorEastAsia"/>
                <w:color w:val="auto"/>
                <w:kern w:val="0"/>
                <w:sz w:val="24"/>
                <w:szCs w:val="24"/>
                <w:highlight w:val="none"/>
              </w:rPr>
              <w:t>结果返回给本平台。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（五）</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对接部署在北海市政务云的北海市市域社会治理网格化指挥中心的网格员信息系统，实现</w:t>
            </w:r>
            <w:r>
              <w:rPr>
                <w:rFonts w:hint="eastAsia" w:asciiTheme="minorEastAsia" w:hAnsiTheme="minorEastAsia" w:eastAsiaTheme="minorEastAsia" w:cstheme="minorEastAsia"/>
                <w:color w:val="auto"/>
                <w:kern w:val="0"/>
                <w:sz w:val="24"/>
                <w:szCs w:val="24"/>
                <w:highlight w:val="none"/>
                <w:lang w:val="en-US" w:eastAsia="zh-CN"/>
              </w:rPr>
              <w:t>数据接收</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（六）</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w:t>
            </w:r>
            <w:r>
              <w:rPr>
                <w:rFonts w:hint="eastAsia" w:asciiTheme="minorEastAsia" w:hAnsiTheme="minorEastAsia" w:eastAsiaTheme="minorEastAsia" w:cstheme="minorEastAsia"/>
                <w:color w:val="auto"/>
                <w:kern w:val="0"/>
                <w:sz w:val="24"/>
                <w:szCs w:val="24"/>
                <w:highlight w:val="none"/>
                <w:lang w:val="en-US" w:eastAsia="zh-CN"/>
              </w:rPr>
              <w:t>不同网络区域</w:t>
            </w:r>
            <w:r>
              <w:rPr>
                <w:rFonts w:hint="eastAsia" w:asciiTheme="minorEastAsia" w:hAnsiTheme="minorEastAsia" w:eastAsiaTheme="minorEastAsia" w:cstheme="minorEastAsia"/>
                <w:color w:val="auto"/>
                <w:kern w:val="0"/>
                <w:sz w:val="24"/>
                <w:szCs w:val="24"/>
                <w:highlight w:val="none"/>
              </w:rPr>
              <w:t>之间的对接，进行跨网数据交换</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迁移。</w:t>
            </w:r>
          </w:p>
          <w:p w14:paraId="5A79849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数据采集安全功能。在采集、接收相关数据时，对数据来源、数据完整性及可追溯性进行验证。通过身份认证、接口认证、接入认证等方式，保障数据本身的完整性和真实性，确保数据来源的安全和可信，防止伪冒数据源的攻击和破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color w:val="auto"/>
                <w:kern w:val="0"/>
                <w:sz w:val="24"/>
                <w:szCs w:val="24"/>
                <w:highlight w:val="none"/>
              </w:rPr>
              <w:t>）支持</w:t>
            </w:r>
            <w:r>
              <w:rPr>
                <w:rFonts w:hint="eastAsia" w:asciiTheme="minorEastAsia" w:hAnsiTheme="minorEastAsia" w:eastAsiaTheme="minorEastAsia" w:cstheme="minorEastAsia"/>
                <w:color w:val="auto"/>
                <w:kern w:val="0"/>
                <w:sz w:val="24"/>
                <w:szCs w:val="24"/>
                <w:highlight w:val="none"/>
                <w:lang w:val="en-US" w:eastAsia="zh-CN"/>
              </w:rPr>
              <w:t>按照采购人要求对</w:t>
            </w:r>
            <w:r>
              <w:rPr>
                <w:rFonts w:hint="eastAsia" w:asciiTheme="minorEastAsia" w:hAnsiTheme="minorEastAsia" w:eastAsiaTheme="minorEastAsia" w:cstheme="minorEastAsia"/>
                <w:color w:val="auto"/>
                <w:kern w:val="0"/>
                <w:sz w:val="24"/>
                <w:szCs w:val="24"/>
                <w:highlight w:val="none"/>
              </w:rPr>
              <w:t>数据</w:t>
            </w:r>
            <w:r>
              <w:rPr>
                <w:rFonts w:hint="eastAsia" w:asciiTheme="minorEastAsia" w:hAnsiTheme="minorEastAsia" w:eastAsiaTheme="minorEastAsia" w:cstheme="minorEastAsia"/>
                <w:color w:val="auto"/>
                <w:kern w:val="0"/>
                <w:sz w:val="24"/>
                <w:szCs w:val="24"/>
                <w:highlight w:val="none"/>
                <w:lang w:val="en-US" w:eastAsia="zh-CN"/>
              </w:rPr>
              <w:t>进行</w:t>
            </w:r>
            <w:r>
              <w:rPr>
                <w:rFonts w:hint="eastAsia" w:asciiTheme="minorEastAsia" w:hAnsiTheme="minorEastAsia" w:eastAsiaTheme="minorEastAsia" w:cstheme="minorEastAsia"/>
                <w:color w:val="auto"/>
                <w:kern w:val="0"/>
                <w:sz w:val="24"/>
                <w:szCs w:val="24"/>
                <w:highlight w:val="none"/>
              </w:rPr>
              <w:t>统计分析和可视化展示。</w:t>
            </w:r>
          </w:p>
          <w:p w14:paraId="2429DE1E">
            <w:pPr>
              <w:widowControl/>
              <w:spacing w:line="24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6D231C7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4636DB4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6B58AFE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0549DC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3</w:t>
            </w:r>
          </w:p>
        </w:tc>
        <w:tc>
          <w:tcPr>
            <w:tcW w:w="685" w:type="pct"/>
            <w:tcBorders>
              <w:top w:val="nil"/>
              <w:left w:val="nil"/>
              <w:bottom w:val="single" w:color="auto" w:sz="4" w:space="0"/>
              <w:right w:val="single" w:color="auto" w:sz="4" w:space="0"/>
            </w:tcBorders>
            <w:noWrap w:val="0"/>
            <w:vAlign w:val="center"/>
          </w:tcPr>
          <w:p w14:paraId="458DACD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专题</w:t>
            </w:r>
            <w:r>
              <w:rPr>
                <w:rFonts w:hint="eastAsia" w:asciiTheme="minorEastAsia" w:hAnsiTheme="minorEastAsia" w:eastAsiaTheme="minorEastAsia" w:cstheme="minorEastAsia"/>
                <w:color w:val="auto"/>
                <w:kern w:val="0"/>
                <w:sz w:val="24"/>
                <w:szCs w:val="24"/>
                <w:highlight w:val="none"/>
                <w:lang w:val="en-US" w:eastAsia="zh-CN"/>
              </w:rPr>
              <w:t>数据采集分析</w:t>
            </w:r>
            <w:r>
              <w:rPr>
                <w:rFonts w:hint="eastAsia" w:asciiTheme="minorEastAsia" w:hAnsiTheme="minorEastAsia" w:eastAsiaTheme="minorEastAsia" w:cstheme="minorEastAsia"/>
                <w:color w:val="auto"/>
                <w:kern w:val="0"/>
                <w:sz w:val="24"/>
                <w:szCs w:val="24"/>
                <w:highlight w:val="none"/>
              </w:rPr>
              <w:t>软件</w:t>
            </w:r>
          </w:p>
        </w:tc>
        <w:tc>
          <w:tcPr>
            <w:tcW w:w="3000" w:type="pct"/>
            <w:tcBorders>
              <w:top w:val="nil"/>
              <w:left w:val="nil"/>
              <w:bottom w:val="single" w:color="auto" w:sz="4" w:space="0"/>
              <w:right w:val="single" w:color="auto" w:sz="4" w:space="0"/>
            </w:tcBorders>
            <w:noWrap/>
            <w:vAlign w:val="center"/>
          </w:tcPr>
          <w:p w14:paraId="11039CB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本期项目在一期项目基础上对专题</w:t>
            </w:r>
            <w:r>
              <w:rPr>
                <w:rFonts w:hint="eastAsia" w:asciiTheme="minorEastAsia" w:hAnsiTheme="minorEastAsia" w:eastAsiaTheme="minorEastAsia" w:cstheme="minorEastAsia"/>
                <w:color w:val="auto"/>
                <w:kern w:val="0"/>
                <w:sz w:val="24"/>
                <w:szCs w:val="24"/>
                <w:highlight w:val="none"/>
                <w:lang w:val="en-US" w:eastAsia="zh-CN"/>
              </w:rPr>
              <w:t>数据采集分析</w:t>
            </w:r>
            <w:r>
              <w:rPr>
                <w:rFonts w:hint="eastAsia" w:asciiTheme="minorEastAsia" w:hAnsiTheme="minorEastAsia" w:eastAsiaTheme="minorEastAsia" w:cstheme="minorEastAsia"/>
                <w:color w:val="auto"/>
                <w:kern w:val="0"/>
                <w:sz w:val="24"/>
                <w:szCs w:val="24"/>
                <w:highlight w:val="none"/>
              </w:rPr>
              <w:t>子系统进行扩容，扩容功能主要</w:t>
            </w:r>
            <w:r>
              <w:rPr>
                <w:rFonts w:hint="eastAsia" w:asciiTheme="minorEastAsia" w:hAnsiTheme="minorEastAsia" w:eastAsiaTheme="minorEastAsia" w:cstheme="minorEastAsia"/>
                <w:color w:val="auto"/>
                <w:kern w:val="0"/>
                <w:sz w:val="24"/>
                <w:szCs w:val="24"/>
                <w:highlight w:val="none"/>
                <w:lang w:val="en-US" w:eastAsia="zh-CN"/>
              </w:rPr>
              <w:t>包括</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（一）通过接收</w:t>
            </w:r>
            <w:r>
              <w:rPr>
                <w:rFonts w:hint="eastAsia" w:asciiTheme="minorEastAsia" w:hAnsiTheme="minorEastAsia" w:eastAsiaTheme="minorEastAsia" w:cstheme="minorEastAsia"/>
                <w:color w:val="auto"/>
                <w:kern w:val="0"/>
                <w:sz w:val="24"/>
                <w:szCs w:val="24"/>
                <w:highlight w:val="none"/>
                <w:lang w:val="en-US" w:eastAsia="zh-CN"/>
              </w:rPr>
              <w:t>信息</w:t>
            </w:r>
            <w:r>
              <w:rPr>
                <w:rFonts w:hint="eastAsia" w:asciiTheme="minorEastAsia" w:hAnsiTheme="minorEastAsia" w:eastAsiaTheme="minorEastAsia" w:cstheme="minorEastAsia"/>
                <w:color w:val="auto"/>
                <w:kern w:val="0"/>
                <w:sz w:val="24"/>
                <w:szCs w:val="24"/>
                <w:highlight w:val="none"/>
              </w:rPr>
              <w:t>数据采集交换子系统数据，</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对数据进行治理及标准化，要求经过数据治理及标准化后的数据能够适用于</w:t>
            </w:r>
            <w:r>
              <w:rPr>
                <w:rFonts w:hint="eastAsia" w:asciiTheme="minorEastAsia" w:hAnsiTheme="minorEastAsia" w:eastAsiaTheme="minorEastAsia" w:cstheme="minorEastAsia"/>
                <w:color w:val="auto"/>
                <w:kern w:val="0"/>
                <w:sz w:val="24"/>
                <w:szCs w:val="24"/>
                <w:highlight w:val="none"/>
                <w:lang w:val="en-US" w:eastAsia="zh-CN"/>
              </w:rPr>
              <w:t>信息采集分析</w:t>
            </w:r>
            <w:r>
              <w:rPr>
                <w:rFonts w:hint="eastAsia" w:asciiTheme="minorEastAsia" w:hAnsiTheme="minorEastAsia" w:eastAsiaTheme="minorEastAsia" w:cstheme="minorEastAsia"/>
                <w:color w:val="auto"/>
                <w:kern w:val="0"/>
                <w:sz w:val="24"/>
                <w:szCs w:val="24"/>
                <w:highlight w:val="none"/>
              </w:rPr>
              <w:t>系统的各项业务功能，支持</w:t>
            </w:r>
            <w:r>
              <w:rPr>
                <w:rFonts w:hint="eastAsia" w:asciiTheme="minorEastAsia" w:hAnsiTheme="minorEastAsia" w:eastAsiaTheme="minorEastAsia" w:cstheme="minorEastAsia"/>
                <w:color w:val="auto"/>
                <w:kern w:val="0"/>
                <w:sz w:val="24"/>
                <w:szCs w:val="24"/>
                <w:highlight w:val="none"/>
                <w:lang w:val="en-US" w:eastAsia="zh-CN"/>
              </w:rPr>
              <w:t>对</w:t>
            </w:r>
            <w:r>
              <w:rPr>
                <w:rFonts w:hint="eastAsia" w:asciiTheme="minorEastAsia" w:hAnsiTheme="minorEastAsia" w:eastAsiaTheme="minorEastAsia" w:cstheme="minorEastAsia"/>
                <w:color w:val="auto"/>
                <w:kern w:val="0"/>
                <w:sz w:val="24"/>
                <w:szCs w:val="24"/>
                <w:highlight w:val="none"/>
              </w:rPr>
              <w:t>数据</w:t>
            </w:r>
            <w:r>
              <w:rPr>
                <w:rFonts w:hint="eastAsia" w:asciiTheme="minorEastAsia" w:hAnsiTheme="minorEastAsia" w:eastAsiaTheme="minorEastAsia" w:cstheme="minorEastAsia"/>
                <w:color w:val="auto"/>
                <w:kern w:val="0"/>
                <w:sz w:val="24"/>
                <w:szCs w:val="24"/>
                <w:highlight w:val="none"/>
                <w:lang w:val="en-US" w:eastAsia="zh-CN"/>
              </w:rPr>
              <w:t>进行</w:t>
            </w:r>
            <w:r>
              <w:rPr>
                <w:rFonts w:hint="eastAsia" w:asciiTheme="minorEastAsia" w:hAnsiTheme="minorEastAsia" w:eastAsiaTheme="minorEastAsia" w:cstheme="minorEastAsia"/>
                <w:color w:val="auto"/>
                <w:kern w:val="0"/>
                <w:sz w:val="24"/>
                <w:szCs w:val="24"/>
                <w:highlight w:val="none"/>
              </w:rPr>
              <w:t>统计分析和可视化展示。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新增</w:t>
            </w:r>
            <w:r>
              <w:rPr>
                <w:rFonts w:hint="eastAsia" w:asciiTheme="minorEastAsia" w:hAnsiTheme="minorEastAsia" w:eastAsiaTheme="minorEastAsia" w:cstheme="minorEastAsia"/>
                <w:color w:val="auto"/>
                <w:kern w:val="0"/>
                <w:sz w:val="24"/>
                <w:szCs w:val="24"/>
                <w:highlight w:val="none"/>
                <w:lang w:val="en-US" w:eastAsia="zh-CN"/>
              </w:rPr>
              <w:t>多媒体信息</w:t>
            </w:r>
            <w:r>
              <w:rPr>
                <w:rFonts w:hint="eastAsia" w:asciiTheme="minorEastAsia" w:hAnsiTheme="minorEastAsia" w:eastAsiaTheme="minorEastAsia" w:cstheme="minorEastAsia"/>
                <w:color w:val="auto"/>
                <w:kern w:val="0"/>
                <w:sz w:val="24"/>
                <w:szCs w:val="24"/>
                <w:highlight w:val="none"/>
              </w:rPr>
              <w:t>分析处理</w:t>
            </w:r>
            <w:r>
              <w:rPr>
                <w:rFonts w:hint="eastAsia" w:asciiTheme="minorEastAsia" w:hAnsiTheme="minorEastAsia" w:eastAsiaTheme="minorEastAsia" w:cstheme="minorEastAsia"/>
                <w:color w:val="auto"/>
                <w:kern w:val="0"/>
                <w:sz w:val="24"/>
                <w:szCs w:val="24"/>
                <w:highlight w:val="none"/>
                <w:lang w:val="en-US" w:eastAsia="zh-CN"/>
              </w:rPr>
              <w:t>功能</w:t>
            </w:r>
            <w:r>
              <w:rPr>
                <w:rFonts w:hint="eastAsia" w:asciiTheme="minorEastAsia" w:hAnsiTheme="minorEastAsia" w:eastAsiaTheme="minorEastAsia" w:cstheme="minorEastAsia"/>
                <w:color w:val="auto"/>
                <w:kern w:val="0"/>
                <w:sz w:val="24"/>
                <w:szCs w:val="24"/>
                <w:highlight w:val="none"/>
              </w:rPr>
              <w:t>。</w:t>
            </w:r>
          </w:p>
          <w:p w14:paraId="18C6B01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w:t>
            </w:r>
            <w:r>
              <w:rPr>
                <w:rFonts w:hint="eastAsia" w:asciiTheme="minorEastAsia" w:hAnsiTheme="minorEastAsia" w:eastAsiaTheme="minorEastAsia" w:cstheme="minorEastAsia"/>
                <w:color w:val="auto"/>
                <w:kern w:val="0"/>
                <w:sz w:val="24"/>
                <w:szCs w:val="24"/>
                <w:highlight w:val="none"/>
                <w:lang w:val="en-US" w:eastAsia="zh-CN"/>
              </w:rPr>
              <w:t>预警信息采集分析、重点信息采集分析、</w:t>
            </w:r>
            <w:r>
              <w:rPr>
                <w:rFonts w:hint="eastAsia" w:asciiTheme="minorEastAsia" w:hAnsiTheme="minorEastAsia" w:eastAsiaTheme="minorEastAsia" w:cstheme="minorEastAsia"/>
                <w:color w:val="auto"/>
                <w:kern w:val="0"/>
                <w:sz w:val="24"/>
                <w:szCs w:val="24"/>
                <w:highlight w:val="none"/>
              </w:rPr>
              <w:t>重点</w:t>
            </w:r>
            <w:r>
              <w:rPr>
                <w:rFonts w:hint="eastAsia" w:asciiTheme="minorEastAsia" w:hAnsiTheme="minorEastAsia" w:eastAsiaTheme="minorEastAsia" w:cstheme="minorEastAsia"/>
                <w:color w:val="auto"/>
                <w:kern w:val="0"/>
                <w:sz w:val="24"/>
                <w:szCs w:val="24"/>
                <w:highlight w:val="none"/>
                <w:lang w:val="en-US" w:eastAsia="zh-CN"/>
              </w:rPr>
              <w:t>信息分类</w:t>
            </w:r>
            <w:r>
              <w:rPr>
                <w:rFonts w:hint="eastAsia" w:asciiTheme="minorEastAsia" w:hAnsiTheme="minorEastAsia" w:eastAsiaTheme="minorEastAsia" w:cstheme="minorEastAsia"/>
                <w:color w:val="auto"/>
                <w:kern w:val="0"/>
                <w:sz w:val="24"/>
                <w:szCs w:val="24"/>
                <w:highlight w:val="none"/>
              </w:rPr>
              <w:t>存档</w:t>
            </w:r>
            <w:r>
              <w:rPr>
                <w:rFonts w:hint="eastAsia" w:asciiTheme="minorEastAsia" w:hAnsiTheme="minorEastAsia" w:eastAsiaTheme="minorEastAsia" w:cstheme="minorEastAsia"/>
                <w:color w:val="auto"/>
                <w:kern w:val="0"/>
                <w:sz w:val="24"/>
                <w:szCs w:val="24"/>
                <w:highlight w:val="none"/>
                <w:lang w:val="en-US" w:eastAsia="zh-CN"/>
              </w:rPr>
              <w:t>功能</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四</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w:t>
            </w:r>
            <w:r>
              <w:rPr>
                <w:rFonts w:hint="eastAsia" w:asciiTheme="minorEastAsia" w:hAnsiTheme="minorEastAsia" w:eastAsiaTheme="minorEastAsia" w:cstheme="minorEastAsia"/>
                <w:color w:val="auto"/>
                <w:kern w:val="0"/>
                <w:sz w:val="24"/>
                <w:szCs w:val="24"/>
                <w:highlight w:val="none"/>
                <w:lang w:val="en-US" w:eastAsia="zh-CN"/>
              </w:rPr>
              <w:t>与工作信息流转</w:t>
            </w:r>
            <w:r>
              <w:rPr>
                <w:rFonts w:hint="eastAsia" w:asciiTheme="minorEastAsia" w:hAnsiTheme="minorEastAsia" w:eastAsiaTheme="minorEastAsia" w:cstheme="minorEastAsia"/>
                <w:color w:val="auto"/>
                <w:kern w:val="0"/>
                <w:sz w:val="24"/>
                <w:szCs w:val="24"/>
                <w:highlight w:val="none"/>
              </w:rPr>
              <w:t>子系统的信息自动流转。</w:t>
            </w:r>
          </w:p>
          <w:p w14:paraId="4FC086BE">
            <w:pPr>
              <w:widowControl/>
              <w:spacing w:line="24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五</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5D6F5AF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62181E7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C75CE61">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72AD88F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4</w:t>
            </w:r>
          </w:p>
        </w:tc>
        <w:tc>
          <w:tcPr>
            <w:tcW w:w="685" w:type="pct"/>
            <w:tcBorders>
              <w:top w:val="nil"/>
              <w:left w:val="nil"/>
              <w:bottom w:val="single" w:color="auto" w:sz="4" w:space="0"/>
              <w:right w:val="single" w:color="auto" w:sz="4" w:space="0"/>
            </w:tcBorders>
            <w:noWrap w:val="0"/>
            <w:vAlign w:val="center"/>
          </w:tcPr>
          <w:p w14:paraId="543DCEB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综合态势</w:t>
            </w:r>
          </w:p>
          <w:p w14:paraId="200344C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软件</w:t>
            </w:r>
          </w:p>
        </w:tc>
        <w:tc>
          <w:tcPr>
            <w:tcW w:w="3000" w:type="pct"/>
            <w:tcBorders>
              <w:top w:val="nil"/>
              <w:left w:val="nil"/>
              <w:bottom w:val="single" w:color="auto" w:sz="4" w:space="0"/>
              <w:right w:val="single" w:color="auto" w:sz="4" w:space="0"/>
            </w:tcBorders>
            <w:noWrap/>
            <w:vAlign w:val="center"/>
          </w:tcPr>
          <w:p w14:paraId="70A3878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本期项目在一期项目基础上，对综合态势子系统进行扩容，扩容功能主要为</w:t>
            </w:r>
            <w:r>
              <w:rPr>
                <w:rFonts w:hint="eastAsia" w:asciiTheme="minorEastAsia" w:hAnsiTheme="minorEastAsia" w:eastAsiaTheme="minorEastAsia" w:cstheme="minorEastAsia"/>
                <w:color w:val="auto"/>
                <w:kern w:val="0"/>
                <w:sz w:val="24"/>
                <w:szCs w:val="24"/>
                <w:highlight w:val="none"/>
                <w:lang w:val="en-US" w:eastAsia="zh-CN"/>
              </w:rPr>
              <w:t>根据采购人要求</w:t>
            </w: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val="en-US" w:eastAsia="zh-CN"/>
              </w:rPr>
              <w:t>信息采集分析</w:t>
            </w:r>
            <w:r>
              <w:rPr>
                <w:rFonts w:hint="eastAsia" w:asciiTheme="minorEastAsia" w:hAnsiTheme="minorEastAsia" w:eastAsiaTheme="minorEastAsia" w:cstheme="minorEastAsia"/>
                <w:color w:val="auto"/>
                <w:kern w:val="0"/>
                <w:sz w:val="24"/>
                <w:szCs w:val="24"/>
                <w:highlight w:val="none"/>
              </w:rPr>
              <w:t>系统进行</w:t>
            </w:r>
            <w:r>
              <w:rPr>
                <w:rFonts w:hint="eastAsia" w:asciiTheme="minorEastAsia" w:hAnsiTheme="minorEastAsia" w:eastAsiaTheme="minorEastAsia" w:cstheme="minorEastAsia"/>
                <w:color w:val="auto"/>
                <w:kern w:val="0"/>
                <w:sz w:val="24"/>
                <w:szCs w:val="24"/>
                <w:highlight w:val="none"/>
                <w:lang w:val="en-US" w:eastAsia="zh-CN"/>
              </w:rPr>
              <w:t>综合</w:t>
            </w:r>
            <w:r>
              <w:rPr>
                <w:rFonts w:hint="eastAsia" w:asciiTheme="minorEastAsia" w:hAnsiTheme="minorEastAsia" w:eastAsiaTheme="minorEastAsia" w:cstheme="minorEastAsia"/>
                <w:color w:val="auto"/>
                <w:kern w:val="0"/>
                <w:sz w:val="24"/>
                <w:szCs w:val="24"/>
                <w:highlight w:val="none"/>
              </w:rPr>
              <w:t>态势大屏展示，要求与本项目建设的大屏进行适配。</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7DCC764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49CA369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6788CDF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187CF3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685" w:type="pct"/>
            <w:tcBorders>
              <w:top w:val="nil"/>
              <w:left w:val="nil"/>
              <w:bottom w:val="single" w:color="auto" w:sz="4" w:space="0"/>
              <w:right w:val="single" w:color="auto" w:sz="4" w:space="0"/>
            </w:tcBorders>
            <w:noWrap w:val="0"/>
            <w:vAlign w:val="center"/>
          </w:tcPr>
          <w:p w14:paraId="1E3A49A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网络生态治理</w:t>
            </w:r>
            <w:r>
              <w:rPr>
                <w:rFonts w:hint="eastAsia" w:asciiTheme="minorEastAsia" w:hAnsiTheme="minorEastAsia" w:eastAsiaTheme="minorEastAsia" w:cstheme="minorEastAsia"/>
                <w:color w:val="auto"/>
                <w:kern w:val="0"/>
                <w:sz w:val="24"/>
                <w:szCs w:val="24"/>
                <w:highlight w:val="none"/>
              </w:rPr>
              <w:t>SaaS服务</w:t>
            </w:r>
          </w:p>
        </w:tc>
        <w:tc>
          <w:tcPr>
            <w:tcW w:w="3000" w:type="pct"/>
            <w:tcBorders>
              <w:top w:val="nil"/>
              <w:left w:val="nil"/>
              <w:bottom w:val="single" w:color="auto" w:sz="4" w:space="0"/>
              <w:right w:val="single" w:color="auto" w:sz="4" w:space="0"/>
            </w:tcBorders>
            <w:noWrap/>
            <w:vAlign w:val="center"/>
          </w:tcPr>
          <w:p w14:paraId="587653D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网络生态治理</w:t>
            </w:r>
            <w:r>
              <w:rPr>
                <w:rFonts w:hint="eastAsia" w:asciiTheme="minorEastAsia" w:hAnsiTheme="minorEastAsia" w:eastAsiaTheme="minorEastAsia" w:cstheme="minorEastAsia"/>
                <w:color w:val="auto"/>
                <w:kern w:val="0"/>
                <w:sz w:val="24"/>
                <w:szCs w:val="24"/>
                <w:highlight w:val="none"/>
              </w:rPr>
              <w:t>子系统通过购买SaaS服务的方式实现</w:t>
            </w:r>
            <w:r>
              <w:rPr>
                <w:rFonts w:hint="eastAsia" w:asciiTheme="minorEastAsia" w:hAnsiTheme="minorEastAsia" w:eastAsiaTheme="minorEastAsia" w:cstheme="minorEastAsia"/>
                <w:color w:val="auto"/>
                <w:kern w:val="0"/>
                <w:sz w:val="24"/>
                <w:szCs w:val="24"/>
                <w:highlight w:val="none"/>
                <w:lang w:val="en-US" w:eastAsia="zh-CN"/>
              </w:rPr>
              <w:t>网络生态治理</w:t>
            </w:r>
            <w:r>
              <w:rPr>
                <w:rFonts w:hint="eastAsia" w:asciiTheme="minorEastAsia" w:hAnsiTheme="minorEastAsia" w:eastAsiaTheme="minorEastAsia" w:cstheme="minorEastAsia"/>
                <w:color w:val="auto"/>
                <w:kern w:val="0"/>
                <w:sz w:val="24"/>
                <w:szCs w:val="24"/>
                <w:highlight w:val="none"/>
              </w:rPr>
              <w:t>，通过在本平台集成第三方SaaS服务的WEB页面，便于</w:t>
            </w:r>
            <w:r>
              <w:rPr>
                <w:rFonts w:hint="eastAsia" w:asciiTheme="minorEastAsia" w:hAnsiTheme="minorEastAsia" w:eastAsiaTheme="minorEastAsia" w:cstheme="minorEastAsia"/>
                <w:color w:val="auto"/>
                <w:kern w:val="0"/>
                <w:sz w:val="24"/>
                <w:szCs w:val="24"/>
                <w:highlight w:val="none"/>
                <w:lang w:val="en-US" w:eastAsia="zh-CN"/>
              </w:rPr>
              <w:t>采购人</w:t>
            </w:r>
            <w:r>
              <w:rPr>
                <w:rFonts w:hint="eastAsia" w:asciiTheme="minorEastAsia" w:hAnsiTheme="minorEastAsia" w:eastAsiaTheme="minorEastAsia" w:cstheme="minorEastAsia"/>
                <w:color w:val="auto"/>
                <w:kern w:val="0"/>
                <w:sz w:val="24"/>
                <w:szCs w:val="24"/>
                <w:highlight w:val="none"/>
              </w:rPr>
              <w:t>开展</w:t>
            </w:r>
            <w:r>
              <w:rPr>
                <w:rFonts w:hint="eastAsia" w:asciiTheme="minorEastAsia" w:hAnsiTheme="minorEastAsia" w:eastAsiaTheme="minorEastAsia" w:cstheme="minorEastAsia"/>
                <w:color w:val="auto"/>
                <w:kern w:val="0"/>
                <w:sz w:val="24"/>
                <w:szCs w:val="24"/>
                <w:highlight w:val="none"/>
                <w:lang w:val="en-US" w:eastAsia="zh-CN"/>
              </w:rPr>
              <w:t>网络生态治理</w:t>
            </w:r>
            <w:r>
              <w:rPr>
                <w:rFonts w:hint="eastAsia" w:asciiTheme="minorEastAsia" w:hAnsiTheme="minorEastAsia" w:eastAsiaTheme="minorEastAsia" w:cstheme="minorEastAsia"/>
                <w:color w:val="auto"/>
                <w:kern w:val="0"/>
                <w:sz w:val="24"/>
                <w:szCs w:val="24"/>
                <w:highlight w:val="none"/>
              </w:rPr>
              <w:t>相关工作。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en-US" w:eastAsia="zh-CN"/>
              </w:rPr>
              <w:t>网络生态治理采集</w:t>
            </w:r>
            <w:r>
              <w:rPr>
                <w:rFonts w:hint="eastAsia" w:asciiTheme="minorEastAsia" w:hAnsiTheme="minorEastAsia" w:eastAsiaTheme="minorEastAsia" w:cstheme="minorEastAsia"/>
                <w:color w:val="auto"/>
                <w:kern w:val="0"/>
                <w:sz w:val="24"/>
                <w:szCs w:val="24"/>
                <w:highlight w:val="none"/>
              </w:rPr>
              <w:t>SaaS服务的期限为一年。</w:t>
            </w:r>
          </w:p>
        </w:tc>
        <w:tc>
          <w:tcPr>
            <w:tcW w:w="369" w:type="pct"/>
            <w:tcBorders>
              <w:top w:val="nil"/>
              <w:left w:val="nil"/>
              <w:bottom w:val="single" w:color="auto" w:sz="4" w:space="0"/>
              <w:right w:val="single" w:color="auto" w:sz="4" w:space="0"/>
            </w:tcBorders>
            <w:noWrap w:val="0"/>
            <w:vAlign w:val="center"/>
          </w:tcPr>
          <w:p w14:paraId="4C9DDD3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w:t>
            </w:r>
          </w:p>
        </w:tc>
        <w:tc>
          <w:tcPr>
            <w:tcW w:w="483" w:type="pct"/>
            <w:tcBorders>
              <w:top w:val="nil"/>
              <w:left w:val="nil"/>
              <w:bottom w:val="single" w:color="auto" w:sz="4" w:space="0"/>
              <w:right w:val="single" w:color="auto" w:sz="4" w:space="0"/>
            </w:tcBorders>
            <w:noWrap w:val="0"/>
            <w:vAlign w:val="center"/>
          </w:tcPr>
          <w:p w14:paraId="351A183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13D74F1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076B8D8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685" w:type="pct"/>
            <w:tcBorders>
              <w:top w:val="nil"/>
              <w:left w:val="nil"/>
              <w:bottom w:val="single" w:color="auto" w:sz="4" w:space="0"/>
              <w:right w:val="single" w:color="auto" w:sz="4" w:space="0"/>
            </w:tcBorders>
            <w:noWrap w:val="0"/>
            <w:vAlign w:val="center"/>
          </w:tcPr>
          <w:p w14:paraId="0E96818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网络舆论引导</w:t>
            </w:r>
            <w:r>
              <w:rPr>
                <w:rFonts w:hint="eastAsia" w:asciiTheme="minorEastAsia" w:hAnsiTheme="minorEastAsia" w:eastAsiaTheme="minorEastAsia" w:cstheme="minorEastAsia"/>
                <w:color w:val="auto"/>
                <w:kern w:val="0"/>
                <w:sz w:val="24"/>
                <w:szCs w:val="24"/>
                <w:highlight w:val="none"/>
              </w:rPr>
              <w:t>SaaS服务</w:t>
            </w:r>
          </w:p>
        </w:tc>
        <w:tc>
          <w:tcPr>
            <w:tcW w:w="3000" w:type="pct"/>
            <w:tcBorders>
              <w:top w:val="nil"/>
              <w:left w:val="nil"/>
              <w:bottom w:val="single" w:color="auto" w:sz="4" w:space="0"/>
              <w:right w:val="single" w:color="auto" w:sz="4" w:space="0"/>
            </w:tcBorders>
            <w:noWrap/>
            <w:vAlign w:val="center"/>
          </w:tcPr>
          <w:p w14:paraId="37662A3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网络舆论引导</w:t>
            </w:r>
            <w:r>
              <w:rPr>
                <w:rFonts w:hint="eastAsia" w:asciiTheme="minorEastAsia" w:hAnsiTheme="minorEastAsia" w:eastAsiaTheme="minorEastAsia" w:cstheme="minorEastAsia"/>
                <w:color w:val="auto"/>
                <w:kern w:val="0"/>
                <w:sz w:val="24"/>
                <w:szCs w:val="24"/>
                <w:highlight w:val="none"/>
              </w:rPr>
              <w:t>子系统通过购买SaaS服务的方式实现</w:t>
            </w:r>
            <w:r>
              <w:rPr>
                <w:rFonts w:hint="eastAsia" w:asciiTheme="minorEastAsia" w:hAnsiTheme="minorEastAsia" w:eastAsiaTheme="minorEastAsia" w:cstheme="minorEastAsia"/>
                <w:color w:val="auto"/>
                <w:kern w:val="0"/>
                <w:sz w:val="24"/>
                <w:szCs w:val="24"/>
                <w:highlight w:val="none"/>
                <w:lang w:val="en-US" w:eastAsia="zh-CN"/>
              </w:rPr>
              <w:t>网络舆论引导，</w:t>
            </w:r>
            <w:r>
              <w:rPr>
                <w:rFonts w:hint="eastAsia" w:asciiTheme="minorEastAsia" w:hAnsiTheme="minorEastAsia" w:eastAsiaTheme="minorEastAsia" w:cstheme="minorEastAsia"/>
                <w:color w:val="auto"/>
                <w:kern w:val="0"/>
                <w:sz w:val="24"/>
                <w:szCs w:val="24"/>
                <w:highlight w:val="none"/>
              </w:rPr>
              <w:t>通过在本平台集成第三方SaaS服务的WEB页面，便于</w:t>
            </w:r>
            <w:r>
              <w:rPr>
                <w:rFonts w:hint="eastAsia" w:asciiTheme="minorEastAsia" w:hAnsiTheme="minorEastAsia" w:eastAsiaTheme="minorEastAsia" w:cstheme="minorEastAsia"/>
                <w:color w:val="auto"/>
                <w:kern w:val="0"/>
                <w:sz w:val="24"/>
                <w:szCs w:val="24"/>
                <w:highlight w:val="none"/>
                <w:lang w:val="en-US" w:eastAsia="zh-CN"/>
              </w:rPr>
              <w:t>采购人开展网络舆论引导相关工作</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en-US" w:eastAsia="zh-CN"/>
              </w:rPr>
              <w:t>网络舆论引导</w:t>
            </w:r>
            <w:r>
              <w:rPr>
                <w:rFonts w:hint="eastAsia" w:asciiTheme="minorEastAsia" w:hAnsiTheme="minorEastAsia" w:eastAsiaTheme="minorEastAsia" w:cstheme="minorEastAsia"/>
                <w:color w:val="auto"/>
                <w:kern w:val="0"/>
                <w:sz w:val="24"/>
                <w:szCs w:val="24"/>
                <w:highlight w:val="none"/>
              </w:rPr>
              <w:t>SaaS服务的期限为一年。</w:t>
            </w:r>
          </w:p>
        </w:tc>
        <w:tc>
          <w:tcPr>
            <w:tcW w:w="369" w:type="pct"/>
            <w:tcBorders>
              <w:top w:val="nil"/>
              <w:left w:val="nil"/>
              <w:bottom w:val="single" w:color="auto" w:sz="4" w:space="0"/>
              <w:right w:val="single" w:color="auto" w:sz="4" w:space="0"/>
            </w:tcBorders>
            <w:noWrap w:val="0"/>
            <w:vAlign w:val="center"/>
          </w:tcPr>
          <w:p w14:paraId="0B4AF71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w:t>
            </w:r>
          </w:p>
        </w:tc>
        <w:tc>
          <w:tcPr>
            <w:tcW w:w="483" w:type="pct"/>
            <w:tcBorders>
              <w:top w:val="nil"/>
              <w:left w:val="nil"/>
              <w:bottom w:val="single" w:color="auto" w:sz="4" w:space="0"/>
              <w:right w:val="single" w:color="auto" w:sz="4" w:space="0"/>
            </w:tcBorders>
            <w:noWrap w:val="0"/>
            <w:vAlign w:val="center"/>
          </w:tcPr>
          <w:p w14:paraId="222C86A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0F15CF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12861E8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685" w:type="pct"/>
            <w:tcBorders>
              <w:top w:val="nil"/>
              <w:left w:val="nil"/>
              <w:bottom w:val="single" w:color="auto" w:sz="4" w:space="0"/>
              <w:right w:val="single" w:color="auto" w:sz="4" w:space="0"/>
            </w:tcBorders>
            <w:noWrap w:val="0"/>
            <w:vAlign w:val="center"/>
          </w:tcPr>
          <w:p w14:paraId="67D4C39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其他信息采集分析</w:t>
            </w:r>
            <w:r>
              <w:rPr>
                <w:rFonts w:hint="eastAsia" w:asciiTheme="minorEastAsia" w:hAnsiTheme="minorEastAsia" w:eastAsiaTheme="minorEastAsia" w:cstheme="minorEastAsia"/>
                <w:color w:val="auto"/>
                <w:kern w:val="0"/>
                <w:sz w:val="24"/>
                <w:szCs w:val="24"/>
                <w:highlight w:val="none"/>
              </w:rPr>
              <w:t>SaaS服务</w:t>
            </w:r>
          </w:p>
        </w:tc>
        <w:tc>
          <w:tcPr>
            <w:tcW w:w="3000" w:type="pct"/>
            <w:tcBorders>
              <w:top w:val="nil"/>
              <w:left w:val="nil"/>
              <w:bottom w:val="single" w:color="auto" w:sz="4" w:space="0"/>
              <w:right w:val="single" w:color="auto" w:sz="4" w:space="0"/>
            </w:tcBorders>
            <w:noWrap/>
            <w:vAlign w:val="center"/>
          </w:tcPr>
          <w:p w14:paraId="1AB962D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其他信息采集分析</w:t>
            </w:r>
            <w:r>
              <w:rPr>
                <w:rFonts w:hint="eastAsia" w:asciiTheme="minorEastAsia" w:hAnsiTheme="minorEastAsia" w:eastAsiaTheme="minorEastAsia" w:cstheme="minorEastAsia"/>
                <w:color w:val="auto"/>
                <w:kern w:val="0"/>
                <w:sz w:val="24"/>
                <w:szCs w:val="24"/>
                <w:highlight w:val="none"/>
              </w:rPr>
              <w:t>子系统通过购买SaaS服务的方式实现</w:t>
            </w:r>
            <w:r>
              <w:rPr>
                <w:rFonts w:hint="eastAsia" w:asciiTheme="minorEastAsia" w:hAnsiTheme="minorEastAsia" w:eastAsiaTheme="minorEastAsia" w:cstheme="minorEastAsia"/>
                <w:color w:val="auto"/>
                <w:kern w:val="0"/>
                <w:sz w:val="24"/>
                <w:szCs w:val="24"/>
                <w:highlight w:val="none"/>
                <w:lang w:val="en-US" w:eastAsia="zh-CN"/>
              </w:rPr>
              <w:t>其他信息采集分析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通过在本平台集成第三方SaaS服务的WEB页面，便于</w:t>
            </w:r>
            <w:r>
              <w:rPr>
                <w:rFonts w:hint="eastAsia" w:asciiTheme="minorEastAsia" w:hAnsiTheme="minorEastAsia" w:eastAsiaTheme="minorEastAsia" w:cstheme="minorEastAsia"/>
                <w:color w:val="auto"/>
                <w:kern w:val="0"/>
                <w:sz w:val="24"/>
                <w:szCs w:val="24"/>
                <w:highlight w:val="none"/>
                <w:lang w:val="en-US" w:eastAsia="zh-CN"/>
              </w:rPr>
              <w:t>采购人</w:t>
            </w:r>
            <w:r>
              <w:rPr>
                <w:rFonts w:hint="eastAsia" w:asciiTheme="minorEastAsia" w:hAnsiTheme="minorEastAsia" w:eastAsiaTheme="minorEastAsia" w:cstheme="minorEastAsia"/>
                <w:color w:val="auto"/>
                <w:kern w:val="0"/>
                <w:sz w:val="24"/>
                <w:szCs w:val="24"/>
                <w:highlight w:val="none"/>
              </w:rPr>
              <w:t>开展</w:t>
            </w:r>
            <w:r>
              <w:rPr>
                <w:rFonts w:hint="eastAsia" w:asciiTheme="minorEastAsia" w:hAnsiTheme="minorEastAsia" w:eastAsiaTheme="minorEastAsia" w:cstheme="minorEastAsia"/>
                <w:color w:val="auto"/>
                <w:kern w:val="0"/>
                <w:sz w:val="24"/>
                <w:szCs w:val="24"/>
                <w:highlight w:val="none"/>
                <w:lang w:val="en-US" w:eastAsia="zh-CN"/>
              </w:rPr>
              <w:t>其他信息采集分析</w:t>
            </w:r>
            <w:r>
              <w:rPr>
                <w:rFonts w:hint="eastAsia" w:asciiTheme="minorEastAsia" w:hAnsiTheme="minorEastAsia" w:eastAsiaTheme="minorEastAsia" w:cstheme="minorEastAsia"/>
                <w:color w:val="auto"/>
                <w:kern w:val="0"/>
                <w:sz w:val="24"/>
                <w:szCs w:val="24"/>
                <w:highlight w:val="none"/>
              </w:rPr>
              <w:t>相关工作。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lang w:val="en-US" w:eastAsia="zh-CN"/>
              </w:rPr>
              <w:t>其他信息采集分析</w:t>
            </w:r>
            <w:r>
              <w:rPr>
                <w:rFonts w:hint="eastAsia" w:asciiTheme="minorEastAsia" w:hAnsiTheme="minorEastAsia" w:eastAsiaTheme="minorEastAsia" w:cstheme="minorEastAsia"/>
                <w:color w:val="auto"/>
                <w:kern w:val="0"/>
                <w:sz w:val="24"/>
                <w:szCs w:val="24"/>
                <w:highlight w:val="none"/>
              </w:rPr>
              <w:t>SaaS服务的期限为一年。</w:t>
            </w:r>
          </w:p>
        </w:tc>
        <w:tc>
          <w:tcPr>
            <w:tcW w:w="369" w:type="pct"/>
            <w:tcBorders>
              <w:top w:val="nil"/>
              <w:left w:val="nil"/>
              <w:bottom w:val="single" w:color="auto" w:sz="4" w:space="0"/>
              <w:right w:val="single" w:color="auto" w:sz="4" w:space="0"/>
            </w:tcBorders>
            <w:noWrap w:val="0"/>
            <w:vAlign w:val="center"/>
          </w:tcPr>
          <w:p w14:paraId="23C1A20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w:t>
            </w:r>
          </w:p>
        </w:tc>
        <w:tc>
          <w:tcPr>
            <w:tcW w:w="483" w:type="pct"/>
            <w:tcBorders>
              <w:top w:val="nil"/>
              <w:left w:val="nil"/>
              <w:bottom w:val="single" w:color="auto" w:sz="4" w:space="0"/>
              <w:right w:val="single" w:color="auto" w:sz="4" w:space="0"/>
            </w:tcBorders>
            <w:noWrap w:val="0"/>
            <w:vAlign w:val="center"/>
          </w:tcPr>
          <w:p w14:paraId="2E1FA04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2E4CA6B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156BFD06">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shd w:val="clear" w:color="auto" w:fill="auto"/>
                <w:lang w:val="en-US" w:eastAsia="zh-CN"/>
              </w:rPr>
              <w:t>8</w:t>
            </w:r>
          </w:p>
        </w:tc>
        <w:tc>
          <w:tcPr>
            <w:tcW w:w="685" w:type="pct"/>
            <w:tcBorders>
              <w:top w:val="nil"/>
              <w:left w:val="nil"/>
              <w:bottom w:val="single" w:color="auto" w:sz="4" w:space="0"/>
              <w:right w:val="single" w:color="auto" w:sz="4" w:space="0"/>
            </w:tcBorders>
            <w:noWrap w:val="0"/>
            <w:vAlign w:val="center"/>
          </w:tcPr>
          <w:p w14:paraId="58FB4BB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第三方</w:t>
            </w:r>
            <w:r>
              <w:rPr>
                <w:rFonts w:hint="eastAsia" w:asciiTheme="minorEastAsia" w:hAnsiTheme="minorEastAsia" w:eastAsiaTheme="minorEastAsia" w:cstheme="minorEastAsia"/>
                <w:color w:val="auto"/>
                <w:kern w:val="0"/>
                <w:sz w:val="24"/>
                <w:szCs w:val="24"/>
                <w:highlight w:val="none"/>
                <w:lang w:val="en-US" w:eastAsia="zh-CN"/>
              </w:rPr>
              <w:t>多媒体</w:t>
            </w:r>
            <w:r>
              <w:rPr>
                <w:rFonts w:hint="eastAsia" w:asciiTheme="minorEastAsia" w:hAnsiTheme="minorEastAsia" w:eastAsiaTheme="minorEastAsia" w:cstheme="minorEastAsia"/>
                <w:color w:val="auto"/>
                <w:kern w:val="0"/>
                <w:sz w:val="24"/>
                <w:szCs w:val="24"/>
                <w:highlight w:val="none"/>
              </w:rPr>
              <w:t>数据服务</w:t>
            </w:r>
          </w:p>
        </w:tc>
        <w:tc>
          <w:tcPr>
            <w:tcW w:w="3000" w:type="pct"/>
            <w:tcBorders>
              <w:top w:val="nil"/>
              <w:left w:val="nil"/>
              <w:bottom w:val="single" w:color="auto" w:sz="4" w:space="0"/>
              <w:right w:val="single" w:color="auto" w:sz="4" w:space="0"/>
            </w:tcBorders>
            <w:noWrap/>
            <w:vAlign w:val="center"/>
          </w:tcPr>
          <w:p w14:paraId="63552CD6">
            <w:pPr>
              <w:widowControl/>
              <w:spacing w:line="24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第三方</w:t>
            </w:r>
            <w:r>
              <w:rPr>
                <w:rFonts w:hint="eastAsia" w:asciiTheme="minorEastAsia" w:hAnsiTheme="minorEastAsia" w:eastAsiaTheme="minorEastAsia" w:cstheme="minorEastAsia"/>
                <w:color w:val="auto"/>
                <w:kern w:val="0"/>
                <w:sz w:val="24"/>
                <w:szCs w:val="24"/>
                <w:highlight w:val="none"/>
                <w:lang w:val="en-US" w:eastAsia="zh-CN"/>
              </w:rPr>
              <w:t>多媒体</w:t>
            </w:r>
            <w:r>
              <w:rPr>
                <w:rFonts w:hint="eastAsia" w:asciiTheme="minorEastAsia" w:hAnsiTheme="minorEastAsia" w:eastAsiaTheme="minorEastAsia" w:cstheme="minorEastAsia"/>
                <w:color w:val="auto"/>
                <w:kern w:val="0"/>
                <w:sz w:val="24"/>
                <w:szCs w:val="24"/>
                <w:highlight w:val="none"/>
              </w:rPr>
              <w:t>数据服务范围和规模：采购</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家</w:t>
            </w:r>
            <w:r>
              <w:rPr>
                <w:rFonts w:hint="eastAsia" w:asciiTheme="minorEastAsia" w:hAnsiTheme="minorEastAsia" w:eastAsiaTheme="minorEastAsia" w:cstheme="minorEastAsia"/>
                <w:color w:val="auto"/>
                <w:kern w:val="0"/>
                <w:sz w:val="24"/>
                <w:szCs w:val="24"/>
                <w:highlight w:val="none"/>
                <w:lang w:val="en-US" w:eastAsia="zh-CN"/>
              </w:rPr>
              <w:t>符合采购人要求的</w:t>
            </w:r>
            <w:r>
              <w:rPr>
                <w:rFonts w:hint="eastAsia" w:asciiTheme="minorEastAsia" w:hAnsiTheme="minorEastAsia" w:eastAsiaTheme="minorEastAsia" w:cstheme="minorEastAsia"/>
                <w:color w:val="auto"/>
                <w:kern w:val="0"/>
                <w:sz w:val="24"/>
                <w:szCs w:val="24"/>
                <w:highlight w:val="none"/>
              </w:rPr>
              <w:t>第三方</w:t>
            </w:r>
            <w:r>
              <w:rPr>
                <w:rFonts w:hint="eastAsia" w:asciiTheme="minorEastAsia" w:hAnsiTheme="minorEastAsia" w:eastAsiaTheme="minorEastAsia" w:cstheme="minorEastAsia"/>
                <w:color w:val="auto"/>
                <w:kern w:val="0"/>
                <w:sz w:val="24"/>
                <w:szCs w:val="24"/>
                <w:highlight w:val="none"/>
                <w:lang w:val="en-US" w:eastAsia="zh-CN"/>
              </w:rPr>
              <w:t>多媒体</w:t>
            </w:r>
            <w:r>
              <w:rPr>
                <w:rFonts w:hint="eastAsia" w:asciiTheme="minorEastAsia" w:hAnsiTheme="minorEastAsia" w:eastAsiaTheme="minorEastAsia" w:cstheme="minorEastAsia"/>
                <w:color w:val="auto"/>
                <w:kern w:val="0"/>
                <w:sz w:val="24"/>
                <w:szCs w:val="24"/>
                <w:highlight w:val="none"/>
              </w:rPr>
              <w:t>数据服务，</w:t>
            </w:r>
            <w:r>
              <w:rPr>
                <w:rFonts w:hint="eastAsia" w:asciiTheme="minorEastAsia" w:hAnsiTheme="minorEastAsia" w:eastAsiaTheme="minorEastAsia" w:cstheme="minorEastAsia"/>
                <w:color w:val="auto"/>
                <w:kern w:val="0"/>
                <w:sz w:val="24"/>
                <w:szCs w:val="24"/>
                <w:highlight w:val="none"/>
                <w:lang w:val="en-US" w:eastAsia="zh-CN"/>
              </w:rPr>
              <w:t>每家</w:t>
            </w:r>
            <w:r>
              <w:rPr>
                <w:rFonts w:hint="eastAsia" w:asciiTheme="minorEastAsia" w:hAnsiTheme="minorEastAsia" w:eastAsiaTheme="minorEastAsia" w:cstheme="minorEastAsia"/>
                <w:color w:val="auto"/>
                <w:kern w:val="0"/>
                <w:sz w:val="24"/>
                <w:szCs w:val="24"/>
                <w:highlight w:val="none"/>
              </w:rPr>
              <w:t>每年推送数据量约</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rPr>
              <w:t>000万条</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服务</w:t>
            </w:r>
            <w:r>
              <w:rPr>
                <w:rFonts w:hint="eastAsia" w:asciiTheme="minorEastAsia" w:hAnsiTheme="minorEastAsia" w:eastAsiaTheme="minorEastAsia" w:cstheme="minorEastAsia"/>
                <w:color w:val="auto"/>
                <w:kern w:val="0"/>
                <w:sz w:val="24"/>
                <w:szCs w:val="24"/>
                <w:highlight w:val="none"/>
              </w:rPr>
              <w:t>期限为一年，服务期限结束后数据资产归属</w:t>
            </w:r>
            <w:r>
              <w:rPr>
                <w:rFonts w:hint="eastAsia" w:asciiTheme="minorEastAsia" w:hAnsiTheme="minorEastAsia" w:eastAsiaTheme="minorEastAsia" w:cstheme="minorEastAsia"/>
                <w:color w:val="auto"/>
                <w:kern w:val="0"/>
                <w:sz w:val="24"/>
                <w:szCs w:val="24"/>
                <w:highlight w:val="none"/>
                <w:lang w:val="en-US" w:eastAsia="zh-CN"/>
              </w:rPr>
              <w:t>采购人</w:t>
            </w:r>
            <w:r>
              <w:rPr>
                <w:rFonts w:hint="eastAsia" w:asciiTheme="minorEastAsia" w:hAnsiTheme="minorEastAsia" w:eastAsiaTheme="minorEastAsia" w:cstheme="minorEastAsia"/>
                <w:color w:val="auto"/>
                <w:kern w:val="0"/>
                <w:sz w:val="24"/>
                <w:szCs w:val="24"/>
                <w:highlight w:val="none"/>
              </w:rPr>
              <w:t>所有</w:t>
            </w:r>
            <w:r>
              <w:rPr>
                <w:rFonts w:hint="eastAsia" w:asciiTheme="minorEastAsia" w:hAnsiTheme="minorEastAsia" w:eastAsiaTheme="minorEastAsia" w:cstheme="minorEastAsia"/>
                <w:color w:val="auto"/>
                <w:kern w:val="0"/>
                <w:sz w:val="24"/>
                <w:szCs w:val="24"/>
                <w:highlight w:val="none"/>
                <w:lang w:eastAsia="zh-CN"/>
              </w:rPr>
              <w:t>。</w:t>
            </w:r>
          </w:p>
        </w:tc>
        <w:tc>
          <w:tcPr>
            <w:tcW w:w="369" w:type="pct"/>
            <w:tcBorders>
              <w:top w:val="nil"/>
              <w:left w:val="nil"/>
              <w:bottom w:val="single" w:color="auto" w:sz="4" w:space="0"/>
              <w:right w:val="single" w:color="auto" w:sz="4" w:space="0"/>
            </w:tcBorders>
            <w:noWrap w:val="0"/>
            <w:vAlign w:val="center"/>
          </w:tcPr>
          <w:p w14:paraId="64EB5D2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年</w:t>
            </w:r>
          </w:p>
        </w:tc>
        <w:tc>
          <w:tcPr>
            <w:tcW w:w="483" w:type="pct"/>
            <w:tcBorders>
              <w:top w:val="nil"/>
              <w:left w:val="nil"/>
              <w:bottom w:val="single" w:color="auto" w:sz="4" w:space="0"/>
              <w:right w:val="single" w:color="auto" w:sz="4" w:space="0"/>
            </w:tcBorders>
            <w:noWrap w:val="0"/>
            <w:vAlign w:val="center"/>
          </w:tcPr>
          <w:p w14:paraId="211AF28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5E31A89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2D935A87">
            <w:pPr>
              <w:widowControl/>
              <w:spacing w:line="24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shd w:val="clear" w:color="auto" w:fill="auto"/>
                <w:lang w:val="en-US" w:eastAsia="zh-CN"/>
              </w:rPr>
              <w:t>9</w:t>
            </w:r>
          </w:p>
        </w:tc>
        <w:tc>
          <w:tcPr>
            <w:tcW w:w="685" w:type="pct"/>
            <w:tcBorders>
              <w:top w:val="nil"/>
              <w:left w:val="nil"/>
              <w:bottom w:val="single" w:color="auto" w:sz="4" w:space="0"/>
              <w:right w:val="single" w:color="auto" w:sz="4" w:space="0"/>
            </w:tcBorders>
            <w:noWrap w:val="0"/>
            <w:vAlign w:val="center"/>
          </w:tcPr>
          <w:p w14:paraId="6F658367">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工作信息流转软件</w:t>
            </w:r>
          </w:p>
        </w:tc>
        <w:tc>
          <w:tcPr>
            <w:tcW w:w="3000" w:type="pct"/>
            <w:tcBorders>
              <w:top w:val="nil"/>
              <w:left w:val="nil"/>
              <w:bottom w:val="single" w:color="auto" w:sz="4" w:space="0"/>
              <w:right w:val="single" w:color="auto" w:sz="4" w:space="0"/>
            </w:tcBorders>
            <w:noWrap/>
            <w:vAlign w:val="center"/>
          </w:tcPr>
          <w:p w14:paraId="4001806A">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工作信息流转子系统按照</w:t>
            </w:r>
            <w:r>
              <w:rPr>
                <w:rFonts w:hint="eastAsia" w:asciiTheme="minorEastAsia" w:hAnsiTheme="minorEastAsia" w:eastAsiaTheme="minorEastAsia" w:cstheme="minorEastAsia"/>
                <w:color w:val="auto"/>
                <w:kern w:val="0"/>
                <w:sz w:val="24"/>
                <w:szCs w:val="24"/>
                <w:highlight w:val="none"/>
                <w:lang w:val="en-US" w:eastAsia="zh-CN"/>
              </w:rPr>
              <w:t>采购人要求和</w:t>
            </w:r>
            <w:r>
              <w:rPr>
                <w:rFonts w:hint="eastAsia" w:asciiTheme="minorEastAsia" w:hAnsiTheme="minorEastAsia" w:eastAsiaTheme="minorEastAsia" w:cstheme="minorEastAsia"/>
                <w:color w:val="auto"/>
                <w:sz w:val="24"/>
                <w:szCs w:val="24"/>
                <w:highlight w:val="none"/>
                <w:lang w:val="en-US" w:eastAsia="zh-CN"/>
              </w:rPr>
              <w:t>相关接口规范，支持发布、接收工作任务信息；按字段提取工作任务关键信息，实现信息分类存储；支持工作流引擎，实现工作任务下发、流转、执行、处理、核查、反馈等操作，对相关操作进行日志记录；支持工作任务统计考核；支持工作日志、工作事项、工作交接、工作制度、工作签到、工作安排、工作情况巡查等管理功能；支持文件共享；支持与短信系统、信息系统等系统集成；支持与标准视频会议系统集成，实现在系统内就能对视频会议系统进行配置；至少支持</w:t>
            </w:r>
            <w:r>
              <w:rPr>
                <w:rFonts w:hint="eastAsia" w:asciiTheme="minorEastAsia" w:hAnsiTheme="minorEastAsia" w:eastAsiaTheme="minorEastAsia" w:cstheme="minorEastAsia"/>
                <w:color w:val="auto"/>
                <w:sz w:val="24"/>
                <w:szCs w:val="24"/>
                <w:highlight w:val="none"/>
                <w:shd w:val="clear" w:color="auto" w:fill="auto"/>
                <w:lang w:val="en-US" w:eastAsia="zh-CN"/>
              </w:rPr>
              <w:t>1500个账号同时在线使用系统</w:t>
            </w:r>
            <w:r>
              <w:rPr>
                <w:rFonts w:hint="eastAsia" w:asciiTheme="minorEastAsia" w:hAnsiTheme="minorEastAsia" w:eastAsiaTheme="minorEastAsia" w:cstheme="minorEastAsia"/>
                <w:color w:val="auto"/>
                <w:sz w:val="24"/>
                <w:szCs w:val="24"/>
                <w:highlight w:val="none"/>
                <w:lang w:val="en-US" w:eastAsia="zh-CN"/>
              </w:rPr>
              <w:t>；支持用户管理、角色管理、系统管理、参数配置等基础管理功能；须实现本地私有化部署。</w:t>
            </w:r>
          </w:p>
        </w:tc>
        <w:tc>
          <w:tcPr>
            <w:tcW w:w="369" w:type="pct"/>
            <w:tcBorders>
              <w:top w:val="nil"/>
              <w:left w:val="nil"/>
              <w:bottom w:val="single" w:color="auto" w:sz="4" w:space="0"/>
              <w:right w:val="single" w:color="auto" w:sz="4" w:space="0"/>
            </w:tcBorders>
            <w:noWrap w:val="0"/>
            <w:vAlign w:val="center"/>
          </w:tcPr>
          <w:p w14:paraId="2A9A5D0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5161D6D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D85D4E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BCB16A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二</w:t>
            </w:r>
          </w:p>
        </w:tc>
        <w:tc>
          <w:tcPr>
            <w:tcW w:w="685" w:type="pct"/>
            <w:tcBorders>
              <w:top w:val="nil"/>
              <w:left w:val="nil"/>
              <w:bottom w:val="single" w:color="auto" w:sz="4" w:space="0"/>
              <w:right w:val="single" w:color="auto" w:sz="4" w:space="0"/>
            </w:tcBorders>
            <w:noWrap w:val="0"/>
            <w:vAlign w:val="center"/>
          </w:tcPr>
          <w:p w14:paraId="4632C01D">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网络安全态势感知系统</w:t>
            </w:r>
          </w:p>
        </w:tc>
        <w:tc>
          <w:tcPr>
            <w:tcW w:w="3000" w:type="pct"/>
            <w:tcBorders>
              <w:top w:val="nil"/>
              <w:left w:val="nil"/>
              <w:bottom w:val="single" w:color="auto" w:sz="4" w:space="0"/>
              <w:right w:val="single" w:color="auto" w:sz="4" w:space="0"/>
            </w:tcBorders>
            <w:noWrap/>
            <w:vAlign w:val="center"/>
          </w:tcPr>
          <w:p w14:paraId="04B65D5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5284F8F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1A973A1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28EADAA0">
        <w:tblPrEx>
          <w:tblCellMar>
            <w:top w:w="0" w:type="dxa"/>
            <w:left w:w="108" w:type="dxa"/>
            <w:bottom w:w="0" w:type="dxa"/>
            <w:right w:w="108" w:type="dxa"/>
          </w:tblCellMar>
        </w:tblPrEx>
        <w:trPr>
          <w:trHeight w:val="282" w:hRule="atLeast"/>
        </w:trPr>
        <w:tc>
          <w:tcPr>
            <w:tcW w:w="461" w:type="pct"/>
            <w:tcBorders>
              <w:top w:val="nil"/>
              <w:left w:val="single" w:color="auto" w:sz="4" w:space="0"/>
              <w:bottom w:val="single" w:color="auto" w:sz="4" w:space="0"/>
              <w:right w:val="single" w:color="auto" w:sz="4" w:space="0"/>
            </w:tcBorders>
            <w:noWrap w:val="0"/>
            <w:vAlign w:val="center"/>
          </w:tcPr>
          <w:p w14:paraId="1F8F494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noWrap w:val="0"/>
            <w:vAlign w:val="center"/>
          </w:tcPr>
          <w:p w14:paraId="32EE86E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网络流量综合探针专用设备（千兆）</w:t>
            </w:r>
          </w:p>
        </w:tc>
        <w:tc>
          <w:tcPr>
            <w:tcW w:w="3000" w:type="pct"/>
            <w:tcBorders>
              <w:top w:val="nil"/>
              <w:left w:val="nil"/>
              <w:bottom w:val="single" w:color="auto" w:sz="4" w:space="0"/>
              <w:right w:val="single" w:color="auto" w:sz="4" w:space="0"/>
            </w:tcBorders>
            <w:noWrap/>
            <w:vAlign w:val="center"/>
          </w:tcPr>
          <w:p w14:paraId="627919E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1、功能要求：</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对原始流量进行监测，实时监测并输出各类网络安全事件，包括网络扫描窃听、网络钓鱼、漏洞利用、后门植入、尝试登陆、拒绝服务、数据篡改、数据泄露、数据窃取、病毒、僵尸、木马、蠕虫、恶意程序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（2）对原始流量进行协议识别与解析，输出全部原始流量解析后的会话、域名访问、URL访问记录等日志数据；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（3）支持输出安全告警相关联的pcap文件；</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（4）支持基于原始流量进行文件还原，并输出给沙箱进行检测；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（5）支持将告警日志、元数据等外发给第三方平台进行汇总展示和分析，传输接口支持syslog、sftp等；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（6）支持对IPv4和IPv6的流量接入与处理，支持对接入的全部互联网流量进行协议解析生成日志并外发给第三方平台；支持规则提取PCAP包并外发给第三方平台，规则可配置。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（7）支持提供图形化的运行、维护、管理界面。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2、性能要求：</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（1）单台原始流量处理能力不低于5Gbps；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（2）支持单关键字规则至少4万条、多条件规则至少5000条；</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（3）支持不少于900种应用协议的识别和解析，有效识别率不低于95%。</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3、配置要求：</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（1）标准机架式设备；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（2）业务口至少配置万兆光口*2（配满万兆多模光模块）、GE电口*2；</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（3）220V交流冗余电源。</w:t>
            </w:r>
          </w:p>
        </w:tc>
        <w:tc>
          <w:tcPr>
            <w:tcW w:w="369" w:type="pct"/>
            <w:tcBorders>
              <w:top w:val="nil"/>
              <w:left w:val="nil"/>
              <w:bottom w:val="single" w:color="auto" w:sz="4" w:space="0"/>
              <w:right w:val="single" w:color="auto" w:sz="4" w:space="0"/>
            </w:tcBorders>
            <w:noWrap w:val="0"/>
            <w:vAlign w:val="center"/>
          </w:tcPr>
          <w:p w14:paraId="1874D70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4B740D4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08B1B6E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2079B88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2</w:t>
            </w:r>
          </w:p>
        </w:tc>
        <w:tc>
          <w:tcPr>
            <w:tcW w:w="685" w:type="pct"/>
            <w:tcBorders>
              <w:top w:val="nil"/>
              <w:left w:val="nil"/>
              <w:bottom w:val="single" w:color="auto" w:sz="4" w:space="0"/>
              <w:right w:val="single" w:color="auto" w:sz="4" w:space="0"/>
            </w:tcBorders>
            <w:noWrap w:val="0"/>
            <w:vAlign w:val="center"/>
          </w:tcPr>
          <w:p w14:paraId="480D56E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网络安全数据采集交换软件</w:t>
            </w:r>
          </w:p>
        </w:tc>
        <w:tc>
          <w:tcPr>
            <w:tcW w:w="3000" w:type="pct"/>
            <w:tcBorders>
              <w:top w:val="nil"/>
              <w:left w:val="nil"/>
              <w:bottom w:val="single" w:color="auto" w:sz="4" w:space="0"/>
              <w:right w:val="single" w:color="auto" w:sz="4" w:space="0"/>
            </w:tcBorders>
            <w:noWrap/>
            <w:vAlign w:val="center"/>
          </w:tcPr>
          <w:p w14:paraId="71C4C447">
            <w:pPr>
              <w:widowControl/>
              <w:spacing w:line="24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本期项目在一期项目基础上对网络安全数据采集交换子系统进行扩容。扩容功能主要包括：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（一）扩容与自治区网络安全协调指挥平台进行系统对接和数据交换的功能，系统对接和数据交换应符合中央网信办</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自治区党委网信办</w:t>
            </w:r>
            <w:r>
              <w:rPr>
                <w:rFonts w:hint="eastAsia" w:asciiTheme="minorEastAsia" w:hAnsiTheme="minorEastAsia" w:eastAsiaTheme="minorEastAsia" w:cstheme="minorEastAsia"/>
                <w:color w:val="auto"/>
                <w:kern w:val="0"/>
                <w:sz w:val="24"/>
                <w:szCs w:val="24"/>
                <w:highlight w:val="none"/>
                <w:lang w:val="en-US" w:eastAsia="zh-CN"/>
              </w:rPr>
              <w:t>以及采购人</w:t>
            </w:r>
            <w:r>
              <w:rPr>
                <w:rFonts w:hint="eastAsia" w:asciiTheme="minorEastAsia" w:hAnsiTheme="minorEastAsia" w:eastAsiaTheme="minorEastAsia" w:cstheme="minorEastAsia"/>
                <w:color w:val="auto"/>
                <w:kern w:val="0"/>
                <w:sz w:val="24"/>
                <w:szCs w:val="24"/>
                <w:highlight w:val="none"/>
              </w:rPr>
              <w:t>的要求，并支持数据的可视化展示。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扩容数据采集来源。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（三）</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扩容其他单位网络安全数据查看、</w:t>
            </w:r>
            <w:r>
              <w:rPr>
                <w:rFonts w:hint="eastAsia" w:asciiTheme="minorEastAsia" w:hAnsiTheme="minorEastAsia" w:eastAsiaTheme="minorEastAsia" w:cstheme="minorEastAsia"/>
                <w:color w:val="auto"/>
                <w:kern w:val="0"/>
                <w:sz w:val="24"/>
                <w:szCs w:val="24"/>
                <w:highlight w:val="none"/>
                <w:lang w:val="en-US" w:eastAsia="zh-CN"/>
              </w:rPr>
              <w:t>报送</w:t>
            </w:r>
            <w:r>
              <w:rPr>
                <w:rFonts w:hint="eastAsia" w:asciiTheme="minorEastAsia" w:hAnsiTheme="minorEastAsia" w:eastAsiaTheme="minorEastAsia" w:cstheme="minorEastAsia"/>
                <w:color w:val="auto"/>
                <w:kern w:val="0"/>
                <w:sz w:val="24"/>
                <w:szCs w:val="24"/>
                <w:highlight w:val="none"/>
              </w:rPr>
              <w:t>功能。向其他单位提供其权限范围内的数据查看功能，并实现其他单位资产数据、事件数据、漏洞数据、威胁数据等数据</w:t>
            </w:r>
            <w:r>
              <w:rPr>
                <w:rFonts w:hint="eastAsia" w:asciiTheme="minorEastAsia" w:hAnsiTheme="minorEastAsia" w:eastAsiaTheme="minorEastAsia" w:cstheme="minorEastAsia"/>
                <w:color w:val="auto"/>
                <w:kern w:val="0"/>
                <w:sz w:val="24"/>
                <w:szCs w:val="24"/>
                <w:highlight w:val="none"/>
                <w:lang w:val="en-US" w:eastAsia="zh-CN"/>
              </w:rPr>
              <w:t>报送</w:t>
            </w:r>
            <w:r>
              <w:rPr>
                <w:rFonts w:hint="eastAsia" w:asciiTheme="minorEastAsia" w:hAnsiTheme="minorEastAsia" w:eastAsiaTheme="minorEastAsia" w:cstheme="minorEastAsia"/>
                <w:color w:val="auto"/>
                <w:kern w:val="0"/>
                <w:sz w:val="24"/>
                <w:szCs w:val="24"/>
                <w:highlight w:val="none"/>
              </w:rPr>
              <w:t>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（四）</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数据采集安全功能。在采集、接收相关数据时，对数据来源、数据完整性及可追溯性进行验证。通过身份认证、接口认证、接入认证等方式，保障数据本身的完整性和真实性，确保数据来源的安全和可信，防止伪冒数据源的攻击和破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（五）</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w:t>
            </w:r>
            <w:r>
              <w:rPr>
                <w:rFonts w:hint="eastAsia" w:asciiTheme="minorEastAsia" w:hAnsiTheme="minorEastAsia" w:eastAsiaTheme="minorEastAsia" w:cstheme="minorEastAsia"/>
                <w:color w:val="auto"/>
                <w:kern w:val="0"/>
                <w:sz w:val="24"/>
                <w:szCs w:val="24"/>
                <w:highlight w:val="none"/>
                <w:lang w:val="en-US" w:eastAsia="zh-CN"/>
              </w:rPr>
              <w:t>不同网络区域</w:t>
            </w:r>
            <w:r>
              <w:rPr>
                <w:rFonts w:hint="eastAsia" w:asciiTheme="minorEastAsia" w:hAnsiTheme="minorEastAsia" w:eastAsiaTheme="minorEastAsia" w:cstheme="minorEastAsia"/>
                <w:color w:val="auto"/>
                <w:kern w:val="0"/>
                <w:sz w:val="24"/>
                <w:szCs w:val="24"/>
                <w:highlight w:val="none"/>
              </w:rPr>
              <w:t>之间的对接，进行跨网数据交换</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迁移</w:t>
            </w:r>
            <w:r>
              <w:rPr>
                <w:rFonts w:hint="eastAsia" w:asciiTheme="minorEastAsia" w:hAnsiTheme="minorEastAsia" w:eastAsiaTheme="minorEastAsia" w:cstheme="minorEastAsia"/>
                <w:color w:val="auto"/>
                <w:kern w:val="0"/>
                <w:sz w:val="24"/>
                <w:szCs w:val="24"/>
                <w:highlight w:val="none"/>
                <w:lang w:eastAsia="zh-CN"/>
              </w:rPr>
              <w:t>。</w:t>
            </w:r>
          </w:p>
          <w:p w14:paraId="5FD0B068">
            <w:pPr>
              <w:widowControl/>
              <w:spacing w:line="24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422E84A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118FE9E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0B58613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79BEE58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3</w:t>
            </w:r>
          </w:p>
        </w:tc>
        <w:tc>
          <w:tcPr>
            <w:tcW w:w="685" w:type="pct"/>
            <w:tcBorders>
              <w:top w:val="nil"/>
              <w:left w:val="nil"/>
              <w:bottom w:val="single" w:color="auto" w:sz="4" w:space="0"/>
              <w:right w:val="single" w:color="auto" w:sz="4" w:space="0"/>
            </w:tcBorders>
            <w:noWrap w:val="0"/>
            <w:vAlign w:val="center"/>
          </w:tcPr>
          <w:p w14:paraId="1FE125C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安全监测软件</w:t>
            </w:r>
          </w:p>
        </w:tc>
        <w:tc>
          <w:tcPr>
            <w:tcW w:w="3000" w:type="pct"/>
            <w:tcBorders>
              <w:top w:val="nil"/>
              <w:left w:val="nil"/>
              <w:bottom w:val="single" w:color="auto" w:sz="4" w:space="0"/>
              <w:right w:val="single" w:color="auto" w:sz="4" w:space="0"/>
            </w:tcBorders>
            <w:noWrap/>
            <w:vAlign w:val="center"/>
          </w:tcPr>
          <w:p w14:paraId="50F0C50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本期项目在一期项目基础上对安全监测子系统进行扩容，扩容功能主要包括：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（一）多源数据治理功能。</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对本期工程新增加的数据源，包括网络流量综合探针专用设备输出数据、网络安全设备日志数据、其他单位网络安全态势感知系统数据等，进行统一数据治理和标准化，并统一进行安全分析、监测及展示。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（二）研判数据标签功能。</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对平台网络安全事件的自动研判和人工研判两种方式进行标签，并支持基于标签的筛选、查询、统计等功能。</w:t>
            </w:r>
          </w:p>
          <w:p w14:paraId="53EE543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65B716A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60A02F5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186EDAB9">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89D375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4</w:t>
            </w:r>
          </w:p>
        </w:tc>
        <w:tc>
          <w:tcPr>
            <w:tcW w:w="685" w:type="pct"/>
            <w:tcBorders>
              <w:top w:val="nil"/>
              <w:left w:val="nil"/>
              <w:bottom w:val="single" w:color="auto" w:sz="4" w:space="0"/>
              <w:right w:val="single" w:color="auto" w:sz="4" w:space="0"/>
            </w:tcBorders>
            <w:noWrap w:val="0"/>
            <w:vAlign w:val="center"/>
          </w:tcPr>
          <w:p w14:paraId="533CBD1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态势感知软件</w:t>
            </w:r>
          </w:p>
        </w:tc>
        <w:tc>
          <w:tcPr>
            <w:tcW w:w="3000" w:type="pct"/>
            <w:tcBorders>
              <w:top w:val="nil"/>
              <w:left w:val="nil"/>
              <w:bottom w:val="single" w:color="auto" w:sz="4" w:space="0"/>
              <w:right w:val="single" w:color="auto" w:sz="4" w:space="0"/>
            </w:tcBorders>
            <w:noWrap/>
            <w:vAlign w:val="center"/>
          </w:tcPr>
          <w:p w14:paraId="29B2635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本期项目在一期项目基础上对态势感知子系统进行扩容，扩容功能主要包括：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（一）网络安全态势预测功能。</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根据历史事件变化趋势，结合资产数据、漏洞数据、威胁数据等各类数据，对未来一段时间内的网络安全态势变化趋势进行预测，预测时间段可配置；支持对态势预测结果和实际态势数据的比对；支持对态势预测模型的动态修正和人工修正，使预测结果更准确；支持生成并输出态势趋势分析报告。</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（二）大屏展示功能。支持适配本期工程建设的大屏</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进行网络安全态势展示。</w:t>
            </w:r>
          </w:p>
          <w:p w14:paraId="1948E00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18BFB5E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1F620A3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5C3047B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0A7C933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5</w:t>
            </w:r>
          </w:p>
        </w:tc>
        <w:tc>
          <w:tcPr>
            <w:tcW w:w="685" w:type="pct"/>
            <w:tcBorders>
              <w:top w:val="nil"/>
              <w:left w:val="nil"/>
              <w:bottom w:val="single" w:color="auto" w:sz="4" w:space="0"/>
              <w:right w:val="single" w:color="auto" w:sz="4" w:space="0"/>
            </w:tcBorders>
            <w:noWrap w:val="0"/>
            <w:vAlign w:val="center"/>
          </w:tcPr>
          <w:p w14:paraId="2ECF511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预警通报软件</w:t>
            </w:r>
          </w:p>
        </w:tc>
        <w:tc>
          <w:tcPr>
            <w:tcW w:w="3000" w:type="pct"/>
            <w:tcBorders>
              <w:top w:val="nil"/>
              <w:left w:val="nil"/>
              <w:bottom w:val="single" w:color="auto" w:sz="4" w:space="0"/>
              <w:right w:val="single" w:color="auto" w:sz="4" w:space="0"/>
            </w:tcBorders>
            <w:noWrap/>
            <w:vAlign w:val="center"/>
          </w:tcPr>
          <w:p w14:paraId="52FFC63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本期项目在一期项目基础上对预警通报子系统进行扩容，扩容功能主要包括：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（一）扩容协同处置功能。</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实现与市级党政机关、事业单位、重点企业对网络安全事件的协同处置，通过向相关单位发送协同处置</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，要求其开展攻击溯源、取证分析、服务关停等处置工作，并实现指挥流程的闭环。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（二）扩容指挥任务考核统计功能。</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w:t>
            </w:r>
            <w:r>
              <w:rPr>
                <w:rFonts w:hint="eastAsia" w:asciiTheme="minorEastAsia" w:hAnsiTheme="minorEastAsia" w:eastAsiaTheme="minorEastAsia" w:cstheme="minorEastAsia"/>
                <w:color w:val="auto"/>
                <w:kern w:val="0"/>
                <w:sz w:val="24"/>
                <w:szCs w:val="24"/>
                <w:highlight w:val="none"/>
                <w:lang w:val="en-US" w:eastAsia="zh-CN"/>
              </w:rPr>
              <w:t>指挥任务</w:t>
            </w:r>
            <w:r>
              <w:rPr>
                <w:rFonts w:hint="eastAsia" w:asciiTheme="minorEastAsia" w:hAnsiTheme="minorEastAsia" w:eastAsiaTheme="minorEastAsia" w:cstheme="minorEastAsia"/>
                <w:color w:val="auto"/>
                <w:kern w:val="0"/>
                <w:sz w:val="24"/>
                <w:szCs w:val="24"/>
                <w:highlight w:val="none"/>
              </w:rPr>
              <w:t>下发以及处置情况的统计，支持对各单位指挥任务执行情况进行多维度统计，包括指挥任务完成比例、按时完成比例、超时完成比例、指挥任务完成效果等，支持对指挥</w:t>
            </w:r>
            <w:r>
              <w:rPr>
                <w:rFonts w:hint="eastAsia" w:asciiTheme="minorEastAsia" w:hAnsiTheme="minorEastAsia" w:eastAsiaTheme="minorEastAsia" w:cstheme="minorEastAsia"/>
                <w:color w:val="auto"/>
                <w:kern w:val="0"/>
                <w:sz w:val="24"/>
                <w:szCs w:val="24"/>
                <w:highlight w:val="none"/>
                <w:lang w:val="en-US" w:eastAsia="zh-CN"/>
              </w:rPr>
              <w:t>任务</w:t>
            </w:r>
            <w:r>
              <w:rPr>
                <w:rFonts w:hint="eastAsia" w:asciiTheme="minorEastAsia" w:hAnsiTheme="minorEastAsia" w:eastAsiaTheme="minorEastAsia" w:cstheme="minorEastAsia"/>
                <w:color w:val="auto"/>
                <w:kern w:val="0"/>
                <w:sz w:val="24"/>
                <w:szCs w:val="24"/>
                <w:highlight w:val="none"/>
              </w:rPr>
              <w:t>责任人和责任单位进行考核，支持按照条件输出考核结果数据。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（三）</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扩容与网络安全指挥子系统的接口。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（四）扩容指挥</w:t>
            </w:r>
            <w:r>
              <w:rPr>
                <w:rFonts w:hint="eastAsia" w:asciiTheme="minorEastAsia" w:hAnsiTheme="minorEastAsia" w:eastAsiaTheme="minorEastAsia" w:cstheme="minorEastAsia"/>
                <w:color w:val="auto"/>
                <w:kern w:val="0"/>
                <w:sz w:val="24"/>
                <w:szCs w:val="24"/>
                <w:highlight w:val="none"/>
                <w:lang w:val="en-US" w:eastAsia="zh-CN"/>
              </w:rPr>
              <w:t>任务</w:t>
            </w:r>
            <w:r>
              <w:rPr>
                <w:rFonts w:hint="eastAsia" w:asciiTheme="minorEastAsia" w:hAnsiTheme="minorEastAsia" w:eastAsiaTheme="minorEastAsia" w:cstheme="minorEastAsia"/>
                <w:color w:val="auto"/>
                <w:kern w:val="0"/>
                <w:sz w:val="24"/>
                <w:szCs w:val="24"/>
                <w:highlight w:val="none"/>
              </w:rPr>
              <w:t>入库功能。</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实现对指挥</w:t>
            </w:r>
            <w:r>
              <w:rPr>
                <w:rFonts w:hint="eastAsia" w:asciiTheme="minorEastAsia" w:hAnsiTheme="minorEastAsia" w:eastAsiaTheme="minorEastAsia" w:cstheme="minorEastAsia"/>
                <w:color w:val="auto"/>
                <w:kern w:val="0"/>
                <w:sz w:val="24"/>
                <w:szCs w:val="24"/>
                <w:highlight w:val="none"/>
                <w:lang w:val="en-US" w:eastAsia="zh-CN"/>
              </w:rPr>
              <w:t>任务</w:t>
            </w:r>
            <w:r>
              <w:rPr>
                <w:rFonts w:hint="eastAsia" w:asciiTheme="minorEastAsia" w:hAnsiTheme="minorEastAsia" w:eastAsiaTheme="minorEastAsia" w:cstheme="minorEastAsia"/>
                <w:color w:val="auto"/>
                <w:kern w:val="0"/>
                <w:sz w:val="24"/>
                <w:szCs w:val="24"/>
                <w:highlight w:val="none"/>
              </w:rPr>
              <w:t>的入库以及多维度查询、展示、统计、导出等功能。</w:t>
            </w:r>
          </w:p>
          <w:p w14:paraId="7A954F1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68BD333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11162C4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5C5B1EE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22BDC9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6</w:t>
            </w:r>
          </w:p>
        </w:tc>
        <w:tc>
          <w:tcPr>
            <w:tcW w:w="685" w:type="pct"/>
            <w:tcBorders>
              <w:top w:val="nil"/>
              <w:left w:val="nil"/>
              <w:bottom w:val="single" w:color="auto" w:sz="4" w:space="0"/>
              <w:right w:val="single" w:color="auto" w:sz="4" w:space="0"/>
            </w:tcBorders>
            <w:noWrap w:val="0"/>
            <w:vAlign w:val="center"/>
          </w:tcPr>
          <w:p w14:paraId="5E58F2C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资产管理软件</w:t>
            </w:r>
          </w:p>
        </w:tc>
        <w:tc>
          <w:tcPr>
            <w:tcW w:w="3000" w:type="pct"/>
            <w:tcBorders>
              <w:top w:val="nil"/>
              <w:left w:val="nil"/>
              <w:bottom w:val="single" w:color="auto" w:sz="4" w:space="0"/>
              <w:right w:val="single" w:color="auto" w:sz="4" w:space="0"/>
            </w:tcBorders>
            <w:noWrap/>
            <w:vAlign w:val="center"/>
          </w:tcPr>
          <w:p w14:paraId="7A53267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资产管理子系统实现的功能主要包括：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（一）资产信息管理。</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建立资产信息库，支持从资产维度、地理位置维度、资产来源维度等多个维度对资产信息进行管理，包括可视化呈现、检索、统计、导出等；支持从资产分类、数量、变化等不同维度采用图表、文字的方式展示资产总体情况；支持自定义统计维度，并能够选择按照表格、曲线图、饼图、柱状图、堆叠图等方式展示资产数据；支持对资产关系链的查看，通过一个资产可以查看与其相关联的其他资产；支持对资产数据来源进行标签，至少包括人工录入、主动探测等数据来源；对同一资产的信息来源于不同渠道的情况，支持将来源标签标注到资产的每一个字段；支持对是否为关键信息基础设施进行标签。</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（二）资产信息关联融合。</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系统通过主动探测、人工上报等多种方式获取的资产信息，实现组织机构、业务信息系统、设备、软件、机房、网络、应急资源、业务数据等之间的关联，形成一条完整的资产关联关系链；提供自动关联和人工关联两种资产关联方式，默认进行资产数据自动关联；支持对关联策略的查看、管理及更新；支持对关联结果进行查看、修正、补充完善等；支持对资产变化后的及时更新。</w:t>
            </w:r>
          </w:p>
          <w:p w14:paraId="5650A12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76A032F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569F1C6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36FDBEC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A0DA43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7</w:t>
            </w:r>
          </w:p>
        </w:tc>
        <w:tc>
          <w:tcPr>
            <w:tcW w:w="685" w:type="pct"/>
            <w:tcBorders>
              <w:top w:val="nil"/>
              <w:left w:val="nil"/>
              <w:bottom w:val="single" w:color="auto" w:sz="4" w:space="0"/>
              <w:right w:val="single" w:color="auto" w:sz="4" w:space="0"/>
            </w:tcBorders>
            <w:noWrap w:val="0"/>
            <w:vAlign w:val="center"/>
          </w:tcPr>
          <w:p w14:paraId="7452668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网络安全指挥软件</w:t>
            </w:r>
          </w:p>
        </w:tc>
        <w:tc>
          <w:tcPr>
            <w:tcW w:w="3000" w:type="pct"/>
            <w:tcBorders>
              <w:top w:val="nil"/>
              <w:left w:val="nil"/>
              <w:bottom w:val="single" w:color="auto" w:sz="4" w:space="0"/>
              <w:right w:val="single" w:color="auto" w:sz="4" w:space="0"/>
            </w:tcBorders>
            <w:noWrap/>
            <w:vAlign w:val="center"/>
          </w:tcPr>
          <w:p w14:paraId="25AF8A3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网络安全指挥子系统实现的功能主要包括：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与预警通报子系统、</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管理子系统对接，实现从预警通报子系统和</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管理子系统接收指挥</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，并反馈指挥</w:t>
            </w:r>
            <w:r>
              <w:rPr>
                <w:rFonts w:hint="eastAsia" w:asciiTheme="minorEastAsia" w:hAnsiTheme="minorEastAsia" w:eastAsiaTheme="minorEastAsia" w:cstheme="minorEastAsia"/>
                <w:color w:val="auto"/>
                <w:kern w:val="0"/>
                <w:sz w:val="24"/>
                <w:szCs w:val="24"/>
                <w:highlight w:val="none"/>
                <w:lang w:val="en-US" w:eastAsia="zh-CN"/>
              </w:rPr>
              <w:t>任务</w:t>
            </w:r>
            <w:r>
              <w:rPr>
                <w:rFonts w:hint="eastAsia" w:asciiTheme="minorEastAsia" w:hAnsiTheme="minorEastAsia" w:eastAsiaTheme="minorEastAsia" w:cstheme="minorEastAsia"/>
                <w:color w:val="auto"/>
                <w:kern w:val="0"/>
                <w:sz w:val="24"/>
                <w:szCs w:val="24"/>
                <w:highlight w:val="none"/>
              </w:rPr>
              <w:t>的执行结果情况。</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为被指挥用户提供各项指挥功能，各用户接收</w:t>
            </w:r>
            <w:r>
              <w:rPr>
                <w:rFonts w:hint="eastAsia" w:asciiTheme="minorEastAsia" w:hAnsiTheme="minorEastAsia" w:eastAsiaTheme="minorEastAsia" w:cstheme="minorEastAsia"/>
                <w:color w:val="auto"/>
                <w:kern w:val="0"/>
                <w:sz w:val="24"/>
                <w:szCs w:val="24"/>
                <w:highlight w:val="none"/>
                <w:lang w:val="en-US" w:eastAsia="zh-CN"/>
              </w:rPr>
              <w:t>指挥任务</w:t>
            </w:r>
            <w:r>
              <w:rPr>
                <w:rFonts w:hint="eastAsia" w:asciiTheme="minorEastAsia" w:hAnsiTheme="minorEastAsia" w:eastAsiaTheme="minorEastAsia" w:cstheme="minorEastAsia"/>
                <w:color w:val="auto"/>
                <w:kern w:val="0"/>
                <w:sz w:val="24"/>
                <w:szCs w:val="24"/>
                <w:highlight w:val="none"/>
              </w:rPr>
              <w:t>并反馈</w:t>
            </w:r>
            <w:r>
              <w:rPr>
                <w:rFonts w:hint="eastAsia" w:asciiTheme="minorEastAsia" w:hAnsiTheme="minorEastAsia" w:eastAsiaTheme="minorEastAsia" w:cstheme="minorEastAsia"/>
                <w:color w:val="auto"/>
                <w:kern w:val="0"/>
                <w:sz w:val="24"/>
                <w:szCs w:val="24"/>
                <w:highlight w:val="none"/>
                <w:lang w:val="en-US" w:eastAsia="zh-CN"/>
              </w:rPr>
              <w:t>任务</w:t>
            </w:r>
            <w:r>
              <w:rPr>
                <w:rFonts w:hint="eastAsia" w:asciiTheme="minorEastAsia" w:hAnsiTheme="minorEastAsia" w:eastAsiaTheme="minorEastAsia" w:cstheme="minorEastAsia"/>
                <w:color w:val="auto"/>
                <w:kern w:val="0"/>
                <w:sz w:val="24"/>
                <w:szCs w:val="24"/>
                <w:highlight w:val="none"/>
              </w:rPr>
              <w:t>执行结果情况。</w:t>
            </w:r>
          </w:p>
          <w:p w14:paraId="551B1C2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3C11A3A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3A54E5E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0357594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0E4BF2B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8</w:t>
            </w:r>
          </w:p>
        </w:tc>
        <w:tc>
          <w:tcPr>
            <w:tcW w:w="685" w:type="pct"/>
            <w:tcBorders>
              <w:top w:val="nil"/>
              <w:left w:val="nil"/>
              <w:bottom w:val="single" w:color="auto" w:sz="4" w:space="0"/>
              <w:right w:val="single" w:color="auto" w:sz="4" w:space="0"/>
            </w:tcBorders>
            <w:noWrap w:val="0"/>
            <w:vAlign w:val="center"/>
          </w:tcPr>
          <w:p w14:paraId="167B44A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资产数据重点保护软件</w:t>
            </w:r>
          </w:p>
        </w:tc>
        <w:tc>
          <w:tcPr>
            <w:tcW w:w="3000" w:type="pct"/>
            <w:tcBorders>
              <w:top w:val="nil"/>
              <w:left w:val="nil"/>
              <w:bottom w:val="single" w:color="auto" w:sz="4" w:space="0"/>
              <w:right w:val="single" w:color="auto" w:sz="4" w:space="0"/>
            </w:tcBorders>
            <w:noWrap/>
            <w:vAlign w:val="center"/>
          </w:tcPr>
          <w:p w14:paraId="6401EA20">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资产数据重点保护子系统实现的功能主要为</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对资产数据实施重点保护。</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63D9C8B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3058A6F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33112D5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CA060A7">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三</w:t>
            </w:r>
          </w:p>
        </w:tc>
        <w:tc>
          <w:tcPr>
            <w:tcW w:w="685" w:type="pct"/>
            <w:tcBorders>
              <w:top w:val="nil"/>
              <w:left w:val="nil"/>
              <w:bottom w:val="single" w:color="auto" w:sz="4" w:space="0"/>
              <w:right w:val="single" w:color="auto" w:sz="4" w:space="0"/>
            </w:tcBorders>
            <w:noWrap w:val="0"/>
            <w:vAlign w:val="center"/>
          </w:tcPr>
          <w:p w14:paraId="3D88DC19">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综合支撑系统</w:t>
            </w:r>
          </w:p>
        </w:tc>
        <w:tc>
          <w:tcPr>
            <w:tcW w:w="3000" w:type="pct"/>
            <w:tcBorders>
              <w:top w:val="nil"/>
              <w:left w:val="nil"/>
              <w:bottom w:val="single" w:color="auto" w:sz="4" w:space="0"/>
              <w:right w:val="single" w:color="auto" w:sz="4" w:space="0"/>
            </w:tcBorders>
            <w:noWrap/>
            <w:vAlign w:val="center"/>
          </w:tcPr>
          <w:p w14:paraId="23FC7D9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5FF23E9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4831846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69F43669">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3E88040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1</w:t>
            </w:r>
          </w:p>
        </w:tc>
        <w:tc>
          <w:tcPr>
            <w:tcW w:w="685" w:type="pct"/>
            <w:tcBorders>
              <w:top w:val="nil"/>
              <w:left w:val="nil"/>
              <w:bottom w:val="single" w:color="auto" w:sz="4" w:space="0"/>
              <w:right w:val="single" w:color="auto" w:sz="4" w:space="0"/>
            </w:tcBorders>
            <w:noWrap w:val="0"/>
            <w:vAlign w:val="center"/>
          </w:tcPr>
          <w:p w14:paraId="48505DF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业务服务软件</w:t>
            </w:r>
          </w:p>
        </w:tc>
        <w:tc>
          <w:tcPr>
            <w:tcW w:w="3000" w:type="pct"/>
            <w:tcBorders>
              <w:top w:val="nil"/>
              <w:left w:val="nil"/>
              <w:bottom w:val="single" w:color="auto" w:sz="4" w:space="0"/>
              <w:right w:val="single" w:color="auto" w:sz="4" w:space="0"/>
            </w:tcBorders>
            <w:noWrap/>
            <w:vAlign w:val="center"/>
          </w:tcPr>
          <w:p w14:paraId="31626DC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业务服务子系统是为了提高网信部门工作效率，方便用户操作的服务系统，主要包括统一门户、值班管理、会议管理、属地管理对象库、移动端应用等辅助模块。</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（一）统一门户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统一门户是整个北海市网络应急指挥中心的登录门户，</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针对不同用户对象和业务场景，提供</w:t>
            </w:r>
            <w:r>
              <w:rPr>
                <w:rFonts w:hint="eastAsia" w:asciiTheme="minorEastAsia" w:hAnsiTheme="minorEastAsia" w:eastAsiaTheme="minorEastAsia" w:cstheme="minorEastAsia"/>
                <w:color w:val="auto"/>
                <w:kern w:val="0"/>
                <w:sz w:val="24"/>
                <w:szCs w:val="24"/>
                <w:highlight w:val="none"/>
                <w:lang w:val="en-US" w:eastAsia="zh-CN"/>
              </w:rPr>
              <w:t>相应访问权限、访问途径类型的</w:t>
            </w:r>
            <w:r>
              <w:rPr>
                <w:rFonts w:hint="eastAsia" w:asciiTheme="minorEastAsia" w:hAnsiTheme="minorEastAsia" w:eastAsiaTheme="minorEastAsia" w:cstheme="minorEastAsia"/>
                <w:color w:val="auto"/>
                <w:kern w:val="0"/>
                <w:sz w:val="24"/>
                <w:szCs w:val="24"/>
                <w:highlight w:val="none"/>
              </w:rPr>
              <w:t>门户。</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（二）值班管理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对值班计划和值班信息进行管理。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（三）会议管理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对会议议程和会议信息进行管理。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（四）属地管理对象库</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对北海属地的管理对象等进行登记和管理。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（五）移动端应用</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按照采购人要求</w:t>
            </w:r>
            <w:r>
              <w:rPr>
                <w:rFonts w:hint="eastAsia" w:asciiTheme="minorEastAsia" w:hAnsiTheme="minorEastAsia" w:eastAsiaTheme="minorEastAsia" w:cstheme="minorEastAsia"/>
                <w:color w:val="auto"/>
                <w:kern w:val="0"/>
                <w:sz w:val="24"/>
                <w:szCs w:val="24"/>
                <w:highlight w:val="none"/>
              </w:rPr>
              <w:t>将信息采集分析系统和网络安全态势感知系统功能进行集成，实现移动互联的工作处理方式，切实提高工作效率。主要包括但不限于如下功能：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信息</w:t>
            </w:r>
            <w:r>
              <w:rPr>
                <w:rFonts w:hint="eastAsia" w:asciiTheme="minorEastAsia" w:hAnsiTheme="minorEastAsia" w:eastAsiaTheme="minorEastAsia" w:cstheme="minorEastAsia"/>
                <w:color w:val="auto"/>
                <w:kern w:val="0"/>
                <w:sz w:val="24"/>
                <w:szCs w:val="24"/>
                <w:highlight w:val="none"/>
              </w:rPr>
              <w:t>报送。支持通过手机端应用便捷报送</w:t>
            </w:r>
            <w:r>
              <w:rPr>
                <w:rFonts w:hint="eastAsia" w:asciiTheme="minorEastAsia" w:hAnsiTheme="minorEastAsia" w:eastAsiaTheme="minorEastAsia" w:cstheme="minorEastAsia"/>
                <w:color w:val="auto"/>
                <w:kern w:val="0"/>
                <w:sz w:val="24"/>
                <w:szCs w:val="24"/>
                <w:highlight w:val="none"/>
                <w:lang w:val="en-US" w:eastAsia="zh-CN"/>
              </w:rPr>
              <w:t>信息</w:t>
            </w:r>
            <w:r>
              <w:rPr>
                <w:rFonts w:hint="eastAsia" w:asciiTheme="minorEastAsia" w:hAnsiTheme="minorEastAsia" w:eastAsiaTheme="minorEastAsia" w:cstheme="minorEastAsia"/>
                <w:color w:val="auto"/>
                <w:kern w:val="0"/>
                <w:sz w:val="24"/>
                <w:szCs w:val="24"/>
                <w:highlight w:val="none"/>
              </w:rPr>
              <w:t>。报送内容支持文字、图片、文件、视频等格式。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专题数据采集分析</w:t>
            </w:r>
            <w:r>
              <w:rPr>
                <w:rFonts w:hint="eastAsia" w:asciiTheme="minorEastAsia" w:hAnsiTheme="minorEastAsia" w:eastAsiaTheme="minorEastAsia" w:cstheme="minorEastAsia"/>
                <w:color w:val="auto"/>
                <w:kern w:val="0"/>
                <w:sz w:val="24"/>
                <w:szCs w:val="24"/>
                <w:highlight w:val="none"/>
              </w:rPr>
              <w:t>。通过移动端实现专题</w:t>
            </w:r>
            <w:r>
              <w:rPr>
                <w:rFonts w:hint="eastAsia" w:asciiTheme="minorEastAsia" w:hAnsiTheme="minorEastAsia" w:eastAsiaTheme="minorEastAsia" w:cstheme="minorEastAsia"/>
                <w:color w:val="auto"/>
                <w:kern w:val="0"/>
                <w:sz w:val="24"/>
                <w:szCs w:val="24"/>
                <w:highlight w:val="none"/>
                <w:lang w:val="en-US" w:eastAsia="zh-CN"/>
              </w:rPr>
              <w:t>数据采集分析</w:t>
            </w:r>
            <w:r>
              <w:rPr>
                <w:rFonts w:hint="eastAsia" w:asciiTheme="minorEastAsia" w:hAnsiTheme="minorEastAsia" w:eastAsiaTheme="minorEastAsia" w:cstheme="minorEastAsia"/>
                <w:color w:val="auto"/>
                <w:kern w:val="0"/>
                <w:sz w:val="24"/>
                <w:szCs w:val="24"/>
                <w:highlight w:val="none"/>
              </w:rPr>
              <w:t>子系统全部功能，方便用户实时查看</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处理</w:t>
            </w:r>
            <w:r>
              <w:rPr>
                <w:rFonts w:hint="eastAsia" w:asciiTheme="minorEastAsia" w:hAnsiTheme="minorEastAsia" w:eastAsiaTheme="minorEastAsia" w:cstheme="minorEastAsia"/>
                <w:color w:val="auto"/>
                <w:kern w:val="0"/>
                <w:sz w:val="24"/>
                <w:szCs w:val="24"/>
                <w:highlight w:val="none"/>
              </w:rPr>
              <w:t>信息。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w:t>
            </w:r>
            <w:r>
              <w:rPr>
                <w:rFonts w:hint="eastAsia" w:asciiTheme="minorEastAsia" w:hAnsiTheme="minorEastAsia" w:eastAsiaTheme="minorEastAsia" w:cstheme="minorEastAsia"/>
                <w:color w:val="auto"/>
                <w:kern w:val="0"/>
                <w:sz w:val="24"/>
                <w:szCs w:val="24"/>
                <w:highlight w:val="none"/>
                <w:lang w:val="en-US" w:eastAsia="zh-CN"/>
              </w:rPr>
              <w:t>综合</w:t>
            </w:r>
            <w:r>
              <w:rPr>
                <w:rFonts w:hint="eastAsia" w:asciiTheme="minorEastAsia" w:hAnsiTheme="minorEastAsia" w:eastAsiaTheme="minorEastAsia" w:cstheme="minorEastAsia"/>
                <w:color w:val="auto"/>
                <w:kern w:val="0"/>
                <w:sz w:val="24"/>
                <w:szCs w:val="24"/>
                <w:highlight w:val="none"/>
              </w:rPr>
              <w:t>态势。通过移动端实现综合态势子系统的全部功能。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（4）指挥通讯。通过移动端实现</w:t>
            </w:r>
            <w:r>
              <w:rPr>
                <w:rFonts w:hint="eastAsia" w:asciiTheme="minorEastAsia" w:hAnsiTheme="minorEastAsia" w:eastAsiaTheme="minorEastAsia" w:cstheme="minorEastAsia"/>
                <w:color w:val="auto"/>
                <w:sz w:val="24"/>
                <w:szCs w:val="24"/>
                <w:highlight w:val="none"/>
                <w:lang w:val="en-US" w:eastAsia="zh-CN"/>
              </w:rPr>
              <w:t>工作信息流转</w:t>
            </w:r>
            <w:r>
              <w:rPr>
                <w:rFonts w:hint="eastAsia" w:asciiTheme="minorEastAsia" w:hAnsiTheme="minorEastAsia" w:eastAsiaTheme="minorEastAsia" w:cstheme="minorEastAsia"/>
                <w:color w:val="auto"/>
                <w:kern w:val="0"/>
                <w:sz w:val="24"/>
                <w:szCs w:val="24"/>
                <w:highlight w:val="none"/>
              </w:rPr>
              <w:t>的创建、下发、接收、反馈以及查询、处置详情查看、统计等功能。市、县区网信部门用户拥有</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创建、下发、查询、处置详情查看、统计等权限，其他单位用户拥有</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接收、反馈、查询和处置详情查看等权限。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（5）消息提醒。显示</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接收、督办提醒以及各类预警信息</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支持与第三方短信网关的接口，通过短信方式推送提醒，在该子系统同时提供一年的第三方短信网关服务。</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（6）与VPN网关对接。</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（7）与协同签名系统对接。</w:t>
            </w:r>
          </w:p>
          <w:p w14:paraId="600C19A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7ED34D2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7B6EE10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80FACF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21831BF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2</w:t>
            </w:r>
          </w:p>
        </w:tc>
        <w:tc>
          <w:tcPr>
            <w:tcW w:w="685" w:type="pct"/>
            <w:tcBorders>
              <w:top w:val="nil"/>
              <w:left w:val="nil"/>
              <w:bottom w:val="single" w:color="auto" w:sz="4" w:space="0"/>
              <w:right w:val="single" w:color="auto" w:sz="4" w:space="0"/>
            </w:tcBorders>
            <w:noWrap w:val="0"/>
            <w:vAlign w:val="center"/>
          </w:tcPr>
          <w:p w14:paraId="4240700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管理软件</w:t>
            </w:r>
          </w:p>
        </w:tc>
        <w:tc>
          <w:tcPr>
            <w:tcW w:w="3000" w:type="pct"/>
            <w:tcBorders>
              <w:top w:val="nil"/>
              <w:left w:val="nil"/>
              <w:bottom w:val="single" w:color="auto" w:sz="4" w:space="0"/>
              <w:right w:val="single" w:color="auto" w:sz="4" w:space="0"/>
            </w:tcBorders>
            <w:noWrap/>
            <w:vAlign w:val="center"/>
          </w:tcPr>
          <w:p w14:paraId="45A3A17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管理子系统可转发自治区党委网信办的</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，也可以撰写下发北海市委网信办的</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支持</w:t>
            </w:r>
            <w:r>
              <w:rPr>
                <w:rFonts w:hint="eastAsia" w:asciiTheme="minorEastAsia" w:hAnsiTheme="minorEastAsia" w:eastAsiaTheme="minorEastAsia" w:cstheme="minorEastAsia"/>
                <w:color w:val="auto"/>
                <w:kern w:val="0"/>
                <w:sz w:val="24"/>
                <w:szCs w:val="24"/>
                <w:highlight w:val="none"/>
              </w:rPr>
              <w:t>实时跟踪</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的签收、执行和反馈情况</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支持附件（文档、图片、视频等格式）添加功能</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支持</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自动督办和手动督办功能，</w:t>
            </w:r>
            <w:r>
              <w:rPr>
                <w:rFonts w:hint="eastAsia" w:asciiTheme="minorEastAsia" w:hAnsiTheme="minorEastAsia" w:eastAsiaTheme="minorEastAsia" w:cstheme="minorEastAsia"/>
                <w:color w:val="auto"/>
                <w:kern w:val="0"/>
                <w:sz w:val="24"/>
                <w:szCs w:val="24"/>
                <w:highlight w:val="none"/>
                <w:lang w:val="en-US" w:eastAsia="zh-CN"/>
              </w:rPr>
              <w:t>包括</w:t>
            </w:r>
            <w:r>
              <w:rPr>
                <w:rFonts w:hint="eastAsia" w:asciiTheme="minorEastAsia" w:hAnsiTheme="minorEastAsia" w:eastAsiaTheme="minorEastAsia" w:cstheme="minorEastAsia"/>
                <w:color w:val="auto"/>
                <w:kern w:val="0"/>
                <w:sz w:val="24"/>
                <w:szCs w:val="24"/>
                <w:highlight w:val="none"/>
              </w:rPr>
              <w:t>弹窗、语音、短信等方式，并可以统计督办次数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支持</w:t>
            </w: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按时间、关键词、编号等字段进行检索和列表展示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支持</w:t>
            </w: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eastAsia="zh-CN"/>
              </w:rPr>
              <w:t>工作信息流</w:t>
            </w:r>
            <w:r>
              <w:rPr>
                <w:rFonts w:hint="eastAsia" w:asciiTheme="minorEastAsia" w:hAnsiTheme="minorEastAsia" w:eastAsiaTheme="minorEastAsia" w:cstheme="minorEastAsia"/>
                <w:color w:val="auto"/>
                <w:kern w:val="0"/>
                <w:sz w:val="24"/>
                <w:szCs w:val="24"/>
                <w:highlight w:val="none"/>
              </w:rPr>
              <w:t>按照数量、类型、反馈情况、处置效果等进行统计和图表分析。</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4D2DBD1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0391234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55E531B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C5E336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shd w:val="clear" w:color="auto" w:fill="auto"/>
              </w:rPr>
              <w:t>3</w:t>
            </w:r>
          </w:p>
        </w:tc>
        <w:tc>
          <w:tcPr>
            <w:tcW w:w="685" w:type="pct"/>
            <w:tcBorders>
              <w:top w:val="nil"/>
              <w:left w:val="nil"/>
              <w:bottom w:val="single" w:color="auto" w:sz="4" w:space="0"/>
              <w:right w:val="single" w:color="auto" w:sz="4" w:space="0"/>
            </w:tcBorders>
            <w:noWrap w:val="0"/>
            <w:vAlign w:val="center"/>
          </w:tcPr>
          <w:p w14:paraId="288F9B0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系统管理软件</w:t>
            </w:r>
          </w:p>
        </w:tc>
        <w:tc>
          <w:tcPr>
            <w:tcW w:w="3000" w:type="pct"/>
            <w:tcBorders>
              <w:top w:val="nil"/>
              <w:left w:val="nil"/>
              <w:bottom w:val="single" w:color="auto" w:sz="4" w:space="0"/>
              <w:right w:val="single" w:color="auto" w:sz="4" w:space="0"/>
            </w:tcBorders>
            <w:noWrap/>
            <w:vAlign w:val="center"/>
          </w:tcPr>
          <w:p w14:paraId="1684FAF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系统管理子系统根据不同用户实际业务需要，统一对系统进行权限管理和配置。系统管理员账号可以开设、注销系统用户账号，以及给系统用户账号分配系统权限。对系统涉及的业务权限进行组织、划分，按照系统安全规范要求对系统功能和业务数据进行权限管理和访问控制。根据本项目涉及的用户特点和业务需要，权限管理系统将实现机构管理、角色管理、用户管理和权限管理等功能。</w:t>
            </w:r>
            <w:r>
              <w:rPr>
                <w:rFonts w:hint="eastAsia" w:asciiTheme="minorEastAsia" w:hAnsiTheme="minorEastAsia" w:eastAsiaTheme="minorEastAsia" w:cstheme="minorEastAsia"/>
                <w:color w:val="auto"/>
                <w:sz w:val="24"/>
                <w:szCs w:val="24"/>
                <w:highlight w:val="none"/>
                <w:lang w:val="en-US" w:eastAsia="zh-CN"/>
              </w:rPr>
              <w:t>须实现本地私有化部署。</w:t>
            </w:r>
          </w:p>
        </w:tc>
        <w:tc>
          <w:tcPr>
            <w:tcW w:w="369" w:type="pct"/>
            <w:tcBorders>
              <w:top w:val="nil"/>
              <w:left w:val="nil"/>
              <w:bottom w:val="single" w:color="auto" w:sz="4" w:space="0"/>
              <w:right w:val="single" w:color="auto" w:sz="4" w:space="0"/>
            </w:tcBorders>
            <w:noWrap w:val="0"/>
            <w:vAlign w:val="center"/>
          </w:tcPr>
          <w:p w14:paraId="5F0A2DB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030B0A3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0F4692F">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0B98EA6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四</w:t>
            </w:r>
          </w:p>
        </w:tc>
        <w:tc>
          <w:tcPr>
            <w:tcW w:w="685" w:type="pct"/>
            <w:tcBorders>
              <w:top w:val="nil"/>
              <w:left w:val="nil"/>
              <w:bottom w:val="single" w:color="auto" w:sz="4" w:space="0"/>
              <w:right w:val="single" w:color="auto" w:sz="4" w:space="0"/>
            </w:tcBorders>
            <w:noWrap w:val="0"/>
            <w:vAlign w:val="center"/>
          </w:tcPr>
          <w:p w14:paraId="05A0492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运行维护系统</w:t>
            </w:r>
          </w:p>
        </w:tc>
        <w:tc>
          <w:tcPr>
            <w:tcW w:w="3000" w:type="pct"/>
            <w:tcBorders>
              <w:top w:val="nil"/>
              <w:left w:val="nil"/>
              <w:bottom w:val="single" w:color="auto" w:sz="4" w:space="0"/>
              <w:right w:val="single" w:color="auto" w:sz="4" w:space="0"/>
            </w:tcBorders>
            <w:noWrap/>
            <w:vAlign w:val="center"/>
          </w:tcPr>
          <w:p w14:paraId="5E32FF6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0522890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3CFB159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7E36360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1A571A39">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（一）</w:t>
            </w:r>
          </w:p>
        </w:tc>
        <w:tc>
          <w:tcPr>
            <w:tcW w:w="685" w:type="pct"/>
            <w:tcBorders>
              <w:top w:val="nil"/>
              <w:left w:val="nil"/>
              <w:bottom w:val="single" w:color="auto" w:sz="4" w:space="0"/>
              <w:right w:val="single" w:color="auto" w:sz="4" w:space="0"/>
            </w:tcBorders>
            <w:noWrap w:val="0"/>
            <w:vAlign w:val="center"/>
          </w:tcPr>
          <w:p w14:paraId="22FCF4F9">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硬件</w:t>
            </w:r>
          </w:p>
        </w:tc>
        <w:tc>
          <w:tcPr>
            <w:tcW w:w="3000" w:type="pct"/>
            <w:tcBorders>
              <w:top w:val="nil"/>
              <w:left w:val="nil"/>
              <w:bottom w:val="single" w:color="auto" w:sz="4" w:space="0"/>
              <w:right w:val="single" w:color="auto" w:sz="4" w:space="0"/>
            </w:tcBorders>
            <w:noWrap/>
            <w:vAlign w:val="center"/>
          </w:tcPr>
          <w:p w14:paraId="7FC33D6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7CCA6EB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050DA40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3C7404B3">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46F4898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noWrap w:val="0"/>
            <w:vAlign w:val="center"/>
          </w:tcPr>
          <w:p w14:paraId="359557D5">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交换机</w:t>
            </w:r>
            <w:r>
              <w:rPr>
                <w:rFonts w:hint="eastAsia" w:asciiTheme="minorEastAsia" w:hAnsiTheme="minorEastAsia" w:eastAsiaTheme="minorEastAsia" w:cstheme="minorEastAsia"/>
                <w:color w:val="auto"/>
                <w:kern w:val="0"/>
                <w:sz w:val="24"/>
                <w:szCs w:val="24"/>
                <w:highlight w:val="none"/>
                <w:lang w:val="en-US" w:eastAsia="zh-CN"/>
              </w:rPr>
              <w:t>1</w:t>
            </w:r>
          </w:p>
        </w:tc>
        <w:tc>
          <w:tcPr>
            <w:tcW w:w="3000" w:type="pct"/>
            <w:tcBorders>
              <w:top w:val="nil"/>
              <w:left w:val="nil"/>
              <w:bottom w:val="single" w:color="auto" w:sz="4" w:space="0"/>
              <w:right w:val="single" w:color="auto" w:sz="4" w:space="0"/>
            </w:tcBorders>
            <w:noWrap/>
            <w:vAlign w:val="center"/>
          </w:tcPr>
          <w:p w14:paraId="3097E02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1、性能要求：交换容量≥430Gbps；包转发率≥160Mpps；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2、端口要求：4个千兆万兆自适应光口（满配万兆多模光模块）；48口100M/1000M自适应以太网电口；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3、支持IPv4静态路由、RIP V1/V2、OSPF；</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4、支持IPv6静态路由、RIPng；</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5、国产设备，CPU等关键部件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6、220V交流冗余电源。</w:t>
            </w:r>
          </w:p>
          <w:p w14:paraId="24544DAA">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7、实时流量转发性能不低于125Gbps。</w:t>
            </w:r>
          </w:p>
        </w:tc>
        <w:tc>
          <w:tcPr>
            <w:tcW w:w="369" w:type="pct"/>
            <w:tcBorders>
              <w:top w:val="nil"/>
              <w:left w:val="nil"/>
              <w:bottom w:val="single" w:color="auto" w:sz="4" w:space="0"/>
              <w:right w:val="single" w:color="auto" w:sz="4" w:space="0"/>
            </w:tcBorders>
            <w:noWrap w:val="0"/>
            <w:vAlign w:val="center"/>
          </w:tcPr>
          <w:p w14:paraId="471DF46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2CB4F77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90F031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7DF1A13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noWrap w:val="0"/>
            <w:vAlign w:val="center"/>
          </w:tcPr>
          <w:p w14:paraId="542F737A">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交换机</w:t>
            </w:r>
            <w:r>
              <w:rPr>
                <w:rFonts w:hint="eastAsia" w:asciiTheme="minorEastAsia" w:hAnsiTheme="minorEastAsia" w:eastAsiaTheme="minorEastAsia" w:cstheme="minorEastAsia"/>
                <w:color w:val="auto"/>
                <w:kern w:val="0"/>
                <w:sz w:val="24"/>
                <w:szCs w:val="24"/>
                <w:highlight w:val="none"/>
                <w:lang w:val="en-US" w:eastAsia="zh-CN"/>
              </w:rPr>
              <w:t>2</w:t>
            </w:r>
          </w:p>
        </w:tc>
        <w:tc>
          <w:tcPr>
            <w:tcW w:w="3000" w:type="pct"/>
            <w:tcBorders>
              <w:top w:val="nil"/>
              <w:left w:val="nil"/>
              <w:bottom w:val="single" w:color="auto" w:sz="4" w:space="0"/>
              <w:right w:val="single" w:color="auto" w:sz="4" w:space="0"/>
            </w:tcBorders>
            <w:noWrap/>
            <w:vAlign w:val="center"/>
          </w:tcPr>
          <w:p w14:paraId="2CE8900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1、性能要求：交换容量≥430Gbps；包转发率≥160Mpps；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2、端口要求：4个千兆万兆自适应光口（满配万兆多模光模块）；48口100M/1000M自适应以太网电口；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3、支持IPv4静态路由、RIP V1/V2、OSPF；</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4、支持IPv6静态路由、RIPng；</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5、国产设备，CPU等关键部件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6、220V交流冗余电源。</w:t>
            </w:r>
          </w:p>
          <w:p w14:paraId="18EE064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7、实时流量转发性能不低于125Gbps。</w:t>
            </w:r>
          </w:p>
        </w:tc>
        <w:tc>
          <w:tcPr>
            <w:tcW w:w="369" w:type="pct"/>
            <w:tcBorders>
              <w:top w:val="nil"/>
              <w:left w:val="nil"/>
              <w:bottom w:val="single" w:color="auto" w:sz="4" w:space="0"/>
              <w:right w:val="single" w:color="auto" w:sz="4" w:space="0"/>
            </w:tcBorders>
            <w:noWrap w:val="0"/>
            <w:vAlign w:val="center"/>
          </w:tcPr>
          <w:p w14:paraId="7FFCFCC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2153301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159D928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082E157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85" w:type="pct"/>
            <w:tcBorders>
              <w:top w:val="nil"/>
              <w:left w:val="nil"/>
              <w:bottom w:val="single" w:color="auto" w:sz="4" w:space="0"/>
              <w:right w:val="single" w:color="auto" w:sz="4" w:space="0"/>
            </w:tcBorders>
            <w:noWrap w:val="0"/>
            <w:vAlign w:val="center"/>
          </w:tcPr>
          <w:p w14:paraId="30235BCB">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交换机</w:t>
            </w:r>
            <w:r>
              <w:rPr>
                <w:rFonts w:hint="eastAsia" w:asciiTheme="minorEastAsia" w:hAnsiTheme="minorEastAsia" w:eastAsiaTheme="minorEastAsia" w:cstheme="minorEastAsia"/>
                <w:color w:val="auto"/>
                <w:kern w:val="0"/>
                <w:sz w:val="24"/>
                <w:szCs w:val="24"/>
                <w:highlight w:val="none"/>
                <w:lang w:val="en-US" w:eastAsia="zh-CN"/>
              </w:rPr>
              <w:t>3</w:t>
            </w:r>
          </w:p>
        </w:tc>
        <w:tc>
          <w:tcPr>
            <w:tcW w:w="3000" w:type="pct"/>
            <w:tcBorders>
              <w:top w:val="nil"/>
              <w:left w:val="nil"/>
              <w:bottom w:val="single" w:color="auto" w:sz="4" w:space="0"/>
              <w:right w:val="single" w:color="auto" w:sz="4" w:space="0"/>
            </w:tcBorders>
            <w:noWrap/>
            <w:vAlign w:val="center"/>
          </w:tcPr>
          <w:p w14:paraId="78DCD61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1、性能要求：交换容量≥430Gbps；包转发率≥160Mpps；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2、端口要求：4个千兆万兆自适应光口（满配万兆多模光模块）；48口100M/1000M自适应以太网电口；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3、支持IPv4静态路由、RIP V1/V2、OSPF；</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4、支持IPv6静态路由、RIPng；</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5、国产设备，CPU等关键部件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6、220V交流冗余电源。</w:t>
            </w:r>
          </w:p>
          <w:p w14:paraId="5C973A1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7、按照满足未来三年的互联网峰值流量5.5Gbps进行设备配置，该交换机的实时流量转发性能不低于105Gbps</w:t>
            </w:r>
          </w:p>
        </w:tc>
        <w:tc>
          <w:tcPr>
            <w:tcW w:w="369" w:type="pct"/>
            <w:tcBorders>
              <w:top w:val="nil"/>
              <w:left w:val="nil"/>
              <w:bottom w:val="single" w:color="auto" w:sz="4" w:space="0"/>
              <w:right w:val="single" w:color="auto" w:sz="4" w:space="0"/>
            </w:tcBorders>
            <w:noWrap w:val="0"/>
            <w:vAlign w:val="center"/>
          </w:tcPr>
          <w:p w14:paraId="1335978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4FB0079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4AAC925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366F52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685" w:type="pct"/>
            <w:tcBorders>
              <w:top w:val="nil"/>
              <w:left w:val="nil"/>
              <w:bottom w:val="single" w:color="auto" w:sz="4" w:space="0"/>
              <w:right w:val="single" w:color="auto" w:sz="4" w:space="0"/>
            </w:tcBorders>
            <w:noWrap w:val="0"/>
            <w:vAlign w:val="center"/>
          </w:tcPr>
          <w:p w14:paraId="577BFC4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维护终端（台式机）</w:t>
            </w:r>
          </w:p>
        </w:tc>
        <w:tc>
          <w:tcPr>
            <w:tcW w:w="3000" w:type="pct"/>
            <w:tcBorders>
              <w:top w:val="nil"/>
              <w:left w:val="nil"/>
              <w:bottom w:val="single" w:color="auto" w:sz="4" w:space="0"/>
              <w:right w:val="single" w:color="auto" w:sz="4" w:space="0"/>
            </w:tcBorders>
            <w:noWrap/>
            <w:vAlign w:val="center"/>
          </w:tcPr>
          <w:p w14:paraId="42D9797B">
            <w:pPr>
              <w:widowControl/>
              <w:spacing w:line="24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设备必须满足财政部、工业和信息化部《关于印发〈台式计算机政府采购需求标准（2023年版）〉的通知》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29</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中加“*”的指标。其中</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内存不低于8GB，硬盘不低于256GB，不低于23.8英寸显示器，千兆网卡。含操作系统和WPS专业版办公软件</w:t>
            </w:r>
            <w:r>
              <w:rPr>
                <w:rFonts w:hint="eastAsia" w:asciiTheme="minorEastAsia" w:hAnsiTheme="minorEastAsia" w:eastAsiaTheme="minorEastAsia" w:cstheme="minorEastAsia"/>
                <w:color w:val="auto"/>
                <w:kern w:val="0"/>
                <w:sz w:val="24"/>
                <w:szCs w:val="24"/>
                <w:highlight w:val="none"/>
                <w:lang w:val="en-US" w:eastAsia="zh-CN"/>
              </w:rPr>
              <w:t>，操作系统必须满足</w:t>
            </w:r>
            <w:r>
              <w:rPr>
                <w:rFonts w:hint="eastAsia" w:asciiTheme="minorEastAsia" w:hAnsiTheme="minorEastAsia" w:eastAsiaTheme="minorEastAsia" w:cstheme="minorEastAsia"/>
                <w:color w:val="auto"/>
                <w:kern w:val="0"/>
                <w:sz w:val="24"/>
                <w:szCs w:val="24"/>
                <w:highlight w:val="none"/>
              </w:rPr>
              <w:t>财政部、工业和信息化部《关于印发〈操作系统政府采购需求标准（2023年版）〉的通知》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r>
              <w:rPr>
                <w:rFonts w:hint="eastAsia" w:asciiTheme="minorEastAsia" w:hAnsiTheme="minorEastAsia" w:eastAsiaTheme="minorEastAsia" w:cstheme="minorEastAsia"/>
                <w:color w:val="auto"/>
                <w:kern w:val="0"/>
                <w:sz w:val="24"/>
                <w:szCs w:val="24"/>
                <w:highlight w:val="none"/>
                <w:lang w:eastAsia="zh-CN"/>
              </w:rPr>
              <w:t>。</w:t>
            </w:r>
          </w:p>
        </w:tc>
        <w:tc>
          <w:tcPr>
            <w:tcW w:w="369" w:type="pct"/>
            <w:tcBorders>
              <w:top w:val="nil"/>
              <w:left w:val="nil"/>
              <w:bottom w:val="single" w:color="auto" w:sz="4" w:space="0"/>
              <w:right w:val="single" w:color="auto" w:sz="4" w:space="0"/>
            </w:tcBorders>
            <w:noWrap w:val="0"/>
            <w:vAlign w:val="center"/>
          </w:tcPr>
          <w:p w14:paraId="6FF8775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7B7A065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5C912DEB">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2F2B8D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685" w:type="pct"/>
            <w:tcBorders>
              <w:top w:val="nil"/>
              <w:left w:val="nil"/>
              <w:bottom w:val="single" w:color="auto" w:sz="4" w:space="0"/>
              <w:right w:val="single" w:color="auto" w:sz="4" w:space="0"/>
            </w:tcBorders>
            <w:noWrap w:val="0"/>
            <w:vAlign w:val="center"/>
          </w:tcPr>
          <w:p w14:paraId="7C352EF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维护终端（笔记本）</w:t>
            </w:r>
          </w:p>
        </w:tc>
        <w:tc>
          <w:tcPr>
            <w:tcW w:w="3000" w:type="pct"/>
            <w:tcBorders>
              <w:top w:val="nil"/>
              <w:left w:val="nil"/>
              <w:bottom w:val="single" w:color="auto" w:sz="4" w:space="0"/>
              <w:right w:val="single" w:color="auto" w:sz="4" w:space="0"/>
            </w:tcBorders>
            <w:noWrap/>
            <w:vAlign w:val="center"/>
          </w:tcPr>
          <w:p w14:paraId="6410870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设备必须满足财政部、工业和信息化部《关于印发〈便携式计算机政府采购需求标准（2023年版）〉的通知》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r>
              <w:rPr>
                <w:rFonts w:hint="eastAsia" w:asciiTheme="minorEastAsia" w:hAnsiTheme="minorEastAsia" w:eastAsiaTheme="minorEastAsia" w:cstheme="minorEastAsia"/>
                <w:color w:val="auto"/>
                <w:kern w:val="0"/>
                <w:sz w:val="24"/>
                <w:szCs w:val="24"/>
                <w:highlight w:val="none"/>
                <w:lang w:val="en-US" w:eastAsia="zh-CN"/>
              </w:rPr>
              <w:t>其中：</w:t>
            </w:r>
            <w:r>
              <w:rPr>
                <w:rFonts w:hint="eastAsia" w:asciiTheme="minorEastAsia" w:hAnsiTheme="minorEastAsia" w:eastAsiaTheme="minorEastAsia" w:cstheme="minorEastAsia"/>
                <w:color w:val="auto"/>
                <w:kern w:val="0"/>
                <w:sz w:val="24"/>
                <w:szCs w:val="24"/>
                <w:highlight w:val="none"/>
              </w:rPr>
              <w:t>内存不低于8GB，硬盘不低于256GB，不低于14英寸显示器，千兆网卡。含操作系统和WPS专业版办公软件</w:t>
            </w:r>
            <w:r>
              <w:rPr>
                <w:rFonts w:hint="eastAsia" w:asciiTheme="minorEastAsia" w:hAnsiTheme="minorEastAsia" w:eastAsiaTheme="minorEastAsia" w:cstheme="minorEastAsia"/>
                <w:color w:val="auto"/>
                <w:kern w:val="0"/>
                <w:sz w:val="24"/>
                <w:szCs w:val="24"/>
                <w:highlight w:val="none"/>
                <w:lang w:val="en-US" w:eastAsia="zh-CN"/>
              </w:rPr>
              <w:t>，操作系统必须满足</w:t>
            </w:r>
            <w:r>
              <w:rPr>
                <w:rFonts w:hint="eastAsia" w:asciiTheme="minorEastAsia" w:hAnsiTheme="minorEastAsia" w:eastAsiaTheme="minorEastAsia" w:cstheme="minorEastAsia"/>
                <w:color w:val="auto"/>
                <w:kern w:val="0"/>
                <w:sz w:val="24"/>
                <w:szCs w:val="24"/>
                <w:highlight w:val="none"/>
              </w:rPr>
              <w:t>财政部、工业和信息化部《关于印发〈操作系统政府采购需求标准（2023年版）〉的通知》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p>
        </w:tc>
        <w:tc>
          <w:tcPr>
            <w:tcW w:w="369" w:type="pct"/>
            <w:tcBorders>
              <w:top w:val="nil"/>
              <w:left w:val="nil"/>
              <w:bottom w:val="single" w:color="auto" w:sz="4" w:space="0"/>
              <w:right w:val="single" w:color="auto" w:sz="4" w:space="0"/>
            </w:tcBorders>
            <w:noWrap w:val="0"/>
            <w:vAlign w:val="center"/>
          </w:tcPr>
          <w:p w14:paraId="2FCD55D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783723A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2 </w:t>
            </w:r>
          </w:p>
        </w:tc>
      </w:tr>
      <w:tr w14:paraId="1E4A574C">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251FBEB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685" w:type="pct"/>
            <w:tcBorders>
              <w:top w:val="nil"/>
              <w:left w:val="nil"/>
              <w:bottom w:val="single" w:color="auto" w:sz="4" w:space="0"/>
              <w:right w:val="single" w:color="auto" w:sz="4" w:space="0"/>
            </w:tcBorders>
            <w:noWrap w:val="0"/>
            <w:vAlign w:val="center"/>
          </w:tcPr>
          <w:p w14:paraId="0D027A6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维护终端（一体机）</w:t>
            </w:r>
          </w:p>
        </w:tc>
        <w:tc>
          <w:tcPr>
            <w:tcW w:w="3000" w:type="pct"/>
            <w:tcBorders>
              <w:top w:val="nil"/>
              <w:left w:val="nil"/>
              <w:bottom w:val="single" w:color="auto" w:sz="4" w:space="0"/>
              <w:right w:val="single" w:color="auto" w:sz="4" w:space="0"/>
            </w:tcBorders>
            <w:noWrap/>
            <w:vAlign w:val="center"/>
          </w:tcPr>
          <w:p w14:paraId="58B0DD1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设备必须满足财政部、工业和信息化部《关于印发〈一体式计算机政府采购需求标准（2023年版）〉的通知》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31</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r>
              <w:rPr>
                <w:rFonts w:hint="eastAsia" w:asciiTheme="minorEastAsia" w:hAnsiTheme="minorEastAsia" w:eastAsiaTheme="minorEastAsia" w:cstheme="minorEastAsia"/>
                <w:color w:val="auto"/>
                <w:kern w:val="0"/>
                <w:sz w:val="24"/>
                <w:szCs w:val="24"/>
                <w:highlight w:val="none"/>
                <w:lang w:val="en-US" w:eastAsia="zh-CN"/>
              </w:rPr>
              <w:t>其中：</w:t>
            </w:r>
            <w:r>
              <w:rPr>
                <w:rFonts w:hint="eastAsia" w:asciiTheme="minorEastAsia" w:hAnsiTheme="minorEastAsia" w:eastAsiaTheme="minorEastAsia" w:cstheme="minorEastAsia"/>
                <w:color w:val="auto"/>
                <w:kern w:val="0"/>
                <w:sz w:val="24"/>
                <w:szCs w:val="24"/>
                <w:highlight w:val="none"/>
              </w:rPr>
              <w:t>内存不低于8GB，硬盘不低于256GB，不低于23.8英寸显示器，千兆网卡。含操作系统和WPS专业版办公软件</w:t>
            </w:r>
            <w:r>
              <w:rPr>
                <w:rFonts w:hint="eastAsia" w:asciiTheme="minorEastAsia" w:hAnsiTheme="minorEastAsia" w:eastAsiaTheme="minorEastAsia" w:cstheme="minorEastAsia"/>
                <w:color w:val="auto"/>
                <w:kern w:val="0"/>
                <w:sz w:val="24"/>
                <w:szCs w:val="24"/>
                <w:highlight w:val="none"/>
                <w:lang w:val="en-US" w:eastAsia="zh-CN"/>
              </w:rPr>
              <w:t>，操作系统必须满足</w:t>
            </w:r>
            <w:r>
              <w:rPr>
                <w:rFonts w:hint="eastAsia" w:asciiTheme="minorEastAsia" w:hAnsiTheme="minorEastAsia" w:eastAsiaTheme="minorEastAsia" w:cstheme="minorEastAsia"/>
                <w:color w:val="auto"/>
                <w:kern w:val="0"/>
                <w:sz w:val="24"/>
                <w:szCs w:val="24"/>
                <w:highlight w:val="none"/>
              </w:rPr>
              <w:t>财政部、工业和信息化部《关于印发〈操作系统政府采购需求标准（2023年版）〉的通知》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p>
        </w:tc>
        <w:tc>
          <w:tcPr>
            <w:tcW w:w="369" w:type="pct"/>
            <w:tcBorders>
              <w:top w:val="nil"/>
              <w:left w:val="nil"/>
              <w:bottom w:val="single" w:color="auto" w:sz="4" w:space="0"/>
              <w:right w:val="single" w:color="auto" w:sz="4" w:space="0"/>
            </w:tcBorders>
            <w:noWrap w:val="0"/>
            <w:vAlign w:val="center"/>
          </w:tcPr>
          <w:p w14:paraId="7CD42E7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0191958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5 </w:t>
            </w:r>
          </w:p>
        </w:tc>
      </w:tr>
      <w:tr w14:paraId="681A6297">
        <w:tblPrEx>
          <w:tblCellMar>
            <w:top w:w="0" w:type="dxa"/>
            <w:left w:w="108" w:type="dxa"/>
            <w:bottom w:w="0" w:type="dxa"/>
            <w:right w:w="108" w:type="dxa"/>
          </w:tblCellMar>
        </w:tblPrEx>
        <w:trPr>
          <w:trHeight w:val="255" w:hRule="atLeast"/>
        </w:trPr>
        <w:tc>
          <w:tcPr>
            <w:tcW w:w="461" w:type="pct"/>
            <w:tcBorders>
              <w:top w:val="nil"/>
              <w:left w:val="single" w:color="auto" w:sz="4" w:space="0"/>
              <w:bottom w:val="single" w:color="auto" w:sz="4" w:space="0"/>
              <w:right w:val="single" w:color="auto" w:sz="4" w:space="0"/>
            </w:tcBorders>
            <w:noWrap w:val="0"/>
            <w:vAlign w:val="center"/>
          </w:tcPr>
          <w:p w14:paraId="3A4D363D">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（二）</w:t>
            </w:r>
          </w:p>
        </w:tc>
        <w:tc>
          <w:tcPr>
            <w:tcW w:w="685" w:type="pct"/>
            <w:tcBorders>
              <w:top w:val="nil"/>
              <w:left w:val="nil"/>
              <w:bottom w:val="single" w:color="auto" w:sz="4" w:space="0"/>
              <w:right w:val="single" w:color="auto" w:sz="4" w:space="0"/>
            </w:tcBorders>
            <w:noWrap w:val="0"/>
            <w:vAlign w:val="center"/>
          </w:tcPr>
          <w:p w14:paraId="0123C83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软件</w:t>
            </w:r>
          </w:p>
        </w:tc>
        <w:tc>
          <w:tcPr>
            <w:tcW w:w="3000" w:type="pct"/>
            <w:tcBorders>
              <w:top w:val="nil"/>
              <w:left w:val="nil"/>
              <w:bottom w:val="single" w:color="auto" w:sz="4" w:space="0"/>
              <w:right w:val="single" w:color="auto" w:sz="4" w:space="0"/>
            </w:tcBorders>
            <w:noWrap/>
            <w:vAlign w:val="center"/>
          </w:tcPr>
          <w:p w14:paraId="523B3B5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2BC47F7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2BF93CB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7908D4D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08179E5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685" w:type="pct"/>
            <w:tcBorders>
              <w:top w:val="nil"/>
              <w:left w:val="nil"/>
              <w:bottom w:val="single" w:color="auto" w:sz="4" w:space="0"/>
              <w:right w:val="single" w:color="auto" w:sz="4" w:space="0"/>
            </w:tcBorders>
            <w:noWrap w:val="0"/>
            <w:vAlign w:val="center"/>
          </w:tcPr>
          <w:p w14:paraId="0B76BB1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网络管理软件</w:t>
            </w:r>
          </w:p>
        </w:tc>
        <w:tc>
          <w:tcPr>
            <w:tcW w:w="3000" w:type="pct"/>
            <w:tcBorders>
              <w:top w:val="nil"/>
              <w:left w:val="nil"/>
              <w:bottom w:val="single" w:color="auto" w:sz="4" w:space="0"/>
              <w:right w:val="single" w:color="auto" w:sz="4" w:space="0"/>
            </w:tcBorders>
            <w:noWrap/>
            <w:vAlign w:val="center"/>
          </w:tcPr>
          <w:p w14:paraId="7B7C0B0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网络管理子系统主要包括数据管理、集中监控、综合网管等功能，具体如下：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（1）数据管理功能：为网管子系统提供统一的存储，并为各类数据的关联分析以等提供必要手段。</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（2）集中监控功能：实现业务系统运行状态的全面监测、业务系统运行异常的及时发现和告警。为维护人员开展系统监测、故障处理和优化分析等维护工作提供有力支撑。</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（3）综合网管功能：提供系统运行状态等网管信息的综合展示。</w:t>
            </w:r>
          </w:p>
        </w:tc>
        <w:tc>
          <w:tcPr>
            <w:tcW w:w="369" w:type="pct"/>
            <w:tcBorders>
              <w:top w:val="nil"/>
              <w:left w:val="nil"/>
              <w:bottom w:val="single" w:color="auto" w:sz="4" w:space="0"/>
              <w:right w:val="single" w:color="auto" w:sz="4" w:space="0"/>
            </w:tcBorders>
            <w:noWrap w:val="0"/>
            <w:vAlign w:val="center"/>
          </w:tcPr>
          <w:p w14:paraId="19F61BB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45E6FAB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3CD42941">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392D9C1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685" w:type="pct"/>
            <w:tcBorders>
              <w:top w:val="nil"/>
              <w:left w:val="nil"/>
              <w:bottom w:val="single" w:color="auto" w:sz="4" w:space="0"/>
              <w:right w:val="single" w:color="auto" w:sz="4" w:space="0"/>
            </w:tcBorders>
            <w:noWrap w:val="0"/>
            <w:vAlign w:val="center"/>
          </w:tcPr>
          <w:p w14:paraId="2278192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数据库软件</w:t>
            </w:r>
          </w:p>
        </w:tc>
        <w:tc>
          <w:tcPr>
            <w:tcW w:w="3000" w:type="pct"/>
            <w:tcBorders>
              <w:top w:val="nil"/>
              <w:left w:val="nil"/>
              <w:bottom w:val="single" w:color="auto" w:sz="4" w:space="0"/>
              <w:right w:val="single" w:color="auto" w:sz="4" w:space="0"/>
            </w:tcBorders>
            <w:noWrap/>
            <w:vAlign w:val="center"/>
          </w:tcPr>
          <w:p w14:paraId="7002506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1、必须满足财政部、工业和信息化部《关于印发〈数据库政府采购需求标准（2023年版）〉的通知》（财库〔2023〕</w:t>
            </w:r>
            <w:r>
              <w:rPr>
                <w:rFonts w:hint="eastAsia" w:asciiTheme="minorEastAsia" w:hAnsiTheme="minorEastAsia" w:eastAsiaTheme="minorEastAsia" w:cstheme="minorEastAsia"/>
                <w:color w:val="auto"/>
                <w:kern w:val="0"/>
                <w:sz w:val="24"/>
                <w:szCs w:val="24"/>
                <w:highlight w:val="none"/>
                <w:lang w:val="en-US" w:eastAsia="zh-CN"/>
              </w:rPr>
              <w:t>35</w:t>
            </w:r>
            <w:r>
              <w:rPr>
                <w:rFonts w:hint="eastAsia" w:asciiTheme="minorEastAsia" w:hAnsiTheme="minorEastAsia" w:eastAsiaTheme="minorEastAsia" w:cstheme="minorEastAsia"/>
                <w:color w:val="auto"/>
                <w:kern w:val="0"/>
                <w:sz w:val="24"/>
                <w:szCs w:val="24"/>
                <w:highlight w:val="none"/>
              </w:rPr>
              <w:t>号）中加“*”的指标。能与本项目其他设备兼容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具备数据存储、访问控制、身份鉴别、安全审计和数据备份恢复等功能。软件部署在服务器，以后台服务形式运行，数据库管理员及用户在管理主机上通过图形化管理工具或命令行工具可实现对数据对象（表、视图、约束、索引、触发器、存储过程等）的配置管理。可通过标准化数据库访问接口，开发基于数据库的应用系统和软件产品。</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3、符合GB/T 30994-2014《关系数据库管理系统检测规范》、GB/T 28821-2012《关系数据管理系统技术要求》和基础通用产品集群版数据库管理系统测试规范的要求。</w:t>
            </w:r>
          </w:p>
        </w:tc>
        <w:tc>
          <w:tcPr>
            <w:tcW w:w="369" w:type="pct"/>
            <w:tcBorders>
              <w:top w:val="nil"/>
              <w:left w:val="nil"/>
              <w:bottom w:val="single" w:color="auto" w:sz="4" w:space="0"/>
              <w:right w:val="single" w:color="auto" w:sz="4" w:space="0"/>
            </w:tcBorders>
            <w:noWrap w:val="0"/>
            <w:vAlign w:val="center"/>
          </w:tcPr>
          <w:p w14:paraId="58150FF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156D568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5 </w:t>
            </w:r>
          </w:p>
        </w:tc>
      </w:tr>
      <w:tr w14:paraId="347B29A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CD6216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685" w:type="pct"/>
            <w:tcBorders>
              <w:top w:val="nil"/>
              <w:left w:val="nil"/>
              <w:bottom w:val="single" w:color="auto" w:sz="4" w:space="0"/>
              <w:right w:val="single" w:color="auto" w:sz="4" w:space="0"/>
            </w:tcBorders>
            <w:noWrap w:val="0"/>
            <w:vAlign w:val="center"/>
          </w:tcPr>
          <w:p w14:paraId="7D6D7BF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Web应用中间件</w:t>
            </w:r>
          </w:p>
        </w:tc>
        <w:tc>
          <w:tcPr>
            <w:tcW w:w="3000" w:type="pct"/>
            <w:tcBorders>
              <w:top w:val="nil"/>
              <w:left w:val="nil"/>
              <w:bottom w:val="single" w:color="auto" w:sz="4" w:space="0"/>
              <w:right w:val="single" w:color="auto" w:sz="4" w:space="0"/>
            </w:tcBorders>
            <w:noWrap/>
            <w:vAlign w:val="center"/>
          </w:tcPr>
          <w:p w14:paraId="6A66B00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国产</w:t>
            </w:r>
            <w:r>
              <w:rPr>
                <w:rFonts w:hint="eastAsia" w:asciiTheme="minorEastAsia" w:hAnsiTheme="minorEastAsia" w:eastAsiaTheme="minorEastAsia" w:cstheme="minorEastAsia"/>
                <w:color w:val="auto"/>
                <w:kern w:val="0"/>
                <w:sz w:val="24"/>
                <w:szCs w:val="24"/>
                <w:highlight w:val="none"/>
              </w:rPr>
              <w:t>Web应用中间件软件。能与本项目其他设备兼容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具备中间件的基本功能，包括数据库连接服务、应用部署、虚拟主机、第三方Web服务器连接、管理工具、日志审计等功能，满足高性能、高并发的能力，具备可靠性、易恢复性、易监控性、易维护性的特点，为应用提供安全、高效、稳定的基础支撑环境。</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3、符合基础通用产品Web应用中间件测试规范的要求。</w:t>
            </w:r>
          </w:p>
        </w:tc>
        <w:tc>
          <w:tcPr>
            <w:tcW w:w="369" w:type="pct"/>
            <w:tcBorders>
              <w:top w:val="nil"/>
              <w:left w:val="nil"/>
              <w:bottom w:val="single" w:color="auto" w:sz="4" w:space="0"/>
              <w:right w:val="single" w:color="auto" w:sz="4" w:space="0"/>
            </w:tcBorders>
            <w:noWrap w:val="0"/>
            <w:vAlign w:val="center"/>
          </w:tcPr>
          <w:p w14:paraId="0B89695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777B813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4 </w:t>
            </w:r>
          </w:p>
        </w:tc>
      </w:tr>
      <w:tr w14:paraId="7F346F4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1782B5E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685" w:type="pct"/>
            <w:tcBorders>
              <w:top w:val="nil"/>
              <w:left w:val="nil"/>
              <w:bottom w:val="single" w:color="auto" w:sz="4" w:space="0"/>
              <w:right w:val="single" w:color="auto" w:sz="4" w:space="0"/>
            </w:tcBorders>
            <w:noWrap w:val="0"/>
            <w:vAlign w:val="center"/>
          </w:tcPr>
          <w:p w14:paraId="59F7F40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操作系统</w:t>
            </w:r>
          </w:p>
        </w:tc>
        <w:tc>
          <w:tcPr>
            <w:tcW w:w="3000" w:type="pct"/>
            <w:tcBorders>
              <w:top w:val="nil"/>
              <w:left w:val="nil"/>
              <w:bottom w:val="single" w:color="auto" w:sz="4" w:space="0"/>
              <w:right w:val="single" w:color="auto" w:sz="4" w:space="0"/>
            </w:tcBorders>
            <w:noWrap/>
            <w:vAlign w:val="center"/>
          </w:tcPr>
          <w:p w14:paraId="396D87D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必须满足财政部、工业和信息化部《关于印发〈操作系统政府采购需求标准（2023年版）〉的通知》（财库〔2023〕</w:t>
            </w: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rPr>
              <w:t>号）中加“*”的指标。能与本项目其他设备兼容</w:t>
            </w:r>
            <w:r>
              <w:rPr>
                <w:rFonts w:hint="eastAsia" w:asciiTheme="minorEastAsia" w:hAnsiTheme="minorEastAsia" w:eastAsiaTheme="minorEastAsia" w:cstheme="minorEastAsia"/>
                <w:color w:val="auto"/>
                <w:kern w:val="0"/>
                <w:sz w:val="24"/>
                <w:szCs w:val="24"/>
                <w:highlight w:val="none"/>
                <w:lang w:eastAsia="zh-CN"/>
              </w:rPr>
              <w:t>。</w:t>
            </w:r>
          </w:p>
        </w:tc>
        <w:tc>
          <w:tcPr>
            <w:tcW w:w="369" w:type="pct"/>
            <w:tcBorders>
              <w:top w:val="nil"/>
              <w:left w:val="nil"/>
              <w:bottom w:val="single" w:color="auto" w:sz="4" w:space="0"/>
              <w:right w:val="single" w:color="auto" w:sz="4" w:space="0"/>
            </w:tcBorders>
            <w:noWrap w:val="0"/>
            <w:vAlign w:val="center"/>
          </w:tcPr>
          <w:p w14:paraId="7BD2A5B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noWrap w:val="0"/>
            <w:vAlign w:val="center"/>
          </w:tcPr>
          <w:p w14:paraId="19BE9EB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694DDFD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574299A9">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五</w:t>
            </w:r>
          </w:p>
        </w:tc>
        <w:tc>
          <w:tcPr>
            <w:tcW w:w="685" w:type="pct"/>
            <w:tcBorders>
              <w:top w:val="nil"/>
              <w:left w:val="nil"/>
              <w:bottom w:val="single" w:color="auto" w:sz="4" w:space="0"/>
              <w:right w:val="single" w:color="auto" w:sz="4" w:space="0"/>
            </w:tcBorders>
            <w:noWrap w:val="0"/>
            <w:vAlign w:val="center"/>
          </w:tcPr>
          <w:p w14:paraId="624184D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安全保障系统</w:t>
            </w:r>
          </w:p>
        </w:tc>
        <w:tc>
          <w:tcPr>
            <w:tcW w:w="3000" w:type="pct"/>
            <w:tcBorders>
              <w:top w:val="nil"/>
              <w:left w:val="nil"/>
              <w:bottom w:val="single" w:color="auto" w:sz="4" w:space="0"/>
              <w:right w:val="single" w:color="auto" w:sz="4" w:space="0"/>
            </w:tcBorders>
            <w:noWrap/>
            <w:vAlign w:val="center"/>
          </w:tcPr>
          <w:p w14:paraId="506E00C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369" w:type="pct"/>
            <w:tcBorders>
              <w:top w:val="nil"/>
              <w:left w:val="nil"/>
              <w:bottom w:val="single" w:color="auto" w:sz="4" w:space="0"/>
              <w:right w:val="single" w:color="auto" w:sz="4" w:space="0"/>
            </w:tcBorders>
            <w:noWrap w:val="0"/>
            <w:vAlign w:val="center"/>
          </w:tcPr>
          <w:p w14:paraId="7CDB55E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noWrap w:val="0"/>
            <w:vAlign w:val="center"/>
          </w:tcPr>
          <w:p w14:paraId="4F24C43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r>
      <w:tr w14:paraId="78F53FC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3113ED8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noWrap w:val="0"/>
            <w:vAlign w:val="center"/>
          </w:tcPr>
          <w:p w14:paraId="1663C38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隔离网闸</w:t>
            </w:r>
          </w:p>
        </w:tc>
        <w:tc>
          <w:tcPr>
            <w:tcW w:w="3000" w:type="pct"/>
            <w:tcBorders>
              <w:top w:val="nil"/>
              <w:left w:val="nil"/>
              <w:bottom w:val="single" w:color="auto" w:sz="4" w:space="0"/>
              <w:right w:val="single" w:color="auto" w:sz="4" w:space="0"/>
            </w:tcBorders>
            <w:noWrap/>
            <w:vAlign w:val="center"/>
          </w:tcPr>
          <w:p w14:paraId="18004C7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国产设备，CPU和操作系统等关键部件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1、串联部署于网络环境中，支持网关模式部署，可双机冗余部署提高可用性；基于默认禁止的传输规则，提供应用数据的交换，并具有设置关键字、文件类型和病毒过滤的功能；支持IPv4、IPv6网络环境；</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2、文件传输速率不低于800Mbps；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3、内、外侧的业务端口各至少配置2个GE电口、2个GE光口（满配多模光模块）；</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4、220V交流冗余电源；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5、根据CPU芯片和操作系统升级以及</w:t>
            </w:r>
            <w:r>
              <w:rPr>
                <w:rFonts w:hint="eastAsia" w:asciiTheme="minorEastAsia" w:hAnsiTheme="minorEastAsia" w:eastAsiaTheme="minorEastAsia" w:cstheme="minorEastAsia"/>
                <w:color w:val="auto"/>
                <w:kern w:val="0"/>
                <w:sz w:val="24"/>
                <w:szCs w:val="24"/>
                <w:highlight w:val="none"/>
                <w:lang w:val="en-US" w:eastAsia="zh-CN"/>
              </w:rPr>
              <w:t>安全可靠测评结果</w:t>
            </w:r>
            <w:r>
              <w:rPr>
                <w:rFonts w:hint="eastAsia" w:asciiTheme="minorEastAsia" w:hAnsiTheme="minorEastAsia" w:eastAsiaTheme="minorEastAsia" w:cstheme="minorEastAsia"/>
                <w:color w:val="auto"/>
                <w:kern w:val="0"/>
                <w:sz w:val="24"/>
                <w:szCs w:val="24"/>
                <w:highlight w:val="none"/>
              </w:rPr>
              <w:t>更新免费提供适配服务。</w:t>
            </w:r>
          </w:p>
          <w:p w14:paraId="3B1E9687">
            <w:pPr>
              <w:widowControl/>
              <w:spacing w:line="24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6、按照满足未来三年的互联网峰值流量5.5Gbps进行设备配置，隔离网闸的文件传输速率不低于282Mbps</w:t>
            </w:r>
            <w:r>
              <w:rPr>
                <w:rFonts w:hint="eastAsia" w:asciiTheme="minorEastAsia" w:hAnsiTheme="minorEastAsia" w:eastAsiaTheme="minorEastAsia" w:cstheme="minorEastAsia"/>
                <w:color w:val="auto"/>
                <w:kern w:val="0"/>
                <w:sz w:val="24"/>
                <w:szCs w:val="24"/>
                <w:highlight w:val="none"/>
                <w:lang w:eastAsia="zh-CN"/>
              </w:rPr>
              <w:t>。</w:t>
            </w:r>
          </w:p>
        </w:tc>
        <w:tc>
          <w:tcPr>
            <w:tcW w:w="369" w:type="pct"/>
            <w:tcBorders>
              <w:top w:val="nil"/>
              <w:left w:val="nil"/>
              <w:bottom w:val="single" w:color="auto" w:sz="4" w:space="0"/>
              <w:right w:val="single" w:color="auto" w:sz="4" w:space="0"/>
            </w:tcBorders>
            <w:noWrap w:val="0"/>
            <w:vAlign w:val="center"/>
          </w:tcPr>
          <w:p w14:paraId="4C22542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795EC38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32489A7F">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714B13A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noWrap w:val="0"/>
            <w:vAlign w:val="center"/>
          </w:tcPr>
          <w:p w14:paraId="3853208F">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防火墙</w:t>
            </w:r>
            <w:r>
              <w:rPr>
                <w:rFonts w:hint="eastAsia" w:asciiTheme="minorEastAsia" w:hAnsiTheme="minorEastAsia" w:eastAsiaTheme="minorEastAsia" w:cstheme="minorEastAsia"/>
                <w:color w:val="auto"/>
                <w:kern w:val="0"/>
                <w:sz w:val="24"/>
                <w:szCs w:val="24"/>
                <w:highlight w:val="none"/>
                <w:lang w:val="en-US" w:eastAsia="zh-CN"/>
              </w:rPr>
              <w:t>1</w:t>
            </w:r>
          </w:p>
        </w:tc>
        <w:tc>
          <w:tcPr>
            <w:tcW w:w="3000" w:type="pct"/>
            <w:tcBorders>
              <w:top w:val="nil"/>
              <w:left w:val="nil"/>
              <w:bottom w:val="single" w:color="auto" w:sz="4" w:space="0"/>
              <w:right w:val="single" w:color="auto" w:sz="4" w:space="0"/>
            </w:tcBorders>
            <w:noWrap/>
            <w:vAlign w:val="center"/>
          </w:tcPr>
          <w:p w14:paraId="593C422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国产设备，CPU和操作系统等关键部件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支持透明传输、路由转发模式部署，支持路由设置、高可用性等组网与部署能力；提供包过滤、地址转换、状态检测、动态开放端口、带宽管理、连接数控制等网络层访问控制功能；提供应用类型控制、应用关键内容控制等应用层控制功能；提供拒绝服务攻击防护、恶意代码防护、应用攻击防护等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2、整机网络层吞吐量（双向）：IPv4不低于4Gbps，IPv6不低于4Gbps；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3、整机应用层吞吐量（单向）：IPv4不低于2Gbps，IPv6不低于2Gbps；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4、整机TCP并发：IPv4不低于400万，IPv6不低于400万；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5、业务端口不少于6个GE电口，不少于2个GE光口；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6、支持IPv4和IPv6网络环境，支持NAT44、NAT66、NAT46、NAT64等NAT方式；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7、支持国密IPSEC VPN和SSL VPN；</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8、配置IPS功能；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9、具有基于策略的入侵检测与防护，可针对不同的源目IP地址、源MAC地址、服务、时间、安全域、用户等，采用不同的入侵防护策略；</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10、220V交流冗余电源；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11、根据CPU芯片和操作系统升级以及</w:t>
            </w:r>
            <w:r>
              <w:rPr>
                <w:rFonts w:hint="eastAsia" w:asciiTheme="minorEastAsia" w:hAnsiTheme="minorEastAsia" w:eastAsiaTheme="minorEastAsia" w:cstheme="minorEastAsia"/>
                <w:color w:val="auto"/>
                <w:kern w:val="0"/>
                <w:sz w:val="24"/>
                <w:szCs w:val="24"/>
                <w:highlight w:val="none"/>
                <w:lang w:val="en-US" w:eastAsia="zh-CN"/>
              </w:rPr>
              <w:t>安全可靠测评结果</w:t>
            </w:r>
            <w:r>
              <w:rPr>
                <w:rFonts w:hint="eastAsia" w:asciiTheme="minorEastAsia" w:hAnsiTheme="minorEastAsia" w:eastAsiaTheme="minorEastAsia" w:cstheme="minorEastAsia"/>
                <w:color w:val="auto"/>
                <w:kern w:val="0"/>
                <w:sz w:val="24"/>
                <w:szCs w:val="24"/>
                <w:highlight w:val="none"/>
              </w:rPr>
              <w:t>更新免费提供适配服务；</w:t>
            </w:r>
          </w:p>
        </w:tc>
        <w:tc>
          <w:tcPr>
            <w:tcW w:w="369" w:type="pct"/>
            <w:tcBorders>
              <w:top w:val="nil"/>
              <w:left w:val="nil"/>
              <w:bottom w:val="single" w:color="auto" w:sz="4" w:space="0"/>
              <w:right w:val="single" w:color="auto" w:sz="4" w:space="0"/>
            </w:tcBorders>
            <w:noWrap w:val="0"/>
            <w:vAlign w:val="center"/>
          </w:tcPr>
          <w:p w14:paraId="4F8D992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6477978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3CEB7649">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123C276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85" w:type="pct"/>
            <w:tcBorders>
              <w:top w:val="nil"/>
              <w:left w:val="nil"/>
              <w:bottom w:val="single" w:color="auto" w:sz="4" w:space="0"/>
              <w:right w:val="single" w:color="auto" w:sz="4" w:space="0"/>
            </w:tcBorders>
            <w:noWrap w:val="0"/>
            <w:vAlign w:val="center"/>
          </w:tcPr>
          <w:p w14:paraId="6E2F63EA">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防火墙</w:t>
            </w:r>
            <w:r>
              <w:rPr>
                <w:rFonts w:hint="eastAsia" w:asciiTheme="minorEastAsia" w:hAnsiTheme="minorEastAsia" w:eastAsiaTheme="minorEastAsia" w:cstheme="minorEastAsia"/>
                <w:color w:val="auto"/>
                <w:kern w:val="0"/>
                <w:sz w:val="24"/>
                <w:szCs w:val="24"/>
                <w:highlight w:val="none"/>
                <w:lang w:val="en-US" w:eastAsia="zh-CN"/>
              </w:rPr>
              <w:t>2</w:t>
            </w:r>
          </w:p>
        </w:tc>
        <w:tc>
          <w:tcPr>
            <w:tcW w:w="3000" w:type="pct"/>
            <w:tcBorders>
              <w:top w:val="nil"/>
              <w:left w:val="nil"/>
              <w:bottom w:val="single" w:color="auto" w:sz="4" w:space="0"/>
              <w:right w:val="single" w:color="auto" w:sz="4" w:space="0"/>
            </w:tcBorders>
            <w:noWrap/>
            <w:vAlign w:val="center"/>
          </w:tcPr>
          <w:p w14:paraId="5F58A95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国产设备，CPU和操作系统等关键部件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支持透明传输、路由转发模式部署，支持路由设置、高可用性等组网与部署能力；提供包过滤、地址转换、状态检测、动态开放端口、带宽管理、连接数控制等网络层访问控制功能；提供应用类型控制、应用关键内容控制等应用层控制功能；提供拒绝服务攻击防护、恶意代码防护、应用攻击防护等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2、整机网络层吞吐量（双向）：IPv4不低于4Gbps，IPv6不低于4Gbps；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3、整机应用层吞吐量（单向）：IPv4不低于2Gbps，IPv6不低于2Gbps；</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4、整机TCP并发：IPv4不低于400万，IPv6不低于400万；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5、业务端口不少于6个GE电口，不少于2个GE光口；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6、支持IPv4和IPv6网络环境，支持NAT44、NAT66、NAT46、NAT64等NAT方式；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7、支持国密IPSEC VPN和SSL VPN；</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8、配置IPS功能；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9、具有基于策略的入侵检测与防护，可针对不同的源目IP地址、源MAC地址、服务、时间、安全域、用户等，采用不同的入侵防护策略；</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10、220V交流冗余电源；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11、根据CPU芯片和操作系统升级以及</w:t>
            </w:r>
            <w:r>
              <w:rPr>
                <w:rFonts w:hint="eastAsia" w:asciiTheme="minorEastAsia" w:hAnsiTheme="minorEastAsia" w:eastAsiaTheme="minorEastAsia" w:cstheme="minorEastAsia"/>
                <w:color w:val="auto"/>
                <w:kern w:val="0"/>
                <w:sz w:val="24"/>
                <w:szCs w:val="24"/>
                <w:highlight w:val="none"/>
                <w:lang w:val="en-US" w:eastAsia="zh-CN"/>
              </w:rPr>
              <w:t>安全可靠测评结果</w:t>
            </w:r>
            <w:r>
              <w:rPr>
                <w:rFonts w:hint="eastAsia" w:asciiTheme="minorEastAsia" w:hAnsiTheme="minorEastAsia" w:eastAsiaTheme="minorEastAsia" w:cstheme="minorEastAsia"/>
                <w:color w:val="auto"/>
                <w:kern w:val="0"/>
                <w:sz w:val="24"/>
                <w:szCs w:val="24"/>
                <w:highlight w:val="none"/>
              </w:rPr>
              <w:t>更新免费提供适配服务；</w:t>
            </w:r>
          </w:p>
        </w:tc>
        <w:tc>
          <w:tcPr>
            <w:tcW w:w="369" w:type="pct"/>
            <w:tcBorders>
              <w:top w:val="nil"/>
              <w:left w:val="nil"/>
              <w:bottom w:val="single" w:color="auto" w:sz="4" w:space="0"/>
              <w:right w:val="single" w:color="auto" w:sz="4" w:space="0"/>
            </w:tcBorders>
            <w:noWrap w:val="0"/>
            <w:vAlign w:val="center"/>
          </w:tcPr>
          <w:p w14:paraId="392C633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3B8B15C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2433C40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6BB3C4C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685" w:type="pct"/>
            <w:tcBorders>
              <w:top w:val="nil"/>
              <w:left w:val="nil"/>
              <w:bottom w:val="single" w:color="auto" w:sz="4" w:space="0"/>
              <w:right w:val="single" w:color="auto" w:sz="4" w:space="0"/>
            </w:tcBorders>
            <w:noWrap w:val="0"/>
            <w:vAlign w:val="center"/>
          </w:tcPr>
          <w:p w14:paraId="5ED62EE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数据防泄漏系统</w:t>
            </w:r>
          </w:p>
        </w:tc>
        <w:tc>
          <w:tcPr>
            <w:tcW w:w="3000" w:type="pct"/>
            <w:tcBorders>
              <w:top w:val="nil"/>
              <w:left w:val="nil"/>
              <w:bottom w:val="single" w:color="auto" w:sz="4" w:space="0"/>
              <w:right w:val="single" w:color="auto" w:sz="4" w:space="0"/>
            </w:tcBorders>
            <w:noWrap/>
            <w:vAlign w:val="center"/>
          </w:tcPr>
          <w:p w14:paraId="002B7D3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国产设备，CPU和操作系统等关键部件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支持组合模式部署（硬件串接部署于网络环境，软件部署于计算机终端），支持识别通过移动存储介质（光盘、U盘、移动硬盘和存储卡等）、传输接口（蓝牙接口等）、打印方式（含本地打印和网络打印）、剪切和拷贝方式、网络方式（HTTP、HTTPS、FTP、SMTP、文件共享等）对外传输的数据和文件内容，并根据预定义策略对传输行为进行控制，以防止信息的未授权流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2、端口：≥4*GE电口；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3、电源：220V交流冗余电源。</w:t>
            </w:r>
          </w:p>
        </w:tc>
        <w:tc>
          <w:tcPr>
            <w:tcW w:w="369" w:type="pct"/>
            <w:tcBorders>
              <w:top w:val="nil"/>
              <w:left w:val="nil"/>
              <w:bottom w:val="single" w:color="auto" w:sz="4" w:space="0"/>
              <w:right w:val="single" w:color="auto" w:sz="4" w:space="0"/>
            </w:tcBorders>
            <w:noWrap w:val="0"/>
            <w:vAlign w:val="center"/>
          </w:tcPr>
          <w:p w14:paraId="35813A2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140E16E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2 </w:t>
            </w:r>
          </w:p>
        </w:tc>
      </w:tr>
      <w:tr w14:paraId="213ACF5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noWrap w:val="0"/>
            <w:vAlign w:val="center"/>
          </w:tcPr>
          <w:p w14:paraId="29723F4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685" w:type="pct"/>
            <w:tcBorders>
              <w:top w:val="nil"/>
              <w:left w:val="nil"/>
              <w:bottom w:val="single" w:color="auto" w:sz="4" w:space="0"/>
              <w:right w:val="single" w:color="auto" w:sz="4" w:space="0"/>
            </w:tcBorders>
            <w:noWrap w:val="0"/>
            <w:vAlign w:val="center"/>
          </w:tcPr>
          <w:p w14:paraId="46DD42E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数据库静态脱敏系统</w:t>
            </w:r>
          </w:p>
        </w:tc>
        <w:tc>
          <w:tcPr>
            <w:tcW w:w="3000" w:type="pct"/>
            <w:tcBorders>
              <w:top w:val="nil"/>
              <w:left w:val="nil"/>
              <w:bottom w:val="single" w:color="auto" w:sz="4" w:space="0"/>
              <w:right w:val="single" w:color="auto" w:sz="4" w:space="0"/>
            </w:tcBorders>
            <w:noWrap/>
            <w:vAlign w:val="center"/>
          </w:tcPr>
          <w:p w14:paraId="37029C1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国产设备，CPU和操作系统等关键部件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1、支持旁路部署模式，支持静态数据脱敏。通过数据脱敏技术对数据库中存储的预定义敏感数据进行检测并脱敏处理，并能够对脱敏任务进行监控；</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2、端口：≥2*GE电口；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3、电源：220V交流冗余电源。</w:t>
            </w:r>
          </w:p>
        </w:tc>
        <w:tc>
          <w:tcPr>
            <w:tcW w:w="369" w:type="pct"/>
            <w:tcBorders>
              <w:top w:val="nil"/>
              <w:left w:val="nil"/>
              <w:bottom w:val="single" w:color="auto" w:sz="4" w:space="0"/>
              <w:right w:val="single" w:color="auto" w:sz="4" w:space="0"/>
            </w:tcBorders>
            <w:noWrap w:val="0"/>
            <w:vAlign w:val="center"/>
          </w:tcPr>
          <w:p w14:paraId="23CF49D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noWrap w:val="0"/>
            <w:vAlign w:val="center"/>
          </w:tcPr>
          <w:p w14:paraId="0C2A22B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1 </w:t>
            </w:r>
          </w:p>
        </w:tc>
      </w:tr>
      <w:tr w14:paraId="2C06DA1C">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FAA92FC">
            <w:pPr>
              <w:widowControl/>
              <w:spacing w:line="240" w:lineRule="auto"/>
              <w:jc w:val="center"/>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六</w:t>
            </w:r>
          </w:p>
        </w:tc>
        <w:tc>
          <w:tcPr>
            <w:tcW w:w="685" w:type="pct"/>
            <w:tcBorders>
              <w:top w:val="nil"/>
              <w:left w:val="nil"/>
              <w:bottom w:val="single" w:color="auto" w:sz="4" w:space="0"/>
              <w:right w:val="single" w:color="auto" w:sz="4" w:space="0"/>
            </w:tcBorders>
            <w:shd w:val="clear" w:color="000000" w:fill="FFFFFF"/>
            <w:noWrap w:val="0"/>
            <w:vAlign w:val="center"/>
          </w:tcPr>
          <w:p w14:paraId="1A6B8EF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指挥中心配套</w:t>
            </w:r>
          </w:p>
        </w:tc>
        <w:tc>
          <w:tcPr>
            <w:tcW w:w="3000" w:type="pct"/>
            <w:tcBorders>
              <w:top w:val="nil"/>
              <w:left w:val="nil"/>
              <w:bottom w:val="single" w:color="auto" w:sz="4" w:space="0"/>
              <w:right w:val="single" w:color="auto" w:sz="4" w:space="0"/>
            </w:tcBorders>
            <w:shd w:val="clear" w:color="000000" w:fill="FFFFFF"/>
            <w:noWrap/>
            <w:vAlign w:val="center"/>
          </w:tcPr>
          <w:p w14:paraId="6EF89C8E">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p>
        </w:tc>
        <w:tc>
          <w:tcPr>
            <w:tcW w:w="369" w:type="pct"/>
            <w:tcBorders>
              <w:top w:val="nil"/>
              <w:left w:val="nil"/>
              <w:bottom w:val="single" w:color="auto" w:sz="4" w:space="0"/>
              <w:right w:val="single" w:color="auto" w:sz="4" w:space="0"/>
            </w:tcBorders>
            <w:shd w:val="clear" w:color="000000" w:fill="FFFFFF"/>
            <w:noWrap w:val="0"/>
            <w:vAlign w:val="center"/>
          </w:tcPr>
          <w:p w14:paraId="1E4F678B">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p>
        </w:tc>
        <w:tc>
          <w:tcPr>
            <w:tcW w:w="483" w:type="pct"/>
            <w:tcBorders>
              <w:top w:val="nil"/>
              <w:left w:val="nil"/>
              <w:bottom w:val="single" w:color="auto" w:sz="4" w:space="0"/>
              <w:right w:val="single" w:color="auto" w:sz="4" w:space="0"/>
            </w:tcBorders>
            <w:shd w:val="clear" w:color="000000" w:fill="FFFFFF"/>
            <w:noWrap w:val="0"/>
            <w:vAlign w:val="center"/>
          </w:tcPr>
          <w:p w14:paraId="636BD5AC">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p>
        </w:tc>
      </w:tr>
      <w:tr w14:paraId="46C869A9">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1EBEA3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一</w:t>
            </w:r>
            <w:r>
              <w:rPr>
                <w:rFonts w:hint="eastAsia" w:asciiTheme="minorEastAsia" w:hAnsiTheme="minorEastAsia" w:eastAsiaTheme="minorEastAsia" w:cstheme="minorEastAsia"/>
                <w:b/>
                <w:bCs/>
                <w:color w:val="auto"/>
                <w:kern w:val="0"/>
                <w:sz w:val="24"/>
                <w:szCs w:val="24"/>
                <w:highlight w:val="none"/>
                <w:lang w:eastAsia="zh-CN"/>
              </w:rPr>
              <w:t>）</w:t>
            </w:r>
          </w:p>
        </w:tc>
        <w:tc>
          <w:tcPr>
            <w:tcW w:w="685" w:type="pct"/>
            <w:tcBorders>
              <w:top w:val="nil"/>
              <w:left w:val="nil"/>
              <w:bottom w:val="single" w:color="auto" w:sz="4" w:space="0"/>
              <w:right w:val="single" w:color="auto" w:sz="4" w:space="0"/>
            </w:tcBorders>
            <w:shd w:val="clear" w:color="000000" w:fill="FFFFFF"/>
            <w:noWrap w:val="0"/>
            <w:vAlign w:val="center"/>
          </w:tcPr>
          <w:p w14:paraId="608C993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大屏显示系统</w:t>
            </w:r>
          </w:p>
        </w:tc>
        <w:tc>
          <w:tcPr>
            <w:tcW w:w="3000" w:type="pct"/>
            <w:tcBorders>
              <w:top w:val="nil"/>
              <w:left w:val="nil"/>
              <w:bottom w:val="single" w:color="auto" w:sz="4" w:space="0"/>
              <w:right w:val="single" w:color="auto" w:sz="4" w:space="0"/>
            </w:tcBorders>
            <w:shd w:val="clear" w:color="000000" w:fill="FFFFFF"/>
            <w:noWrap/>
            <w:vAlign w:val="center"/>
          </w:tcPr>
          <w:p w14:paraId="34D115C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p>
        </w:tc>
        <w:tc>
          <w:tcPr>
            <w:tcW w:w="369" w:type="pct"/>
            <w:tcBorders>
              <w:top w:val="nil"/>
              <w:left w:val="nil"/>
              <w:bottom w:val="single" w:color="auto" w:sz="4" w:space="0"/>
              <w:right w:val="single" w:color="auto" w:sz="4" w:space="0"/>
            </w:tcBorders>
            <w:shd w:val="clear" w:color="000000" w:fill="FFFFFF"/>
            <w:noWrap w:val="0"/>
            <w:vAlign w:val="center"/>
          </w:tcPr>
          <w:p w14:paraId="391535FB">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5B4E65B4">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p>
        </w:tc>
      </w:tr>
      <w:tr w14:paraId="2D78F0B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13977E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0E01168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全彩LED屏</w:t>
            </w:r>
          </w:p>
        </w:tc>
        <w:tc>
          <w:tcPr>
            <w:tcW w:w="3000" w:type="pct"/>
            <w:tcBorders>
              <w:top w:val="nil"/>
              <w:left w:val="nil"/>
              <w:bottom w:val="single" w:color="auto" w:sz="4" w:space="0"/>
              <w:right w:val="single" w:color="auto" w:sz="4" w:space="0"/>
            </w:tcBorders>
            <w:shd w:val="clear" w:color="000000" w:fill="FFFFFF"/>
            <w:noWrap/>
            <w:vAlign w:val="center"/>
          </w:tcPr>
          <w:p w14:paraId="5E52728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根据会议座位与LED大屏的距离以及人的最佳视觉效果，综合考虑现场环境，主屏设计采用P1.5的LED全彩大屏，主屏配置如下：</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模组参数：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1、显示屏净尺寸：3.84m*2.08m=7.9872m²；</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2、屏体分辨率：≥2496*1352；</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3、物理点间距：≤1.53mm；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4、单元分辨率：≥208*104；</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5、工作电压：DC+4.2V~+5V</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主要参数：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1、最佳视距：≥4.6m；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2、水平视角：≥175°；</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3、垂直视</w:t>
            </w:r>
            <w:r>
              <w:rPr>
                <w:rFonts w:hint="eastAsia" w:asciiTheme="minorEastAsia" w:hAnsiTheme="minorEastAsia" w:eastAsiaTheme="minorEastAsia" w:cstheme="minorEastAsia"/>
                <w:color w:val="auto"/>
                <w:kern w:val="0"/>
                <w:sz w:val="24"/>
                <w:szCs w:val="24"/>
                <w:highlight w:val="none"/>
                <w:lang w:val="en-US" w:eastAsia="zh-CN"/>
              </w:rPr>
              <w:t>角</w:t>
            </w:r>
            <w:r>
              <w:rPr>
                <w:rFonts w:hint="eastAsia" w:asciiTheme="minorEastAsia" w:hAnsiTheme="minorEastAsia" w:eastAsiaTheme="minorEastAsia" w:cstheme="minorEastAsia"/>
                <w:color w:val="auto"/>
                <w:kern w:val="0"/>
                <w:sz w:val="24"/>
                <w:szCs w:val="24"/>
                <w:highlight w:val="none"/>
              </w:rPr>
              <w:t>：≥175°；</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4、维护方式：前/后维护；</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5、显示卡：DVI/HDMI/DP；</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6、视频信号：兼容PAL/NTSC/SECAM制式,支持S-Video；VGA；RGB；CompositeVideo；SDI；DVI；RF；RGBHV；YUV；YC等；</w:t>
            </w:r>
          </w:p>
        </w:tc>
        <w:tc>
          <w:tcPr>
            <w:tcW w:w="369" w:type="pct"/>
            <w:tcBorders>
              <w:top w:val="nil"/>
              <w:left w:val="nil"/>
              <w:bottom w:val="single" w:color="auto" w:sz="4" w:space="0"/>
              <w:right w:val="single" w:color="auto" w:sz="4" w:space="0"/>
            </w:tcBorders>
            <w:shd w:val="clear" w:color="000000" w:fill="FFFFFF"/>
            <w:noWrap w:val="0"/>
            <w:vAlign w:val="center"/>
          </w:tcPr>
          <w:p w14:paraId="5130E5D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平方米</w:t>
            </w:r>
          </w:p>
        </w:tc>
        <w:tc>
          <w:tcPr>
            <w:tcW w:w="483" w:type="pct"/>
            <w:tcBorders>
              <w:top w:val="nil"/>
              <w:left w:val="nil"/>
              <w:bottom w:val="single" w:color="auto" w:sz="4" w:space="0"/>
              <w:right w:val="single" w:color="auto" w:sz="4" w:space="0"/>
            </w:tcBorders>
            <w:shd w:val="clear" w:color="000000" w:fill="FFFFFF"/>
            <w:noWrap w:val="0"/>
            <w:vAlign w:val="center"/>
          </w:tcPr>
          <w:p w14:paraId="44A7872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7.9872</w:t>
            </w:r>
          </w:p>
        </w:tc>
      </w:tr>
      <w:tr w14:paraId="4EE96468">
        <w:tblPrEx>
          <w:tblCellMar>
            <w:top w:w="0" w:type="dxa"/>
            <w:left w:w="108" w:type="dxa"/>
            <w:bottom w:w="0" w:type="dxa"/>
            <w:right w:w="108" w:type="dxa"/>
          </w:tblCellMar>
        </w:tblPrEx>
        <w:trPr>
          <w:trHeight w:val="540"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F832B0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377A709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发送盒及显示屏控制设备嵌入式软件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4DCAE26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采用高速USB与PC通讯，并可用于多台发送器级联，操作更加简单方便；可完美应用于常规固装显示屏；提供了丰富灵活的视频切换功能、分区特效，以及三维特效动画，让显示屏的显示效果得到完美展现。</w:t>
            </w:r>
          </w:p>
        </w:tc>
        <w:tc>
          <w:tcPr>
            <w:tcW w:w="369" w:type="pct"/>
            <w:tcBorders>
              <w:top w:val="nil"/>
              <w:left w:val="nil"/>
              <w:bottom w:val="single" w:color="auto" w:sz="4" w:space="0"/>
              <w:right w:val="single" w:color="auto" w:sz="4" w:space="0"/>
            </w:tcBorders>
            <w:shd w:val="clear" w:color="000000" w:fill="FFFFFF"/>
            <w:noWrap w:val="0"/>
            <w:vAlign w:val="center"/>
          </w:tcPr>
          <w:p w14:paraId="44B2E95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484FBED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12E1970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8E63E8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85" w:type="pct"/>
            <w:tcBorders>
              <w:top w:val="nil"/>
              <w:left w:val="nil"/>
              <w:bottom w:val="single" w:color="auto" w:sz="4" w:space="0"/>
              <w:right w:val="single" w:color="auto" w:sz="4" w:space="0"/>
            </w:tcBorders>
            <w:shd w:val="clear" w:color="000000" w:fill="FFFFFF"/>
            <w:noWrap w:val="0"/>
            <w:vAlign w:val="center"/>
          </w:tcPr>
          <w:p w14:paraId="6ABEBC6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主控电脑</w:t>
            </w:r>
          </w:p>
        </w:tc>
        <w:tc>
          <w:tcPr>
            <w:tcW w:w="3000" w:type="pct"/>
            <w:tcBorders>
              <w:top w:val="nil"/>
              <w:left w:val="nil"/>
              <w:bottom w:val="single" w:color="auto" w:sz="4" w:space="0"/>
              <w:right w:val="single" w:color="auto" w:sz="4" w:space="0"/>
            </w:tcBorders>
            <w:shd w:val="clear" w:color="000000" w:fill="FFFFFF"/>
            <w:noWrap/>
            <w:vAlign w:val="center"/>
          </w:tcPr>
          <w:p w14:paraId="2678A98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设备必须满足财政部、工业和信息化部《关于印发〈便携式计算机政府采购需求标准（2023年版）〉的通知》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30</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r>
              <w:rPr>
                <w:rFonts w:hint="eastAsia" w:asciiTheme="minorEastAsia" w:hAnsiTheme="minorEastAsia" w:eastAsiaTheme="minorEastAsia" w:cstheme="minorEastAsia"/>
                <w:color w:val="auto"/>
                <w:kern w:val="0"/>
                <w:sz w:val="24"/>
                <w:szCs w:val="24"/>
                <w:highlight w:val="none"/>
                <w:lang w:val="en-US" w:eastAsia="zh-CN"/>
              </w:rPr>
              <w:t>其中：</w:t>
            </w:r>
            <w:r>
              <w:rPr>
                <w:rFonts w:hint="eastAsia" w:asciiTheme="minorEastAsia" w:hAnsiTheme="minorEastAsia" w:eastAsiaTheme="minorEastAsia" w:cstheme="minorEastAsia"/>
                <w:color w:val="auto"/>
                <w:kern w:val="0"/>
                <w:sz w:val="24"/>
                <w:szCs w:val="24"/>
                <w:highlight w:val="none"/>
              </w:rPr>
              <w:t>内存不低于8GB，硬盘不低于256GB，不低于14英寸显示器，千兆网卡。含操作系统和WPS专业版办公软件，适配</w:t>
            </w:r>
            <w:r>
              <w:rPr>
                <w:rFonts w:hint="eastAsia" w:asciiTheme="minorEastAsia" w:hAnsiTheme="minorEastAsia" w:eastAsiaTheme="minorEastAsia" w:cstheme="minorEastAsia"/>
                <w:color w:val="auto"/>
                <w:kern w:val="0"/>
                <w:sz w:val="24"/>
                <w:szCs w:val="24"/>
                <w:highlight w:val="none"/>
                <w:lang w:val="en-US" w:eastAsia="zh-CN"/>
              </w:rPr>
              <w:t>本项目会议室大屏显示系统，操作系统必须满足</w:t>
            </w:r>
            <w:r>
              <w:rPr>
                <w:rFonts w:hint="eastAsia" w:asciiTheme="minorEastAsia" w:hAnsiTheme="minorEastAsia" w:eastAsiaTheme="minorEastAsia" w:cstheme="minorEastAsia"/>
                <w:color w:val="auto"/>
                <w:kern w:val="0"/>
                <w:sz w:val="24"/>
                <w:szCs w:val="24"/>
                <w:highlight w:val="none"/>
              </w:rPr>
              <w:t>财政部、工业和信息化部《关于印发〈操作系统政府采购需求标准（2023年版）〉的通知》</w:t>
            </w:r>
            <w:r>
              <w:rPr>
                <w:rFonts w:hint="eastAsia" w:asciiTheme="minorEastAsia" w:hAnsiTheme="minorEastAsia" w:eastAsiaTheme="minorEastAsia" w:cstheme="minorEastAsia"/>
                <w:color w:val="auto"/>
                <w:kern w:val="0"/>
                <w:sz w:val="24"/>
                <w:szCs w:val="24"/>
                <w:highlight w:val="none"/>
                <w:lang w:eastAsia="zh-CN"/>
              </w:rPr>
              <w:t>（财库〔2023〕</w:t>
            </w:r>
            <w:r>
              <w:rPr>
                <w:rFonts w:hint="eastAsia" w:asciiTheme="minorEastAsia" w:hAnsiTheme="minorEastAsia" w:eastAsiaTheme="minorEastAsia" w:cstheme="minorEastAsia"/>
                <w:color w:val="auto"/>
                <w:kern w:val="0"/>
                <w:sz w:val="24"/>
                <w:szCs w:val="24"/>
                <w:highlight w:val="none"/>
                <w:lang w:val="en-US" w:eastAsia="zh-CN"/>
              </w:rPr>
              <w:t>34</w:t>
            </w:r>
            <w:r>
              <w:rPr>
                <w:rFonts w:hint="eastAsia" w:asciiTheme="minorEastAsia" w:hAnsiTheme="minorEastAsia" w:eastAsiaTheme="minorEastAsia" w:cstheme="minorEastAsia"/>
                <w:color w:val="auto"/>
                <w:kern w:val="0"/>
                <w:sz w:val="24"/>
                <w:szCs w:val="24"/>
                <w:highlight w:val="none"/>
                <w:lang w:eastAsia="zh-CN"/>
              </w:rPr>
              <w:t>号）</w:t>
            </w:r>
            <w:r>
              <w:rPr>
                <w:rFonts w:hint="eastAsia" w:asciiTheme="minorEastAsia" w:hAnsiTheme="minorEastAsia" w:eastAsiaTheme="minorEastAsia" w:cstheme="minorEastAsia"/>
                <w:color w:val="auto"/>
                <w:kern w:val="0"/>
                <w:sz w:val="24"/>
                <w:szCs w:val="24"/>
                <w:highlight w:val="none"/>
              </w:rPr>
              <w:t>中加“*”的指标。</w:t>
            </w:r>
          </w:p>
        </w:tc>
        <w:tc>
          <w:tcPr>
            <w:tcW w:w="369" w:type="pct"/>
            <w:tcBorders>
              <w:top w:val="nil"/>
              <w:left w:val="nil"/>
              <w:bottom w:val="single" w:color="auto" w:sz="4" w:space="0"/>
              <w:right w:val="single" w:color="auto" w:sz="4" w:space="0"/>
            </w:tcBorders>
            <w:shd w:val="clear" w:color="000000" w:fill="FFFFFF"/>
            <w:noWrap w:val="0"/>
            <w:vAlign w:val="center"/>
          </w:tcPr>
          <w:p w14:paraId="0448599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59FD15D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0A2607CB">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2652EE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685" w:type="pct"/>
            <w:tcBorders>
              <w:top w:val="nil"/>
              <w:left w:val="nil"/>
              <w:bottom w:val="single" w:color="auto" w:sz="4" w:space="0"/>
              <w:right w:val="single" w:color="auto" w:sz="4" w:space="0"/>
            </w:tcBorders>
            <w:shd w:val="clear" w:color="000000" w:fill="FFFFFF"/>
            <w:noWrap w:val="0"/>
            <w:vAlign w:val="center"/>
          </w:tcPr>
          <w:p w14:paraId="5B1A4A9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机箱及视频处理设备嵌入式软件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24876CE0">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机箱参数：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1、机箱高度：8U</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2、输入槽位：≥9</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3、输出槽位：≥8</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4、输入板卡接口数量：2/4/8路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5、输入信号类型：VGA、DVI、HDMI1.3、SDI、CVBS、YPbPr、Dual-D、HDMI1.4、DP、IP、HDBaseT、Fiber</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6、输入支持最大分辨率：≥4K</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7、输出板卡接口数量：2/4路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8、输出信号类型：VGA、DVI、HDMI1.3、SDI、CVBS、HDMI1.4、HDBaseT、Fiber及MirView本地回显</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9、输出支持最大分辨率：≥1920*1200@60Hz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10、搭配视频处理设备管理软件主控终端，满足对多种类型信号进行统一接入管理，实现对多种信号源定义、调度和管理等相关功能。</w:t>
            </w:r>
          </w:p>
          <w:p w14:paraId="10AD7AC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视频处理设备嵌入式软件可实现对拼接显示系统的模式管理、窗口显示、场景调用、屏幕远程控制等功能。具有输入信号通道预监功能，可预监视视频信号内容。</w:t>
            </w:r>
          </w:p>
        </w:tc>
        <w:tc>
          <w:tcPr>
            <w:tcW w:w="369" w:type="pct"/>
            <w:tcBorders>
              <w:top w:val="nil"/>
              <w:left w:val="nil"/>
              <w:bottom w:val="single" w:color="auto" w:sz="4" w:space="0"/>
              <w:right w:val="single" w:color="auto" w:sz="4" w:space="0"/>
            </w:tcBorders>
            <w:shd w:val="clear" w:color="000000" w:fill="FFFFFF"/>
            <w:noWrap w:val="0"/>
            <w:vAlign w:val="center"/>
          </w:tcPr>
          <w:p w14:paraId="5FAC68A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6B76CF9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1C81C14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779E17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685" w:type="pct"/>
            <w:tcBorders>
              <w:top w:val="nil"/>
              <w:left w:val="nil"/>
              <w:bottom w:val="single" w:color="auto" w:sz="4" w:space="0"/>
              <w:right w:val="single" w:color="auto" w:sz="4" w:space="0"/>
            </w:tcBorders>
            <w:shd w:val="clear" w:color="000000" w:fill="FFFFFF"/>
            <w:noWrap w:val="0"/>
            <w:vAlign w:val="center"/>
          </w:tcPr>
          <w:p w14:paraId="46960A6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板卡及视频处理设备嵌入式软件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1C67CB5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4路HDMI输入卡是LED图像处理器的高清图像输入板卡，支持4路HDMI高清数字信号输入，支持HDCP，最大分辨率</w:t>
            </w:r>
            <w:r>
              <w:rPr>
                <w:rFonts w:hint="eastAsia" w:asciiTheme="minorEastAsia" w:hAnsiTheme="minorEastAsia" w:eastAsiaTheme="minorEastAsia" w:cstheme="minorEastAsia"/>
                <w:color w:val="auto"/>
                <w:kern w:val="0"/>
                <w:sz w:val="24"/>
                <w:szCs w:val="24"/>
                <w:highlight w:val="none"/>
                <w:lang w:val="en-US" w:eastAsia="zh-CN"/>
              </w:rPr>
              <w:t>至少</w:t>
            </w:r>
            <w:r>
              <w:rPr>
                <w:rFonts w:hint="eastAsia" w:asciiTheme="minorEastAsia" w:hAnsiTheme="minorEastAsia" w:eastAsiaTheme="minorEastAsia" w:cstheme="minorEastAsia"/>
                <w:color w:val="auto"/>
                <w:kern w:val="0"/>
                <w:sz w:val="24"/>
                <w:szCs w:val="24"/>
                <w:highlight w:val="none"/>
              </w:rPr>
              <w:t>支持1920*1080P。</w:t>
            </w:r>
          </w:p>
        </w:tc>
        <w:tc>
          <w:tcPr>
            <w:tcW w:w="369" w:type="pct"/>
            <w:tcBorders>
              <w:top w:val="nil"/>
              <w:left w:val="nil"/>
              <w:bottom w:val="single" w:color="auto" w:sz="4" w:space="0"/>
              <w:right w:val="single" w:color="auto" w:sz="4" w:space="0"/>
            </w:tcBorders>
            <w:shd w:val="clear" w:color="000000" w:fill="FFFFFF"/>
            <w:noWrap w:val="0"/>
            <w:vAlign w:val="center"/>
          </w:tcPr>
          <w:p w14:paraId="438257F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张</w:t>
            </w:r>
          </w:p>
        </w:tc>
        <w:tc>
          <w:tcPr>
            <w:tcW w:w="483" w:type="pct"/>
            <w:tcBorders>
              <w:top w:val="nil"/>
              <w:left w:val="nil"/>
              <w:bottom w:val="single" w:color="auto" w:sz="4" w:space="0"/>
              <w:right w:val="single" w:color="auto" w:sz="4" w:space="0"/>
            </w:tcBorders>
            <w:shd w:val="clear" w:color="000000" w:fill="FFFFFF"/>
            <w:noWrap w:val="0"/>
            <w:vAlign w:val="center"/>
          </w:tcPr>
          <w:p w14:paraId="2E17073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028B858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E4A950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685" w:type="pct"/>
            <w:tcBorders>
              <w:top w:val="nil"/>
              <w:left w:val="nil"/>
              <w:bottom w:val="single" w:color="auto" w:sz="4" w:space="0"/>
              <w:right w:val="single" w:color="auto" w:sz="4" w:space="0"/>
            </w:tcBorders>
            <w:shd w:val="clear" w:color="000000" w:fill="FFFFFF"/>
            <w:noWrap w:val="0"/>
            <w:vAlign w:val="center"/>
          </w:tcPr>
          <w:p w14:paraId="01DC15F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板卡及视频处理设备嵌入式软件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3DE9B4D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4路HDMI输出卡是LED图像处理器的高清图像输出板卡，支持4路HDMI高清数字信号输出，支持HDCP，最大分辨率</w:t>
            </w:r>
            <w:r>
              <w:rPr>
                <w:rFonts w:hint="eastAsia" w:asciiTheme="minorEastAsia" w:hAnsiTheme="minorEastAsia" w:eastAsiaTheme="minorEastAsia" w:cstheme="minorEastAsia"/>
                <w:color w:val="auto"/>
                <w:kern w:val="0"/>
                <w:sz w:val="24"/>
                <w:szCs w:val="24"/>
                <w:highlight w:val="none"/>
                <w:lang w:val="en-US" w:eastAsia="zh-CN"/>
              </w:rPr>
              <w:t>至少</w:t>
            </w:r>
            <w:r>
              <w:rPr>
                <w:rFonts w:hint="eastAsia" w:asciiTheme="minorEastAsia" w:hAnsiTheme="minorEastAsia" w:eastAsiaTheme="minorEastAsia" w:cstheme="minorEastAsia"/>
                <w:color w:val="auto"/>
                <w:kern w:val="0"/>
                <w:sz w:val="24"/>
                <w:szCs w:val="24"/>
                <w:highlight w:val="none"/>
              </w:rPr>
              <w:t>支持1920*1200@60HZ。</w:t>
            </w:r>
          </w:p>
        </w:tc>
        <w:tc>
          <w:tcPr>
            <w:tcW w:w="369" w:type="pct"/>
            <w:tcBorders>
              <w:top w:val="nil"/>
              <w:left w:val="nil"/>
              <w:bottom w:val="single" w:color="auto" w:sz="4" w:space="0"/>
              <w:right w:val="single" w:color="auto" w:sz="4" w:space="0"/>
            </w:tcBorders>
            <w:shd w:val="clear" w:color="000000" w:fill="FFFFFF"/>
            <w:noWrap w:val="0"/>
            <w:vAlign w:val="center"/>
          </w:tcPr>
          <w:p w14:paraId="0EF0DEF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张</w:t>
            </w:r>
          </w:p>
        </w:tc>
        <w:tc>
          <w:tcPr>
            <w:tcW w:w="483" w:type="pct"/>
            <w:tcBorders>
              <w:top w:val="nil"/>
              <w:left w:val="nil"/>
              <w:bottom w:val="single" w:color="auto" w:sz="4" w:space="0"/>
              <w:right w:val="single" w:color="auto" w:sz="4" w:space="0"/>
            </w:tcBorders>
            <w:shd w:val="clear" w:color="000000" w:fill="FFFFFF"/>
            <w:noWrap w:val="0"/>
            <w:vAlign w:val="center"/>
          </w:tcPr>
          <w:p w14:paraId="7CA4FDD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48EEDBF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2C499D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685" w:type="pct"/>
            <w:tcBorders>
              <w:top w:val="nil"/>
              <w:left w:val="nil"/>
              <w:bottom w:val="single" w:color="auto" w:sz="4" w:space="0"/>
              <w:right w:val="single" w:color="auto" w:sz="4" w:space="0"/>
            </w:tcBorders>
            <w:shd w:val="clear" w:color="000000" w:fill="FFFFFF"/>
            <w:noWrap w:val="0"/>
            <w:vAlign w:val="center"/>
          </w:tcPr>
          <w:p w14:paraId="4AB2D53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板卡及视频处理设备嵌入式软件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0AAA208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4路DVI输出卡是LED图像处理器的高清图像输出板卡，支持4路DVI高清数字信号输出，支持分辨率自定义编辑。</w:t>
            </w:r>
          </w:p>
        </w:tc>
        <w:tc>
          <w:tcPr>
            <w:tcW w:w="369" w:type="pct"/>
            <w:tcBorders>
              <w:top w:val="nil"/>
              <w:left w:val="nil"/>
              <w:bottom w:val="single" w:color="auto" w:sz="4" w:space="0"/>
              <w:right w:val="single" w:color="auto" w:sz="4" w:space="0"/>
            </w:tcBorders>
            <w:shd w:val="clear" w:color="000000" w:fill="FFFFFF"/>
            <w:noWrap w:val="0"/>
            <w:vAlign w:val="center"/>
          </w:tcPr>
          <w:p w14:paraId="3547A33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张</w:t>
            </w:r>
          </w:p>
        </w:tc>
        <w:tc>
          <w:tcPr>
            <w:tcW w:w="483" w:type="pct"/>
            <w:tcBorders>
              <w:top w:val="nil"/>
              <w:left w:val="nil"/>
              <w:bottom w:val="single" w:color="auto" w:sz="4" w:space="0"/>
              <w:right w:val="single" w:color="auto" w:sz="4" w:space="0"/>
            </w:tcBorders>
            <w:shd w:val="clear" w:color="000000" w:fill="FFFFFF"/>
            <w:noWrap w:val="0"/>
            <w:vAlign w:val="center"/>
          </w:tcPr>
          <w:p w14:paraId="671F714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120EAE9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E8C68D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685" w:type="pct"/>
            <w:tcBorders>
              <w:top w:val="nil"/>
              <w:left w:val="nil"/>
              <w:bottom w:val="single" w:color="auto" w:sz="4" w:space="0"/>
              <w:right w:val="single" w:color="auto" w:sz="4" w:space="0"/>
            </w:tcBorders>
            <w:shd w:val="clear" w:color="000000" w:fill="FFFFFF"/>
            <w:noWrap w:val="0"/>
            <w:vAlign w:val="center"/>
          </w:tcPr>
          <w:p w14:paraId="251B24B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板卡及视频处理设备嵌入式软件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5A888A2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4路SDI输入板卡是LED图像处理器的无压缩高清图像输入板卡，支持4路SDI无压缩视频信号输入，支持SD/HD/3G-SDI多种信号类型。</w:t>
            </w:r>
          </w:p>
        </w:tc>
        <w:tc>
          <w:tcPr>
            <w:tcW w:w="369" w:type="pct"/>
            <w:tcBorders>
              <w:top w:val="nil"/>
              <w:left w:val="nil"/>
              <w:bottom w:val="single" w:color="auto" w:sz="4" w:space="0"/>
              <w:right w:val="single" w:color="auto" w:sz="4" w:space="0"/>
            </w:tcBorders>
            <w:shd w:val="clear" w:color="000000" w:fill="FFFFFF"/>
            <w:noWrap w:val="0"/>
            <w:vAlign w:val="center"/>
          </w:tcPr>
          <w:p w14:paraId="0FAC031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张</w:t>
            </w:r>
          </w:p>
        </w:tc>
        <w:tc>
          <w:tcPr>
            <w:tcW w:w="483" w:type="pct"/>
            <w:tcBorders>
              <w:top w:val="nil"/>
              <w:left w:val="nil"/>
              <w:bottom w:val="single" w:color="auto" w:sz="4" w:space="0"/>
              <w:right w:val="single" w:color="auto" w:sz="4" w:space="0"/>
            </w:tcBorders>
            <w:shd w:val="clear" w:color="000000" w:fill="FFFFFF"/>
            <w:noWrap w:val="0"/>
            <w:vAlign w:val="center"/>
          </w:tcPr>
          <w:p w14:paraId="2F3C84D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41389C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8A7D4A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685" w:type="pct"/>
            <w:tcBorders>
              <w:top w:val="nil"/>
              <w:left w:val="nil"/>
              <w:bottom w:val="single" w:color="auto" w:sz="4" w:space="0"/>
              <w:right w:val="single" w:color="auto" w:sz="4" w:space="0"/>
            </w:tcBorders>
            <w:shd w:val="clear" w:color="000000" w:fill="FFFFFF"/>
            <w:noWrap w:val="0"/>
            <w:vAlign w:val="center"/>
          </w:tcPr>
          <w:p w14:paraId="1431BDF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板卡及视频处理设备嵌入式软件</w:t>
            </w:r>
          </w:p>
        </w:tc>
        <w:tc>
          <w:tcPr>
            <w:tcW w:w="3000" w:type="pct"/>
            <w:tcBorders>
              <w:top w:val="nil"/>
              <w:left w:val="nil"/>
              <w:bottom w:val="single" w:color="auto" w:sz="4" w:space="0"/>
              <w:right w:val="single" w:color="auto" w:sz="4" w:space="0"/>
            </w:tcBorders>
            <w:shd w:val="clear" w:color="000000" w:fill="FFFFFF"/>
            <w:noWrap/>
            <w:vAlign w:val="center"/>
          </w:tcPr>
          <w:p w14:paraId="2359385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LED图像处理器的无压缩高清视频输出板卡，可支持4路SDI无压缩视频信号输出，接口4个BNC接口，可支持4路SDI高清数字信号，支持SD/HD/3G-SDI多种信号类型。</w:t>
            </w:r>
          </w:p>
        </w:tc>
        <w:tc>
          <w:tcPr>
            <w:tcW w:w="369" w:type="pct"/>
            <w:tcBorders>
              <w:top w:val="nil"/>
              <w:left w:val="nil"/>
              <w:bottom w:val="single" w:color="auto" w:sz="4" w:space="0"/>
              <w:right w:val="single" w:color="auto" w:sz="4" w:space="0"/>
            </w:tcBorders>
            <w:shd w:val="clear" w:color="000000" w:fill="FFFFFF"/>
            <w:noWrap w:val="0"/>
            <w:vAlign w:val="center"/>
          </w:tcPr>
          <w:p w14:paraId="114269D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张</w:t>
            </w:r>
          </w:p>
        </w:tc>
        <w:tc>
          <w:tcPr>
            <w:tcW w:w="483" w:type="pct"/>
            <w:tcBorders>
              <w:top w:val="nil"/>
              <w:left w:val="nil"/>
              <w:bottom w:val="single" w:color="auto" w:sz="4" w:space="0"/>
              <w:right w:val="single" w:color="auto" w:sz="4" w:space="0"/>
            </w:tcBorders>
            <w:shd w:val="clear" w:color="000000" w:fill="FFFFFF"/>
            <w:noWrap w:val="0"/>
            <w:vAlign w:val="center"/>
          </w:tcPr>
          <w:p w14:paraId="78A3FC3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25F403B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042472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685" w:type="pct"/>
            <w:tcBorders>
              <w:top w:val="nil"/>
              <w:left w:val="nil"/>
              <w:bottom w:val="single" w:color="auto" w:sz="4" w:space="0"/>
              <w:right w:val="single" w:color="auto" w:sz="4" w:space="0"/>
            </w:tcBorders>
            <w:shd w:val="clear" w:color="000000" w:fill="FFFFFF"/>
            <w:noWrap w:val="0"/>
            <w:vAlign w:val="center"/>
          </w:tcPr>
          <w:p w14:paraId="25D785A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配电柜</w:t>
            </w:r>
          </w:p>
        </w:tc>
        <w:tc>
          <w:tcPr>
            <w:tcW w:w="3000" w:type="pct"/>
            <w:tcBorders>
              <w:top w:val="nil"/>
              <w:left w:val="nil"/>
              <w:bottom w:val="single" w:color="auto" w:sz="4" w:space="0"/>
              <w:right w:val="single" w:color="auto" w:sz="4" w:space="0"/>
            </w:tcBorders>
            <w:shd w:val="clear" w:color="000000" w:fill="FFFFFF"/>
            <w:noWrap/>
            <w:vAlign w:val="center"/>
          </w:tcPr>
          <w:p w14:paraId="1CF13B5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多功能卡配电柜送电采用“分步延时上电”的上电方式，避免了大负载对电网瞬间的冲击，有效地保护显示屏体的电子元件，延长显示屏的使用寿命，配合多功能卡使用，提升了LED系统的整体性能。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1、额定功率：10KW，输出路数：≥3路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2、输入电压：三相五线制AC380V±10％，频率50Hz±5％，具有过压、浪涌、短路、过流、过载等保护功能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3、输出电压：单相220VAC</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4、选用开关：D32A*1P</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5、交流接触器：（额定电流32A）*1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6、额定电流：17.8A，主断路器电流：32A</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7、配电柜含多功能卡控制，具有远程控制功能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8、内置避雷器，具有避雷防雷功能，B级防雷</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9、支持通过LED显示屏智慧控制系统软件实现远程开关电箱、远程通讯、电源监视、温度监控等操作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10、外壳防护等级：IP30</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11、内置16A备用插座</w:t>
            </w:r>
          </w:p>
        </w:tc>
        <w:tc>
          <w:tcPr>
            <w:tcW w:w="369" w:type="pct"/>
            <w:tcBorders>
              <w:top w:val="nil"/>
              <w:left w:val="nil"/>
              <w:bottom w:val="single" w:color="auto" w:sz="4" w:space="0"/>
              <w:right w:val="single" w:color="auto" w:sz="4" w:space="0"/>
            </w:tcBorders>
            <w:shd w:val="clear" w:color="000000" w:fill="FFFFFF"/>
            <w:noWrap w:val="0"/>
            <w:vAlign w:val="center"/>
          </w:tcPr>
          <w:p w14:paraId="18A3857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7D052A7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282556B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auto"/>
            <w:noWrap w:val="0"/>
            <w:vAlign w:val="center"/>
          </w:tcPr>
          <w:p w14:paraId="55463CE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lang w:val="en-US" w:eastAsia="zh-CN"/>
              </w:rPr>
              <w:t>1</w:t>
            </w:r>
          </w:p>
        </w:tc>
        <w:tc>
          <w:tcPr>
            <w:tcW w:w="685" w:type="pct"/>
            <w:tcBorders>
              <w:top w:val="nil"/>
              <w:left w:val="nil"/>
              <w:bottom w:val="single" w:color="auto" w:sz="4" w:space="0"/>
              <w:right w:val="single" w:color="auto" w:sz="4" w:space="0"/>
            </w:tcBorders>
            <w:shd w:val="clear" w:color="000000" w:fill="auto"/>
            <w:noWrap w:val="0"/>
            <w:vAlign w:val="center"/>
          </w:tcPr>
          <w:p w14:paraId="792C140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钢结构</w:t>
            </w:r>
          </w:p>
        </w:tc>
        <w:tc>
          <w:tcPr>
            <w:tcW w:w="3000" w:type="pct"/>
            <w:tcBorders>
              <w:top w:val="nil"/>
              <w:left w:val="nil"/>
              <w:bottom w:val="single" w:color="auto" w:sz="4" w:space="0"/>
              <w:right w:val="single" w:color="auto" w:sz="4" w:space="0"/>
            </w:tcBorders>
            <w:shd w:val="clear" w:color="000000" w:fill="auto"/>
            <w:noWrap/>
            <w:vAlign w:val="center"/>
          </w:tcPr>
          <w:p w14:paraId="7752130A">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1、用于安装支撑屏体的结构及安装费用；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2、包边要求：采用铝塑板，不锈钢进行包边，颜色默认为黑色及灰色；</w:t>
            </w:r>
          </w:p>
        </w:tc>
        <w:tc>
          <w:tcPr>
            <w:tcW w:w="369" w:type="pct"/>
            <w:tcBorders>
              <w:top w:val="nil"/>
              <w:left w:val="nil"/>
              <w:bottom w:val="single" w:color="auto" w:sz="4" w:space="0"/>
              <w:right w:val="single" w:color="auto" w:sz="4" w:space="0"/>
            </w:tcBorders>
            <w:shd w:val="clear" w:color="000000" w:fill="auto"/>
            <w:noWrap w:val="0"/>
            <w:vAlign w:val="center"/>
          </w:tcPr>
          <w:p w14:paraId="6233DF2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平方米</w:t>
            </w:r>
          </w:p>
        </w:tc>
        <w:tc>
          <w:tcPr>
            <w:tcW w:w="483" w:type="pct"/>
            <w:tcBorders>
              <w:top w:val="nil"/>
              <w:left w:val="nil"/>
              <w:bottom w:val="single" w:color="auto" w:sz="4" w:space="0"/>
              <w:right w:val="single" w:color="auto" w:sz="4" w:space="0"/>
            </w:tcBorders>
            <w:shd w:val="clear" w:color="000000" w:fill="auto"/>
            <w:noWrap w:val="0"/>
            <w:vAlign w:val="center"/>
          </w:tcPr>
          <w:p w14:paraId="75CCDC9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8.5892</w:t>
            </w:r>
          </w:p>
        </w:tc>
      </w:tr>
      <w:tr w14:paraId="2FDC3FC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C98833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二</w:t>
            </w:r>
            <w:r>
              <w:rPr>
                <w:rFonts w:hint="eastAsia" w:asciiTheme="minorEastAsia" w:hAnsiTheme="minorEastAsia" w:eastAsiaTheme="minorEastAsia" w:cstheme="minorEastAsia"/>
                <w:b/>
                <w:bCs/>
                <w:color w:val="auto"/>
                <w:kern w:val="0"/>
                <w:sz w:val="24"/>
                <w:szCs w:val="24"/>
                <w:highlight w:val="none"/>
                <w:lang w:eastAsia="zh-CN"/>
              </w:rPr>
              <w:t>）</w:t>
            </w:r>
          </w:p>
        </w:tc>
        <w:tc>
          <w:tcPr>
            <w:tcW w:w="685" w:type="pct"/>
            <w:tcBorders>
              <w:top w:val="nil"/>
              <w:left w:val="nil"/>
              <w:bottom w:val="single" w:color="auto" w:sz="4" w:space="0"/>
              <w:right w:val="single" w:color="auto" w:sz="4" w:space="0"/>
            </w:tcBorders>
            <w:shd w:val="clear" w:color="000000" w:fill="FFFFFF"/>
            <w:noWrap w:val="0"/>
            <w:vAlign w:val="center"/>
          </w:tcPr>
          <w:p w14:paraId="66038A24">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音频扩声系统</w:t>
            </w:r>
          </w:p>
        </w:tc>
        <w:tc>
          <w:tcPr>
            <w:tcW w:w="3000" w:type="pct"/>
            <w:tcBorders>
              <w:top w:val="nil"/>
              <w:left w:val="nil"/>
              <w:bottom w:val="single" w:color="auto" w:sz="4" w:space="0"/>
              <w:right w:val="single" w:color="auto" w:sz="4" w:space="0"/>
            </w:tcBorders>
            <w:shd w:val="clear" w:color="000000" w:fill="FFFFFF"/>
            <w:noWrap/>
            <w:vAlign w:val="center"/>
          </w:tcPr>
          <w:p w14:paraId="54D3002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7A8176A0">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7A8C9D16">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p>
        </w:tc>
      </w:tr>
      <w:tr w14:paraId="5E69CB9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6148B6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43F21D6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专业音箱</w:t>
            </w:r>
          </w:p>
        </w:tc>
        <w:tc>
          <w:tcPr>
            <w:tcW w:w="3000" w:type="pct"/>
            <w:tcBorders>
              <w:top w:val="nil"/>
              <w:left w:val="nil"/>
              <w:bottom w:val="single" w:color="auto" w:sz="4" w:space="0"/>
              <w:right w:val="single" w:color="auto" w:sz="4" w:space="0"/>
            </w:tcBorders>
            <w:shd w:val="clear" w:color="000000" w:fill="FFFFFF"/>
            <w:noWrap/>
            <w:vAlign w:val="center"/>
          </w:tcPr>
          <w:p w14:paraId="1DAC4A3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与专业功放、前级效果处理器配套使用，组成一套完美音效、人声表现突出的高端娱乐会议扩声系统，适用于KTV房，高档会议室及多功能厅等场所的补声使用。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1、阻抗：8Ω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2、频响：70Hz-20KHz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3、额定功率：≥150W</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4、峰值功率：600W</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5、灵敏度：≥96dB/W/M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6、最大声压级（额定/峰值）：118dB/124dB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7、覆盖角度：(H)100°(V)80°</w:t>
            </w:r>
          </w:p>
        </w:tc>
        <w:tc>
          <w:tcPr>
            <w:tcW w:w="369" w:type="pct"/>
            <w:tcBorders>
              <w:top w:val="nil"/>
              <w:left w:val="nil"/>
              <w:bottom w:val="single" w:color="auto" w:sz="4" w:space="0"/>
              <w:right w:val="single" w:color="auto" w:sz="4" w:space="0"/>
            </w:tcBorders>
            <w:shd w:val="clear" w:color="000000" w:fill="FFFFFF"/>
            <w:noWrap w:val="0"/>
            <w:vAlign w:val="center"/>
          </w:tcPr>
          <w:p w14:paraId="458086E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只</w:t>
            </w:r>
          </w:p>
        </w:tc>
        <w:tc>
          <w:tcPr>
            <w:tcW w:w="483" w:type="pct"/>
            <w:tcBorders>
              <w:top w:val="nil"/>
              <w:left w:val="nil"/>
              <w:bottom w:val="single" w:color="auto" w:sz="4" w:space="0"/>
              <w:right w:val="single" w:color="auto" w:sz="4" w:space="0"/>
            </w:tcBorders>
            <w:shd w:val="clear" w:color="000000" w:fill="FFFFFF"/>
            <w:noWrap w:val="0"/>
            <w:vAlign w:val="center"/>
          </w:tcPr>
          <w:p w14:paraId="1F5E941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2789550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794FDC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3E5CA0E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专业功放</w:t>
            </w:r>
          </w:p>
        </w:tc>
        <w:tc>
          <w:tcPr>
            <w:tcW w:w="3000" w:type="pct"/>
            <w:tcBorders>
              <w:top w:val="nil"/>
              <w:left w:val="nil"/>
              <w:bottom w:val="single" w:color="auto" w:sz="4" w:space="0"/>
              <w:right w:val="single" w:color="auto" w:sz="4" w:space="0"/>
            </w:tcBorders>
            <w:shd w:val="clear" w:color="000000" w:fill="FFFFFF"/>
            <w:noWrap/>
            <w:vAlign w:val="center"/>
          </w:tcPr>
          <w:p w14:paraId="5B396F5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1、输出功率：立体声@8Ω：≥200W×2；立体声@4Ω：≥400W×2</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2、输入灵敏度：≥2.2dBu(1V)</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xml:space="preserve">3、输入阻抗：10KΩ </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4、频率响应(@1W功率下)：20Hz-20KHz/±1dB @8Ω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5、THD+N(@1/8功率下) ：≤0.01%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6、分离度(@1KHz) ：≥80dB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 xml:space="preserve">7、阻尼系数(@1KHz) ：≥200@ 8 ohms </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8、信噪比（A计权）：≥93dB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9、输入电压：~220V/50Hz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10、最大功耗：500W</w:t>
            </w:r>
          </w:p>
        </w:tc>
        <w:tc>
          <w:tcPr>
            <w:tcW w:w="369" w:type="pct"/>
            <w:tcBorders>
              <w:top w:val="nil"/>
              <w:left w:val="nil"/>
              <w:bottom w:val="single" w:color="auto" w:sz="4" w:space="0"/>
              <w:right w:val="single" w:color="auto" w:sz="4" w:space="0"/>
            </w:tcBorders>
            <w:shd w:val="clear" w:color="000000" w:fill="FFFFFF"/>
            <w:noWrap w:val="0"/>
            <w:vAlign w:val="center"/>
          </w:tcPr>
          <w:p w14:paraId="0C322B4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3824125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3DC0C1E1">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974218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85" w:type="pct"/>
            <w:tcBorders>
              <w:top w:val="nil"/>
              <w:left w:val="nil"/>
              <w:bottom w:val="single" w:color="auto" w:sz="4" w:space="0"/>
              <w:right w:val="single" w:color="auto" w:sz="4" w:space="0"/>
            </w:tcBorders>
            <w:shd w:val="clear" w:color="000000" w:fill="FFFFFF"/>
            <w:noWrap w:val="0"/>
            <w:vAlign w:val="center"/>
          </w:tcPr>
          <w:p w14:paraId="3B02475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支架</w:t>
            </w:r>
          </w:p>
        </w:tc>
        <w:tc>
          <w:tcPr>
            <w:tcW w:w="3000" w:type="pct"/>
            <w:tcBorders>
              <w:top w:val="nil"/>
              <w:left w:val="nil"/>
              <w:bottom w:val="single" w:color="auto" w:sz="4" w:space="0"/>
              <w:right w:val="single" w:color="auto" w:sz="4" w:space="0"/>
            </w:tcBorders>
            <w:shd w:val="clear" w:color="000000" w:fill="FFFFFF"/>
            <w:noWrap/>
            <w:vAlign w:val="center"/>
          </w:tcPr>
          <w:p w14:paraId="0CE4912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固定面板固定孔尺寸（长*宽）：34mm*34mm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箱体固定面板固定孔尺寸：110mm</w:t>
            </w:r>
          </w:p>
        </w:tc>
        <w:tc>
          <w:tcPr>
            <w:tcW w:w="369" w:type="pct"/>
            <w:tcBorders>
              <w:top w:val="nil"/>
              <w:left w:val="nil"/>
              <w:bottom w:val="single" w:color="auto" w:sz="4" w:space="0"/>
              <w:right w:val="single" w:color="auto" w:sz="4" w:space="0"/>
            </w:tcBorders>
            <w:shd w:val="clear" w:color="000000" w:fill="FFFFFF"/>
            <w:noWrap w:val="0"/>
            <w:vAlign w:val="center"/>
          </w:tcPr>
          <w:p w14:paraId="0DA9FC1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只</w:t>
            </w:r>
          </w:p>
        </w:tc>
        <w:tc>
          <w:tcPr>
            <w:tcW w:w="483" w:type="pct"/>
            <w:tcBorders>
              <w:top w:val="nil"/>
              <w:left w:val="nil"/>
              <w:bottom w:val="single" w:color="auto" w:sz="4" w:space="0"/>
              <w:right w:val="single" w:color="auto" w:sz="4" w:space="0"/>
            </w:tcBorders>
            <w:shd w:val="clear" w:color="000000" w:fill="FFFFFF"/>
            <w:noWrap w:val="0"/>
            <w:vAlign w:val="center"/>
          </w:tcPr>
          <w:p w14:paraId="20DC90A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56B9E78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A396B7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685" w:type="pct"/>
            <w:tcBorders>
              <w:top w:val="nil"/>
              <w:left w:val="nil"/>
              <w:bottom w:val="single" w:color="auto" w:sz="4" w:space="0"/>
              <w:right w:val="single" w:color="auto" w:sz="4" w:space="0"/>
            </w:tcBorders>
            <w:shd w:val="clear" w:color="000000" w:fill="FFFFFF"/>
            <w:noWrap w:val="0"/>
            <w:vAlign w:val="center"/>
          </w:tcPr>
          <w:p w14:paraId="56B6AD6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调音台</w:t>
            </w:r>
          </w:p>
        </w:tc>
        <w:tc>
          <w:tcPr>
            <w:tcW w:w="3000" w:type="pct"/>
            <w:tcBorders>
              <w:top w:val="nil"/>
              <w:left w:val="nil"/>
              <w:bottom w:val="single" w:color="auto" w:sz="4" w:space="0"/>
              <w:right w:val="single" w:color="auto" w:sz="4" w:space="0"/>
            </w:tcBorders>
            <w:shd w:val="clear" w:color="000000" w:fill="FFFFFF"/>
            <w:noWrap/>
            <w:vAlign w:val="center"/>
          </w:tcPr>
          <w:p w14:paraId="4BCDD4E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1、专业型紧凑式调音台,超低噪声离散式麦克风前置放大器和+48V幻象电源，功能强大齐全，音质动听。</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2、提供≥8路Mic输入接口兼容6路线路输入接口，话筒输入接口带48V幻象电源。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3、提供≥2组立体声输入，≥4路RCA输入，可连接立体设备。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4、提供≥2组立体主输出、≥4路编组输出、≥4路辅助输出、≥1组立体声监听输出、≥1个耳机监听输出、≥2个效果输出。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5、提供≥1组主混音断点插入、≥6个断点插入，可连接额外的处理器（压缩器、均衡器。限幅器等）。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6、具有≥13个60mm行程的高精密碳膜推子。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7、内置MP3播放器，支持≥1路USB接口，外接U盘播放音乐。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8、内置USB声卡，连接电脑进行音乐播放和声音录音。</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9、内置≥24位DSP效果器，提供≥100种预设效果。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10、提供≥1个USB供电接口，可连接USB照明灯。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11.支持7段图示均衡推子调节。</w:t>
            </w:r>
          </w:p>
        </w:tc>
        <w:tc>
          <w:tcPr>
            <w:tcW w:w="369" w:type="pct"/>
            <w:tcBorders>
              <w:top w:val="nil"/>
              <w:left w:val="nil"/>
              <w:bottom w:val="single" w:color="auto" w:sz="4" w:space="0"/>
              <w:right w:val="single" w:color="auto" w:sz="4" w:space="0"/>
            </w:tcBorders>
            <w:shd w:val="clear" w:color="000000" w:fill="FFFFFF"/>
            <w:noWrap w:val="0"/>
            <w:vAlign w:val="center"/>
          </w:tcPr>
          <w:p w14:paraId="4E7D517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0C8FEB0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0FF023BC">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D70462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685" w:type="pct"/>
            <w:tcBorders>
              <w:top w:val="nil"/>
              <w:left w:val="nil"/>
              <w:bottom w:val="single" w:color="auto" w:sz="4" w:space="0"/>
              <w:right w:val="single" w:color="auto" w:sz="4" w:space="0"/>
            </w:tcBorders>
            <w:shd w:val="clear" w:color="000000" w:fill="FFFFFF"/>
            <w:noWrap w:val="0"/>
            <w:vAlign w:val="center"/>
          </w:tcPr>
          <w:p w14:paraId="4307648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音频处理器</w:t>
            </w:r>
          </w:p>
        </w:tc>
        <w:tc>
          <w:tcPr>
            <w:tcW w:w="3000" w:type="pct"/>
            <w:tcBorders>
              <w:top w:val="nil"/>
              <w:left w:val="nil"/>
              <w:bottom w:val="single" w:color="auto" w:sz="4" w:space="0"/>
              <w:right w:val="single" w:color="auto" w:sz="4" w:space="0"/>
            </w:tcBorders>
            <w:shd w:val="clear" w:color="000000" w:fill="FFFFFF"/>
            <w:noWrap/>
            <w:vAlign w:val="center"/>
          </w:tcPr>
          <w:p w14:paraId="3E349D1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1、输入通道：前级放大、信号发生器、扩展器、压缩器、5段参量均衡、AM自动混音功能、AFC自适应反馈消除、AEC回声消除、ANC噪声消除</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2、输出通道：≥31段图示均衡器、延时器、分频器、高低通滤波器、限幅器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3、采样率：48K</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4、幻象供电：DC 48V</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5、频率响应：20Hz-20kHz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6、总谐波失真+噪声：≤0、003%,4dBu</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7、数/模动态范围(A-计权)：≥114dB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8、模/数动态范围(A-计权)：≥120dB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9、输入阻抗(平衡式)：20KΩ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10、最大输出阻抗（平衡式)：100Ω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11、通道隔离度：1kHz，104dB</w:t>
            </w:r>
          </w:p>
          <w:p w14:paraId="74271B80">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12、输入共模抑制：70dB @80 Hz</w:t>
            </w:r>
          </w:p>
        </w:tc>
        <w:tc>
          <w:tcPr>
            <w:tcW w:w="369" w:type="pct"/>
            <w:tcBorders>
              <w:top w:val="nil"/>
              <w:left w:val="nil"/>
              <w:bottom w:val="single" w:color="auto" w:sz="4" w:space="0"/>
              <w:right w:val="single" w:color="auto" w:sz="4" w:space="0"/>
            </w:tcBorders>
            <w:shd w:val="clear" w:color="000000" w:fill="FFFFFF"/>
            <w:noWrap w:val="0"/>
            <w:vAlign w:val="center"/>
          </w:tcPr>
          <w:p w14:paraId="2F3112E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40B4EE4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56DCD8B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263300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685" w:type="pct"/>
            <w:tcBorders>
              <w:top w:val="nil"/>
              <w:left w:val="nil"/>
              <w:bottom w:val="single" w:color="auto" w:sz="4" w:space="0"/>
              <w:right w:val="single" w:color="auto" w:sz="4" w:space="0"/>
            </w:tcBorders>
            <w:shd w:val="clear" w:color="000000" w:fill="FFFFFF"/>
            <w:noWrap w:val="0"/>
            <w:vAlign w:val="center"/>
          </w:tcPr>
          <w:p w14:paraId="337CEF2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无线话筒及话筒呼叫控制嵌入软件</w:t>
            </w:r>
          </w:p>
        </w:tc>
        <w:tc>
          <w:tcPr>
            <w:tcW w:w="3000" w:type="pct"/>
            <w:tcBorders>
              <w:top w:val="nil"/>
              <w:left w:val="nil"/>
              <w:bottom w:val="single" w:color="auto" w:sz="4" w:space="0"/>
              <w:right w:val="single" w:color="auto" w:sz="4" w:space="0"/>
            </w:tcBorders>
            <w:shd w:val="clear" w:color="000000" w:fill="FFFFFF"/>
            <w:noWrap/>
            <w:vAlign w:val="center"/>
          </w:tcPr>
          <w:p w14:paraId="1253A9F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1.具有≥1台接收主机、≥4只桌面式鹅颈咪杆话筒；频率范围等同或优于540MHz-590MHz、640MHz-690MHz。</w:t>
            </w:r>
          </w:p>
          <w:p w14:paraId="192ED08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2.接收机具有≥4路平衡输出、≥1路非平衡混音输出。</w:t>
            </w:r>
          </w:p>
          <w:p w14:paraId="7ED42E8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3.具有自动频率扫描功能，可快速地给麦克风找到清晰的频率。</w:t>
            </w:r>
          </w:p>
          <w:p w14:paraId="56EEAAA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4.支持混响调节功能，比例调节、延时调节、电平调节≥25个档位。</w:t>
            </w:r>
          </w:p>
          <w:p w14:paraId="3886F73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5.支持麦克风均衡器调节功能，≥高、中、低音三种调节档位。</w:t>
            </w:r>
          </w:p>
          <w:p w14:paraId="1CE450C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6.接收机具有显示屏，用户可通过显示屏查看设备发射功率强度、音频加密状态、电池电量、频率数值。</w:t>
            </w:r>
          </w:p>
          <w:p w14:paraId="6F9DC4A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7.桌面麦≥1个3.5mm耳机孔，可通过3.5mm耳机孔输入音频。</w:t>
            </w:r>
          </w:p>
          <w:p w14:paraId="586CDD3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8.桌面麦支持通过Type-C口进行充电。</w:t>
            </w:r>
          </w:p>
          <w:p w14:paraId="0BEDDC2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9.桌面麦电池孔位≥4个，连续使用时长≥15小时；电池具有扩展性，连续使用时长可扩展至≥60小时。</w:t>
            </w:r>
          </w:p>
        </w:tc>
        <w:tc>
          <w:tcPr>
            <w:tcW w:w="369" w:type="pct"/>
            <w:tcBorders>
              <w:top w:val="nil"/>
              <w:left w:val="nil"/>
              <w:bottom w:val="single" w:color="auto" w:sz="4" w:space="0"/>
              <w:right w:val="single" w:color="auto" w:sz="4" w:space="0"/>
            </w:tcBorders>
            <w:shd w:val="clear" w:color="000000" w:fill="FFFFFF"/>
            <w:noWrap w:val="0"/>
            <w:vAlign w:val="center"/>
          </w:tcPr>
          <w:p w14:paraId="48BADE1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4B65B18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3A09057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9DA2DB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685" w:type="pct"/>
            <w:tcBorders>
              <w:top w:val="nil"/>
              <w:left w:val="nil"/>
              <w:bottom w:val="single" w:color="auto" w:sz="4" w:space="0"/>
              <w:right w:val="single" w:color="auto" w:sz="4" w:space="0"/>
            </w:tcBorders>
            <w:shd w:val="clear" w:color="000000" w:fill="FFFFFF"/>
            <w:noWrap w:val="0"/>
            <w:vAlign w:val="center"/>
          </w:tcPr>
          <w:p w14:paraId="46EF802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抑制器</w:t>
            </w:r>
          </w:p>
        </w:tc>
        <w:tc>
          <w:tcPr>
            <w:tcW w:w="3000" w:type="pct"/>
            <w:tcBorders>
              <w:top w:val="nil"/>
              <w:left w:val="nil"/>
              <w:bottom w:val="single" w:color="auto" w:sz="4" w:space="0"/>
              <w:right w:val="single" w:color="auto" w:sz="4" w:space="0"/>
            </w:tcBorders>
            <w:shd w:val="clear" w:color="000000" w:fill="FFFFFF"/>
            <w:noWrap/>
            <w:vAlign w:val="center"/>
          </w:tcPr>
          <w:p w14:paraId="23E82AB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1、输入通道及插座：≥2路XLR与TRS多功能座模拟输入</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2、输出通道及插座：≥2路XLR公座+2路TRS公座 模拟输出</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3、输入阻抗：平衡：20KΩ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4、输出阻抗：平衡：100Ω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5、输入范围：≤+20dBu</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6、频率响应：20Hz-20kHz（±0.5dB）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7、信噪比：≥103dB@1kHz 20dBu（A计权）</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8、失真度：&lt;0.012% OUTPUT=0dBu/1kHz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9、通道分离度：&gt;82dB(1kHz)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10、啸叫寻找与抑制方式：全自动式陷波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11、滤波器：24个每通道</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12、Q值范围：10-50</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13、频率分辨率：1Hz</w:t>
            </w:r>
          </w:p>
        </w:tc>
        <w:tc>
          <w:tcPr>
            <w:tcW w:w="369" w:type="pct"/>
            <w:tcBorders>
              <w:top w:val="nil"/>
              <w:left w:val="nil"/>
              <w:bottom w:val="single" w:color="auto" w:sz="4" w:space="0"/>
              <w:right w:val="single" w:color="auto" w:sz="4" w:space="0"/>
            </w:tcBorders>
            <w:shd w:val="clear" w:color="000000" w:fill="FFFFFF"/>
            <w:noWrap w:val="0"/>
            <w:vAlign w:val="center"/>
          </w:tcPr>
          <w:p w14:paraId="550244D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725B1430">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18698CE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4B7727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三</w:t>
            </w:r>
            <w:r>
              <w:rPr>
                <w:rFonts w:hint="eastAsia" w:asciiTheme="minorEastAsia" w:hAnsiTheme="minorEastAsia" w:eastAsiaTheme="minorEastAsia" w:cstheme="minorEastAsia"/>
                <w:b/>
                <w:bCs/>
                <w:color w:val="auto"/>
                <w:kern w:val="0"/>
                <w:sz w:val="24"/>
                <w:szCs w:val="24"/>
                <w:highlight w:val="none"/>
                <w:lang w:eastAsia="zh-CN"/>
              </w:rPr>
              <w:t>）</w:t>
            </w:r>
          </w:p>
        </w:tc>
        <w:tc>
          <w:tcPr>
            <w:tcW w:w="685" w:type="pct"/>
            <w:tcBorders>
              <w:top w:val="nil"/>
              <w:left w:val="nil"/>
              <w:bottom w:val="single" w:color="auto" w:sz="4" w:space="0"/>
              <w:right w:val="single" w:color="auto" w:sz="4" w:space="0"/>
            </w:tcBorders>
            <w:shd w:val="clear" w:color="000000" w:fill="FFFFFF"/>
            <w:noWrap w:val="0"/>
            <w:vAlign w:val="center"/>
          </w:tcPr>
          <w:p w14:paraId="2A8A0C9E">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视频会议系统</w:t>
            </w:r>
          </w:p>
        </w:tc>
        <w:tc>
          <w:tcPr>
            <w:tcW w:w="3000" w:type="pct"/>
            <w:tcBorders>
              <w:top w:val="nil"/>
              <w:left w:val="nil"/>
              <w:bottom w:val="single" w:color="auto" w:sz="4" w:space="0"/>
              <w:right w:val="single" w:color="auto" w:sz="4" w:space="0"/>
            </w:tcBorders>
            <w:shd w:val="clear" w:color="000000" w:fill="FFFFFF"/>
            <w:noWrap/>
            <w:vAlign w:val="center"/>
          </w:tcPr>
          <w:p w14:paraId="24B2069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63E09184">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5CE9C76D">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p>
        </w:tc>
      </w:tr>
      <w:tr w14:paraId="75689AA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B06FB9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3E1BE7E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指挥中心主会场</w:t>
            </w:r>
          </w:p>
        </w:tc>
        <w:tc>
          <w:tcPr>
            <w:tcW w:w="3000" w:type="pct"/>
            <w:tcBorders>
              <w:top w:val="nil"/>
              <w:left w:val="nil"/>
              <w:bottom w:val="single" w:color="auto" w:sz="4" w:space="0"/>
              <w:right w:val="single" w:color="auto" w:sz="4" w:space="0"/>
            </w:tcBorders>
            <w:shd w:val="clear" w:color="000000" w:fill="FFFFFF"/>
            <w:noWrap/>
            <w:vAlign w:val="center"/>
          </w:tcPr>
          <w:p w14:paraId="169FD8F7">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7F0E118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09E121BC">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4E652718">
        <w:tblPrEx>
          <w:tblCellMar>
            <w:top w:w="0" w:type="dxa"/>
            <w:left w:w="108" w:type="dxa"/>
            <w:bottom w:w="0" w:type="dxa"/>
            <w:right w:w="108" w:type="dxa"/>
          </w:tblCellMar>
        </w:tblPrEx>
        <w:trPr>
          <w:trHeight w:val="90"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6A4556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p>
        </w:tc>
        <w:tc>
          <w:tcPr>
            <w:tcW w:w="685" w:type="pct"/>
            <w:tcBorders>
              <w:top w:val="nil"/>
              <w:left w:val="nil"/>
              <w:bottom w:val="single" w:color="auto" w:sz="4" w:space="0"/>
              <w:right w:val="single" w:color="auto" w:sz="4" w:space="0"/>
            </w:tcBorders>
            <w:shd w:val="clear" w:color="000000" w:fill="FFFFFF"/>
            <w:noWrap w:val="0"/>
            <w:vAlign w:val="center"/>
          </w:tcPr>
          <w:p w14:paraId="3A77444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视频会议主机及高清视频会议MCU嵌入软件</w:t>
            </w:r>
          </w:p>
        </w:tc>
        <w:tc>
          <w:tcPr>
            <w:tcW w:w="3000" w:type="pct"/>
            <w:tcBorders>
              <w:top w:val="nil"/>
              <w:left w:val="nil"/>
              <w:bottom w:val="single" w:color="auto" w:sz="4" w:space="0"/>
              <w:right w:val="single" w:color="auto" w:sz="4" w:space="0"/>
            </w:tcBorders>
            <w:shd w:val="clear" w:color="000000" w:fill="FFFFFF"/>
            <w:noWrap/>
            <w:vAlign w:val="center"/>
          </w:tcPr>
          <w:p w14:paraId="758647D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视频会议主机技术参数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1、容量能力：≥8路用户</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2、并发会议：≥6组物理会议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3、板卡数量：≥4块；其中3块资源板卡、1块网络板卡</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4、视频输出：≥12个HDMI接口</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5、供电电源：100VAC～240VAC  50Hz～60Hz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6、网口：≥2个RJ45标准网口，100M/1000M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内嵌软件技术参数：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1、多点控制单元（MCU）嵌入式软件，内嵌于设备，实现设备各项基本功能的运行。</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2、支持通过Web方式实现设备管理、用户管理、会议管理，支持Telnet、ssh等远程维护方式，根据用户特性、区域特性进行分区管理。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3、支持混速、混视频格式、混协议会议。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4、支持多画面，常见多种多画面布局，支持自动分屏。</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5、支持多级网络视频管理，也支持扁平化的网络管理。</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6、支持视频通信协议H.323，支持H.264HP等视频编解码技术、G7.11、G.722等音频编解码技术。</w:t>
            </w:r>
          </w:p>
        </w:tc>
        <w:tc>
          <w:tcPr>
            <w:tcW w:w="369" w:type="pct"/>
            <w:tcBorders>
              <w:top w:val="nil"/>
              <w:left w:val="nil"/>
              <w:bottom w:val="single" w:color="auto" w:sz="4" w:space="0"/>
              <w:right w:val="single" w:color="auto" w:sz="4" w:space="0"/>
            </w:tcBorders>
            <w:shd w:val="clear" w:color="000000" w:fill="FFFFFF"/>
            <w:noWrap w:val="0"/>
            <w:vAlign w:val="center"/>
          </w:tcPr>
          <w:p w14:paraId="1EB0033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722460B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14861C99">
        <w:tblPrEx>
          <w:tblCellMar>
            <w:top w:w="0" w:type="dxa"/>
            <w:left w:w="108" w:type="dxa"/>
            <w:bottom w:w="0" w:type="dxa"/>
            <w:right w:w="108" w:type="dxa"/>
          </w:tblCellMar>
        </w:tblPrEx>
        <w:trPr>
          <w:trHeight w:val="540"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C68B84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p>
        </w:tc>
        <w:tc>
          <w:tcPr>
            <w:tcW w:w="685" w:type="pct"/>
            <w:tcBorders>
              <w:top w:val="nil"/>
              <w:left w:val="nil"/>
              <w:bottom w:val="single" w:color="auto" w:sz="4" w:space="0"/>
              <w:right w:val="single" w:color="auto" w:sz="4" w:space="0"/>
            </w:tcBorders>
            <w:shd w:val="clear" w:color="000000" w:fill="FFFFFF"/>
            <w:noWrap w:val="0"/>
            <w:vAlign w:val="center"/>
          </w:tcPr>
          <w:p w14:paraId="1613BF5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高清视频终端及高清视频会议嵌入软件</w:t>
            </w:r>
          </w:p>
        </w:tc>
        <w:tc>
          <w:tcPr>
            <w:tcW w:w="3000" w:type="pct"/>
            <w:tcBorders>
              <w:top w:val="nil"/>
              <w:left w:val="nil"/>
              <w:bottom w:val="single" w:color="auto" w:sz="4" w:space="0"/>
              <w:right w:val="single" w:color="auto" w:sz="4" w:space="0"/>
            </w:tcBorders>
            <w:shd w:val="clear" w:color="000000" w:fill="FFFFFF"/>
            <w:noWrap/>
            <w:vAlign w:val="center"/>
          </w:tcPr>
          <w:p w14:paraId="1393A05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高清视频终端技术参数：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1、框架协议：符合国际电联ITU H.323、SIP协议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2、视频输入：≥3路高清视频输入接口，≥HDMI*3</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3、视频输出：≥2路高清视频输出接口，≥HDMI*2</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4、音频输入：≥3路音频输入接口，≥MIC IN*1、≥LINE IN*1、≥HDMI*1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5、音频输出：≥2路音频输出接口，≥HDMI*1、≥LINE OUT*1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6、网络：≥1路千兆网口：RJ45*1；≥1路WIFI网络（可选配为4G网络）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7、USB接口：≥2个USB2.0接口，可用于接扩展设备或在线升级</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8、视频协议：支持H.261、H.263、H.263+、H.264、H.264 HP、H.265视频标准协议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9、双流协议：支持H.239、BFCP双流协议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10、显示方式：支持4：3和16：9</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11、散热方式：内置散热风扇</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内嵌软件技术参数：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1、远程视频会议终端嵌入式软件，内嵌于设备，实现设备各项基本功能的运行。</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2、支持国际电联ITU-H、323标准通信协议，兼容SIP协议。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3、支持H、264HP等视频编解码技术、G7、11、G、722等音频编解码技术。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4、支持“主流+辅流”双流方式传输视频会议画面。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5、支持高清1080P/60帧视频处理能力。</w:t>
            </w:r>
          </w:p>
        </w:tc>
        <w:tc>
          <w:tcPr>
            <w:tcW w:w="369" w:type="pct"/>
            <w:tcBorders>
              <w:top w:val="nil"/>
              <w:left w:val="nil"/>
              <w:bottom w:val="single" w:color="auto" w:sz="4" w:space="0"/>
              <w:right w:val="single" w:color="auto" w:sz="4" w:space="0"/>
            </w:tcBorders>
            <w:shd w:val="clear" w:color="000000" w:fill="FFFFFF"/>
            <w:noWrap w:val="0"/>
            <w:vAlign w:val="center"/>
          </w:tcPr>
          <w:p w14:paraId="2FCD916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2EF442B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9805C5B">
        <w:tblPrEx>
          <w:tblCellMar>
            <w:top w:w="0" w:type="dxa"/>
            <w:left w:w="108" w:type="dxa"/>
            <w:bottom w:w="0" w:type="dxa"/>
            <w:right w:w="108" w:type="dxa"/>
          </w:tblCellMar>
        </w:tblPrEx>
        <w:trPr>
          <w:trHeight w:val="540"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A8CC7D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w:t>
            </w:r>
          </w:p>
        </w:tc>
        <w:tc>
          <w:tcPr>
            <w:tcW w:w="685" w:type="pct"/>
            <w:tcBorders>
              <w:top w:val="nil"/>
              <w:left w:val="nil"/>
              <w:bottom w:val="single" w:color="auto" w:sz="4" w:space="0"/>
              <w:right w:val="single" w:color="auto" w:sz="4" w:space="0"/>
            </w:tcBorders>
            <w:shd w:val="clear" w:color="000000" w:fill="FFFFFF"/>
            <w:noWrap w:val="0"/>
            <w:vAlign w:val="center"/>
          </w:tcPr>
          <w:p w14:paraId="6D032EB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摄像机及高清视频会议专用摄像头内嵌软件</w:t>
            </w:r>
          </w:p>
        </w:tc>
        <w:tc>
          <w:tcPr>
            <w:tcW w:w="3000" w:type="pct"/>
            <w:tcBorders>
              <w:top w:val="nil"/>
              <w:left w:val="nil"/>
              <w:bottom w:val="single" w:color="auto" w:sz="4" w:space="0"/>
              <w:right w:val="single" w:color="auto" w:sz="4" w:space="0"/>
            </w:tcBorders>
            <w:shd w:val="clear" w:color="000000" w:fill="FFFFFF"/>
            <w:noWrap/>
            <w:vAlign w:val="center"/>
          </w:tcPr>
          <w:p w14:paraId="76E86CAA">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摄像头技术参数：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具有完善的功能、优异的性能、丰富的接口；先进的ISP处理技术和算法，使得图像效果生动逼真、画面亮度均匀、光色层次感强、清晰度高、色彩还原性好。支持H.265/H.264编码，在低带宽下使得画面更加流畅、清晰。采用1/2.8英寸高品质图像传感器，最大分辨率可达1920x1080，输出帧率高达60帧/秒。先进的自动聚焦算法使得镜头快速、准确、稳定地完成自动聚焦。采用先进的2D、3D降噪技术，进一步降低了噪声，同时又能确保图像清晰度。支持16000、32000、44100、48000采样频率，支持AAC、MP3、G711音频编码。支持DVI（HDMI），3G-SDI，有线LAN；3G-SDI支持1080P60。支持DVI（HDMI），3G-SDI，有线LAN；3G-SDI支持1080P60。支持H.265/H.264视频压缩；支持高达1920x1080分辨率60帧/秒压缩；支持2路1920x1080分辨率30帧/秒压缩。支持ONVIF、GB/T28181、RTSP、RTMP协议、RTP组播，同时支持RTMP推送模式，轻松链接流媒体服务器(Wowza、FMS)。支持低功耗休眠/唤醒，休眠时功耗低于400mW。支持VISCA、PELCO-D、PELCO-P协议，支持自动识别协议。支持网络全命令VISCA控制协议。支持多达255个预置位(遥控器设置调用为10个)。</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内嵌软件技术参数：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1、软件内嵌于高清视频会议专用摄像头，实现高清视频拍摄采集处理功能。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2、支持高清1080P/60帧视频处理能力。</w:t>
            </w:r>
          </w:p>
        </w:tc>
        <w:tc>
          <w:tcPr>
            <w:tcW w:w="369" w:type="pct"/>
            <w:tcBorders>
              <w:top w:val="nil"/>
              <w:left w:val="nil"/>
              <w:bottom w:val="single" w:color="auto" w:sz="4" w:space="0"/>
              <w:right w:val="single" w:color="auto" w:sz="4" w:space="0"/>
            </w:tcBorders>
            <w:shd w:val="clear" w:color="000000" w:fill="FFFFFF"/>
            <w:noWrap w:val="0"/>
            <w:vAlign w:val="center"/>
          </w:tcPr>
          <w:p w14:paraId="4F3EAB3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2B9D04F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0DE44B83">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E59E67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w:t>
            </w:r>
          </w:p>
        </w:tc>
        <w:tc>
          <w:tcPr>
            <w:tcW w:w="685" w:type="pct"/>
            <w:tcBorders>
              <w:top w:val="nil"/>
              <w:left w:val="nil"/>
              <w:bottom w:val="single" w:color="auto" w:sz="4" w:space="0"/>
              <w:right w:val="single" w:color="auto" w:sz="4" w:space="0"/>
            </w:tcBorders>
            <w:shd w:val="clear" w:color="000000" w:fill="FFFFFF"/>
            <w:noWrap w:val="0"/>
            <w:vAlign w:val="center"/>
          </w:tcPr>
          <w:p w14:paraId="05FB6B7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交换机</w:t>
            </w:r>
          </w:p>
        </w:tc>
        <w:tc>
          <w:tcPr>
            <w:tcW w:w="3000" w:type="pct"/>
            <w:tcBorders>
              <w:top w:val="nil"/>
              <w:left w:val="nil"/>
              <w:bottom w:val="single" w:color="auto" w:sz="4" w:space="0"/>
              <w:right w:val="single" w:color="auto" w:sz="4" w:space="0"/>
            </w:tcBorders>
            <w:shd w:val="clear" w:color="000000" w:fill="FFFFFF"/>
            <w:noWrap/>
            <w:vAlign w:val="center"/>
          </w:tcPr>
          <w:p w14:paraId="63F864A2">
            <w:pPr>
              <w:widowControl/>
              <w:spacing w:line="240" w:lineRule="auto"/>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国产设备，CPU等关键部件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千兆/8口/网管/桌面式</w:t>
            </w:r>
            <w:r>
              <w:rPr>
                <w:rFonts w:hint="eastAsia" w:asciiTheme="minorEastAsia" w:hAnsiTheme="minorEastAsia" w:eastAsiaTheme="minorEastAsia" w:cstheme="minorEastAsia"/>
                <w:color w:val="auto"/>
                <w:kern w:val="0"/>
                <w:sz w:val="24"/>
                <w:szCs w:val="24"/>
                <w:highlight w:val="none"/>
                <w:lang w:eastAsia="zh-CN"/>
              </w:rPr>
              <w:t>。</w:t>
            </w:r>
          </w:p>
        </w:tc>
        <w:tc>
          <w:tcPr>
            <w:tcW w:w="369" w:type="pct"/>
            <w:tcBorders>
              <w:top w:val="nil"/>
              <w:left w:val="nil"/>
              <w:bottom w:val="single" w:color="auto" w:sz="4" w:space="0"/>
              <w:right w:val="single" w:color="auto" w:sz="4" w:space="0"/>
            </w:tcBorders>
            <w:shd w:val="clear" w:color="000000" w:fill="FFFFFF"/>
            <w:noWrap w:val="0"/>
            <w:vAlign w:val="center"/>
          </w:tcPr>
          <w:p w14:paraId="4029049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44731DE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5552457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D037FF6">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79B75A04">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4县分会场</w:t>
            </w:r>
          </w:p>
        </w:tc>
        <w:tc>
          <w:tcPr>
            <w:tcW w:w="3000" w:type="pct"/>
            <w:tcBorders>
              <w:top w:val="nil"/>
              <w:left w:val="nil"/>
              <w:bottom w:val="single" w:color="auto" w:sz="4" w:space="0"/>
              <w:right w:val="single" w:color="auto" w:sz="4" w:space="0"/>
            </w:tcBorders>
            <w:shd w:val="clear" w:color="000000" w:fill="FFFFFF"/>
            <w:noWrap/>
            <w:vAlign w:val="center"/>
          </w:tcPr>
          <w:p w14:paraId="6DB14EF5">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2A8CD34E">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233C422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6F1C620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456970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w:t>
            </w:r>
          </w:p>
        </w:tc>
        <w:tc>
          <w:tcPr>
            <w:tcW w:w="685" w:type="pct"/>
            <w:tcBorders>
              <w:top w:val="nil"/>
              <w:left w:val="nil"/>
              <w:bottom w:val="single" w:color="auto" w:sz="4" w:space="0"/>
              <w:right w:val="single" w:color="auto" w:sz="4" w:space="0"/>
            </w:tcBorders>
            <w:shd w:val="clear" w:color="000000" w:fill="FFFFFF"/>
            <w:noWrap w:val="0"/>
            <w:vAlign w:val="center"/>
          </w:tcPr>
          <w:p w14:paraId="7BBBC95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交互智能平板</w:t>
            </w:r>
          </w:p>
        </w:tc>
        <w:tc>
          <w:tcPr>
            <w:tcW w:w="3000" w:type="pct"/>
            <w:tcBorders>
              <w:top w:val="nil"/>
              <w:left w:val="nil"/>
              <w:bottom w:val="single" w:color="auto" w:sz="4" w:space="0"/>
              <w:right w:val="single" w:color="auto" w:sz="4" w:space="0"/>
            </w:tcBorders>
            <w:shd w:val="clear" w:color="000000" w:fill="FFFFFF"/>
            <w:noWrap/>
            <w:vAlign w:val="center"/>
          </w:tcPr>
          <w:p w14:paraId="4A8DA2A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产品功能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1、≥65英寸LED液晶显示屏4K超高清显示，窄边框设计，前置随通道切换的USB端口，实现USB多媒体文件播放功能。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2、支持PC端≥20点触摸和安卓端≥10点触摸；触摸响应速度快，书写和演示流畅度高。</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3、支持各信号源显示状态下，通过触摸操作信号源、音量等菜单。</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4、支持抗光干扰，阳光直射照常使用。</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5、支持待机状态下，HDMI通道信号输入智能唤醒功能；HDMI支持4K 60Hz。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6、支持触摸菜单，实现返回键、菜单操作、任务预览、通道切换、音量调整、快捷电子白板操作等</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7、支持任意通道书写批注功能。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8、具备通道记忆功能，开机默认进入主页，具备自定义命名通道功能。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19、支持无线wifi双频2.4G/5G；支持一键黑屏功能。</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10、支持有线网络一网通（安卓、PC）。</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11、支持无线传屏，将电脑/笔记本电脑信号传输至交互平板上显示，支持同时接收四个信号显示在同一个交互平板上。</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12、内置1300W像素高清摄像头和8阵列麦克风，拾音距离可达8m。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13、支持录屏功能、电子白板、手写批注功能，满足培训授课的各项应用需求。</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14、支持计时功能，具备有计时器小工具，可随时掌控时间。</w:t>
            </w:r>
          </w:p>
        </w:tc>
        <w:tc>
          <w:tcPr>
            <w:tcW w:w="369" w:type="pct"/>
            <w:tcBorders>
              <w:top w:val="nil"/>
              <w:left w:val="nil"/>
              <w:bottom w:val="single" w:color="auto" w:sz="4" w:space="0"/>
              <w:right w:val="single" w:color="auto" w:sz="4" w:space="0"/>
            </w:tcBorders>
            <w:shd w:val="clear" w:color="000000" w:fill="FFFFFF"/>
            <w:noWrap w:val="0"/>
            <w:vAlign w:val="center"/>
          </w:tcPr>
          <w:p w14:paraId="505B9E6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4FE2C7E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71375D6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DB3213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w:t>
            </w:r>
          </w:p>
        </w:tc>
        <w:tc>
          <w:tcPr>
            <w:tcW w:w="685" w:type="pct"/>
            <w:tcBorders>
              <w:top w:val="nil"/>
              <w:left w:val="nil"/>
              <w:bottom w:val="single" w:color="auto" w:sz="4" w:space="0"/>
              <w:right w:val="single" w:color="auto" w:sz="4" w:space="0"/>
            </w:tcBorders>
            <w:shd w:val="clear" w:color="000000" w:fill="FFFFFF"/>
            <w:noWrap w:val="0"/>
            <w:vAlign w:val="center"/>
          </w:tcPr>
          <w:p w14:paraId="2A9360F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OPS电脑模块</w:t>
            </w:r>
          </w:p>
        </w:tc>
        <w:tc>
          <w:tcPr>
            <w:tcW w:w="3000" w:type="pct"/>
            <w:tcBorders>
              <w:top w:val="nil"/>
              <w:left w:val="nil"/>
              <w:bottom w:val="single" w:color="auto" w:sz="4" w:space="0"/>
              <w:right w:val="single" w:color="auto" w:sz="4" w:space="0"/>
            </w:tcBorders>
            <w:shd w:val="clear" w:color="000000" w:fill="FFFFFF"/>
            <w:noWrap/>
            <w:vAlign w:val="center"/>
          </w:tcPr>
          <w:p w14:paraId="44DB766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1、内存：不低于DDR4-8G</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2、硬盘：不小于SSD-256G</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3、I/O接口 ：HDMI：1 x HDMI（HDMI-Max.3840 x 1920）；VGA：1 x VGA（VGA-Max.1920 x 1080）；LAN：1(RJ45.千兆)；USB：3 x USB 3.0，3 x USB 2.0；音频：1 x AUDIO OUT，1 x MIC IN</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4、扩展接口：1 x Mini-Pcle，1 x Msata</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5、输入电压：DC-IN 12-19V</w:t>
            </w:r>
          </w:p>
        </w:tc>
        <w:tc>
          <w:tcPr>
            <w:tcW w:w="369" w:type="pct"/>
            <w:tcBorders>
              <w:top w:val="nil"/>
              <w:left w:val="nil"/>
              <w:bottom w:val="single" w:color="auto" w:sz="4" w:space="0"/>
              <w:right w:val="single" w:color="auto" w:sz="4" w:space="0"/>
            </w:tcBorders>
            <w:shd w:val="clear" w:color="000000" w:fill="FFFFFF"/>
            <w:noWrap w:val="0"/>
            <w:vAlign w:val="center"/>
          </w:tcPr>
          <w:p w14:paraId="0B249D1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547B713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0831CC9B">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513415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w:t>
            </w:r>
          </w:p>
        </w:tc>
        <w:tc>
          <w:tcPr>
            <w:tcW w:w="685" w:type="pct"/>
            <w:tcBorders>
              <w:top w:val="nil"/>
              <w:left w:val="nil"/>
              <w:bottom w:val="single" w:color="auto" w:sz="4" w:space="0"/>
              <w:right w:val="single" w:color="auto" w:sz="4" w:space="0"/>
            </w:tcBorders>
            <w:shd w:val="clear" w:color="000000" w:fill="FFFFFF"/>
            <w:noWrap w:val="0"/>
            <w:vAlign w:val="center"/>
          </w:tcPr>
          <w:p w14:paraId="02EEE63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移动支架</w:t>
            </w:r>
          </w:p>
        </w:tc>
        <w:tc>
          <w:tcPr>
            <w:tcW w:w="3000" w:type="pct"/>
            <w:tcBorders>
              <w:top w:val="nil"/>
              <w:left w:val="nil"/>
              <w:bottom w:val="single" w:color="auto" w:sz="4" w:space="0"/>
              <w:right w:val="single" w:color="auto" w:sz="4" w:space="0"/>
            </w:tcBorders>
            <w:shd w:val="clear" w:color="000000" w:fill="FFFFFF"/>
            <w:noWrap/>
            <w:vAlign w:val="center"/>
          </w:tcPr>
          <w:p w14:paraId="0CDBD10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适用安装：65-86英寸交互平板</w:t>
            </w:r>
          </w:p>
        </w:tc>
        <w:tc>
          <w:tcPr>
            <w:tcW w:w="369" w:type="pct"/>
            <w:tcBorders>
              <w:top w:val="nil"/>
              <w:left w:val="nil"/>
              <w:bottom w:val="single" w:color="auto" w:sz="4" w:space="0"/>
              <w:right w:val="single" w:color="auto" w:sz="4" w:space="0"/>
            </w:tcBorders>
            <w:shd w:val="clear" w:color="000000" w:fill="FFFFFF"/>
            <w:noWrap w:val="0"/>
            <w:vAlign w:val="center"/>
          </w:tcPr>
          <w:p w14:paraId="3DB1872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54F6211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3B540F79">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D5D729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2.4</w:t>
            </w:r>
          </w:p>
        </w:tc>
        <w:tc>
          <w:tcPr>
            <w:tcW w:w="685" w:type="pct"/>
            <w:tcBorders>
              <w:top w:val="nil"/>
              <w:left w:val="nil"/>
              <w:bottom w:val="single" w:color="auto" w:sz="4" w:space="0"/>
              <w:right w:val="single" w:color="auto" w:sz="4" w:space="0"/>
            </w:tcBorders>
            <w:shd w:val="clear" w:color="000000" w:fill="FFFFFF"/>
            <w:noWrap w:val="0"/>
            <w:vAlign w:val="center"/>
          </w:tcPr>
          <w:p w14:paraId="00F2118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投屏器</w:t>
            </w:r>
          </w:p>
        </w:tc>
        <w:tc>
          <w:tcPr>
            <w:tcW w:w="3000" w:type="pct"/>
            <w:tcBorders>
              <w:top w:val="nil"/>
              <w:left w:val="nil"/>
              <w:bottom w:val="single" w:color="auto" w:sz="4" w:space="0"/>
              <w:right w:val="single" w:color="auto" w:sz="4" w:space="0"/>
            </w:tcBorders>
            <w:shd w:val="clear" w:color="000000" w:fill="FFFFFF"/>
            <w:noWrap/>
            <w:vAlign w:val="center"/>
          </w:tcPr>
          <w:p w14:paraId="1325A50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1、功率消耗：DC 5V</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2、频段：2.4GHz、5GHz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3、帧数：可达每秒30 帧</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4、输出分辨率：1920×1080</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5、输入分辨率：1920×1080&amp;3840×2160</w:t>
            </w:r>
          </w:p>
        </w:tc>
        <w:tc>
          <w:tcPr>
            <w:tcW w:w="369" w:type="pct"/>
            <w:tcBorders>
              <w:top w:val="nil"/>
              <w:left w:val="nil"/>
              <w:bottom w:val="single" w:color="auto" w:sz="4" w:space="0"/>
              <w:right w:val="single" w:color="auto" w:sz="4" w:space="0"/>
            </w:tcBorders>
            <w:shd w:val="clear" w:color="000000" w:fill="FFFFFF"/>
            <w:noWrap w:val="0"/>
            <w:vAlign w:val="center"/>
          </w:tcPr>
          <w:p w14:paraId="425732A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43A94BC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2716CD4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940CAC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2.5</w:t>
            </w:r>
          </w:p>
        </w:tc>
        <w:tc>
          <w:tcPr>
            <w:tcW w:w="685" w:type="pct"/>
            <w:tcBorders>
              <w:top w:val="nil"/>
              <w:left w:val="nil"/>
              <w:bottom w:val="single" w:color="auto" w:sz="4" w:space="0"/>
              <w:right w:val="single" w:color="auto" w:sz="4" w:space="0"/>
            </w:tcBorders>
            <w:shd w:val="clear" w:color="000000" w:fill="FFFFFF"/>
            <w:noWrap w:val="0"/>
            <w:vAlign w:val="center"/>
          </w:tcPr>
          <w:p w14:paraId="7510BFB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红外智能笔</w:t>
            </w:r>
          </w:p>
        </w:tc>
        <w:tc>
          <w:tcPr>
            <w:tcW w:w="3000" w:type="pct"/>
            <w:tcBorders>
              <w:top w:val="nil"/>
              <w:left w:val="nil"/>
              <w:bottom w:val="single" w:color="auto" w:sz="4" w:space="0"/>
              <w:right w:val="single" w:color="auto" w:sz="4" w:space="0"/>
            </w:tcBorders>
            <w:shd w:val="clear" w:color="000000" w:fill="FFFFFF"/>
            <w:noWrap/>
            <w:vAlign w:val="center"/>
          </w:tcPr>
          <w:p w14:paraId="2DF6898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红外智能笔搭配交互智能平板和智慧黑板使用。主要用于书写，对PPT进行上下翻页操作，支持空中鼠标等功能。</w:t>
            </w:r>
          </w:p>
        </w:tc>
        <w:tc>
          <w:tcPr>
            <w:tcW w:w="369" w:type="pct"/>
            <w:tcBorders>
              <w:top w:val="nil"/>
              <w:left w:val="nil"/>
              <w:bottom w:val="single" w:color="auto" w:sz="4" w:space="0"/>
              <w:right w:val="single" w:color="auto" w:sz="4" w:space="0"/>
            </w:tcBorders>
            <w:shd w:val="clear" w:color="000000" w:fill="FFFFFF"/>
            <w:noWrap w:val="0"/>
            <w:vAlign w:val="center"/>
          </w:tcPr>
          <w:p w14:paraId="5CE9C79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支</w:t>
            </w:r>
          </w:p>
        </w:tc>
        <w:tc>
          <w:tcPr>
            <w:tcW w:w="483" w:type="pct"/>
            <w:tcBorders>
              <w:top w:val="nil"/>
              <w:left w:val="nil"/>
              <w:bottom w:val="single" w:color="auto" w:sz="4" w:space="0"/>
              <w:right w:val="single" w:color="auto" w:sz="4" w:space="0"/>
            </w:tcBorders>
            <w:shd w:val="clear" w:color="000000" w:fill="FFFFFF"/>
            <w:noWrap w:val="0"/>
            <w:vAlign w:val="center"/>
          </w:tcPr>
          <w:p w14:paraId="447F59A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149D4E0E">
        <w:tblPrEx>
          <w:tblCellMar>
            <w:top w:w="0" w:type="dxa"/>
            <w:left w:w="108" w:type="dxa"/>
            <w:bottom w:w="0" w:type="dxa"/>
            <w:right w:w="108" w:type="dxa"/>
          </w:tblCellMar>
        </w:tblPrEx>
        <w:trPr>
          <w:trHeight w:val="540"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D63CC4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2.6</w:t>
            </w:r>
          </w:p>
        </w:tc>
        <w:tc>
          <w:tcPr>
            <w:tcW w:w="685" w:type="pct"/>
            <w:tcBorders>
              <w:top w:val="nil"/>
              <w:left w:val="nil"/>
              <w:bottom w:val="single" w:color="auto" w:sz="4" w:space="0"/>
              <w:right w:val="single" w:color="auto" w:sz="4" w:space="0"/>
            </w:tcBorders>
            <w:shd w:val="clear" w:color="000000" w:fill="FFFFFF"/>
            <w:noWrap w:val="0"/>
            <w:vAlign w:val="center"/>
          </w:tcPr>
          <w:p w14:paraId="6EF22CA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高清视频终端及高清视频会议终端嵌入软件</w:t>
            </w:r>
          </w:p>
        </w:tc>
        <w:tc>
          <w:tcPr>
            <w:tcW w:w="3000" w:type="pct"/>
            <w:tcBorders>
              <w:top w:val="nil"/>
              <w:left w:val="nil"/>
              <w:bottom w:val="single" w:color="auto" w:sz="4" w:space="0"/>
              <w:right w:val="single" w:color="auto" w:sz="4" w:space="0"/>
            </w:tcBorders>
            <w:shd w:val="clear" w:color="000000" w:fill="FFFFFF"/>
            <w:noWrap/>
            <w:vAlign w:val="center"/>
          </w:tcPr>
          <w:p w14:paraId="1B3C803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高清视频终端技术参数：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1、视频输入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≥1路高清视频HDMI输入接口+1路内置高清摄像机输入</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2、视频输出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≥2路高清视频输出接口，≥HDMI*2；</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3、音频输入</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≥3路音频输入接口，≥MIC IN*1、≥LINE IN*1、≥HDMI*1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4、音频输出</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≥2路音频输出接口，≥HDMI*1、≥LINE OUT*1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5、网络：≥1路千兆网口：RJ45*1；≥1路WIFI网络（可选配为4G网络）</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6、USB接口</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≥2个USB2.0接口，可用于接扩展设备或在线升级</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7、显示方式</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支持4：3和16：9</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8、内置摄像机参数</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1/2.3英寸 1200万图像传感器，12倍光学变倍，1080P全高清分辨率，72.5度水平视角</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内嵌软件技术参数：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1、远程视频会议终端嵌入式软件，内嵌于设备，实现设备各项基本功能的运行。</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2、支持国际电联ITU-H、323标准通信协议，兼容SIP协议。</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3、支持H</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264HP等视频编解码技术、G7</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11、G</w:t>
            </w:r>
            <w:r>
              <w:rPr>
                <w:rFonts w:hint="eastAsia" w:asciiTheme="minorEastAsia" w:hAnsiTheme="minorEastAsia" w:eastAsiaTheme="minorEastAsia" w:cstheme="minorEastAsia"/>
                <w:color w:val="auto"/>
                <w:kern w:val="0"/>
                <w:sz w:val="24"/>
                <w:szCs w:val="24"/>
                <w:highlight w:val="none"/>
                <w:lang w:val="en-US" w:eastAsia="zh-CN"/>
              </w:rPr>
              <w:t>.</w:t>
            </w:r>
            <w:r>
              <w:rPr>
                <w:rFonts w:hint="eastAsia" w:asciiTheme="minorEastAsia" w:hAnsiTheme="minorEastAsia" w:eastAsiaTheme="minorEastAsia" w:cstheme="minorEastAsia"/>
                <w:color w:val="auto"/>
                <w:kern w:val="0"/>
                <w:sz w:val="24"/>
                <w:szCs w:val="24"/>
                <w:highlight w:val="none"/>
              </w:rPr>
              <w:t>722等音频编解码技术。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4、支持“主流+辅流”双流方式传输视频会议画面。</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5、支持高清1080P/60帧视频处理能力。</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6、支持WEB管理，符合不同用户的使用习惯。</w:t>
            </w:r>
          </w:p>
        </w:tc>
        <w:tc>
          <w:tcPr>
            <w:tcW w:w="369" w:type="pct"/>
            <w:tcBorders>
              <w:top w:val="nil"/>
              <w:left w:val="nil"/>
              <w:bottom w:val="single" w:color="auto" w:sz="4" w:space="0"/>
              <w:right w:val="single" w:color="auto" w:sz="4" w:space="0"/>
            </w:tcBorders>
            <w:shd w:val="clear" w:color="000000" w:fill="FFFFFF"/>
            <w:noWrap w:val="0"/>
            <w:vAlign w:val="center"/>
          </w:tcPr>
          <w:p w14:paraId="142ED65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462B0E1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599BE83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04DBBE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2.7</w:t>
            </w:r>
          </w:p>
        </w:tc>
        <w:tc>
          <w:tcPr>
            <w:tcW w:w="685" w:type="pct"/>
            <w:tcBorders>
              <w:top w:val="nil"/>
              <w:left w:val="nil"/>
              <w:bottom w:val="single" w:color="auto" w:sz="4" w:space="0"/>
              <w:right w:val="single" w:color="auto" w:sz="4" w:space="0"/>
            </w:tcBorders>
            <w:shd w:val="clear" w:color="000000" w:fill="FFFFFF"/>
            <w:noWrap w:val="0"/>
            <w:vAlign w:val="center"/>
          </w:tcPr>
          <w:p w14:paraId="3AAD3B6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麦克风</w:t>
            </w:r>
          </w:p>
        </w:tc>
        <w:tc>
          <w:tcPr>
            <w:tcW w:w="3000" w:type="pct"/>
            <w:tcBorders>
              <w:top w:val="nil"/>
              <w:left w:val="nil"/>
              <w:bottom w:val="single" w:color="auto" w:sz="4" w:space="0"/>
              <w:right w:val="single" w:color="auto" w:sz="4" w:space="0"/>
            </w:tcBorders>
            <w:shd w:val="clear" w:color="000000" w:fill="FFFFFF"/>
            <w:noWrap/>
            <w:vAlign w:val="center"/>
          </w:tcPr>
          <w:p w14:paraId="7576973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1.语音技术</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深度消回音、动态噪声抑制、自动增益控制技术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2.麦克风频响</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100Hz~22kHz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3.喇叭频响</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170Hz~22kHz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4.拾音范围</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≥直径6米</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5.喇叭音量</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≥85dB</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6.接口</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≥USB接口*1、≥LINE IN/OUT接口*1、≥耳机3.5mm接口*1</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7.电源</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USB标准，5V-1A</w:t>
            </w:r>
          </w:p>
        </w:tc>
        <w:tc>
          <w:tcPr>
            <w:tcW w:w="369" w:type="pct"/>
            <w:tcBorders>
              <w:top w:val="nil"/>
              <w:left w:val="nil"/>
              <w:bottom w:val="single" w:color="auto" w:sz="4" w:space="0"/>
              <w:right w:val="single" w:color="auto" w:sz="4" w:space="0"/>
            </w:tcBorders>
            <w:shd w:val="clear" w:color="000000" w:fill="FFFFFF"/>
            <w:noWrap w:val="0"/>
            <w:vAlign w:val="center"/>
          </w:tcPr>
          <w:p w14:paraId="3FC803F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只</w:t>
            </w:r>
          </w:p>
        </w:tc>
        <w:tc>
          <w:tcPr>
            <w:tcW w:w="483" w:type="pct"/>
            <w:tcBorders>
              <w:top w:val="nil"/>
              <w:left w:val="nil"/>
              <w:bottom w:val="single" w:color="auto" w:sz="4" w:space="0"/>
              <w:right w:val="single" w:color="auto" w:sz="4" w:space="0"/>
            </w:tcBorders>
            <w:shd w:val="clear" w:color="000000" w:fill="FFFFFF"/>
            <w:noWrap w:val="0"/>
            <w:vAlign w:val="center"/>
          </w:tcPr>
          <w:p w14:paraId="38A8428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5A7E956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302EF8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2.8</w:t>
            </w:r>
          </w:p>
        </w:tc>
        <w:tc>
          <w:tcPr>
            <w:tcW w:w="685" w:type="pct"/>
            <w:tcBorders>
              <w:top w:val="nil"/>
              <w:left w:val="nil"/>
              <w:bottom w:val="single" w:color="auto" w:sz="4" w:space="0"/>
              <w:right w:val="single" w:color="auto" w:sz="4" w:space="0"/>
            </w:tcBorders>
            <w:shd w:val="clear" w:color="000000" w:fill="FFFFFF"/>
            <w:noWrap w:val="0"/>
            <w:vAlign w:val="center"/>
          </w:tcPr>
          <w:p w14:paraId="18A0E8F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交换机</w:t>
            </w:r>
          </w:p>
        </w:tc>
        <w:tc>
          <w:tcPr>
            <w:tcW w:w="3000" w:type="pct"/>
            <w:tcBorders>
              <w:top w:val="nil"/>
              <w:left w:val="nil"/>
              <w:bottom w:val="single" w:color="auto" w:sz="4" w:space="0"/>
              <w:right w:val="single" w:color="auto" w:sz="4" w:space="0"/>
            </w:tcBorders>
            <w:shd w:val="clear" w:color="000000" w:fill="FFFFFF"/>
            <w:noWrap/>
            <w:vAlign w:val="center"/>
          </w:tcPr>
          <w:p w14:paraId="0F16CC01">
            <w:pPr>
              <w:widowControl/>
              <w:spacing w:line="240" w:lineRule="auto"/>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国产设备，CPU等关键部件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千兆/5口/非网管/桌面式</w:t>
            </w:r>
            <w:r>
              <w:rPr>
                <w:rFonts w:hint="eastAsia" w:asciiTheme="minorEastAsia" w:hAnsiTheme="minorEastAsia" w:eastAsiaTheme="minorEastAsia" w:cstheme="minorEastAsia"/>
                <w:color w:val="auto"/>
                <w:kern w:val="0"/>
                <w:sz w:val="24"/>
                <w:szCs w:val="24"/>
                <w:highlight w:val="none"/>
                <w:lang w:eastAsia="zh-CN"/>
              </w:rPr>
              <w:t>。</w:t>
            </w:r>
          </w:p>
        </w:tc>
        <w:tc>
          <w:tcPr>
            <w:tcW w:w="369" w:type="pct"/>
            <w:tcBorders>
              <w:top w:val="nil"/>
              <w:left w:val="nil"/>
              <w:bottom w:val="single" w:color="auto" w:sz="4" w:space="0"/>
              <w:right w:val="single" w:color="auto" w:sz="4" w:space="0"/>
            </w:tcBorders>
            <w:shd w:val="clear" w:color="000000" w:fill="FFFFFF"/>
            <w:noWrap w:val="0"/>
            <w:vAlign w:val="center"/>
          </w:tcPr>
          <w:p w14:paraId="14420A7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404A18C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23D1F76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AE55759">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四</w:t>
            </w:r>
            <w:r>
              <w:rPr>
                <w:rFonts w:hint="eastAsia" w:asciiTheme="minorEastAsia" w:hAnsiTheme="minorEastAsia" w:eastAsiaTheme="minorEastAsia" w:cstheme="minorEastAsia"/>
                <w:b/>
                <w:bCs/>
                <w:color w:val="auto"/>
                <w:kern w:val="0"/>
                <w:sz w:val="24"/>
                <w:szCs w:val="24"/>
                <w:highlight w:val="none"/>
                <w:lang w:eastAsia="zh-CN"/>
              </w:rPr>
              <w:t>）</w:t>
            </w:r>
          </w:p>
        </w:tc>
        <w:tc>
          <w:tcPr>
            <w:tcW w:w="685" w:type="pct"/>
            <w:tcBorders>
              <w:top w:val="nil"/>
              <w:left w:val="nil"/>
              <w:bottom w:val="single" w:color="auto" w:sz="4" w:space="0"/>
              <w:right w:val="single" w:color="auto" w:sz="4" w:space="0"/>
            </w:tcBorders>
            <w:shd w:val="clear" w:color="000000" w:fill="FFFFFF"/>
            <w:noWrap w:val="0"/>
            <w:vAlign w:val="center"/>
          </w:tcPr>
          <w:p w14:paraId="319D883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周边设备</w:t>
            </w:r>
          </w:p>
        </w:tc>
        <w:tc>
          <w:tcPr>
            <w:tcW w:w="3000" w:type="pct"/>
            <w:tcBorders>
              <w:top w:val="nil"/>
              <w:left w:val="nil"/>
              <w:bottom w:val="single" w:color="auto" w:sz="4" w:space="0"/>
              <w:right w:val="single" w:color="auto" w:sz="4" w:space="0"/>
            </w:tcBorders>
            <w:shd w:val="clear" w:color="000000" w:fill="FFFFFF"/>
            <w:noWrap/>
            <w:vAlign w:val="center"/>
          </w:tcPr>
          <w:p w14:paraId="4625E98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23F8D5E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56559CF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p>
        </w:tc>
      </w:tr>
      <w:tr w14:paraId="669FDEA1">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F4473C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02DFCCA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机柜</w:t>
            </w:r>
          </w:p>
        </w:tc>
        <w:tc>
          <w:tcPr>
            <w:tcW w:w="3000" w:type="pct"/>
            <w:tcBorders>
              <w:top w:val="nil"/>
              <w:left w:val="nil"/>
              <w:bottom w:val="single" w:color="auto" w:sz="4" w:space="0"/>
              <w:right w:val="single" w:color="auto" w:sz="4" w:space="0"/>
            </w:tcBorders>
            <w:shd w:val="clear" w:color="000000" w:fill="FFFFFF"/>
            <w:noWrap/>
            <w:vAlign w:val="center"/>
          </w:tcPr>
          <w:p w14:paraId="33FE09E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42U机柜，600*800*2055mm</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8口PDU国标电源插排×1，固定板部件×3,风扇×4,2"重型脚轮×4，M12支脚×4，M6方螺母螺钉×40，内六角扳手×1</w:t>
            </w:r>
          </w:p>
        </w:tc>
        <w:tc>
          <w:tcPr>
            <w:tcW w:w="369" w:type="pct"/>
            <w:tcBorders>
              <w:top w:val="nil"/>
              <w:left w:val="nil"/>
              <w:bottom w:val="single" w:color="auto" w:sz="4" w:space="0"/>
              <w:right w:val="single" w:color="auto" w:sz="4" w:space="0"/>
            </w:tcBorders>
            <w:shd w:val="clear" w:color="000000" w:fill="FFFFFF"/>
            <w:noWrap w:val="0"/>
            <w:vAlign w:val="center"/>
          </w:tcPr>
          <w:p w14:paraId="736BD2F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24E73B1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5F4D3DCB">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06452D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30E0A2E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电源管理器</w:t>
            </w:r>
          </w:p>
        </w:tc>
        <w:tc>
          <w:tcPr>
            <w:tcW w:w="3000" w:type="pct"/>
            <w:tcBorders>
              <w:top w:val="nil"/>
              <w:left w:val="nil"/>
              <w:bottom w:val="single" w:color="auto" w:sz="4" w:space="0"/>
              <w:right w:val="single" w:color="auto" w:sz="4" w:space="0"/>
            </w:tcBorders>
            <w:shd w:val="clear" w:color="000000" w:fill="FFFFFF"/>
            <w:noWrap/>
            <w:vAlign w:val="center"/>
          </w:tcPr>
          <w:p w14:paraId="5ABDF43A">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技术参数</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1、额定输出电压：AC~220V50Hz</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2、额定输出电流：30A</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3、可控制电源：≥8路</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4、每路动作延时时间：≤1秒</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5、供电电源：VAC，220V50/60Hz，30A</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6、单路额定输出电源：10A</w:t>
            </w:r>
          </w:p>
        </w:tc>
        <w:tc>
          <w:tcPr>
            <w:tcW w:w="369" w:type="pct"/>
            <w:tcBorders>
              <w:top w:val="nil"/>
              <w:left w:val="nil"/>
              <w:bottom w:val="single" w:color="auto" w:sz="4" w:space="0"/>
              <w:right w:val="single" w:color="auto" w:sz="4" w:space="0"/>
            </w:tcBorders>
            <w:shd w:val="clear" w:color="000000" w:fill="FFFFFF"/>
            <w:noWrap w:val="0"/>
            <w:vAlign w:val="center"/>
          </w:tcPr>
          <w:p w14:paraId="212FAF2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2F6AEA7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018C27E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D02AB6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85" w:type="pct"/>
            <w:tcBorders>
              <w:top w:val="nil"/>
              <w:left w:val="nil"/>
              <w:bottom w:val="single" w:color="auto" w:sz="4" w:space="0"/>
              <w:right w:val="single" w:color="auto" w:sz="4" w:space="0"/>
            </w:tcBorders>
            <w:shd w:val="clear" w:color="000000" w:fill="FFFFFF"/>
            <w:noWrap w:val="0"/>
            <w:vAlign w:val="center"/>
          </w:tcPr>
          <w:p w14:paraId="5FF952A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多媒体插座</w:t>
            </w:r>
          </w:p>
        </w:tc>
        <w:tc>
          <w:tcPr>
            <w:tcW w:w="3000" w:type="pct"/>
            <w:tcBorders>
              <w:top w:val="nil"/>
              <w:left w:val="nil"/>
              <w:bottom w:val="single" w:color="auto" w:sz="4" w:space="0"/>
              <w:right w:val="single" w:color="auto" w:sz="4" w:space="0"/>
            </w:tcBorders>
            <w:shd w:val="clear" w:color="000000" w:fill="FFFFFF"/>
            <w:noWrap/>
            <w:vAlign w:val="center"/>
          </w:tcPr>
          <w:p w14:paraId="6C90A00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一个网络、一个3.5音频、一个HDMI、一个电源</w:t>
            </w:r>
          </w:p>
        </w:tc>
        <w:tc>
          <w:tcPr>
            <w:tcW w:w="369" w:type="pct"/>
            <w:tcBorders>
              <w:top w:val="nil"/>
              <w:left w:val="nil"/>
              <w:bottom w:val="single" w:color="auto" w:sz="4" w:space="0"/>
              <w:right w:val="single" w:color="auto" w:sz="4" w:space="0"/>
            </w:tcBorders>
            <w:shd w:val="clear" w:color="000000" w:fill="FFFFFF"/>
            <w:noWrap w:val="0"/>
            <w:vAlign w:val="center"/>
          </w:tcPr>
          <w:p w14:paraId="490BCBF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个</w:t>
            </w:r>
          </w:p>
        </w:tc>
        <w:tc>
          <w:tcPr>
            <w:tcW w:w="483" w:type="pct"/>
            <w:tcBorders>
              <w:top w:val="nil"/>
              <w:left w:val="nil"/>
              <w:bottom w:val="single" w:color="auto" w:sz="4" w:space="0"/>
              <w:right w:val="single" w:color="auto" w:sz="4" w:space="0"/>
            </w:tcBorders>
            <w:shd w:val="clear" w:color="000000" w:fill="FFFFFF"/>
            <w:noWrap w:val="0"/>
            <w:vAlign w:val="center"/>
          </w:tcPr>
          <w:p w14:paraId="5332D41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201D4AB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15DBE8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五</w:t>
            </w:r>
            <w:r>
              <w:rPr>
                <w:rFonts w:hint="eastAsia" w:asciiTheme="minorEastAsia" w:hAnsiTheme="minorEastAsia" w:eastAsiaTheme="minorEastAsia" w:cstheme="minorEastAsia"/>
                <w:b/>
                <w:bCs/>
                <w:color w:val="auto"/>
                <w:kern w:val="0"/>
                <w:sz w:val="24"/>
                <w:szCs w:val="24"/>
                <w:highlight w:val="none"/>
                <w:lang w:eastAsia="zh-CN"/>
              </w:rPr>
              <w:t>）</w:t>
            </w:r>
          </w:p>
        </w:tc>
        <w:tc>
          <w:tcPr>
            <w:tcW w:w="685" w:type="pct"/>
            <w:tcBorders>
              <w:top w:val="nil"/>
              <w:left w:val="nil"/>
              <w:bottom w:val="single" w:color="auto" w:sz="4" w:space="0"/>
              <w:right w:val="single" w:color="auto" w:sz="4" w:space="0"/>
            </w:tcBorders>
            <w:shd w:val="clear" w:color="000000" w:fill="FFFFFF"/>
            <w:noWrap w:val="0"/>
            <w:vAlign w:val="center"/>
          </w:tcPr>
          <w:p w14:paraId="2DBCE0E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辅助材料</w:t>
            </w:r>
          </w:p>
        </w:tc>
        <w:tc>
          <w:tcPr>
            <w:tcW w:w="3000" w:type="pct"/>
            <w:tcBorders>
              <w:top w:val="nil"/>
              <w:left w:val="nil"/>
              <w:bottom w:val="single" w:color="auto" w:sz="4" w:space="0"/>
              <w:right w:val="single" w:color="auto" w:sz="4" w:space="0"/>
            </w:tcBorders>
            <w:shd w:val="clear" w:color="000000" w:fill="FFFFFF"/>
            <w:noWrap/>
            <w:vAlign w:val="center"/>
          </w:tcPr>
          <w:p w14:paraId="77957A0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5B2513B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114ECE3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1480C2C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0ECCA3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65C25B2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指挥中心主会场</w:t>
            </w:r>
          </w:p>
        </w:tc>
        <w:tc>
          <w:tcPr>
            <w:tcW w:w="3000" w:type="pct"/>
            <w:tcBorders>
              <w:top w:val="nil"/>
              <w:left w:val="nil"/>
              <w:bottom w:val="single" w:color="auto" w:sz="4" w:space="0"/>
              <w:right w:val="single" w:color="auto" w:sz="4" w:space="0"/>
            </w:tcBorders>
            <w:shd w:val="clear" w:color="000000" w:fill="FFFFFF"/>
            <w:noWrap/>
            <w:vAlign w:val="center"/>
          </w:tcPr>
          <w:p w14:paraId="2DDEB38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大屏显示系统、音频扩声系统、数字会议系统、视频会议系统所有需要的线材、音频连接线、水晶头、PVC管等等</w:t>
            </w:r>
          </w:p>
        </w:tc>
        <w:tc>
          <w:tcPr>
            <w:tcW w:w="369" w:type="pct"/>
            <w:tcBorders>
              <w:top w:val="nil"/>
              <w:left w:val="nil"/>
              <w:bottom w:val="single" w:color="auto" w:sz="4" w:space="0"/>
              <w:right w:val="single" w:color="auto" w:sz="4" w:space="0"/>
            </w:tcBorders>
            <w:shd w:val="clear" w:color="000000" w:fill="FFFFFF"/>
            <w:noWrap w:val="0"/>
            <w:vAlign w:val="center"/>
          </w:tcPr>
          <w:p w14:paraId="442BE9D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7064C76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24A3C4E9">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137910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44ED980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4县分会场</w:t>
            </w:r>
          </w:p>
        </w:tc>
        <w:tc>
          <w:tcPr>
            <w:tcW w:w="3000" w:type="pct"/>
            <w:tcBorders>
              <w:top w:val="nil"/>
              <w:left w:val="nil"/>
              <w:bottom w:val="single" w:color="auto" w:sz="4" w:space="0"/>
              <w:right w:val="single" w:color="auto" w:sz="4" w:space="0"/>
            </w:tcBorders>
            <w:shd w:val="clear" w:color="000000" w:fill="FFFFFF"/>
            <w:noWrap/>
            <w:vAlign w:val="center"/>
          </w:tcPr>
          <w:p w14:paraId="6AE10A4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4个分会场视频会议系统所有需要的线材、音频连接线、水晶头、PVC管等等</w:t>
            </w:r>
          </w:p>
        </w:tc>
        <w:tc>
          <w:tcPr>
            <w:tcW w:w="369" w:type="pct"/>
            <w:tcBorders>
              <w:top w:val="nil"/>
              <w:left w:val="nil"/>
              <w:bottom w:val="single" w:color="auto" w:sz="4" w:space="0"/>
              <w:right w:val="single" w:color="auto" w:sz="4" w:space="0"/>
            </w:tcBorders>
            <w:shd w:val="clear" w:color="000000" w:fill="FFFFFF"/>
            <w:noWrap w:val="0"/>
            <w:vAlign w:val="center"/>
          </w:tcPr>
          <w:p w14:paraId="713DBC6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6996861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3DDFBE6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2D5A3B3">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六</w:t>
            </w:r>
            <w:r>
              <w:rPr>
                <w:rFonts w:hint="eastAsia" w:asciiTheme="minorEastAsia" w:hAnsiTheme="minorEastAsia" w:eastAsiaTheme="minorEastAsia" w:cstheme="minorEastAsia"/>
                <w:b/>
                <w:bCs/>
                <w:color w:val="auto"/>
                <w:kern w:val="0"/>
                <w:sz w:val="24"/>
                <w:szCs w:val="24"/>
                <w:highlight w:val="none"/>
                <w:lang w:eastAsia="zh-CN"/>
              </w:rPr>
              <w:t>）</w:t>
            </w:r>
          </w:p>
        </w:tc>
        <w:tc>
          <w:tcPr>
            <w:tcW w:w="685" w:type="pct"/>
            <w:tcBorders>
              <w:top w:val="nil"/>
              <w:left w:val="nil"/>
              <w:bottom w:val="single" w:color="auto" w:sz="4" w:space="0"/>
              <w:right w:val="single" w:color="auto" w:sz="4" w:space="0"/>
            </w:tcBorders>
            <w:shd w:val="clear" w:color="000000" w:fill="FFFFFF"/>
            <w:noWrap w:val="0"/>
            <w:vAlign w:val="center"/>
          </w:tcPr>
          <w:p w14:paraId="18ABED9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办公家具</w:t>
            </w:r>
          </w:p>
        </w:tc>
        <w:tc>
          <w:tcPr>
            <w:tcW w:w="3000" w:type="pct"/>
            <w:tcBorders>
              <w:top w:val="nil"/>
              <w:left w:val="nil"/>
              <w:bottom w:val="single" w:color="auto" w:sz="4" w:space="0"/>
              <w:right w:val="single" w:color="auto" w:sz="4" w:space="0"/>
            </w:tcBorders>
            <w:shd w:val="clear" w:color="000000" w:fill="FFFFFF"/>
            <w:noWrap/>
            <w:vAlign w:val="center"/>
          </w:tcPr>
          <w:p w14:paraId="2FB7318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7C632C3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571B900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476D38DB">
        <w:tblPrEx>
          <w:tblCellMar>
            <w:top w:w="0" w:type="dxa"/>
            <w:left w:w="108" w:type="dxa"/>
            <w:bottom w:w="0" w:type="dxa"/>
            <w:right w:w="108" w:type="dxa"/>
          </w:tblCellMar>
        </w:tblPrEx>
        <w:trPr>
          <w:trHeight w:val="1760"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A43546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459B188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会议桌椅（双人位）</w:t>
            </w:r>
          </w:p>
        </w:tc>
        <w:tc>
          <w:tcPr>
            <w:tcW w:w="3000" w:type="pct"/>
            <w:tcBorders>
              <w:top w:val="nil"/>
              <w:left w:val="nil"/>
              <w:bottom w:val="single" w:color="auto" w:sz="4" w:space="0"/>
              <w:right w:val="single" w:color="auto" w:sz="4" w:space="0"/>
            </w:tcBorders>
            <w:shd w:val="clear" w:color="000000" w:fill="FFFFFF"/>
            <w:noWrap/>
            <w:vAlign w:val="center"/>
          </w:tcPr>
          <w:p w14:paraId="79E1E15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制长型桌，基材采用E1级以上环保板材，白色。规格尺寸：1600mmx600mmx750mm。每张桌子配2把椅子，包含配送和安装。要求第一排桌椅可支持后续加装无纸化会议系统升降一体机，第二排和三排座椅可支持加装维护终端（一体机），要求三排座椅外形保持一致并具备收纳设备线路的空间，保证美观的同时又方便使用。</w:t>
            </w:r>
          </w:p>
        </w:tc>
        <w:tc>
          <w:tcPr>
            <w:tcW w:w="369" w:type="pct"/>
            <w:tcBorders>
              <w:top w:val="nil"/>
              <w:left w:val="nil"/>
              <w:bottom w:val="single" w:color="auto" w:sz="4" w:space="0"/>
              <w:right w:val="single" w:color="auto" w:sz="4" w:space="0"/>
            </w:tcBorders>
            <w:shd w:val="clear" w:color="000000" w:fill="FFFFFF"/>
            <w:noWrap w:val="0"/>
            <w:vAlign w:val="center"/>
          </w:tcPr>
          <w:p w14:paraId="1B7790E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45B2C62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r>
      <w:tr w14:paraId="61C2479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D07B5D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7CD54C5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会议桌椅（三人位）</w:t>
            </w:r>
          </w:p>
        </w:tc>
        <w:tc>
          <w:tcPr>
            <w:tcW w:w="3000" w:type="pct"/>
            <w:tcBorders>
              <w:top w:val="nil"/>
              <w:left w:val="nil"/>
              <w:bottom w:val="single" w:color="auto" w:sz="4" w:space="0"/>
              <w:right w:val="single" w:color="auto" w:sz="4" w:space="0"/>
            </w:tcBorders>
            <w:shd w:val="clear" w:color="000000" w:fill="FFFFFF"/>
            <w:noWrap/>
            <w:vAlign w:val="center"/>
          </w:tcPr>
          <w:p w14:paraId="3E79260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制长型桌，基材采用E1级以上环保板材，白色。规格尺寸：2400mmx600mmx750mm。每张桌子配3把椅子，包含配送和安装。要求第一排桌椅可支持后续加装无纸化会议系统升降一体机，第二排和三排座椅可支持加装维护终端（一体机），要求三排座椅外形保持一致并具备收纳设备线路的空间，保证美观的同时又方便使用。</w:t>
            </w:r>
          </w:p>
        </w:tc>
        <w:tc>
          <w:tcPr>
            <w:tcW w:w="369" w:type="pct"/>
            <w:tcBorders>
              <w:top w:val="nil"/>
              <w:left w:val="nil"/>
              <w:bottom w:val="single" w:color="auto" w:sz="4" w:space="0"/>
              <w:right w:val="single" w:color="auto" w:sz="4" w:space="0"/>
            </w:tcBorders>
            <w:shd w:val="clear" w:color="000000" w:fill="FFFFFF"/>
            <w:noWrap w:val="0"/>
            <w:vAlign w:val="center"/>
          </w:tcPr>
          <w:p w14:paraId="4D7D5D5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1328B34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r>
      <w:tr w14:paraId="41CC5CA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73A042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685" w:type="pct"/>
            <w:tcBorders>
              <w:top w:val="nil"/>
              <w:left w:val="nil"/>
              <w:bottom w:val="single" w:color="auto" w:sz="4" w:space="0"/>
              <w:right w:val="single" w:color="auto" w:sz="4" w:space="0"/>
            </w:tcBorders>
            <w:shd w:val="clear" w:color="000000" w:fill="FFFFFF"/>
            <w:noWrap w:val="0"/>
            <w:vAlign w:val="center"/>
          </w:tcPr>
          <w:p w14:paraId="792919E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值班办公室办公桌</w:t>
            </w:r>
          </w:p>
        </w:tc>
        <w:tc>
          <w:tcPr>
            <w:tcW w:w="3000" w:type="pct"/>
            <w:tcBorders>
              <w:top w:val="nil"/>
              <w:left w:val="nil"/>
              <w:bottom w:val="single" w:color="auto" w:sz="4" w:space="0"/>
              <w:right w:val="single" w:color="auto" w:sz="4" w:space="0"/>
            </w:tcBorders>
            <w:shd w:val="clear" w:color="000000" w:fill="FFFFFF"/>
            <w:noWrap/>
            <w:vAlign w:val="center"/>
          </w:tcPr>
          <w:p w14:paraId="0D0E713A">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定制单人位办公桌椅，规格尺寸：1500mmx600mmx750mm，基材采用E1级以上环保板材，包含配送和安装。</w:t>
            </w:r>
          </w:p>
        </w:tc>
        <w:tc>
          <w:tcPr>
            <w:tcW w:w="369" w:type="pct"/>
            <w:tcBorders>
              <w:top w:val="nil"/>
              <w:left w:val="nil"/>
              <w:bottom w:val="single" w:color="auto" w:sz="4" w:space="0"/>
              <w:right w:val="single" w:color="auto" w:sz="4" w:space="0"/>
            </w:tcBorders>
            <w:shd w:val="clear" w:color="000000" w:fill="FFFFFF"/>
            <w:noWrap w:val="0"/>
            <w:vAlign w:val="center"/>
          </w:tcPr>
          <w:p w14:paraId="6A53EB0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126CB7D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04CC22B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6C37A1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685" w:type="pct"/>
            <w:tcBorders>
              <w:top w:val="nil"/>
              <w:left w:val="nil"/>
              <w:bottom w:val="single" w:color="auto" w:sz="4" w:space="0"/>
              <w:right w:val="single" w:color="auto" w:sz="4" w:space="0"/>
            </w:tcBorders>
            <w:shd w:val="clear" w:color="000000" w:fill="FFFFFF"/>
            <w:noWrap w:val="0"/>
            <w:vAlign w:val="center"/>
          </w:tcPr>
          <w:p w14:paraId="1CEBF03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电脑控制桌</w:t>
            </w:r>
          </w:p>
        </w:tc>
        <w:tc>
          <w:tcPr>
            <w:tcW w:w="3000" w:type="pct"/>
            <w:tcBorders>
              <w:top w:val="nil"/>
              <w:left w:val="nil"/>
              <w:bottom w:val="single" w:color="auto" w:sz="4" w:space="0"/>
              <w:right w:val="single" w:color="auto" w:sz="4" w:space="0"/>
            </w:tcBorders>
            <w:shd w:val="clear" w:color="000000" w:fill="FFFFFF"/>
            <w:noWrap/>
            <w:vAlign w:val="center"/>
          </w:tcPr>
          <w:p w14:paraId="6B59D0C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定制1.2米单人办公桌，配椅子，用于放置大屏主控电脑。包含配送和安装。</w:t>
            </w:r>
          </w:p>
        </w:tc>
        <w:tc>
          <w:tcPr>
            <w:tcW w:w="369" w:type="pct"/>
            <w:tcBorders>
              <w:top w:val="nil"/>
              <w:left w:val="nil"/>
              <w:bottom w:val="single" w:color="auto" w:sz="4" w:space="0"/>
              <w:right w:val="single" w:color="auto" w:sz="4" w:space="0"/>
            </w:tcBorders>
            <w:shd w:val="clear" w:color="000000" w:fill="FFFFFF"/>
            <w:noWrap w:val="0"/>
            <w:vAlign w:val="center"/>
          </w:tcPr>
          <w:p w14:paraId="39F74C8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18FD749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7E27CA5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6B8F31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685" w:type="pct"/>
            <w:tcBorders>
              <w:top w:val="nil"/>
              <w:left w:val="nil"/>
              <w:bottom w:val="single" w:color="auto" w:sz="4" w:space="0"/>
              <w:right w:val="single" w:color="auto" w:sz="4" w:space="0"/>
            </w:tcBorders>
            <w:shd w:val="clear" w:color="000000" w:fill="FFFFFF"/>
            <w:noWrap w:val="0"/>
            <w:vAlign w:val="center"/>
          </w:tcPr>
          <w:p w14:paraId="3314C11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上下床</w:t>
            </w:r>
          </w:p>
        </w:tc>
        <w:tc>
          <w:tcPr>
            <w:tcW w:w="3000" w:type="pct"/>
            <w:tcBorders>
              <w:top w:val="nil"/>
              <w:left w:val="nil"/>
              <w:bottom w:val="single" w:color="auto" w:sz="4" w:space="0"/>
              <w:right w:val="single" w:color="auto" w:sz="4" w:space="0"/>
            </w:tcBorders>
            <w:shd w:val="clear" w:color="000000" w:fill="FFFFFF"/>
            <w:noWrap/>
            <w:vAlign w:val="center"/>
          </w:tcPr>
          <w:p w14:paraId="53BBB73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采购钢制成人上下床，规格尺寸约：2000mmx1200mmx1800mm，加厚双层白色，配床板，包含配送和安装。</w:t>
            </w:r>
          </w:p>
        </w:tc>
        <w:tc>
          <w:tcPr>
            <w:tcW w:w="369" w:type="pct"/>
            <w:tcBorders>
              <w:top w:val="nil"/>
              <w:left w:val="nil"/>
              <w:bottom w:val="single" w:color="auto" w:sz="4" w:space="0"/>
              <w:right w:val="single" w:color="auto" w:sz="4" w:space="0"/>
            </w:tcBorders>
            <w:shd w:val="clear" w:color="000000" w:fill="FFFFFF"/>
            <w:noWrap w:val="0"/>
            <w:vAlign w:val="center"/>
          </w:tcPr>
          <w:p w14:paraId="0944E46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4458144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3B5B8B71">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6470E3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685" w:type="pct"/>
            <w:tcBorders>
              <w:top w:val="nil"/>
              <w:left w:val="nil"/>
              <w:bottom w:val="single" w:color="auto" w:sz="4" w:space="0"/>
              <w:right w:val="single" w:color="auto" w:sz="4" w:space="0"/>
            </w:tcBorders>
            <w:shd w:val="clear" w:color="000000" w:fill="FFFFFF"/>
            <w:noWrap w:val="0"/>
            <w:vAlign w:val="center"/>
          </w:tcPr>
          <w:p w14:paraId="486CF7E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会议室空调</w:t>
            </w:r>
          </w:p>
        </w:tc>
        <w:tc>
          <w:tcPr>
            <w:tcW w:w="3000" w:type="pct"/>
            <w:tcBorders>
              <w:top w:val="nil"/>
              <w:left w:val="nil"/>
              <w:bottom w:val="single" w:color="auto" w:sz="4" w:space="0"/>
              <w:right w:val="single" w:color="auto" w:sz="4" w:space="0"/>
            </w:tcBorders>
            <w:shd w:val="clear" w:color="000000" w:fill="FFFFFF"/>
            <w:noWrap/>
            <w:vAlign w:val="center"/>
          </w:tcPr>
          <w:p w14:paraId="71870A3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采购一级能效2匹悬角式空调，节能省电变频冷暖除菌自清洁，包含新机安装和旧内外机拆除搬运。</w:t>
            </w:r>
          </w:p>
        </w:tc>
        <w:tc>
          <w:tcPr>
            <w:tcW w:w="369" w:type="pct"/>
            <w:tcBorders>
              <w:top w:val="nil"/>
              <w:left w:val="nil"/>
              <w:bottom w:val="single" w:color="auto" w:sz="4" w:space="0"/>
              <w:right w:val="single" w:color="auto" w:sz="4" w:space="0"/>
            </w:tcBorders>
            <w:shd w:val="clear" w:color="000000" w:fill="FFFFFF"/>
            <w:noWrap w:val="0"/>
            <w:vAlign w:val="center"/>
          </w:tcPr>
          <w:p w14:paraId="0074EE7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5E79D1F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1B84446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8FA9FA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685" w:type="pct"/>
            <w:tcBorders>
              <w:top w:val="nil"/>
              <w:left w:val="nil"/>
              <w:bottom w:val="single" w:color="auto" w:sz="4" w:space="0"/>
              <w:right w:val="single" w:color="auto" w:sz="4" w:space="0"/>
            </w:tcBorders>
            <w:shd w:val="clear" w:color="000000" w:fill="FFFFFF"/>
            <w:noWrap w:val="0"/>
            <w:vAlign w:val="center"/>
          </w:tcPr>
          <w:p w14:paraId="7113241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值班室空调</w:t>
            </w:r>
          </w:p>
        </w:tc>
        <w:tc>
          <w:tcPr>
            <w:tcW w:w="3000" w:type="pct"/>
            <w:tcBorders>
              <w:top w:val="nil"/>
              <w:left w:val="nil"/>
              <w:bottom w:val="single" w:color="auto" w:sz="4" w:space="0"/>
              <w:right w:val="single" w:color="auto" w:sz="4" w:space="0"/>
            </w:tcBorders>
            <w:shd w:val="clear" w:color="000000" w:fill="FFFFFF"/>
            <w:noWrap/>
            <w:vAlign w:val="center"/>
          </w:tcPr>
          <w:p w14:paraId="0B660A0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采购三级能效3匹挂式空调，节能省电变频冷暖除菌自清洁，包含新机安装和旧内外机拆除搬运。</w:t>
            </w:r>
          </w:p>
        </w:tc>
        <w:tc>
          <w:tcPr>
            <w:tcW w:w="369" w:type="pct"/>
            <w:tcBorders>
              <w:top w:val="nil"/>
              <w:left w:val="nil"/>
              <w:bottom w:val="single" w:color="auto" w:sz="4" w:space="0"/>
              <w:right w:val="single" w:color="auto" w:sz="4" w:space="0"/>
            </w:tcBorders>
            <w:shd w:val="clear" w:color="000000" w:fill="FFFFFF"/>
            <w:noWrap w:val="0"/>
            <w:vAlign w:val="center"/>
          </w:tcPr>
          <w:p w14:paraId="2D36C7C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09CA24C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11C51F7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D0B939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685" w:type="pct"/>
            <w:tcBorders>
              <w:top w:val="nil"/>
              <w:left w:val="nil"/>
              <w:bottom w:val="single" w:color="auto" w:sz="4" w:space="0"/>
              <w:right w:val="single" w:color="auto" w:sz="4" w:space="0"/>
            </w:tcBorders>
            <w:shd w:val="clear" w:color="000000" w:fill="FFFFFF"/>
            <w:noWrap w:val="0"/>
            <w:vAlign w:val="center"/>
          </w:tcPr>
          <w:p w14:paraId="518C29B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手机信号屏蔽柜</w:t>
            </w:r>
          </w:p>
        </w:tc>
        <w:tc>
          <w:tcPr>
            <w:tcW w:w="3000" w:type="pct"/>
            <w:tcBorders>
              <w:top w:val="nil"/>
              <w:left w:val="nil"/>
              <w:bottom w:val="single" w:color="auto" w:sz="4" w:space="0"/>
              <w:right w:val="single" w:color="auto" w:sz="4" w:space="0"/>
            </w:tcBorders>
            <w:shd w:val="clear" w:color="000000" w:fill="FFFFFF"/>
            <w:noWrap/>
            <w:vAlign w:val="center"/>
          </w:tcPr>
          <w:p w14:paraId="38C1F5A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采购32格手机信号屏蔽柜1台，物理屏蔽信号，用于会议室收放保管手机。</w:t>
            </w:r>
          </w:p>
        </w:tc>
        <w:tc>
          <w:tcPr>
            <w:tcW w:w="369" w:type="pct"/>
            <w:tcBorders>
              <w:top w:val="nil"/>
              <w:left w:val="nil"/>
              <w:bottom w:val="single" w:color="auto" w:sz="4" w:space="0"/>
              <w:right w:val="single" w:color="auto" w:sz="4" w:space="0"/>
            </w:tcBorders>
            <w:shd w:val="clear" w:color="000000" w:fill="FFFFFF"/>
            <w:noWrap w:val="0"/>
            <w:vAlign w:val="center"/>
          </w:tcPr>
          <w:p w14:paraId="6048457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3A50EE7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3D3C5F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EECEBC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685" w:type="pct"/>
            <w:tcBorders>
              <w:top w:val="nil"/>
              <w:left w:val="nil"/>
              <w:bottom w:val="single" w:color="auto" w:sz="4" w:space="0"/>
              <w:right w:val="single" w:color="auto" w:sz="4" w:space="0"/>
            </w:tcBorders>
            <w:shd w:val="clear" w:color="000000" w:fill="FFFFFF"/>
            <w:noWrap w:val="0"/>
            <w:vAlign w:val="center"/>
          </w:tcPr>
          <w:p w14:paraId="2CF0243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A3彩色多功能打印扫描一体机</w:t>
            </w:r>
          </w:p>
        </w:tc>
        <w:tc>
          <w:tcPr>
            <w:tcW w:w="3000" w:type="pct"/>
            <w:tcBorders>
              <w:top w:val="nil"/>
              <w:left w:val="nil"/>
              <w:bottom w:val="single" w:color="auto" w:sz="4" w:space="0"/>
              <w:right w:val="single" w:color="auto" w:sz="4" w:space="0"/>
            </w:tcBorders>
            <w:shd w:val="clear" w:color="000000" w:fill="FFFFFF"/>
            <w:noWrap/>
            <w:vAlign w:val="center"/>
          </w:tcPr>
          <w:p w14:paraId="4EFDC67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国产</w:t>
            </w:r>
            <w:r>
              <w:rPr>
                <w:rFonts w:hint="eastAsia" w:asciiTheme="minorEastAsia" w:hAnsiTheme="minorEastAsia" w:eastAsiaTheme="minorEastAsia" w:cstheme="minorEastAsia"/>
                <w:color w:val="auto"/>
                <w:kern w:val="0"/>
                <w:sz w:val="24"/>
                <w:szCs w:val="24"/>
                <w:highlight w:val="none"/>
              </w:rPr>
              <w:t>设备</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控制芯片</w:t>
            </w:r>
            <w:r>
              <w:rPr>
                <w:rFonts w:hint="eastAsia" w:asciiTheme="minorEastAsia" w:hAnsiTheme="minorEastAsia" w:eastAsiaTheme="minorEastAsia" w:cstheme="minorEastAsia"/>
                <w:color w:val="auto"/>
                <w:kern w:val="0"/>
                <w:sz w:val="24"/>
                <w:szCs w:val="24"/>
                <w:highlight w:val="none"/>
              </w:rPr>
              <w:t>等关键部件</w:t>
            </w:r>
            <w:r>
              <w:rPr>
                <w:rFonts w:hint="eastAsia" w:asciiTheme="minorEastAsia" w:hAnsiTheme="minorEastAsia" w:eastAsiaTheme="minorEastAsia" w:cstheme="minorEastAsia"/>
                <w:color w:val="auto"/>
                <w:kern w:val="0"/>
                <w:sz w:val="24"/>
                <w:szCs w:val="24"/>
                <w:highlight w:val="none"/>
                <w:lang w:val="en-US" w:eastAsia="zh-CN"/>
              </w:rPr>
              <w:t>要求国产化</w:t>
            </w:r>
            <w:r>
              <w:rPr>
                <w:rFonts w:hint="eastAsia" w:asciiTheme="minorEastAsia" w:hAnsiTheme="minorEastAsia" w:eastAsiaTheme="minorEastAsia" w:cstheme="minorEastAsia"/>
                <w:color w:val="auto"/>
                <w:kern w:val="0"/>
                <w:sz w:val="24"/>
                <w:szCs w:val="24"/>
                <w:highlight w:val="none"/>
                <w:lang w:eastAsia="zh-CN"/>
              </w:rPr>
              <w:t>，设备驱动适配主流国产操作系统，</w:t>
            </w:r>
            <w:r>
              <w:rPr>
                <w:rFonts w:hint="eastAsia" w:asciiTheme="minorEastAsia" w:hAnsiTheme="minorEastAsia" w:eastAsiaTheme="minorEastAsia" w:cstheme="minorEastAsia"/>
                <w:color w:val="auto"/>
                <w:kern w:val="0"/>
                <w:sz w:val="24"/>
                <w:szCs w:val="24"/>
                <w:highlight w:val="none"/>
                <w:lang w:val="en-US" w:eastAsia="zh-CN"/>
              </w:rPr>
              <w:t>能与本项目其他设备兼容</w:t>
            </w:r>
            <w:r>
              <w:rPr>
                <w:rFonts w:hint="eastAsia" w:asciiTheme="minorEastAsia" w:hAnsiTheme="minorEastAsia" w:eastAsiaTheme="minorEastAsia" w:cstheme="minorEastAsia"/>
                <w:color w:val="auto"/>
                <w:kern w:val="0"/>
                <w:sz w:val="24"/>
                <w:szCs w:val="24"/>
                <w:highlight w:val="none"/>
              </w:rPr>
              <w:t>。具备文字文档打印、图片打印、份数设置、范围设置、页边距设置、缩放打印设置、打印队列管理等基本功能，支持彩色扫描、自动双面扫描、手动进纸、彩色打复印，自动双面打印、网络打印、USB打印、PC端打印状态监控、平板稿台和自动进纸器复印/扫描,支持内存清零、日志审计、身份认证，选配1个鞍式装订分页器、1个一层供纸盒、1个走纸连接组件模块。</w:t>
            </w:r>
          </w:p>
        </w:tc>
        <w:tc>
          <w:tcPr>
            <w:tcW w:w="369" w:type="pct"/>
            <w:tcBorders>
              <w:top w:val="nil"/>
              <w:left w:val="nil"/>
              <w:bottom w:val="single" w:color="auto" w:sz="4" w:space="0"/>
              <w:right w:val="single" w:color="auto" w:sz="4" w:space="0"/>
            </w:tcBorders>
            <w:shd w:val="clear" w:color="000000" w:fill="FFFFFF"/>
            <w:noWrap w:val="0"/>
            <w:vAlign w:val="center"/>
          </w:tcPr>
          <w:p w14:paraId="64B545C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台</w:t>
            </w:r>
          </w:p>
        </w:tc>
        <w:tc>
          <w:tcPr>
            <w:tcW w:w="483" w:type="pct"/>
            <w:tcBorders>
              <w:top w:val="nil"/>
              <w:left w:val="nil"/>
              <w:bottom w:val="single" w:color="auto" w:sz="4" w:space="0"/>
              <w:right w:val="single" w:color="auto" w:sz="4" w:space="0"/>
            </w:tcBorders>
            <w:shd w:val="clear" w:color="000000" w:fill="FFFFFF"/>
            <w:noWrap w:val="0"/>
            <w:vAlign w:val="center"/>
          </w:tcPr>
          <w:p w14:paraId="3F5B662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77109EE1">
        <w:tblPrEx>
          <w:tblCellMar>
            <w:top w:w="0" w:type="dxa"/>
            <w:left w:w="108" w:type="dxa"/>
            <w:bottom w:w="0" w:type="dxa"/>
            <w:right w:w="108" w:type="dxa"/>
          </w:tblCellMar>
        </w:tblPrEx>
        <w:trPr>
          <w:trHeight w:val="285" w:hRule="atLeast"/>
        </w:trPr>
        <w:tc>
          <w:tcPr>
            <w:tcW w:w="5000" w:type="pct"/>
            <w:gridSpan w:val="5"/>
            <w:tcBorders>
              <w:top w:val="nil"/>
              <w:left w:val="single" w:color="auto" w:sz="4" w:space="0"/>
              <w:bottom w:val="single" w:color="auto" w:sz="4" w:space="0"/>
              <w:right w:val="single" w:color="auto" w:sz="4" w:space="0"/>
            </w:tcBorders>
            <w:shd w:val="clear" w:color="000000" w:fill="FFFFFF"/>
            <w:noWrap w:val="0"/>
            <w:vAlign w:val="center"/>
          </w:tcPr>
          <w:p w14:paraId="677AB363">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采购内容2：指挥场所</w:t>
            </w:r>
            <w:r>
              <w:rPr>
                <w:rFonts w:hint="eastAsia" w:asciiTheme="minorEastAsia" w:hAnsiTheme="minorEastAsia" w:eastAsiaTheme="minorEastAsia" w:cstheme="minorEastAsia"/>
                <w:b/>
                <w:bCs/>
                <w:color w:val="auto"/>
                <w:kern w:val="0"/>
                <w:sz w:val="24"/>
                <w:szCs w:val="24"/>
                <w:highlight w:val="none"/>
              </w:rPr>
              <w:t>装修</w:t>
            </w:r>
          </w:p>
        </w:tc>
      </w:tr>
      <w:tr w14:paraId="686BDCDF">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D74F93E">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p>
        </w:tc>
        <w:tc>
          <w:tcPr>
            <w:tcW w:w="685" w:type="pct"/>
            <w:tcBorders>
              <w:top w:val="nil"/>
              <w:left w:val="nil"/>
              <w:bottom w:val="single" w:color="auto" w:sz="4" w:space="0"/>
              <w:right w:val="single" w:color="auto" w:sz="4" w:space="0"/>
            </w:tcBorders>
            <w:shd w:val="clear" w:color="000000" w:fill="FFFFFF"/>
            <w:noWrap w:val="0"/>
            <w:vAlign w:val="center"/>
          </w:tcPr>
          <w:p w14:paraId="4847E9B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基础工程</w:t>
            </w:r>
          </w:p>
        </w:tc>
        <w:tc>
          <w:tcPr>
            <w:tcW w:w="3000" w:type="pct"/>
            <w:tcBorders>
              <w:top w:val="nil"/>
              <w:left w:val="nil"/>
              <w:bottom w:val="single" w:color="auto" w:sz="4" w:space="0"/>
              <w:right w:val="single" w:color="auto" w:sz="4" w:space="0"/>
            </w:tcBorders>
            <w:shd w:val="clear" w:color="000000" w:fill="FFFFFF"/>
            <w:noWrap/>
            <w:vAlign w:val="center"/>
          </w:tcPr>
          <w:p w14:paraId="48215DCB">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78D5ECF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1CC35650">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5FC7642C">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89662C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1.1</w:t>
            </w:r>
          </w:p>
        </w:tc>
        <w:tc>
          <w:tcPr>
            <w:tcW w:w="685" w:type="pct"/>
            <w:tcBorders>
              <w:top w:val="nil"/>
              <w:left w:val="nil"/>
              <w:bottom w:val="single" w:color="auto" w:sz="4" w:space="0"/>
              <w:right w:val="single" w:color="auto" w:sz="4" w:space="0"/>
            </w:tcBorders>
            <w:shd w:val="clear" w:color="000000" w:fill="FFFFFF"/>
            <w:noWrap w:val="0"/>
            <w:vAlign w:val="center"/>
          </w:tcPr>
          <w:p w14:paraId="18BEDE3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拆除墙体</w:t>
            </w:r>
          </w:p>
        </w:tc>
        <w:tc>
          <w:tcPr>
            <w:tcW w:w="3000" w:type="pct"/>
            <w:tcBorders>
              <w:top w:val="nil"/>
              <w:left w:val="nil"/>
              <w:bottom w:val="single" w:color="auto" w:sz="4" w:space="0"/>
              <w:right w:val="single" w:color="auto" w:sz="4" w:space="0"/>
            </w:tcBorders>
            <w:shd w:val="clear" w:color="000000" w:fill="FFFFFF"/>
            <w:noWrap/>
            <w:vAlign w:val="center"/>
          </w:tcPr>
          <w:p w14:paraId="74737CD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人工拆除，装车外运</w:t>
            </w:r>
          </w:p>
        </w:tc>
        <w:tc>
          <w:tcPr>
            <w:tcW w:w="369" w:type="pct"/>
            <w:tcBorders>
              <w:top w:val="nil"/>
              <w:left w:val="nil"/>
              <w:bottom w:val="single" w:color="auto" w:sz="4" w:space="0"/>
              <w:right w:val="single" w:color="auto" w:sz="4" w:space="0"/>
            </w:tcBorders>
            <w:shd w:val="clear" w:color="000000" w:fill="FFFFFF"/>
            <w:noWrap w:val="0"/>
            <w:vAlign w:val="center"/>
          </w:tcPr>
          <w:p w14:paraId="60A866E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6F2A461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09D8D1C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95B172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p>
        </w:tc>
        <w:tc>
          <w:tcPr>
            <w:tcW w:w="685" w:type="pct"/>
            <w:tcBorders>
              <w:top w:val="nil"/>
              <w:left w:val="nil"/>
              <w:bottom w:val="single" w:color="auto" w:sz="4" w:space="0"/>
              <w:right w:val="single" w:color="auto" w:sz="4" w:space="0"/>
            </w:tcBorders>
            <w:shd w:val="clear" w:color="000000" w:fill="FFFFFF"/>
            <w:noWrap w:val="0"/>
            <w:vAlign w:val="center"/>
          </w:tcPr>
          <w:p w14:paraId="3DEAA34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墙皮铲除</w:t>
            </w:r>
          </w:p>
        </w:tc>
        <w:tc>
          <w:tcPr>
            <w:tcW w:w="3000" w:type="pct"/>
            <w:tcBorders>
              <w:top w:val="nil"/>
              <w:left w:val="nil"/>
              <w:bottom w:val="single" w:color="auto" w:sz="4" w:space="0"/>
              <w:right w:val="single" w:color="auto" w:sz="4" w:space="0"/>
            </w:tcBorders>
            <w:shd w:val="clear" w:color="000000" w:fill="FFFFFF"/>
            <w:noWrap/>
            <w:vAlign w:val="center"/>
          </w:tcPr>
          <w:p w14:paraId="54A1B6B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人工铲除原墙面腻子</w:t>
            </w:r>
          </w:p>
        </w:tc>
        <w:tc>
          <w:tcPr>
            <w:tcW w:w="369" w:type="pct"/>
            <w:tcBorders>
              <w:top w:val="nil"/>
              <w:left w:val="nil"/>
              <w:bottom w:val="single" w:color="auto" w:sz="4" w:space="0"/>
              <w:right w:val="single" w:color="auto" w:sz="4" w:space="0"/>
            </w:tcBorders>
            <w:shd w:val="clear" w:color="000000" w:fill="FFFFFF"/>
            <w:noWrap w:val="0"/>
            <w:vAlign w:val="center"/>
          </w:tcPr>
          <w:p w14:paraId="6790C30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2C3A212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171.5</w:t>
            </w:r>
          </w:p>
        </w:tc>
      </w:tr>
      <w:tr w14:paraId="3AEA182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01264E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w:t>
            </w:r>
          </w:p>
        </w:tc>
        <w:tc>
          <w:tcPr>
            <w:tcW w:w="685" w:type="pct"/>
            <w:tcBorders>
              <w:top w:val="nil"/>
              <w:left w:val="nil"/>
              <w:bottom w:val="single" w:color="auto" w:sz="4" w:space="0"/>
              <w:right w:val="single" w:color="auto" w:sz="4" w:space="0"/>
            </w:tcBorders>
            <w:shd w:val="clear" w:color="000000" w:fill="FFFFFF"/>
            <w:noWrap w:val="0"/>
            <w:vAlign w:val="center"/>
          </w:tcPr>
          <w:p w14:paraId="4288E40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吊顶拆除</w:t>
            </w:r>
          </w:p>
        </w:tc>
        <w:tc>
          <w:tcPr>
            <w:tcW w:w="3000" w:type="pct"/>
            <w:tcBorders>
              <w:top w:val="nil"/>
              <w:left w:val="nil"/>
              <w:bottom w:val="single" w:color="auto" w:sz="4" w:space="0"/>
              <w:right w:val="single" w:color="auto" w:sz="4" w:space="0"/>
            </w:tcBorders>
            <w:shd w:val="clear" w:color="000000" w:fill="FFFFFF"/>
            <w:noWrap/>
            <w:vAlign w:val="center"/>
          </w:tcPr>
          <w:p w14:paraId="66EA947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205、206室内吊顶+走廊吊顶，人工拆除，装车外运</w:t>
            </w:r>
          </w:p>
        </w:tc>
        <w:tc>
          <w:tcPr>
            <w:tcW w:w="369" w:type="pct"/>
            <w:tcBorders>
              <w:top w:val="nil"/>
              <w:left w:val="nil"/>
              <w:bottom w:val="single" w:color="auto" w:sz="4" w:space="0"/>
              <w:right w:val="single" w:color="auto" w:sz="4" w:space="0"/>
            </w:tcBorders>
            <w:shd w:val="clear" w:color="000000" w:fill="FFFFFF"/>
            <w:noWrap w:val="0"/>
            <w:vAlign w:val="center"/>
          </w:tcPr>
          <w:p w14:paraId="725917E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0D3414F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104.88</w:t>
            </w:r>
          </w:p>
        </w:tc>
      </w:tr>
      <w:tr w14:paraId="18FEE99F">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61EEF2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w:t>
            </w:r>
          </w:p>
        </w:tc>
        <w:tc>
          <w:tcPr>
            <w:tcW w:w="685" w:type="pct"/>
            <w:tcBorders>
              <w:top w:val="nil"/>
              <w:left w:val="nil"/>
              <w:bottom w:val="single" w:color="auto" w:sz="4" w:space="0"/>
              <w:right w:val="single" w:color="auto" w:sz="4" w:space="0"/>
            </w:tcBorders>
            <w:shd w:val="clear" w:color="000000" w:fill="FFFFFF"/>
            <w:noWrap w:val="0"/>
            <w:vAlign w:val="center"/>
          </w:tcPr>
          <w:p w14:paraId="787CE02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大门拆除和安装</w:t>
            </w:r>
          </w:p>
        </w:tc>
        <w:tc>
          <w:tcPr>
            <w:tcW w:w="3000" w:type="pct"/>
            <w:tcBorders>
              <w:top w:val="nil"/>
              <w:left w:val="nil"/>
              <w:bottom w:val="single" w:color="auto" w:sz="4" w:space="0"/>
              <w:right w:val="single" w:color="auto" w:sz="4" w:space="0"/>
            </w:tcBorders>
            <w:shd w:val="clear" w:color="000000" w:fill="FFFFFF"/>
            <w:noWrap/>
            <w:vAlign w:val="center"/>
          </w:tcPr>
          <w:p w14:paraId="3D15683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1、人工拆除原大门，装车外运；</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2、指纹密码锁，含门套五金人工。</w:t>
            </w:r>
          </w:p>
        </w:tc>
        <w:tc>
          <w:tcPr>
            <w:tcW w:w="369" w:type="pct"/>
            <w:tcBorders>
              <w:top w:val="nil"/>
              <w:left w:val="nil"/>
              <w:bottom w:val="single" w:color="auto" w:sz="4" w:space="0"/>
              <w:right w:val="single" w:color="auto" w:sz="4" w:space="0"/>
            </w:tcBorders>
            <w:shd w:val="clear" w:color="000000" w:fill="FFFFFF"/>
            <w:noWrap w:val="0"/>
            <w:vAlign w:val="center"/>
          </w:tcPr>
          <w:p w14:paraId="44163FA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樘</w:t>
            </w:r>
          </w:p>
        </w:tc>
        <w:tc>
          <w:tcPr>
            <w:tcW w:w="483" w:type="pct"/>
            <w:tcBorders>
              <w:top w:val="nil"/>
              <w:left w:val="nil"/>
              <w:bottom w:val="single" w:color="auto" w:sz="4" w:space="0"/>
              <w:right w:val="single" w:color="auto" w:sz="4" w:space="0"/>
            </w:tcBorders>
            <w:shd w:val="clear" w:color="000000" w:fill="FFFFFF"/>
            <w:noWrap w:val="0"/>
            <w:vAlign w:val="center"/>
          </w:tcPr>
          <w:p w14:paraId="4CD7502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0DD88EB3">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889DD8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2</w:t>
            </w:r>
          </w:p>
        </w:tc>
        <w:tc>
          <w:tcPr>
            <w:tcW w:w="685" w:type="pct"/>
            <w:tcBorders>
              <w:top w:val="nil"/>
              <w:left w:val="nil"/>
              <w:bottom w:val="single" w:color="auto" w:sz="4" w:space="0"/>
              <w:right w:val="single" w:color="auto" w:sz="4" w:space="0"/>
            </w:tcBorders>
            <w:shd w:val="clear" w:color="000000" w:fill="FFFFFF"/>
            <w:noWrap w:val="0"/>
            <w:vAlign w:val="center"/>
          </w:tcPr>
          <w:p w14:paraId="7838A043">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墙面工程</w:t>
            </w:r>
          </w:p>
        </w:tc>
        <w:tc>
          <w:tcPr>
            <w:tcW w:w="3000" w:type="pct"/>
            <w:tcBorders>
              <w:top w:val="nil"/>
              <w:left w:val="nil"/>
              <w:bottom w:val="single" w:color="auto" w:sz="4" w:space="0"/>
              <w:right w:val="single" w:color="auto" w:sz="4" w:space="0"/>
            </w:tcBorders>
            <w:shd w:val="clear" w:color="000000" w:fill="FFFFFF"/>
            <w:noWrap/>
            <w:vAlign w:val="center"/>
          </w:tcPr>
          <w:p w14:paraId="0B8D3DF1">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369DD917">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445EA43C">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1630658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9B5EA7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w:t>
            </w:r>
          </w:p>
        </w:tc>
        <w:tc>
          <w:tcPr>
            <w:tcW w:w="685" w:type="pct"/>
            <w:tcBorders>
              <w:top w:val="nil"/>
              <w:left w:val="nil"/>
              <w:bottom w:val="single" w:color="auto" w:sz="4" w:space="0"/>
              <w:right w:val="single" w:color="auto" w:sz="4" w:space="0"/>
            </w:tcBorders>
            <w:shd w:val="clear" w:color="000000" w:fill="FFFFFF"/>
            <w:noWrap w:val="0"/>
            <w:vAlign w:val="center"/>
          </w:tcPr>
          <w:p w14:paraId="1B65732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墙面满刮腻子</w:t>
            </w:r>
          </w:p>
        </w:tc>
        <w:tc>
          <w:tcPr>
            <w:tcW w:w="3000" w:type="pct"/>
            <w:tcBorders>
              <w:top w:val="nil"/>
              <w:left w:val="nil"/>
              <w:bottom w:val="single" w:color="auto" w:sz="4" w:space="0"/>
              <w:right w:val="single" w:color="auto" w:sz="4" w:space="0"/>
            </w:tcBorders>
            <w:shd w:val="clear" w:color="000000" w:fill="FFFFFF"/>
            <w:noWrap/>
            <w:vAlign w:val="center"/>
          </w:tcPr>
          <w:p w14:paraId="28526AA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墙面腻子铲除，重新打磨平整、刮腻子一底两面，人工辅材。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6603F0E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23D5E8F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171.5</w:t>
            </w:r>
          </w:p>
        </w:tc>
      </w:tr>
      <w:tr w14:paraId="0779BFA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484F2A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w:t>
            </w:r>
          </w:p>
        </w:tc>
        <w:tc>
          <w:tcPr>
            <w:tcW w:w="685" w:type="pct"/>
            <w:tcBorders>
              <w:top w:val="nil"/>
              <w:left w:val="nil"/>
              <w:bottom w:val="single" w:color="auto" w:sz="4" w:space="0"/>
              <w:right w:val="single" w:color="auto" w:sz="4" w:space="0"/>
            </w:tcBorders>
            <w:shd w:val="clear" w:color="000000" w:fill="FFFFFF"/>
            <w:noWrap w:val="0"/>
            <w:vAlign w:val="center"/>
          </w:tcPr>
          <w:p w14:paraId="0C0B80C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墙面刷乳胶漆</w:t>
            </w:r>
          </w:p>
        </w:tc>
        <w:tc>
          <w:tcPr>
            <w:tcW w:w="3000" w:type="pct"/>
            <w:tcBorders>
              <w:top w:val="nil"/>
              <w:left w:val="nil"/>
              <w:bottom w:val="single" w:color="auto" w:sz="4" w:space="0"/>
              <w:right w:val="single" w:color="auto" w:sz="4" w:space="0"/>
            </w:tcBorders>
            <w:shd w:val="clear" w:color="000000" w:fill="FFFFFF"/>
            <w:noWrap/>
            <w:vAlign w:val="center"/>
          </w:tcPr>
          <w:p w14:paraId="14418F7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多乐士或立邦环保内墙乳胶漆 、底漆一遍面漆两遍。</w:t>
            </w:r>
          </w:p>
        </w:tc>
        <w:tc>
          <w:tcPr>
            <w:tcW w:w="369" w:type="pct"/>
            <w:tcBorders>
              <w:top w:val="nil"/>
              <w:left w:val="nil"/>
              <w:bottom w:val="single" w:color="auto" w:sz="4" w:space="0"/>
              <w:right w:val="single" w:color="auto" w:sz="4" w:space="0"/>
            </w:tcBorders>
            <w:shd w:val="clear" w:color="000000" w:fill="FFFFFF"/>
            <w:noWrap w:val="0"/>
            <w:vAlign w:val="center"/>
          </w:tcPr>
          <w:p w14:paraId="57823A4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3022E7F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171.5</w:t>
            </w:r>
          </w:p>
        </w:tc>
      </w:tr>
      <w:tr w14:paraId="7203A36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5B6BCF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2.3</w:t>
            </w:r>
          </w:p>
        </w:tc>
        <w:tc>
          <w:tcPr>
            <w:tcW w:w="685" w:type="pct"/>
            <w:tcBorders>
              <w:top w:val="nil"/>
              <w:left w:val="nil"/>
              <w:bottom w:val="single" w:color="auto" w:sz="4" w:space="0"/>
              <w:right w:val="single" w:color="auto" w:sz="4" w:space="0"/>
            </w:tcBorders>
            <w:shd w:val="clear" w:color="000000" w:fill="FFFFFF"/>
            <w:noWrap w:val="0"/>
            <w:vAlign w:val="center"/>
          </w:tcPr>
          <w:p w14:paraId="79550BD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窗户封板</w:t>
            </w:r>
          </w:p>
        </w:tc>
        <w:tc>
          <w:tcPr>
            <w:tcW w:w="3000" w:type="pct"/>
            <w:tcBorders>
              <w:top w:val="nil"/>
              <w:left w:val="nil"/>
              <w:bottom w:val="single" w:color="auto" w:sz="4" w:space="0"/>
              <w:right w:val="single" w:color="auto" w:sz="4" w:space="0"/>
            </w:tcBorders>
            <w:shd w:val="clear" w:color="000000" w:fill="FFFFFF"/>
            <w:noWrap/>
            <w:vAlign w:val="center"/>
          </w:tcPr>
          <w:p w14:paraId="010FA5E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206室南面封窗，安装大屏。采用木龙骨辅助+75轻钢龙骨+15厘木工板</w:t>
            </w:r>
          </w:p>
        </w:tc>
        <w:tc>
          <w:tcPr>
            <w:tcW w:w="369" w:type="pct"/>
            <w:tcBorders>
              <w:top w:val="nil"/>
              <w:left w:val="nil"/>
              <w:bottom w:val="single" w:color="auto" w:sz="4" w:space="0"/>
              <w:right w:val="single" w:color="auto" w:sz="4" w:space="0"/>
            </w:tcBorders>
            <w:shd w:val="clear" w:color="000000" w:fill="FFFFFF"/>
            <w:noWrap w:val="0"/>
            <w:vAlign w:val="center"/>
          </w:tcPr>
          <w:p w14:paraId="2530B97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01EDCBA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r>
      <w:tr w14:paraId="51435AE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8E0478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2.4</w:t>
            </w:r>
          </w:p>
        </w:tc>
        <w:tc>
          <w:tcPr>
            <w:tcW w:w="685" w:type="pct"/>
            <w:tcBorders>
              <w:top w:val="nil"/>
              <w:left w:val="nil"/>
              <w:bottom w:val="single" w:color="auto" w:sz="4" w:space="0"/>
              <w:right w:val="single" w:color="auto" w:sz="4" w:space="0"/>
            </w:tcBorders>
            <w:shd w:val="clear" w:color="000000" w:fill="FFFFFF"/>
            <w:noWrap w:val="0"/>
            <w:vAlign w:val="center"/>
          </w:tcPr>
          <w:p w14:paraId="78D3A1C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定制卷帘</w:t>
            </w:r>
          </w:p>
        </w:tc>
        <w:tc>
          <w:tcPr>
            <w:tcW w:w="3000" w:type="pct"/>
            <w:tcBorders>
              <w:top w:val="nil"/>
              <w:left w:val="nil"/>
              <w:bottom w:val="single" w:color="auto" w:sz="4" w:space="0"/>
              <w:right w:val="single" w:color="auto" w:sz="4" w:space="0"/>
            </w:tcBorders>
            <w:shd w:val="clear" w:color="000000" w:fill="FFFFFF"/>
            <w:noWrap/>
            <w:vAlign w:val="center"/>
          </w:tcPr>
          <w:p w14:paraId="3766DF2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定制206卷帘，款式为蓝底白字（北海网信），定制尺寸（4.4x2米），含人工辅材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2FF44A0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327F0C1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8.8</w:t>
            </w:r>
          </w:p>
        </w:tc>
      </w:tr>
      <w:tr w14:paraId="38D98E4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3568AE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2.5</w:t>
            </w:r>
          </w:p>
        </w:tc>
        <w:tc>
          <w:tcPr>
            <w:tcW w:w="685" w:type="pct"/>
            <w:tcBorders>
              <w:top w:val="nil"/>
              <w:left w:val="nil"/>
              <w:bottom w:val="single" w:color="auto" w:sz="4" w:space="0"/>
              <w:right w:val="single" w:color="auto" w:sz="4" w:space="0"/>
            </w:tcBorders>
            <w:shd w:val="clear" w:color="000000" w:fill="FFFFFF"/>
            <w:noWrap w:val="0"/>
            <w:vAlign w:val="center"/>
          </w:tcPr>
          <w:p w14:paraId="4D11A18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布艺窗帘</w:t>
            </w:r>
          </w:p>
        </w:tc>
        <w:tc>
          <w:tcPr>
            <w:tcW w:w="3000" w:type="pct"/>
            <w:tcBorders>
              <w:top w:val="nil"/>
              <w:left w:val="nil"/>
              <w:bottom w:val="single" w:color="auto" w:sz="4" w:space="0"/>
              <w:right w:val="single" w:color="auto" w:sz="4" w:space="0"/>
            </w:tcBorders>
            <w:shd w:val="clear" w:color="000000" w:fill="FFFFFF"/>
            <w:noWrap/>
            <w:vAlign w:val="center"/>
          </w:tcPr>
          <w:p w14:paraId="637CAD8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人工拆除205和206原窗帘，装车外运，定制新布艺窗帘+纱网，含人工辅材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040C4C6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7336E6A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15.2</w:t>
            </w:r>
          </w:p>
        </w:tc>
      </w:tr>
      <w:tr w14:paraId="2A9F0A0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55B113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2.6</w:t>
            </w:r>
          </w:p>
        </w:tc>
        <w:tc>
          <w:tcPr>
            <w:tcW w:w="685" w:type="pct"/>
            <w:tcBorders>
              <w:top w:val="nil"/>
              <w:left w:val="nil"/>
              <w:bottom w:val="single" w:color="auto" w:sz="4" w:space="0"/>
              <w:right w:val="single" w:color="auto" w:sz="4" w:space="0"/>
            </w:tcBorders>
            <w:shd w:val="clear" w:color="000000" w:fill="FFFFFF"/>
            <w:noWrap w:val="0"/>
            <w:vAlign w:val="center"/>
          </w:tcPr>
          <w:p w14:paraId="7B3E4B7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更换新窗</w:t>
            </w:r>
          </w:p>
        </w:tc>
        <w:tc>
          <w:tcPr>
            <w:tcW w:w="3000" w:type="pct"/>
            <w:tcBorders>
              <w:top w:val="nil"/>
              <w:left w:val="nil"/>
              <w:bottom w:val="single" w:color="auto" w:sz="4" w:space="0"/>
              <w:right w:val="single" w:color="auto" w:sz="4" w:space="0"/>
            </w:tcBorders>
            <w:shd w:val="clear" w:color="000000" w:fill="FFFFFF"/>
            <w:noWrap/>
            <w:vAlign w:val="center"/>
          </w:tcPr>
          <w:p w14:paraId="519B53D8">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人工拆除205和206原窗户，装车外运，定制断桥铝门窗，中空玻璃，含人工辅材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39CFFF9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3FD5C48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9.44</w:t>
            </w:r>
          </w:p>
        </w:tc>
      </w:tr>
      <w:tr w14:paraId="5F5C6A1B">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40DA6B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2.7</w:t>
            </w:r>
          </w:p>
        </w:tc>
        <w:tc>
          <w:tcPr>
            <w:tcW w:w="685" w:type="pct"/>
            <w:tcBorders>
              <w:top w:val="nil"/>
              <w:left w:val="nil"/>
              <w:bottom w:val="single" w:color="auto" w:sz="4" w:space="0"/>
              <w:right w:val="single" w:color="auto" w:sz="4" w:space="0"/>
            </w:tcBorders>
            <w:shd w:val="clear" w:color="000000" w:fill="FFFFFF"/>
            <w:noWrap w:val="0"/>
            <w:vAlign w:val="center"/>
          </w:tcPr>
          <w:p w14:paraId="4E573BF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防盗网</w:t>
            </w:r>
          </w:p>
        </w:tc>
        <w:tc>
          <w:tcPr>
            <w:tcW w:w="3000" w:type="pct"/>
            <w:tcBorders>
              <w:top w:val="nil"/>
              <w:left w:val="nil"/>
              <w:bottom w:val="single" w:color="auto" w:sz="4" w:space="0"/>
              <w:right w:val="single" w:color="auto" w:sz="4" w:space="0"/>
            </w:tcBorders>
            <w:shd w:val="clear" w:color="000000" w:fill="FFFFFF"/>
            <w:noWrap/>
            <w:vAlign w:val="center"/>
          </w:tcPr>
          <w:p w14:paraId="7E5558D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人工拆除205和206原窗户防盗网（共5个防盗网），装车外运，定制新不锈钢防盗网（205和206北面4个防盗网），施工安装</w:t>
            </w:r>
          </w:p>
        </w:tc>
        <w:tc>
          <w:tcPr>
            <w:tcW w:w="369" w:type="pct"/>
            <w:tcBorders>
              <w:top w:val="nil"/>
              <w:left w:val="nil"/>
              <w:bottom w:val="single" w:color="auto" w:sz="4" w:space="0"/>
              <w:right w:val="single" w:color="auto" w:sz="4" w:space="0"/>
            </w:tcBorders>
            <w:shd w:val="clear" w:color="000000" w:fill="FFFFFF"/>
            <w:noWrap w:val="0"/>
            <w:vAlign w:val="center"/>
          </w:tcPr>
          <w:p w14:paraId="32AD55D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4886ED0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7.84</w:t>
            </w:r>
          </w:p>
        </w:tc>
      </w:tr>
      <w:tr w14:paraId="4486B10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22CC1A7">
            <w:pPr>
              <w:widowControl/>
              <w:spacing w:line="240" w:lineRule="auto"/>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8</w:t>
            </w:r>
          </w:p>
        </w:tc>
        <w:tc>
          <w:tcPr>
            <w:tcW w:w="685" w:type="pct"/>
            <w:tcBorders>
              <w:top w:val="nil"/>
              <w:left w:val="nil"/>
              <w:bottom w:val="single" w:color="auto" w:sz="4" w:space="0"/>
              <w:right w:val="single" w:color="auto" w:sz="4" w:space="0"/>
            </w:tcBorders>
            <w:shd w:val="clear" w:color="000000" w:fill="FFFFFF"/>
            <w:noWrap w:val="0"/>
            <w:vAlign w:val="center"/>
          </w:tcPr>
          <w:p w14:paraId="7A14874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走廊墙面翻新</w:t>
            </w:r>
          </w:p>
        </w:tc>
        <w:tc>
          <w:tcPr>
            <w:tcW w:w="3000" w:type="pct"/>
            <w:tcBorders>
              <w:top w:val="nil"/>
              <w:left w:val="nil"/>
              <w:bottom w:val="single" w:color="auto" w:sz="4" w:space="0"/>
              <w:right w:val="single" w:color="auto" w:sz="4" w:space="0"/>
            </w:tcBorders>
            <w:shd w:val="clear" w:color="000000" w:fill="FFFFFF"/>
            <w:noWrap/>
            <w:vAlign w:val="center"/>
          </w:tcPr>
          <w:p w14:paraId="7AC82F3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205和206外走廊旧面拆除、新刮腻子乳胶漆</w:t>
            </w:r>
          </w:p>
        </w:tc>
        <w:tc>
          <w:tcPr>
            <w:tcW w:w="369" w:type="pct"/>
            <w:tcBorders>
              <w:top w:val="nil"/>
              <w:left w:val="nil"/>
              <w:bottom w:val="single" w:color="auto" w:sz="4" w:space="0"/>
              <w:right w:val="single" w:color="auto" w:sz="4" w:space="0"/>
            </w:tcBorders>
            <w:shd w:val="clear" w:color="000000" w:fill="FFFFFF"/>
            <w:noWrap w:val="0"/>
            <w:vAlign w:val="center"/>
          </w:tcPr>
          <w:p w14:paraId="0C7B5F7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5E441E1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80</w:t>
            </w:r>
          </w:p>
        </w:tc>
      </w:tr>
      <w:tr w14:paraId="755B8EF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7ADB7DF">
            <w:pPr>
              <w:widowControl/>
              <w:spacing w:line="240" w:lineRule="auto"/>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9</w:t>
            </w:r>
          </w:p>
        </w:tc>
        <w:tc>
          <w:tcPr>
            <w:tcW w:w="685" w:type="pct"/>
            <w:tcBorders>
              <w:top w:val="nil"/>
              <w:left w:val="nil"/>
              <w:bottom w:val="single" w:color="auto" w:sz="4" w:space="0"/>
              <w:right w:val="single" w:color="auto" w:sz="4" w:space="0"/>
            </w:tcBorders>
            <w:shd w:val="clear" w:color="000000" w:fill="FFFFFF"/>
            <w:noWrap w:val="0"/>
            <w:vAlign w:val="center"/>
          </w:tcPr>
          <w:p w14:paraId="033519A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墙面补墙砖</w:t>
            </w:r>
          </w:p>
        </w:tc>
        <w:tc>
          <w:tcPr>
            <w:tcW w:w="3000" w:type="pct"/>
            <w:tcBorders>
              <w:top w:val="nil"/>
              <w:left w:val="nil"/>
              <w:bottom w:val="single" w:color="auto" w:sz="4" w:space="0"/>
              <w:right w:val="single" w:color="auto" w:sz="4" w:space="0"/>
            </w:tcBorders>
            <w:shd w:val="clear" w:color="000000" w:fill="FFFFFF"/>
            <w:noWrap/>
            <w:vAlign w:val="center"/>
          </w:tcPr>
          <w:p w14:paraId="75A806EE">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205和206外走廊墙面瓷砖、人工辅材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2C761BC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25439D0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22</w:t>
            </w:r>
          </w:p>
        </w:tc>
      </w:tr>
      <w:tr w14:paraId="4B5E3D72">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5832207">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p>
        </w:tc>
        <w:tc>
          <w:tcPr>
            <w:tcW w:w="685" w:type="pct"/>
            <w:tcBorders>
              <w:top w:val="nil"/>
              <w:left w:val="nil"/>
              <w:bottom w:val="single" w:color="auto" w:sz="4" w:space="0"/>
              <w:right w:val="single" w:color="auto" w:sz="4" w:space="0"/>
            </w:tcBorders>
            <w:shd w:val="clear" w:color="000000" w:fill="FFFFFF"/>
            <w:noWrap w:val="0"/>
            <w:vAlign w:val="center"/>
          </w:tcPr>
          <w:p w14:paraId="322B931E">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天花工程</w:t>
            </w:r>
          </w:p>
        </w:tc>
        <w:tc>
          <w:tcPr>
            <w:tcW w:w="3000" w:type="pct"/>
            <w:tcBorders>
              <w:top w:val="nil"/>
              <w:left w:val="nil"/>
              <w:bottom w:val="single" w:color="auto" w:sz="4" w:space="0"/>
              <w:right w:val="single" w:color="auto" w:sz="4" w:space="0"/>
            </w:tcBorders>
            <w:shd w:val="clear" w:color="000000" w:fill="FFFFFF"/>
            <w:noWrap/>
            <w:vAlign w:val="center"/>
          </w:tcPr>
          <w:p w14:paraId="07562ECD">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1608778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58B1F13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5CF3B3C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D613C9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w:t>
            </w:r>
          </w:p>
        </w:tc>
        <w:tc>
          <w:tcPr>
            <w:tcW w:w="685" w:type="pct"/>
            <w:tcBorders>
              <w:top w:val="nil"/>
              <w:left w:val="nil"/>
              <w:bottom w:val="single" w:color="auto" w:sz="4" w:space="0"/>
              <w:right w:val="single" w:color="auto" w:sz="4" w:space="0"/>
            </w:tcBorders>
            <w:shd w:val="clear" w:color="000000" w:fill="FFFFFF"/>
            <w:noWrap w:val="0"/>
            <w:vAlign w:val="center"/>
          </w:tcPr>
          <w:p w14:paraId="34CA212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会议室吊顶</w:t>
            </w:r>
          </w:p>
        </w:tc>
        <w:tc>
          <w:tcPr>
            <w:tcW w:w="3000" w:type="pct"/>
            <w:tcBorders>
              <w:top w:val="nil"/>
              <w:left w:val="nil"/>
              <w:bottom w:val="single" w:color="auto" w:sz="4" w:space="0"/>
              <w:right w:val="single" w:color="auto" w:sz="4" w:space="0"/>
            </w:tcBorders>
            <w:shd w:val="clear" w:color="000000" w:fill="FFFFFF"/>
            <w:noWrap/>
            <w:vAlign w:val="center"/>
          </w:tcPr>
          <w:p w14:paraId="6E4416D0">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50轻钢龙骨+9厘厚石膏板+局部木龙骨+E1 级木工板+专用吊杆+人工费+辅料</w:t>
            </w:r>
          </w:p>
        </w:tc>
        <w:tc>
          <w:tcPr>
            <w:tcW w:w="369" w:type="pct"/>
            <w:tcBorders>
              <w:top w:val="nil"/>
              <w:left w:val="nil"/>
              <w:bottom w:val="single" w:color="auto" w:sz="4" w:space="0"/>
              <w:right w:val="single" w:color="auto" w:sz="4" w:space="0"/>
            </w:tcBorders>
            <w:shd w:val="clear" w:color="000000" w:fill="FFFFFF"/>
            <w:noWrap w:val="0"/>
            <w:vAlign w:val="center"/>
          </w:tcPr>
          <w:p w14:paraId="5C2708E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558CC52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w:t>
            </w:r>
          </w:p>
        </w:tc>
      </w:tr>
      <w:tr w14:paraId="32125BB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120FB9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w:t>
            </w:r>
          </w:p>
        </w:tc>
        <w:tc>
          <w:tcPr>
            <w:tcW w:w="685" w:type="pct"/>
            <w:tcBorders>
              <w:top w:val="nil"/>
              <w:left w:val="nil"/>
              <w:bottom w:val="single" w:color="auto" w:sz="4" w:space="0"/>
              <w:right w:val="single" w:color="auto" w:sz="4" w:space="0"/>
            </w:tcBorders>
            <w:shd w:val="clear" w:color="000000" w:fill="FFFFFF"/>
            <w:noWrap w:val="0"/>
            <w:vAlign w:val="center"/>
          </w:tcPr>
          <w:p w14:paraId="77F940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会议室吊顶满刮腻子</w:t>
            </w:r>
          </w:p>
        </w:tc>
        <w:tc>
          <w:tcPr>
            <w:tcW w:w="3000" w:type="pct"/>
            <w:tcBorders>
              <w:top w:val="nil"/>
              <w:left w:val="nil"/>
              <w:bottom w:val="single" w:color="auto" w:sz="4" w:space="0"/>
              <w:right w:val="single" w:color="auto" w:sz="4" w:space="0"/>
            </w:tcBorders>
            <w:shd w:val="clear" w:color="000000" w:fill="FFFFFF"/>
            <w:noWrap/>
            <w:vAlign w:val="center"/>
          </w:tcPr>
          <w:p w14:paraId="7945322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补缝，刮成品腻子粉，  两遍，打磨平整，人工辅材。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036417F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04D0092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w:t>
            </w:r>
          </w:p>
        </w:tc>
      </w:tr>
      <w:tr w14:paraId="4930F97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810C08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w:t>
            </w:r>
          </w:p>
        </w:tc>
        <w:tc>
          <w:tcPr>
            <w:tcW w:w="685" w:type="pct"/>
            <w:tcBorders>
              <w:top w:val="nil"/>
              <w:left w:val="nil"/>
              <w:bottom w:val="single" w:color="auto" w:sz="4" w:space="0"/>
              <w:right w:val="single" w:color="auto" w:sz="4" w:space="0"/>
            </w:tcBorders>
            <w:shd w:val="clear" w:color="000000" w:fill="FFFFFF"/>
            <w:noWrap w:val="0"/>
            <w:vAlign w:val="center"/>
          </w:tcPr>
          <w:p w14:paraId="0335D3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会议室吊顶刷乳胶漆</w:t>
            </w:r>
          </w:p>
        </w:tc>
        <w:tc>
          <w:tcPr>
            <w:tcW w:w="3000" w:type="pct"/>
            <w:tcBorders>
              <w:top w:val="nil"/>
              <w:left w:val="nil"/>
              <w:bottom w:val="single" w:color="auto" w:sz="4" w:space="0"/>
              <w:right w:val="single" w:color="auto" w:sz="4" w:space="0"/>
            </w:tcBorders>
            <w:shd w:val="clear" w:color="000000" w:fill="FFFFFF"/>
            <w:noWrap/>
            <w:vAlign w:val="center"/>
          </w:tcPr>
          <w:p w14:paraId="561D423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多乐士或立邦环保内墙乳胶漆 、底漆一遍面漆 两遍。</w:t>
            </w:r>
          </w:p>
        </w:tc>
        <w:tc>
          <w:tcPr>
            <w:tcW w:w="369" w:type="pct"/>
            <w:tcBorders>
              <w:top w:val="nil"/>
              <w:left w:val="nil"/>
              <w:bottom w:val="single" w:color="auto" w:sz="4" w:space="0"/>
              <w:right w:val="single" w:color="auto" w:sz="4" w:space="0"/>
            </w:tcBorders>
            <w:shd w:val="clear" w:color="000000" w:fill="FFFFFF"/>
            <w:noWrap w:val="0"/>
            <w:vAlign w:val="center"/>
          </w:tcPr>
          <w:p w14:paraId="2E9CD6A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310F6C1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w:t>
            </w:r>
          </w:p>
        </w:tc>
      </w:tr>
      <w:tr w14:paraId="3031E63C">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52B095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w:t>
            </w:r>
          </w:p>
        </w:tc>
        <w:tc>
          <w:tcPr>
            <w:tcW w:w="685" w:type="pct"/>
            <w:tcBorders>
              <w:top w:val="nil"/>
              <w:left w:val="nil"/>
              <w:bottom w:val="single" w:color="auto" w:sz="4" w:space="0"/>
              <w:right w:val="single" w:color="auto" w:sz="4" w:space="0"/>
            </w:tcBorders>
            <w:shd w:val="clear" w:color="000000" w:fill="FFFFFF"/>
            <w:noWrap w:val="0"/>
            <w:vAlign w:val="center"/>
          </w:tcPr>
          <w:p w14:paraId="6E5434A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会议室天花板防水措施</w:t>
            </w:r>
          </w:p>
        </w:tc>
        <w:tc>
          <w:tcPr>
            <w:tcW w:w="3000" w:type="pct"/>
            <w:tcBorders>
              <w:top w:val="nil"/>
              <w:left w:val="nil"/>
              <w:bottom w:val="single" w:color="auto" w:sz="4" w:space="0"/>
              <w:right w:val="single" w:color="auto" w:sz="4" w:space="0"/>
            </w:tcBorders>
            <w:shd w:val="clear" w:color="000000" w:fill="FFFFFF"/>
            <w:noWrap/>
            <w:vAlign w:val="center"/>
          </w:tcPr>
          <w:p w14:paraId="231A645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1:4均匀涂抹防水涂料、人工辅材。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6FE4AC58">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22E3C02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w:t>
            </w:r>
          </w:p>
        </w:tc>
      </w:tr>
      <w:tr w14:paraId="6958BE05">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C5668B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3.5</w:t>
            </w:r>
          </w:p>
        </w:tc>
        <w:tc>
          <w:tcPr>
            <w:tcW w:w="685" w:type="pct"/>
            <w:tcBorders>
              <w:top w:val="nil"/>
              <w:left w:val="nil"/>
              <w:bottom w:val="single" w:color="auto" w:sz="4" w:space="0"/>
              <w:right w:val="single" w:color="auto" w:sz="4" w:space="0"/>
            </w:tcBorders>
            <w:shd w:val="clear" w:color="000000" w:fill="FFFFFF"/>
            <w:noWrap w:val="0"/>
            <w:vAlign w:val="center"/>
          </w:tcPr>
          <w:p w14:paraId="65FF71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值班办公室铝扣板吊顶</w:t>
            </w:r>
          </w:p>
        </w:tc>
        <w:tc>
          <w:tcPr>
            <w:tcW w:w="3000" w:type="pct"/>
            <w:tcBorders>
              <w:top w:val="nil"/>
              <w:left w:val="nil"/>
              <w:bottom w:val="single" w:color="auto" w:sz="4" w:space="0"/>
              <w:right w:val="single" w:color="auto" w:sz="4" w:space="0"/>
            </w:tcBorders>
            <w:shd w:val="clear" w:color="000000" w:fill="FFFFFF"/>
            <w:noWrap/>
            <w:vAlign w:val="center"/>
          </w:tcPr>
          <w:p w14:paraId="32C609B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08厚600*600铝扣板吊顶，人工安装</w:t>
            </w:r>
          </w:p>
        </w:tc>
        <w:tc>
          <w:tcPr>
            <w:tcW w:w="369" w:type="pct"/>
            <w:tcBorders>
              <w:top w:val="nil"/>
              <w:left w:val="nil"/>
              <w:bottom w:val="single" w:color="auto" w:sz="4" w:space="0"/>
              <w:right w:val="single" w:color="auto" w:sz="4" w:space="0"/>
            </w:tcBorders>
            <w:shd w:val="clear" w:color="000000" w:fill="FFFFFF"/>
            <w:noWrap w:val="0"/>
            <w:vAlign w:val="center"/>
          </w:tcPr>
          <w:p w14:paraId="3997BA1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4F659EE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21.6</w:t>
            </w:r>
          </w:p>
        </w:tc>
      </w:tr>
      <w:tr w14:paraId="3011F2C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94B52B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3.6</w:t>
            </w:r>
          </w:p>
        </w:tc>
        <w:tc>
          <w:tcPr>
            <w:tcW w:w="685" w:type="pct"/>
            <w:tcBorders>
              <w:top w:val="nil"/>
              <w:left w:val="nil"/>
              <w:bottom w:val="single" w:color="auto" w:sz="4" w:space="0"/>
              <w:right w:val="single" w:color="auto" w:sz="4" w:space="0"/>
            </w:tcBorders>
            <w:shd w:val="clear" w:color="000000" w:fill="FFFFFF"/>
            <w:noWrap w:val="0"/>
            <w:vAlign w:val="center"/>
          </w:tcPr>
          <w:p w14:paraId="12FFCC4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600*600灯盘</w:t>
            </w:r>
          </w:p>
        </w:tc>
        <w:tc>
          <w:tcPr>
            <w:tcW w:w="3000" w:type="pct"/>
            <w:tcBorders>
              <w:top w:val="nil"/>
              <w:left w:val="nil"/>
              <w:bottom w:val="single" w:color="auto" w:sz="4" w:space="0"/>
              <w:right w:val="single" w:color="auto" w:sz="4" w:space="0"/>
            </w:tcBorders>
            <w:shd w:val="clear" w:color="000000" w:fill="FFFFFF"/>
            <w:noWrap/>
            <w:vAlign w:val="center"/>
          </w:tcPr>
          <w:p w14:paraId="2F5D9E1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规格</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3x28W</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光通量2800lm</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品牌LED灯盘，在205值班室吊顶安装</w:t>
            </w:r>
          </w:p>
        </w:tc>
        <w:tc>
          <w:tcPr>
            <w:tcW w:w="369" w:type="pct"/>
            <w:tcBorders>
              <w:top w:val="nil"/>
              <w:left w:val="nil"/>
              <w:bottom w:val="single" w:color="auto" w:sz="4" w:space="0"/>
              <w:right w:val="single" w:color="auto" w:sz="4" w:space="0"/>
            </w:tcBorders>
            <w:shd w:val="clear" w:color="000000" w:fill="FFFFFF"/>
            <w:noWrap w:val="0"/>
            <w:vAlign w:val="center"/>
          </w:tcPr>
          <w:p w14:paraId="404DD59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个</w:t>
            </w:r>
          </w:p>
        </w:tc>
        <w:tc>
          <w:tcPr>
            <w:tcW w:w="483" w:type="pct"/>
            <w:tcBorders>
              <w:top w:val="nil"/>
              <w:left w:val="nil"/>
              <w:bottom w:val="single" w:color="auto" w:sz="4" w:space="0"/>
              <w:right w:val="single" w:color="auto" w:sz="4" w:space="0"/>
            </w:tcBorders>
            <w:shd w:val="clear" w:color="000000" w:fill="FFFFFF"/>
            <w:noWrap w:val="0"/>
            <w:vAlign w:val="center"/>
          </w:tcPr>
          <w:p w14:paraId="7C1A7FD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0BCE857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F52DD1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3.7</w:t>
            </w:r>
          </w:p>
        </w:tc>
        <w:tc>
          <w:tcPr>
            <w:tcW w:w="685" w:type="pct"/>
            <w:tcBorders>
              <w:top w:val="nil"/>
              <w:left w:val="nil"/>
              <w:bottom w:val="single" w:color="auto" w:sz="4" w:space="0"/>
              <w:right w:val="single" w:color="auto" w:sz="4" w:space="0"/>
            </w:tcBorders>
            <w:shd w:val="clear" w:color="000000" w:fill="FFFFFF"/>
            <w:noWrap w:val="0"/>
            <w:vAlign w:val="center"/>
          </w:tcPr>
          <w:p w14:paraId="53E4EBF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线条灯带</w:t>
            </w:r>
          </w:p>
        </w:tc>
        <w:tc>
          <w:tcPr>
            <w:tcW w:w="3000" w:type="pct"/>
            <w:tcBorders>
              <w:top w:val="nil"/>
              <w:left w:val="nil"/>
              <w:bottom w:val="single" w:color="auto" w:sz="4" w:space="0"/>
              <w:right w:val="single" w:color="auto" w:sz="4" w:space="0"/>
            </w:tcBorders>
            <w:shd w:val="clear" w:color="000000" w:fill="FFFFFF"/>
            <w:noWrap/>
            <w:vAlign w:val="center"/>
          </w:tcPr>
          <w:p w14:paraId="2DB6961C">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规格、型号</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15W/m 4000K,柔光、防眩磨砂面</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品牌LED线条灯带，在206会议室吊顶安装</w:t>
            </w:r>
          </w:p>
        </w:tc>
        <w:tc>
          <w:tcPr>
            <w:tcW w:w="369" w:type="pct"/>
            <w:tcBorders>
              <w:top w:val="nil"/>
              <w:left w:val="nil"/>
              <w:bottom w:val="single" w:color="auto" w:sz="4" w:space="0"/>
              <w:right w:val="single" w:color="auto" w:sz="4" w:space="0"/>
            </w:tcBorders>
            <w:shd w:val="clear" w:color="000000" w:fill="FFFFFF"/>
            <w:noWrap w:val="0"/>
            <w:vAlign w:val="center"/>
          </w:tcPr>
          <w:p w14:paraId="71917E3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1949DC9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45</w:t>
            </w:r>
          </w:p>
        </w:tc>
      </w:tr>
      <w:tr w14:paraId="528E105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4CAB12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3.8</w:t>
            </w:r>
          </w:p>
        </w:tc>
        <w:tc>
          <w:tcPr>
            <w:tcW w:w="685" w:type="pct"/>
            <w:tcBorders>
              <w:top w:val="nil"/>
              <w:left w:val="nil"/>
              <w:bottom w:val="single" w:color="auto" w:sz="4" w:space="0"/>
              <w:right w:val="single" w:color="auto" w:sz="4" w:space="0"/>
            </w:tcBorders>
            <w:shd w:val="clear" w:color="000000" w:fill="FFFFFF"/>
            <w:noWrap w:val="0"/>
            <w:vAlign w:val="center"/>
          </w:tcPr>
          <w:p w14:paraId="250DDDE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205走廊吊顶翻新</w:t>
            </w:r>
          </w:p>
        </w:tc>
        <w:tc>
          <w:tcPr>
            <w:tcW w:w="3000" w:type="pct"/>
            <w:tcBorders>
              <w:top w:val="nil"/>
              <w:left w:val="nil"/>
              <w:bottom w:val="single" w:color="auto" w:sz="4" w:space="0"/>
              <w:right w:val="single" w:color="auto" w:sz="4" w:space="0"/>
            </w:tcBorders>
            <w:shd w:val="clear" w:color="000000" w:fill="FFFFFF"/>
            <w:noWrap/>
            <w:vAlign w:val="center"/>
          </w:tcPr>
          <w:p w14:paraId="61983905">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205走廊墙面、吊顶，腻子乳胶漆（两底一面）</w:t>
            </w:r>
          </w:p>
        </w:tc>
        <w:tc>
          <w:tcPr>
            <w:tcW w:w="369" w:type="pct"/>
            <w:tcBorders>
              <w:top w:val="nil"/>
              <w:left w:val="nil"/>
              <w:bottom w:val="single" w:color="auto" w:sz="4" w:space="0"/>
              <w:right w:val="single" w:color="auto" w:sz="4" w:space="0"/>
            </w:tcBorders>
            <w:shd w:val="clear" w:color="000000" w:fill="FFFFFF"/>
            <w:noWrap w:val="0"/>
            <w:vAlign w:val="center"/>
          </w:tcPr>
          <w:p w14:paraId="51472F5D">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5064B29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41.28</w:t>
            </w:r>
          </w:p>
        </w:tc>
      </w:tr>
      <w:tr w14:paraId="677769C3">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52ABC4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3.9</w:t>
            </w:r>
          </w:p>
        </w:tc>
        <w:tc>
          <w:tcPr>
            <w:tcW w:w="685" w:type="pct"/>
            <w:tcBorders>
              <w:top w:val="nil"/>
              <w:left w:val="nil"/>
              <w:bottom w:val="single" w:color="auto" w:sz="4" w:space="0"/>
              <w:right w:val="single" w:color="auto" w:sz="4" w:space="0"/>
            </w:tcBorders>
            <w:shd w:val="clear" w:color="000000" w:fill="FFFFFF"/>
            <w:noWrap w:val="0"/>
            <w:vAlign w:val="center"/>
          </w:tcPr>
          <w:p w14:paraId="634B887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206走廊铝扣板</w:t>
            </w:r>
          </w:p>
        </w:tc>
        <w:tc>
          <w:tcPr>
            <w:tcW w:w="3000" w:type="pct"/>
            <w:tcBorders>
              <w:top w:val="nil"/>
              <w:left w:val="nil"/>
              <w:bottom w:val="single" w:color="auto" w:sz="4" w:space="0"/>
              <w:right w:val="single" w:color="auto" w:sz="4" w:space="0"/>
            </w:tcBorders>
            <w:shd w:val="clear" w:color="000000" w:fill="FFFFFF"/>
            <w:noWrap/>
            <w:vAlign w:val="center"/>
          </w:tcPr>
          <w:p w14:paraId="79DE2C0F">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08厚600*600铝扣板吊顶，人工安装</w:t>
            </w:r>
          </w:p>
        </w:tc>
        <w:tc>
          <w:tcPr>
            <w:tcW w:w="369" w:type="pct"/>
            <w:tcBorders>
              <w:top w:val="nil"/>
              <w:left w:val="nil"/>
              <w:bottom w:val="single" w:color="auto" w:sz="4" w:space="0"/>
              <w:right w:val="single" w:color="auto" w:sz="4" w:space="0"/>
            </w:tcBorders>
            <w:shd w:val="clear" w:color="000000" w:fill="FFFFFF"/>
            <w:noWrap w:val="0"/>
            <w:vAlign w:val="center"/>
          </w:tcPr>
          <w:p w14:paraId="53BA6DD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7271E77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12</w:t>
            </w:r>
          </w:p>
        </w:tc>
      </w:tr>
      <w:tr w14:paraId="0918F283">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0A0FC4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4</w:t>
            </w:r>
          </w:p>
        </w:tc>
        <w:tc>
          <w:tcPr>
            <w:tcW w:w="685" w:type="pct"/>
            <w:tcBorders>
              <w:top w:val="nil"/>
              <w:left w:val="nil"/>
              <w:bottom w:val="single" w:color="auto" w:sz="4" w:space="0"/>
              <w:right w:val="single" w:color="auto" w:sz="4" w:space="0"/>
            </w:tcBorders>
            <w:shd w:val="clear" w:color="000000" w:fill="FFFFFF"/>
            <w:noWrap w:val="0"/>
            <w:vAlign w:val="center"/>
          </w:tcPr>
          <w:p w14:paraId="2D9CAC61">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地面工程</w:t>
            </w:r>
          </w:p>
        </w:tc>
        <w:tc>
          <w:tcPr>
            <w:tcW w:w="3000" w:type="pct"/>
            <w:tcBorders>
              <w:top w:val="nil"/>
              <w:left w:val="nil"/>
              <w:bottom w:val="single" w:color="auto" w:sz="4" w:space="0"/>
              <w:right w:val="single" w:color="auto" w:sz="4" w:space="0"/>
            </w:tcBorders>
            <w:shd w:val="clear" w:color="000000" w:fill="FFFFFF"/>
            <w:noWrap/>
            <w:vAlign w:val="center"/>
          </w:tcPr>
          <w:p w14:paraId="71A6E32C">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297E31B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07E72AD7">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22A6C38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94CB1F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4.1</w:t>
            </w:r>
          </w:p>
        </w:tc>
        <w:tc>
          <w:tcPr>
            <w:tcW w:w="685" w:type="pct"/>
            <w:tcBorders>
              <w:top w:val="nil"/>
              <w:left w:val="nil"/>
              <w:bottom w:val="single" w:color="auto" w:sz="4" w:space="0"/>
              <w:right w:val="single" w:color="auto" w:sz="4" w:space="0"/>
            </w:tcBorders>
            <w:shd w:val="clear" w:color="000000" w:fill="FFFFFF"/>
            <w:noWrap w:val="0"/>
            <w:vAlign w:val="center"/>
          </w:tcPr>
          <w:p w14:paraId="0560848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800x800大理石</w:t>
            </w:r>
          </w:p>
        </w:tc>
        <w:tc>
          <w:tcPr>
            <w:tcW w:w="3000" w:type="pct"/>
            <w:tcBorders>
              <w:top w:val="nil"/>
              <w:left w:val="nil"/>
              <w:bottom w:val="single" w:color="auto" w:sz="4" w:space="0"/>
              <w:right w:val="single" w:color="auto" w:sz="4" w:space="0"/>
            </w:tcBorders>
            <w:shd w:val="clear" w:color="000000" w:fill="FFFFFF"/>
            <w:noWrap/>
            <w:vAlign w:val="center"/>
          </w:tcPr>
          <w:p w14:paraId="727CA48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原地砖拆除，地面综合布线后，铺设800x800大理石纹路瓷砖，人工辅材。</w:t>
            </w:r>
          </w:p>
        </w:tc>
        <w:tc>
          <w:tcPr>
            <w:tcW w:w="369" w:type="pct"/>
            <w:tcBorders>
              <w:top w:val="nil"/>
              <w:left w:val="nil"/>
              <w:bottom w:val="single" w:color="auto" w:sz="4" w:space="0"/>
              <w:right w:val="single" w:color="auto" w:sz="4" w:space="0"/>
            </w:tcBorders>
            <w:shd w:val="clear" w:color="000000" w:fill="FFFFFF"/>
            <w:noWrap w:val="0"/>
            <w:vAlign w:val="center"/>
          </w:tcPr>
          <w:p w14:paraId="59D1307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40D02BC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w:t>
            </w:r>
          </w:p>
        </w:tc>
      </w:tr>
      <w:tr w14:paraId="72DDCE2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E383D0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4.2</w:t>
            </w:r>
          </w:p>
        </w:tc>
        <w:tc>
          <w:tcPr>
            <w:tcW w:w="685" w:type="pct"/>
            <w:tcBorders>
              <w:top w:val="nil"/>
              <w:left w:val="nil"/>
              <w:bottom w:val="single" w:color="auto" w:sz="4" w:space="0"/>
              <w:right w:val="single" w:color="auto" w:sz="4" w:space="0"/>
            </w:tcBorders>
            <w:shd w:val="clear" w:color="000000" w:fill="FFFFFF"/>
            <w:noWrap w:val="0"/>
            <w:vAlign w:val="center"/>
          </w:tcPr>
          <w:p w14:paraId="2B39F5F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不锈钢踢脚线</w:t>
            </w:r>
          </w:p>
        </w:tc>
        <w:tc>
          <w:tcPr>
            <w:tcW w:w="3000" w:type="pct"/>
            <w:tcBorders>
              <w:top w:val="nil"/>
              <w:left w:val="nil"/>
              <w:bottom w:val="single" w:color="auto" w:sz="4" w:space="0"/>
              <w:right w:val="single" w:color="auto" w:sz="4" w:space="0"/>
            </w:tcBorders>
            <w:shd w:val="clear" w:color="000000" w:fill="FFFFFF"/>
            <w:noWrap/>
            <w:vAlign w:val="center"/>
          </w:tcPr>
          <w:p w14:paraId="44954D8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304黑钛不锈钢踢脚线高150，人工安装</w:t>
            </w:r>
          </w:p>
        </w:tc>
        <w:tc>
          <w:tcPr>
            <w:tcW w:w="369" w:type="pct"/>
            <w:tcBorders>
              <w:top w:val="nil"/>
              <w:left w:val="nil"/>
              <w:bottom w:val="single" w:color="auto" w:sz="4" w:space="0"/>
              <w:right w:val="single" w:color="auto" w:sz="4" w:space="0"/>
            </w:tcBorders>
            <w:shd w:val="clear" w:color="000000" w:fill="FFFFFF"/>
            <w:noWrap w:val="0"/>
            <w:vAlign w:val="center"/>
          </w:tcPr>
          <w:p w14:paraId="54C6237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480B20B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44.8</w:t>
            </w:r>
          </w:p>
        </w:tc>
      </w:tr>
      <w:tr w14:paraId="574BF493">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BA42E56">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5</w:t>
            </w:r>
          </w:p>
        </w:tc>
        <w:tc>
          <w:tcPr>
            <w:tcW w:w="685" w:type="pct"/>
            <w:tcBorders>
              <w:top w:val="nil"/>
              <w:left w:val="nil"/>
              <w:bottom w:val="single" w:color="auto" w:sz="4" w:space="0"/>
              <w:right w:val="single" w:color="auto" w:sz="4" w:space="0"/>
            </w:tcBorders>
            <w:shd w:val="clear" w:color="000000" w:fill="FFFFFF"/>
            <w:noWrap w:val="0"/>
            <w:vAlign w:val="center"/>
          </w:tcPr>
          <w:p w14:paraId="5C5D6F0A">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综合布线</w:t>
            </w:r>
          </w:p>
        </w:tc>
        <w:tc>
          <w:tcPr>
            <w:tcW w:w="3000" w:type="pct"/>
            <w:tcBorders>
              <w:top w:val="nil"/>
              <w:left w:val="nil"/>
              <w:bottom w:val="single" w:color="auto" w:sz="4" w:space="0"/>
              <w:right w:val="single" w:color="auto" w:sz="4" w:space="0"/>
            </w:tcBorders>
            <w:shd w:val="clear" w:color="000000" w:fill="FFFFFF"/>
            <w:noWrap/>
            <w:vAlign w:val="center"/>
          </w:tcPr>
          <w:p w14:paraId="757E68C7">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67DA2ED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37929C36">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69AFF38B">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27B7E9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5.1</w:t>
            </w:r>
          </w:p>
        </w:tc>
        <w:tc>
          <w:tcPr>
            <w:tcW w:w="685" w:type="pct"/>
            <w:tcBorders>
              <w:top w:val="nil"/>
              <w:left w:val="nil"/>
              <w:bottom w:val="single" w:color="auto" w:sz="4" w:space="0"/>
              <w:right w:val="single" w:color="auto" w:sz="4" w:space="0"/>
            </w:tcBorders>
            <w:shd w:val="clear" w:color="000000" w:fill="FFFFFF"/>
            <w:noWrap w:val="0"/>
            <w:vAlign w:val="center"/>
          </w:tcPr>
          <w:p w14:paraId="56CAB62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强电布线</w:t>
            </w:r>
          </w:p>
        </w:tc>
        <w:tc>
          <w:tcPr>
            <w:tcW w:w="3000" w:type="pct"/>
            <w:tcBorders>
              <w:top w:val="nil"/>
              <w:left w:val="nil"/>
              <w:bottom w:val="single" w:color="auto" w:sz="4" w:space="0"/>
              <w:right w:val="single" w:color="auto" w:sz="4" w:space="0"/>
            </w:tcBorders>
            <w:shd w:val="clear" w:color="000000" w:fill="FFFFFF"/>
            <w:noWrap/>
            <w:vAlign w:val="center"/>
          </w:tcPr>
          <w:p w14:paraId="00A1D66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次指挥中心会议室供配电设计考虑为专线供电，即从楼层配电箱拉一根专项电缆至会议室，地线接入楼体防雷接地系统。根据各个节点的用电功力、负荷量的大小，设置不同负荷的分支漏电保护器。分支线缆采用单股绝缘线缆敷设。要求支撑整个指挥中心设备强电需求，在206房间地面上为每个坐席配置1个插座，在206和205房间墙面上配置7~8个插座。</w:t>
            </w:r>
          </w:p>
        </w:tc>
        <w:tc>
          <w:tcPr>
            <w:tcW w:w="369" w:type="pct"/>
            <w:tcBorders>
              <w:top w:val="nil"/>
              <w:left w:val="nil"/>
              <w:bottom w:val="single" w:color="auto" w:sz="4" w:space="0"/>
              <w:right w:val="single" w:color="auto" w:sz="4" w:space="0"/>
            </w:tcBorders>
            <w:shd w:val="clear" w:color="000000" w:fill="FFFFFF"/>
            <w:noWrap w:val="0"/>
            <w:vAlign w:val="center"/>
          </w:tcPr>
          <w:p w14:paraId="404AED6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772972D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63.6</w:t>
            </w:r>
          </w:p>
        </w:tc>
      </w:tr>
      <w:tr w14:paraId="1CC313B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163CFD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5.2</w:t>
            </w:r>
          </w:p>
        </w:tc>
        <w:tc>
          <w:tcPr>
            <w:tcW w:w="685" w:type="pct"/>
            <w:tcBorders>
              <w:top w:val="nil"/>
              <w:left w:val="nil"/>
              <w:bottom w:val="single" w:color="auto" w:sz="4" w:space="0"/>
              <w:right w:val="single" w:color="auto" w:sz="4" w:space="0"/>
            </w:tcBorders>
            <w:shd w:val="clear" w:color="000000" w:fill="FFFFFF"/>
            <w:noWrap w:val="0"/>
            <w:vAlign w:val="center"/>
          </w:tcPr>
          <w:p w14:paraId="61959FC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弱电布线</w:t>
            </w:r>
          </w:p>
        </w:tc>
        <w:tc>
          <w:tcPr>
            <w:tcW w:w="3000" w:type="pct"/>
            <w:tcBorders>
              <w:top w:val="nil"/>
              <w:left w:val="nil"/>
              <w:bottom w:val="single" w:color="auto" w:sz="4" w:space="0"/>
              <w:right w:val="single" w:color="auto" w:sz="4" w:space="0"/>
            </w:tcBorders>
            <w:shd w:val="clear" w:color="000000" w:fill="FFFFFF"/>
            <w:noWrap/>
            <w:vAlign w:val="center"/>
          </w:tcPr>
          <w:p w14:paraId="034A5A0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网线、信号线、音频线、铜芯2.5mm²灯线、铜芯4mm²插座线、电话线等弱电线路铺设。要求支撑整个指挥中心设备和办公需求，含线材、插座等采购。</w:t>
            </w:r>
          </w:p>
        </w:tc>
        <w:tc>
          <w:tcPr>
            <w:tcW w:w="369" w:type="pct"/>
            <w:tcBorders>
              <w:top w:val="nil"/>
              <w:left w:val="nil"/>
              <w:bottom w:val="single" w:color="auto" w:sz="4" w:space="0"/>
              <w:right w:val="single" w:color="auto" w:sz="4" w:space="0"/>
            </w:tcBorders>
            <w:shd w:val="clear" w:color="000000" w:fill="FFFFFF"/>
            <w:noWrap w:val="0"/>
            <w:vAlign w:val="center"/>
          </w:tcPr>
          <w:p w14:paraId="2D5E5E6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50EF779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63.6</w:t>
            </w:r>
          </w:p>
        </w:tc>
      </w:tr>
      <w:tr w14:paraId="1196B2B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4803E8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5.3</w:t>
            </w:r>
          </w:p>
        </w:tc>
        <w:tc>
          <w:tcPr>
            <w:tcW w:w="685" w:type="pct"/>
            <w:tcBorders>
              <w:top w:val="nil"/>
              <w:left w:val="nil"/>
              <w:bottom w:val="single" w:color="auto" w:sz="4" w:space="0"/>
              <w:right w:val="single" w:color="auto" w:sz="4" w:space="0"/>
            </w:tcBorders>
            <w:shd w:val="clear" w:color="000000" w:fill="FFFFFF"/>
            <w:noWrap w:val="0"/>
            <w:vAlign w:val="center"/>
          </w:tcPr>
          <w:p w14:paraId="6CA0DBC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外露管线翻新</w:t>
            </w:r>
          </w:p>
        </w:tc>
        <w:tc>
          <w:tcPr>
            <w:tcW w:w="3000" w:type="pct"/>
            <w:tcBorders>
              <w:top w:val="nil"/>
              <w:left w:val="nil"/>
              <w:bottom w:val="single" w:color="auto" w:sz="4" w:space="0"/>
              <w:right w:val="single" w:color="auto" w:sz="4" w:space="0"/>
            </w:tcBorders>
            <w:shd w:val="clear" w:color="000000" w:fill="FFFFFF"/>
            <w:noWrap/>
            <w:vAlign w:val="center"/>
          </w:tcPr>
          <w:p w14:paraId="34E6C34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外露线管重新包管刷涂料</w:t>
            </w:r>
          </w:p>
        </w:tc>
        <w:tc>
          <w:tcPr>
            <w:tcW w:w="369" w:type="pct"/>
            <w:tcBorders>
              <w:top w:val="nil"/>
              <w:left w:val="nil"/>
              <w:bottom w:val="single" w:color="auto" w:sz="4" w:space="0"/>
              <w:right w:val="single" w:color="auto" w:sz="4" w:space="0"/>
            </w:tcBorders>
            <w:shd w:val="clear" w:color="000000" w:fill="FFFFFF"/>
            <w:noWrap w:val="0"/>
            <w:vAlign w:val="center"/>
          </w:tcPr>
          <w:p w14:paraId="041AC25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386316C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7EE6401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7F18F6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6</w:t>
            </w:r>
          </w:p>
        </w:tc>
        <w:tc>
          <w:tcPr>
            <w:tcW w:w="685" w:type="pct"/>
            <w:tcBorders>
              <w:top w:val="nil"/>
              <w:left w:val="nil"/>
              <w:bottom w:val="single" w:color="auto" w:sz="4" w:space="0"/>
              <w:right w:val="single" w:color="auto" w:sz="4" w:space="0"/>
            </w:tcBorders>
            <w:shd w:val="clear" w:color="000000" w:fill="FFFFFF"/>
            <w:noWrap w:val="0"/>
            <w:vAlign w:val="center"/>
          </w:tcPr>
          <w:p w14:paraId="5ED7C970">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防雷接地</w:t>
            </w:r>
          </w:p>
        </w:tc>
        <w:tc>
          <w:tcPr>
            <w:tcW w:w="3000" w:type="pct"/>
            <w:tcBorders>
              <w:top w:val="nil"/>
              <w:left w:val="nil"/>
              <w:bottom w:val="single" w:color="auto" w:sz="4" w:space="0"/>
              <w:right w:val="single" w:color="auto" w:sz="4" w:space="0"/>
            </w:tcBorders>
            <w:shd w:val="clear" w:color="000000" w:fill="FFFFFF"/>
            <w:noWrap/>
            <w:vAlign w:val="center"/>
          </w:tcPr>
          <w:p w14:paraId="0D797330">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2DD1044E">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1515B02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77A0819F">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BDD998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6.1</w:t>
            </w:r>
          </w:p>
        </w:tc>
        <w:tc>
          <w:tcPr>
            <w:tcW w:w="685" w:type="pct"/>
            <w:tcBorders>
              <w:top w:val="nil"/>
              <w:left w:val="nil"/>
              <w:bottom w:val="single" w:color="auto" w:sz="4" w:space="0"/>
              <w:right w:val="single" w:color="auto" w:sz="4" w:space="0"/>
            </w:tcBorders>
            <w:shd w:val="clear" w:color="000000" w:fill="FFFFFF"/>
            <w:noWrap w:val="0"/>
            <w:vAlign w:val="center"/>
          </w:tcPr>
          <w:p w14:paraId="601EA1A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Ⅱ级电源防雷器</w:t>
            </w:r>
          </w:p>
        </w:tc>
        <w:tc>
          <w:tcPr>
            <w:tcW w:w="3000" w:type="pct"/>
            <w:tcBorders>
              <w:top w:val="nil"/>
              <w:left w:val="nil"/>
              <w:bottom w:val="single" w:color="auto" w:sz="4" w:space="0"/>
              <w:right w:val="single" w:color="auto" w:sz="4" w:space="0"/>
            </w:tcBorders>
            <w:shd w:val="clear" w:color="000000" w:fill="FFFFFF"/>
            <w:noWrap/>
            <w:vAlign w:val="center"/>
          </w:tcPr>
          <w:p w14:paraId="5B0B79D9">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SPD/3P+NUP&lt;1.5KVIn&gt;50kA(8/20us)</w:t>
            </w:r>
          </w:p>
        </w:tc>
        <w:tc>
          <w:tcPr>
            <w:tcW w:w="369" w:type="pct"/>
            <w:tcBorders>
              <w:top w:val="nil"/>
              <w:left w:val="nil"/>
              <w:bottom w:val="single" w:color="auto" w:sz="4" w:space="0"/>
              <w:right w:val="single" w:color="auto" w:sz="4" w:space="0"/>
            </w:tcBorders>
            <w:shd w:val="clear" w:color="000000" w:fill="FFFFFF"/>
            <w:noWrap w:val="0"/>
            <w:vAlign w:val="center"/>
          </w:tcPr>
          <w:p w14:paraId="5A339BE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套</w:t>
            </w:r>
          </w:p>
        </w:tc>
        <w:tc>
          <w:tcPr>
            <w:tcW w:w="483" w:type="pct"/>
            <w:tcBorders>
              <w:top w:val="nil"/>
              <w:left w:val="nil"/>
              <w:bottom w:val="single" w:color="auto" w:sz="4" w:space="0"/>
              <w:right w:val="single" w:color="auto" w:sz="4" w:space="0"/>
            </w:tcBorders>
            <w:shd w:val="clear" w:color="000000" w:fill="FFFFFF"/>
            <w:noWrap w:val="0"/>
            <w:vAlign w:val="center"/>
          </w:tcPr>
          <w:p w14:paraId="1F6BAF7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5DA6DAE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EF20D8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6.2</w:t>
            </w:r>
          </w:p>
        </w:tc>
        <w:tc>
          <w:tcPr>
            <w:tcW w:w="685" w:type="pct"/>
            <w:tcBorders>
              <w:top w:val="nil"/>
              <w:left w:val="nil"/>
              <w:bottom w:val="single" w:color="auto" w:sz="4" w:space="0"/>
              <w:right w:val="single" w:color="auto" w:sz="4" w:space="0"/>
            </w:tcBorders>
            <w:shd w:val="clear" w:color="000000" w:fill="FFFFFF"/>
            <w:noWrap w:val="0"/>
            <w:vAlign w:val="center"/>
          </w:tcPr>
          <w:p w14:paraId="5DD5963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等电位连接器</w:t>
            </w:r>
          </w:p>
        </w:tc>
        <w:tc>
          <w:tcPr>
            <w:tcW w:w="3000" w:type="pct"/>
            <w:tcBorders>
              <w:top w:val="nil"/>
              <w:left w:val="nil"/>
              <w:bottom w:val="single" w:color="auto" w:sz="4" w:space="0"/>
              <w:right w:val="single" w:color="auto" w:sz="4" w:space="0"/>
            </w:tcBorders>
            <w:shd w:val="clear" w:color="000000" w:fill="FFFFFF"/>
            <w:noWrap/>
            <w:vAlign w:val="center"/>
          </w:tcPr>
          <w:p w14:paraId="503DC1A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4*40mm</w:t>
            </w:r>
          </w:p>
        </w:tc>
        <w:tc>
          <w:tcPr>
            <w:tcW w:w="369" w:type="pct"/>
            <w:tcBorders>
              <w:top w:val="nil"/>
              <w:left w:val="nil"/>
              <w:bottom w:val="single" w:color="auto" w:sz="4" w:space="0"/>
              <w:right w:val="single" w:color="auto" w:sz="4" w:space="0"/>
            </w:tcBorders>
            <w:shd w:val="clear" w:color="000000" w:fill="FFFFFF"/>
            <w:noWrap w:val="0"/>
            <w:vAlign w:val="center"/>
          </w:tcPr>
          <w:p w14:paraId="4888966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个</w:t>
            </w:r>
          </w:p>
        </w:tc>
        <w:tc>
          <w:tcPr>
            <w:tcW w:w="483" w:type="pct"/>
            <w:tcBorders>
              <w:top w:val="nil"/>
              <w:left w:val="nil"/>
              <w:bottom w:val="single" w:color="auto" w:sz="4" w:space="0"/>
              <w:right w:val="single" w:color="auto" w:sz="4" w:space="0"/>
            </w:tcBorders>
            <w:shd w:val="clear" w:color="000000" w:fill="FFFFFF"/>
            <w:noWrap w:val="0"/>
            <w:vAlign w:val="center"/>
          </w:tcPr>
          <w:p w14:paraId="5EFBE2F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50929C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AB5C15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6.3</w:t>
            </w:r>
          </w:p>
        </w:tc>
        <w:tc>
          <w:tcPr>
            <w:tcW w:w="685" w:type="pct"/>
            <w:tcBorders>
              <w:top w:val="nil"/>
              <w:left w:val="nil"/>
              <w:bottom w:val="single" w:color="auto" w:sz="4" w:space="0"/>
              <w:right w:val="single" w:color="auto" w:sz="4" w:space="0"/>
            </w:tcBorders>
            <w:shd w:val="clear" w:color="000000" w:fill="FFFFFF"/>
            <w:noWrap w:val="0"/>
            <w:vAlign w:val="center"/>
          </w:tcPr>
          <w:p w14:paraId="0DF60FF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40mm×4mm接地铜排</w:t>
            </w:r>
          </w:p>
        </w:tc>
        <w:tc>
          <w:tcPr>
            <w:tcW w:w="3000" w:type="pct"/>
            <w:tcBorders>
              <w:top w:val="nil"/>
              <w:left w:val="nil"/>
              <w:bottom w:val="single" w:color="auto" w:sz="4" w:space="0"/>
              <w:right w:val="single" w:color="auto" w:sz="4" w:space="0"/>
            </w:tcBorders>
            <w:shd w:val="clear" w:color="000000" w:fill="FFFFFF"/>
            <w:noWrap/>
            <w:vAlign w:val="center"/>
          </w:tcPr>
          <w:p w14:paraId="44959CC7">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紫铜40*4铜排，防雷均压带。</w:t>
            </w:r>
          </w:p>
        </w:tc>
        <w:tc>
          <w:tcPr>
            <w:tcW w:w="369" w:type="pct"/>
            <w:tcBorders>
              <w:top w:val="nil"/>
              <w:left w:val="nil"/>
              <w:bottom w:val="single" w:color="auto" w:sz="4" w:space="0"/>
              <w:right w:val="single" w:color="auto" w:sz="4" w:space="0"/>
            </w:tcBorders>
            <w:shd w:val="clear" w:color="000000" w:fill="FFFFFF"/>
            <w:noWrap w:val="0"/>
            <w:vAlign w:val="center"/>
          </w:tcPr>
          <w:p w14:paraId="5624E58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0D716AF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26</w:t>
            </w:r>
          </w:p>
        </w:tc>
      </w:tr>
      <w:tr w14:paraId="6D266AB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64C3D2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6.4</w:t>
            </w:r>
          </w:p>
        </w:tc>
        <w:tc>
          <w:tcPr>
            <w:tcW w:w="685" w:type="pct"/>
            <w:tcBorders>
              <w:top w:val="nil"/>
              <w:left w:val="nil"/>
              <w:bottom w:val="single" w:color="auto" w:sz="4" w:space="0"/>
              <w:right w:val="single" w:color="auto" w:sz="4" w:space="0"/>
            </w:tcBorders>
            <w:shd w:val="clear" w:color="000000" w:fill="FFFFFF"/>
            <w:noWrap w:val="0"/>
            <w:vAlign w:val="center"/>
          </w:tcPr>
          <w:p w14:paraId="67DF6D7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多股接地铜芯线 BVR50mm2</w:t>
            </w:r>
          </w:p>
        </w:tc>
        <w:tc>
          <w:tcPr>
            <w:tcW w:w="3000" w:type="pct"/>
            <w:tcBorders>
              <w:top w:val="nil"/>
              <w:left w:val="nil"/>
              <w:bottom w:val="single" w:color="auto" w:sz="4" w:space="0"/>
              <w:right w:val="single" w:color="auto" w:sz="4" w:space="0"/>
            </w:tcBorders>
            <w:shd w:val="clear" w:color="000000" w:fill="FFFFFF"/>
            <w:noWrap/>
            <w:vAlign w:val="center"/>
          </w:tcPr>
          <w:p w14:paraId="0D6DAE6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国标</w:t>
            </w:r>
          </w:p>
        </w:tc>
        <w:tc>
          <w:tcPr>
            <w:tcW w:w="369" w:type="pct"/>
            <w:tcBorders>
              <w:top w:val="nil"/>
              <w:left w:val="nil"/>
              <w:bottom w:val="single" w:color="auto" w:sz="4" w:space="0"/>
              <w:right w:val="single" w:color="auto" w:sz="4" w:space="0"/>
            </w:tcBorders>
            <w:shd w:val="clear" w:color="000000" w:fill="FFFFFF"/>
            <w:noWrap w:val="0"/>
            <w:vAlign w:val="center"/>
          </w:tcPr>
          <w:p w14:paraId="7F6B600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50603C9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50</w:t>
            </w:r>
          </w:p>
        </w:tc>
      </w:tr>
      <w:tr w14:paraId="4153787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C7B2F5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6.5</w:t>
            </w:r>
          </w:p>
        </w:tc>
        <w:tc>
          <w:tcPr>
            <w:tcW w:w="685" w:type="pct"/>
            <w:tcBorders>
              <w:top w:val="nil"/>
              <w:left w:val="nil"/>
              <w:bottom w:val="single" w:color="auto" w:sz="4" w:space="0"/>
              <w:right w:val="single" w:color="auto" w:sz="4" w:space="0"/>
            </w:tcBorders>
            <w:shd w:val="clear" w:color="000000" w:fill="FFFFFF"/>
            <w:noWrap w:val="0"/>
            <w:vAlign w:val="center"/>
          </w:tcPr>
          <w:p w14:paraId="3A44561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多股接地铜芯线 BVR25mm2</w:t>
            </w:r>
          </w:p>
        </w:tc>
        <w:tc>
          <w:tcPr>
            <w:tcW w:w="3000" w:type="pct"/>
            <w:tcBorders>
              <w:top w:val="nil"/>
              <w:left w:val="nil"/>
              <w:bottom w:val="single" w:color="auto" w:sz="4" w:space="0"/>
              <w:right w:val="single" w:color="auto" w:sz="4" w:space="0"/>
            </w:tcBorders>
            <w:shd w:val="clear" w:color="000000" w:fill="FFFFFF"/>
            <w:noWrap/>
            <w:vAlign w:val="center"/>
          </w:tcPr>
          <w:p w14:paraId="3DBDA6F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国标</w:t>
            </w:r>
          </w:p>
        </w:tc>
        <w:tc>
          <w:tcPr>
            <w:tcW w:w="369" w:type="pct"/>
            <w:tcBorders>
              <w:top w:val="nil"/>
              <w:left w:val="nil"/>
              <w:bottom w:val="single" w:color="auto" w:sz="4" w:space="0"/>
              <w:right w:val="single" w:color="auto" w:sz="4" w:space="0"/>
            </w:tcBorders>
            <w:shd w:val="clear" w:color="000000" w:fill="FFFFFF"/>
            <w:noWrap w:val="0"/>
            <w:vAlign w:val="center"/>
          </w:tcPr>
          <w:p w14:paraId="6FBA930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7A40F8A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r>
      <w:tr w14:paraId="089F909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EFA08F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6.6</w:t>
            </w:r>
          </w:p>
        </w:tc>
        <w:tc>
          <w:tcPr>
            <w:tcW w:w="685" w:type="pct"/>
            <w:tcBorders>
              <w:top w:val="nil"/>
              <w:left w:val="nil"/>
              <w:bottom w:val="single" w:color="auto" w:sz="4" w:space="0"/>
              <w:right w:val="single" w:color="auto" w:sz="4" w:space="0"/>
            </w:tcBorders>
            <w:shd w:val="clear" w:color="000000" w:fill="FFFFFF"/>
            <w:noWrap w:val="0"/>
            <w:vAlign w:val="center"/>
          </w:tcPr>
          <w:p w14:paraId="347D505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多股接地铜芯线 BVR6mm2</w:t>
            </w:r>
          </w:p>
        </w:tc>
        <w:tc>
          <w:tcPr>
            <w:tcW w:w="3000" w:type="pct"/>
            <w:tcBorders>
              <w:top w:val="nil"/>
              <w:left w:val="nil"/>
              <w:bottom w:val="single" w:color="auto" w:sz="4" w:space="0"/>
              <w:right w:val="single" w:color="auto" w:sz="4" w:space="0"/>
            </w:tcBorders>
            <w:shd w:val="clear" w:color="000000" w:fill="FFFFFF"/>
            <w:noWrap/>
            <w:vAlign w:val="center"/>
          </w:tcPr>
          <w:p w14:paraId="6762B8F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国标</w:t>
            </w:r>
          </w:p>
        </w:tc>
        <w:tc>
          <w:tcPr>
            <w:tcW w:w="369" w:type="pct"/>
            <w:tcBorders>
              <w:top w:val="nil"/>
              <w:left w:val="nil"/>
              <w:bottom w:val="single" w:color="auto" w:sz="4" w:space="0"/>
              <w:right w:val="single" w:color="auto" w:sz="4" w:space="0"/>
            </w:tcBorders>
            <w:shd w:val="clear" w:color="000000" w:fill="FFFFFF"/>
            <w:noWrap w:val="0"/>
            <w:vAlign w:val="center"/>
          </w:tcPr>
          <w:p w14:paraId="3F0353B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m</w:t>
            </w:r>
          </w:p>
        </w:tc>
        <w:tc>
          <w:tcPr>
            <w:tcW w:w="483" w:type="pct"/>
            <w:tcBorders>
              <w:top w:val="nil"/>
              <w:left w:val="nil"/>
              <w:bottom w:val="single" w:color="auto" w:sz="4" w:space="0"/>
              <w:right w:val="single" w:color="auto" w:sz="4" w:space="0"/>
            </w:tcBorders>
            <w:shd w:val="clear" w:color="000000" w:fill="FFFFFF"/>
            <w:noWrap w:val="0"/>
            <w:vAlign w:val="center"/>
          </w:tcPr>
          <w:p w14:paraId="1E0DE14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50</w:t>
            </w:r>
          </w:p>
        </w:tc>
      </w:tr>
      <w:tr w14:paraId="32C7CEBF">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CC6DA00">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7</w:t>
            </w:r>
          </w:p>
        </w:tc>
        <w:tc>
          <w:tcPr>
            <w:tcW w:w="685" w:type="pct"/>
            <w:tcBorders>
              <w:top w:val="nil"/>
              <w:left w:val="nil"/>
              <w:bottom w:val="single" w:color="auto" w:sz="4" w:space="0"/>
              <w:right w:val="single" w:color="auto" w:sz="4" w:space="0"/>
            </w:tcBorders>
            <w:shd w:val="clear" w:color="000000" w:fill="FFFFFF"/>
            <w:noWrap w:val="0"/>
            <w:vAlign w:val="center"/>
          </w:tcPr>
          <w:p w14:paraId="21F64075">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消防改造</w:t>
            </w:r>
          </w:p>
        </w:tc>
        <w:tc>
          <w:tcPr>
            <w:tcW w:w="3000" w:type="pct"/>
            <w:tcBorders>
              <w:top w:val="nil"/>
              <w:left w:val="nil"/>
              <w:bottom w:val="single" w:color="auto" w:sz="4" w:space="0"/>
              <w:right w:val="single" w:color="auto" w:sz="4" w:space="0"/>
            </w:tcBorders>
            <w:shd w:val="clear" w:color="000000" w:fill="FFFFFF"/>
            <w:noWrap/>
            <w:vAlign w:val="center"/>
          </w:tcPr>
          <w:p w14:paraId="5944010D">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46072168">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0FE159E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2DB5358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500D72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7.1</w:t>
            </w:r>
          </w:p>
        </w:tc>
        <w:tc>
          <w:tcPr>
            <w:tcW w:w="685" w:type="pct"/>
            <w:tcBorders>
              <w:top w:val="nil"/>
              <w:left w:val="nil"/>
              <w:bottom w:val="single" w:color="auto" w:sz="4" w:space="0"/>
              <w:right w:val="single" w:color="auto" w:sz="4" w:space="0"/>
            </w:tcBorders>
            <w:shd w:val="clear" w:color="000000" w:fill="FFFFFF"/>
            <w:noWrap w:val="0"/>
            <w:vAlign w:val="center"/>
          </w:tcPr>
          <w:p w14:paraId="47D0D3F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感烟探测器</w:t>
            </w:r>
          </w:p>
        </w:tc>
        <w:tc>
          <w:tcPr>
            <w:tcW w:w="3000" w:type="pct"/>
            <w:tcBorders>
              <w:top w:val="nil"/>
              <w:left w:val="nil"/>
              <w:bottom w:val="single" w:color="auto" w:sz="4" w:space="0"/>
              <w:right w:val="single" w:color="auto" w:sz="4" w:space="0"/>
            </w:tcBorders>
            <w:shd w:val="clear" w:color="000000" w:fill="FFFFFF"/>
            <w:noWrap/>
            <w:vAlign w:val="center"/>
          </w:tcPr>
          <w:p w14:paraId="1E4D031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感烟探测器（加装感烟探测器，含底座）</w:t>
            </w:r>
          </w:p>
        </w:tc>
        <w:tc>
          <w:tcPr>
            <w:tcW w:w="369" w:type="pct"/>
            <w:tcBorders>
              <w:top w:val="nil"/>
              <w:left w:val="nil"/>
              <w:bottom w:val="single" w:color="auto" w:sz="4" w:space="0"/>
              <w:right w:val="single" w:color="auto" w:sz="4" w:space="0"/>
            </w:tcBorders>
            <w:shd w:val="clear" w:color="000000" w:fill="FFFFFF"/>
            <w:noWrap w:val="0"/>
            <w:vAlign w:val="center"/>
          </w:tcPr>
          <w:p w14:paraId="05D3739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个</w:t>
            </w:r>
          </w:p>
        </w:tc>
        <w:tc>
          <w:tcPr>
            <w:tcW w:w="483" w:type="pct"/>
            <w:tcBorders>
              <w:top w:val="nil"/>
              <w:left w:val="nil"/>
              <w:bottom w:val="single" w:color="auto" w:sz="4" w:space="0"/>
              <w:right w:val="single" w:color="auto" w:sz="4" w:space="0"/>
            </w:tcBorders>
            <w:shd w:val="clear" w:color="000000" w:fill="FFFFFF"/>
            <w:noWrap w:val="0"/>
            <w:vAlign w:val="center"/>
          </w:tcPr>
          <w:p w14:paraId="2B9FA91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0DBD88A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B7CCCB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7.2</w:t>
            </w:r>
          </w:p>
        </w:tc>
        <w:tc>
          <w:tcPr>
            <w:tcW w:w="685" w:type="pct"/>
            <w:tcBorders>
              <w:top w:val="nil"/>
              <w:left w:val="nil"/>
              <w:bottom w:val="single" w:color="auto" w:sz="4" w:space="0"/>
              <w:right w:val="single" w:color="auto" w:sz="4" w:space="0"/>
            </w:tcBorders>
            <w:shd w:val="clear" w:color="000000" w:fill="FFFFFF"/>
            <w:noWrap w:val="0"/>
            <w:vAlign w:val="center"/>
          </w:tcPr>
          <w:p w14:paraId="19E7240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烟感编码调试</w:t>
            </w:r>
          </w:p>
        </w:tc>
        <w:tc>
          <w:tcPr>
            <w:tcW w:w="3000" w:type="pct"/>
            <w:tcBorders>
              <w:top w:val="nil"/>
              <w:left w:val="nil"/>
              <w:bottom w:val="single" w:color="auto" w:sz="4" w:space="0"/>
              <w:right w:val="single" w:color="auto" w:sz="4" w:space="0"/>
            </w:tcBorders>
            <w:shd w:val="clear" w:color="000000" w:fill="FFFFFF"/>
            <w:noWrap/>
            <w:vAlign w:val="center"/>
          </w:tcPr>
          <w:p w14:paraId="4E3D7556">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加装烟感编码调试</w:t>
            </w:r>
          </w:p>
        </w:tc>
        <w:tc>
          <w:tcPr>
            <w:tcW w:w="369" w:type="pct"/>
            <w:tcBorders>
              <w:top w:val="nil"/>
              <w:left w:val="nil"/>
              <w:bottom w:val="single" w:color="auto" w:sz="4" w:space="0"/>
              <w:right w:val="single" w:color="auto" w:sz="4" w:space="0"/>
            </w:tcBorders>
            <w:shd w:val="clear" w:color="000000" w:fill="FFFFFF"/>
            <w:noWrap w:val="0"/>
            <w:vAlign w:val="center"/>
          </w:tcPr>
          <w:p w14:paraId="260D66D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70299BD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70E8C02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99CFF1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7.2</w:t>
            </w:r>
          </w:p>
        </w:tc>
        <w:tc>
          <w:tcPr>
            <w:tcW w:w="685" w:type="pct"/>
            <w:tcBorders>
              <w:top w:val="nil"/>
              <w:left w:val="nil"/>
              <w:bottom w:val="single" w:color="auto" w:sz="4" w:space="0"/>
              <w:right w:val="single" w:color="auto" w:sz="4" w:space="0"/>
            </w:tcBorders>
            <w:shd w:val="clear" w:color="000000" w:fill="FFFFFF"/>
            <w:noWrap w:val="0"/>
            <w:vAlign w:val="center"/>
          </w:tcPr>
          <w:p w14:paraId="351322C1">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干粉灭火器</w:t>
            </w:r>
          </w:p>
        </w:tc>
        <w:tc>
          <w:tcPr>
            <w:tcW w:w="3000" w:type="pct"/>
            <w:tcBorders>
              <w:top w:val="nil"/>
              <w:left w:val="nil"/>
              <w:bottom w:val="single" w:color="auto" w:sz="4" w:space="0"/>
              <w:right w:val="single" w:color="auto" w:sz="4" w:space="0"/>
            </w:tcBorders>
            <w:shd w:val="clear" w:color="000000" w:fill="FFFFFF"/>
            <w:noWrap/>
            <w:vAlign w:val="center"/>
          </w:tcPr>
          <w:p w14:paraId="701AE00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干粉灭火器ABC-4kg（每个房间配一个灭火器，含挂架和安装）</w:t>
            </w:r>
          </w:p>
        </w:tc>
        <w:tc>
          <w:tcPr>
            <w:tcW w:w="369" w:type="pct"/>
            <w:tcBorders>
              <w:top w:val="nil"/>
              <w:left w:val="nil"/>
              <w:bottom w:val="single" w:color="auto" w:sz="4" w:space="0"/>
              <w:right w:val="single" w:color="auto" w:sz="4" w:space="0"/>
            </w:tcBorders>
            <w:shd w:val="clear" w:color="000000" w:fill="FFFFFF"/>
            <w:noWrap w:val="0"/>
            <w:vAlign w:val="center"/>
          </w:tcPr>
          <w:p w14:paraId="0B6CD41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个</w:t>
            </w:r>
          </w:p>
        </w:tc>
        <w:tc>
          <w:tcPr>
            <w:tcW w:w="483" w:type="pct"/>
            <w:tcBorders>
              <w:top w:val="nil"/>
              <w:left w:val="nil"/>
              <w:bottom w:val="single" w:color="auto" w:sz="4" w:space="0"/>
              <w:right w:val="single" w:color="auto" w:sz="4" w:space="0"/>
            </w:tcBorders>
            <w:shd w:val="clear" w:color="000000" w:fill="FFFFFF"/>
            <w:noWrap w:val="0"/>
            <w:vAlign w:val="center"/>
          </w:tcPr>
          <w:p w14:paraId="23AFD99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r>
      <w:tr w14:paraId="1EDC54F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4740E57">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8</w:t>
            </w:r>
          </w:p>
        </w:tc>
        <w:tc>
          <w:tcPr>
            <w:tcW w:w="685" w:type="pct"/>
            <w:tcBorders>
              <w:top w:val="nil"/>
              <w:left w:val="nil"/>
              <w:bottom w:val="single" w:color="auto" w:sz="4" w:space="0"/>
              <w:right w:val="single" w:color="auto" w:sz="4" w:space="0"/>
            </w:tcBorders>
            <w:shd w:val="clear" w:color="000000" w:fill="FFFFFF"/>
            <w:noWrap w:val="0"/>
            <w:vAlign w:val="center"/>
          </w:tcPr>
          <w:p w14:paraId="0341CC36">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卫生间工程</w:t>
            </w:r>
          </w:p>
        </w:tc>
        <w:tc>
          <w:tcPr>
            <w:tcW w:w="3000" w:type="pct"/>
            <w:tcBorders>
              <w:top w:val="nil"/>
              <w:left w:val="nil"/>
              <w:bottom w:val="single" w:color="auto" w:sz="4" w:space="0"/>
              <w:right w:val="single" w:color="auto" w:sz="4" w:space="0"/>
            </w:tcBorders>
            <w:shd w:val="clear" w:color="000000" w:fill="FFFFFF"/>
            <w:noWrap/>
            <w:vAlign w:val="center"/>
          </w:tcPr>
          <w:p w14:paraId="373A3BD1">
            <w:pPr>
              <w:widowControl/>
              <w:spacing w:line="240" w:lineRule="auto"/>
              <w:jc w:val="left"/>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369" w:type="pct"/>
            <w:tcBorders>
              <w:top w:val="nil"/>
              <w:left w:val="nil"/>
              <w:bottom w:val="single" w:color="auto" w:sz="4" w:space="0"/>
              <w:right w:val="single" w:color="auto" w:sz="4" w:space="0"/>
            </w:tcBorders>
            <w:shd w:val="clear" w:color="000000" w:fill="FFFFFF"/>
            <w:noWrap w:val="0"/>
            <w:vAlign w:val="center"/>
          </w:tcPr>
          <w:p w14:paraId="0E48FDE2">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c>
          <w:tcPr>
            <w:tcW w:w="483" w:type="pct"/>
            <w:tcBorders>
              <w:top w:val="nil"/>
              <w:left w:val="nil"/>
              <w:bottom w:val="single" w:color="auto" w:sz="4" w:space="0"/>
              <w:right w:val="single" w:color="auto" w:sz="4" w:space="0"/>
            </w:tcBorders>
            <w:shd w:val="clear" w:color="000000" w:fill="FFFFFF"/>
            <w:noWrap w:val="0"/>
            <w:vAlign w:val="center"/>
          </w:tcPr>
          <w:p w14:paraId="50D5A6FF">
            <w:pPr>
              <w:widowControl/>
              <w:spacing w:line="240" w:lineRule="auto"/>
              <w:jc w:val="center"/>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　</w:t>
            </w:r>
          </w:p>
        </w:tc>
      </w:tr>
      <w:tr w14:paraId="2CD4E79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3B7D417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8.1</w:t>
            </w:r>
          </w:p>
        </w:tc>
        <w:tc>
          <w:tcPr>
            <w:tcW w:w="685" w:type="pct"/>
            <w:tcBorders>
              <w:top w:val="nil"/>
              <w:left w:val="nil"/>
              <w:bottom w:val="single" w:color="auto" w:sz="4" w:space="0"/>
              <w:right w:val="single" w:color="auto" w:sz="4" w:space="0"/>
            </w:tcBorders>
            <w:shd w:val="clear" w:color="000000" w:fill="FFFFFF"/>
            <w:noWrap w:val="0"/>
            <w:vAlign w:val="center"/>
          </w:tcPr>
          <w:p w14:paraId="0FCA319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水电布置及排污</w:t>
            </w:r>
          </w:p>
        </w:tc>
        <w:tc>
          <w:tcPr>
            <w:tcW w:w="3000" w:type="pct"/>
            <w:tcBorders>
              <w:top w:val="nil"/>
              <w:left w:val="nil"/>
              <w:bottom w:val="single" w:color="auto" w:sz="4" w:space="0"/>
              <w:right w:val="single" w:color="auto" w:sz="4" w:space="0"/>
            </w:tcBorders>
            <w:shd w:val="clear" w:color="000000" w:fill="FFFFFF"/>
            <w:noWrap/>
            <w:vAlign w:val="center"/>
          </w:tcPr>
          <w:p w14:paraId="7476E43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排污水管布置、洗手池及冲水箱水管布置、暖风排气照明布线 </w:t>
            </w:r>
          </w:p>
        </w:tc>
        <w:tc>
          <w:tcPr>
            <w:tcW w:w="369" w:type="pct"/>
            <w:tcBorders>
              <w:top w:val="nil"/>
              <w:left w:val="nil"/>
              <w:bottom w:val="single" w:color="auto" w:sz="4" w:space="0"/>
              <w:right w:val="single" w:color="auto" w:sz="4" w:space="0"/>
            </w:tcBorders>
            <w:shd w:val="clear" w:color="000000" w:fill="FFFFFF"/>
            <w:noWrap w:val="0"/>
            <w:vAlign w:val="center"/>
          </w:tcPr>
          <w:p w14:paraId="354860C7">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300A403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70B1F4B8">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D889B4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8.2</w:t>
            </w:r>
          </w:p>
        </w:tc>
        <w:tc>
          <w:tcPr>
            <w:tcW w:w="685" w:type="pct"/>
            <w:tcBorders>
              <w:top w:val="nil"/>
              <w:left w:val="nil"/>
              <w:bottom w:val="single" w:color="auto" w:sz="4" w:space="0"/>
              <w:right w:val="single" w:color="auto" w:sz="4" w:space="0"/>
            </w:tcBorders>
            <w:shd w:val="clear" w:color="000000" w:fill="FFFFFF"/>
            <w:noWrap w:val="0"/>
            <w:vAlign w:val="center"/>
          </w:tcPr>
          <w:p w14:paraId="404917C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轻质隔板</w:t>
            </w:r>
          </w:p>
        </w:tc>
        <w:tc>
          <w:tcPr>
            <w:tcW w:w="3000" w:type="pct"/>
            <w:tcBorders>
              <w:top w:val="nil"/>
              <w:left w:val="nil"/>
              <w:bottom w:val="single" w:color="auto" w:sz="4" w:space="0"/>
              <w:right w:val="single" w:color="auto" w:sz="4" w:space="0"/>
            </w:tcBorders>
            <w:shd w:val="clear" w:color="000000" w:fill="FFFFFF"/>
            <w:noWrap/>
            <w:vAlign w:val="center"/>
          </w:tcPr>
          <w:p w14:paraId="5FD2411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轻质隔板安装、人工</w:t>
            </w:r>
          </w:p>
          <w:p w14:paraId="1777658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轻质隔板安装、人工</w:t>
            </w:r>
          </w:p>
          <w:p w14:paraId="076955F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轻钢龙骨 间距600*600 埃特板 8mm</w:t>
            </w:r>
          </w:p>
        </w:tc>
        <w:tc>
          <w:tcPr>
            <w:tcW w:w="369" w:type="pct"/>
            <w:tcBorders>
              <w:top w:val="nil"/>
              <w:left w:val="nil"/>
              <w:bottom w:val="single" w:color="auto" w:sz="4" w:space="0"/>
              <w:right w:val="single" w:color="auto" w:sz="4" w:space="0"/>
            </w:tcBorders>
            <w:shd w:val="clear" w:color="000000" w:fill="FFFFFF"/>
            <w:noWrap w:val="0"/>
            <w:vAlign w:val="center"/>
          </w:tcPr>
          <w:p w14:paraId="629155D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55F6E93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13.2</w:t>
            </w:r>
          </w:p>
        </w:tc>
      </w:tr>
      <w:tr w14:paraId="0A64E49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1B5E02F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8.3</w:t>
            </w:r>
          </w:p>
        </w:tc>
        <w:tc>
          <w:tcPr>
            <w:tcW w:w="685" w:type="pct"/>
            <w:tcBorders>
              <w:top w:val="nil"/>
              <w:left w:val="nil"/>
              <w:bottom w:val="single" w:color="auto" w:sz="4" w:space="0"/>
              <w:right w:val="single" w:color="auto" w:sz="4" w:space="0"/>
            </w:tcBorders>
            <w:shd w:val="clear" w:color="000000" w:fill="FFFFFF"/>
            <w:noWrap w:val="0"/>
            <w:vAlign w:val="center"/>
          </w:tcPr>
          <w:p w14:paraId="46F01B1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地面原瓷砖拆除</w:t>
            </w:r>
          </w:p>
        </w:tc>
        <w:tc>
          <w:tcPr>
            <w:tcW w:w="3000" w:type="pct"/>
            <w:tcBorders>
              <w:top w:val="nil"/>
              <w:left w:val="nil"/>
              <w:bottom w:val="single" w:color="auto" w:sz="4" w:space="0"/>
              <w:right w:val="single" w:color="auto" w:sz="4" w:space="0"/>
            </w:tcBorders>
            <w:shd w:val="clear" w:color="000000" w:fill="FFFFFF"/>
            <w:noWrap/>
            <w:vAlign w:val="center"/>
          </w:tcPr>
          <w:p w14:paraId="7B9505C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磨机、锯片切割，电锤敲碎，人工拆除</w:t>
            </w:r>
          </w:p>
        </w:tc>
        <w:tc>
          <w:tcPr>
            <w:tcW w:w="369" w:type="pct"/>
            <w:tcBorders>
              <w:top w:val="nil"/>
              <w:left w:val="nil"/>
              <w:bottom w:val="single" w:color="auto" w:sz="4" w:space="0"/>
              <w:right w:val="single" w:color="auto" w:sz="4" w:space="0"/>
            </w:tcBorders>
            <w:shd w:val="clear" w:color="000000" w:fill="FFFFFF"/>
            <w:noWrap w:val="0"/>
            <w:vAlign w:val="center"/>
          </w:tcPr>
          <w:p w14:paraId="2F5D504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3E0FC41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303D98C7">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7C933E6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8.4</w:t>
            </w:r>
          </w:p>
        </w:tc>
        <w:tc>
          <w:tcPr>
            <w:tcW w:w="685" w:type="pct"/>
            <w:tcBorders>
              <w:top w:val="nil"/>
              <w:left w:val="nil"/>
              <w:bottom w:val="single" w:color="auto" w:sz="4" w:space="0"/>
              <w:right w:val="single" w:color="auto" w:sz="4" w:space="0"/>
            </w:tcBorders>
            <w:shd w:val="clear" w:color="000000" w:fill="FFFFFF"/>
            <w:noWrap w:val="0"/>
            <w:vAlign w:val="center"/>
          </w:tcPr>
          <w:p w14:paraId="6490444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地面防水</w:t>
            </w:r>
          </w:p>
        </w:tc>
        <w:tc>
          <w:tcPr>
            <w:tcW w:w="3000" w:type="pct"/>
            <w:tcBorders>
              <w:top w:val="nil"/>
              <w:left w:val="nil"/>
              <w:bottom w:val="single" w:color="auto" w:sz="4" w:space="0"/>
              <w:right w:val="single" w:color="auto" w:sz="4" w:space="0"/>
            </w:tcBorders>
            <w:shd w:val="clear" w:color="000000" w:fill="FFFFFF"/>
            <w:noWrap/>
            <w:vAlign w:val="center"/>
          </w:tcPr>
          <w:p w14:paraId="1C6E6E0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厚1.5mm</w:t>
            </w:r>
          </w:p>
          <w:p w14:paraId="5B41341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均匀涂抹防水涂料、人工辅材</w:t>
            </w:r>
          </w:p>
          <w:p w14:paraId="78E4B3CB">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防水砂浆防水 20mm厚</w:t>
            </w:r>
          </w:p>
        </w:tc>
        <w:tc>
          <w:tcPr>
            <w:tcW w:w="369" w:type="pct"/>
            <w:tcBorders>
              <w:top w:val="nil"/>
              <w:left w:val="nil"/>
              <w:bottom w:val="single" w:color="auto" w:sz="4" w:space="0"/>
              <w:right w:val="single" w:color="auto" w:sz="4" w:space="0"/>
            </w:tcBorders>
            <w:shd w:val="clear" w:color="000000" w:fill="FFFFFF"/>
            <w:noWrap w:val="0"/>
            <w:vAlign w:val="center"/>
          </w:tcPr>
          <w:p w14:paraId="763CEDB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579DAC2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0FBC1DD">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FCC7F3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8.5</w:t>
            </w:r>
          </w:p>
        </w:tc>
        <w:tc>
          <w:tcPr>
            <w:tcW w:w="685" w:type="pct"/>
            <w:tcBorders>
              <w:top w:val="nil"/>
              <w:left w:val="nil"/>
              <w:bottom w:val="single" w:color="auto" w:sz="4" w:space="0"/>
              <w:right w:val="single" w:color="auto" w:sz="4" w:space="0"/>
            </w:tcBorders>
            <w:shd w:val="clear" w:color="000000" w:fill="FFFFFF"/>
            <w:noWrap w:val="0"/>
            <w:vAlign w:val="center"/>
          </w:tcPr>
          <w:p w14:paraId="747197D0">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地面及墙面瓷砖铺设</w:t>
            </w:r>
          </w:p>
        </w:tc>
        <w:tc>
          <w:tcPr>
            <w:tcW w:w="3000" w:type="pct"/>
            <w:tcBorders>
              <w:top w:val="nil"/>
              <w:left w:val="nil"/>
              <w:bottom w:val="single" w:color="auto" w:sz="4" w:space="0"/>
              <w:right w:val="single" w:color="auto" w:sz="4" w:space="0"/>
            </w:tcBorders>
            <w:shd w:val="clear" w:color="000000" w:fill="FFFFFF"/>
            <w:noWrap/>
            <w:vAlign w:val="center"/>
          </w:tcPr>
          <w:p w14:paraId="32C4CF4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300mm*300mm瓷砖地面及墙面铺设</w:t>
            </w:r>
          </w:p>
        </w:tc>
        <w:tc>
          <w:tcPr>
            <w:tcW w:w="369" w:type="pct"/>
            <w:tcBorders>
              <w:top w:val="nil"/>
              <w:left w:val="nil"/>
              <w:bottom w:val="single" w:color="auto" w:sz="4" w:space="0"/>
              <w:right w:val="single" w:color="auto" w:sz="4" w:space="0"/>
            </w:tcBorders>
            <w:shd w:val="clear" w:color="000000" w:fill="FFFFFF"/>
            <w:noWrap w:val="0"/>
            <w:vAlign w:val="center"/>
          </w:tcPr>
          <w:p w14:paraId="7E10C4C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1CE35CD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17.5</w:t>
            </w:r>
          </w:p>
        </w:tc>
      </w:tr>
      <w:tr w14:paraId="748AB200">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02815529">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8.6</w:t>
            </w:r>
          </w:p>
        </w:tc>
        <w:tc>
          <w:tcPr>
            <w:tcW w:w="685" w:type="pct"/>
            <w:tcBorders>
              <w:top w:val="nil"/>
              <w:left w:val="nil"/>
              <w:bottom w:val="single" w:color="auto" w:sz="4" w:space="0"/>
              <w:right w:val="single" w:color="auto" w:sz="4" w:space="0"/>
            </w:tcBorders>
            <w:shd w:val="clear" w:color="000000" w:fill="FFFFFF"/>
            <w:noWrap w:val="0"/>
            <w:vAlign w:val="center"/>
          </w:tcPr>
          <w:p w14:paraId="777373F4">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卫浴安装</w:t>
            </w:r>
          </w:p>
        </w:tc>
        <w:tc>
          <w:tcPr>
            <w:tcW w:w="3000" w:type="pct"/>
            <w:tcBorders>
              <w:top w:val="nil"/>
              <w:left w:val="nil"/>
              <w:bottom w:val="single" w:color="auto" w:sz="4" w:space="0"/>
              <w:right w:val="single" w:color="auto" w:sz="4" w:space="0"/>
            </w:tcBorders>
            <w:shd w:val="clear" w:color="000000" w:fill="FFFFFF"/>
            <w:noWrap/>
            <w:vAlign w:val="center"/>
          </w:tcPr>
          <w:p w14:paraId="10D28552">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冲水箱×1、蹲便器×1、洗手池×1、花洒套装×1、清洁收纳×1</w:t>
            </w:r>
          </w:p>
        </w:tc>
        <w:tc>
          <w:tcPr>
            <w:tcW w:w="369" w:type="pct"/>
            <w:tcBorders>
              <w:top w:val="nil"/>
              <w:left w:val="nil"/>
              <w:bottom w:val="single" w:color="auto" w:sz="4" w:space="0"/>
              <w:right w:val="single" w:color="auto" w:sz="4" w:space="0"/>
            </w:tcBorders>
            <w:shd w:val="clear" w:color="000000" w:fill="FFFFFF"/>
            <w:noWrap w:val="0"/>
            <w:vAlign w:val="center"/>
          </w:tcPr>
          <w:p w14:paraId="7D2CC9A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0EB93AB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3BED71BE">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671FCB9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8.7</w:t>
            </w:r>
          </w:p>
        </w:tc>
        <w:tc>
          <w:tcPr>
            <w:tcW w:w="685" w:type="pct"/>
            <w:tcBorders>
              <w:top w:val="nil"/>
              <w:left w:val="nil"/>
              <w:bottom w:val="single" w:color="auto" w:sz="4" w:space="0"/>
              <w:right w:val="single" w:color="auto" w:sz="4" w:space="0"/>
            </w:tcBorders>
            <w:shd w:val="clear" w:color="000000" w:fill="FFFFFF"/>
            <w:noWrap w:val="0"/>
            <w:vAlign w:val="center"/>
          </w:tcPr>
          <w:p w14:paraId="3C3C4AE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楼板开孔</w:t>
            </w:r>
          </w:p>
        </w:tc>
        <w:tc>
          <w:tcPr>
            <w:tcW w:w="3000" w:type="pct"/>
            <w:tcBorders>
              <w:top w:val="nil"/>
              <w:left w:val="nil"/>
              <w:bottom w:val="single" w:color="auto" w:sz="4" w:space="0"/>
              <w:right w:val="single" w:color="auto" w:sz="4" w:space="0"/>
            </w:tcBorders>
            <w:shd w:val="clear" w:color="000000" w:fill="FFFFFF"/>
            <w:noWrap/>
            <w:vAlign w:val="center"/>
          </w:tcPr>
          <w:p w14:paraId="4B537B83">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排污水管楼面开孔</w:t>
            </w:r>
          </w:p>
        </w:tc>
        <w:tc>
          <w:tcPr>
            <w:tcW w:w="369" w:type="pct"/>
            <w:tcBorders>
              <w:top w:val="nil"/>
              <w:left w:val="nil"/>
              <w:bottom w:val="single" w:color="auto" w:sz="4" w:space="0"/>
              <w:right w:val="single" w:color="auto" w:sz="4" w:space="0"/>
            </w:tcBorders>
            <w:shd w:val="clear" w:color="000000" w:fill="FFFFFF"/>
            <w:noWrap w:val="0"/>
            <w:vAlign w:val="center"/>
          </w:tcPr>
          <w:p w14:paraId="63CB2EB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w:t>
            </w:r>
          </w:p>
        </w:tc>
        <w:tc>
          <w:tcPr>
            <w:tcW w:w="483" w:type="pct"/>
            <w:tcBorders>
              <w:top w:val="nil"/>
              <w:left w:val="nil"/>
              <w:bottom w:val="single" w:color="auto" w:sz="4" w:space="0"/>
              <w:right w:val="single" w:color="auto" w:sz="4" w:space="0"/>
            </w:tcBorders>
            <w:shd w:val="clear" w:color="000000" w:fill="FFFFFF"/>
            <w:noWrap w:val="0"/>
            <w:vAlign w:val="center"/>
          </w:tcPr>
          <w:p w14:paraId="4F28AA05">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218C2E4">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4D62C7DF">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8.8</w:t>
            </w:r>
          </w:p>
        </w:tc>
        <w:tc>
          <w:tcPr>
            <w:tcW w:w="685" w:type="pct"/>
            <w:tcBorders>
              <w:top w:val="nil"/>
              <w:left w:val="nil"/>
              <w:bottom w:val="single" w:color="auto" w:sz="4" w:space="0"/>
              <w:right w:val="single" w:color="auto" w:sz="4" w:space="0"/>
            </w:tcBorders>
            <w:shd w:val="clear" w:color="000000" w:fill="FFFFFF"/>
            <w:noWrap w:val="0"/>
            <w:vAlign w:val="center"/>
          </w:tcPr>
          <w:p w14:paraId="0E4BB7D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地面抬高</w:t>
            </w:r>
          </w:p>
        </w:tc>
        <w:tc>
          <w:tcPr>
            <w:tcW w:w="3000" w:type="pct"/>
            <w:tcBorders>
              <w:top w:val="nil"/>
              <w:left w:val="nil"/>
              <w:bottom w:val="single" w:color="auto" w:sz="4" w:space="0"/>
              <w:right w:val="single" w:color="auto" w:sz="4" w:space="0"/>
            </w:tcBorders>
            <w:shd w:val="clear" w:color="000000" w:fill="FFFFFF"/>
            <w:noWrap/>
            <w:vAlign w:val="center"/>
          </w:tcPr>
          <w:p w14:paraId="5F9BE89D">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水泥砂浆地面抬高20cm</w:t>
            </w:r>
          </w:p>
        </w:tc>
        <w:tc>
          <w:tcPr>
            <w:tcW w:w="369" w:type="pct"/>
            <w:tcBorders>
              <w:top w:val="nil"/>
              <w:left w:val="nil"/>
              <w:bottom w:val="single" w:color="auto" w:sz="4" w:space="0"/>
              <w:right w:val="single" w:color="auto" w:sz="4" w:space="0"/>
            </w:tcBorders>
            <w:shd w:val="clear" w:color="000000" w:fill="FFFFFF"/>
            <w:noWrap w:val="0"/>
            <w:vAlign w:val="center"/>
          </w:tcPr>
          <w:p w14:paraId="52351483">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2DC0C50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r>
      <w:tr w14:paraId="6591D4C6">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5F87A00B">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8.9</w:t>
            </w:r>
          </w:p>
        </w:tc>
        <w:tc>
          <w:tcPr>
            <w:tcW w:w="685" w:type="pct"/>
            <w:tcBorders>
              <w:top w:val="nil"/>
              <w:left w:val="nil"/>
              <w:bottom w:val="single" w:color="auto" w:sz="4" w:space="0"/>
              <w:right w:val="single" w:color="auto" w:sz="4" w:space="0"/>
            </w:tcBorders>
            <w:shd w:val="clear" w:color="000000" w:fill="FFFFFF"/>
            <w:noWrap w:val="0"/>
            <w:vAlign w:val="center"/>
          </w:tcPr>
          <w:p w14:paraId="461E0C1A">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卫生间门安装</w:t>
            </w:r>
          </w:p>
        </w:tc>
        <w:tc>
          <w:tcPr>
            <w:tcW w:w="3000" w:type="pct"/>
            <w:tcBorders>
              <w:top w:val="nil"/>
              <w:left w:val="nil"/>
              <w:bottom w:val="single" w:color="auto" w:sz="4" w:space="0"/>
              <w:right w:val="single" w:color="auto" w:sz="4" w:space="0"/>
            </w:tcBorders>
            <w:shd w:val="clear" w:color="000000" w:fill="FFFFFF"/>
            <w:noWrap/>
            <w:vAlign w:val="center"/>
          </w:tcPr>
          <w:p w14:paraId="6CD52511">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900mm*2050mm卫生间门</w:t>
            </w:r>
          </w:p>
          <w:p w14:paraId="22063A04">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含五金配件、门锁、制作、安装、运输等</w:t>
            </w:r>
          </w:p>
        </w:tc>
        <w:tc>
          <w:tcPr>
            <w:tcW w:w="369" w:type="pct"/>
            <w:tcBorders>
              <w:top w:val="nil"/>
              <w:left w:val="nil"/>
              <w:bottom w:val="single" w:color="auto" w:sz="4" w:space="0"/>
              <w:right w:val="single" w:color="auto" w:sz="4" w:space="0"/>
            </w:tcBorders>
            <w:shd w:val="clear" w:color="000000" w:fill="FFFFFF"/>
            <w:noWrap w:val="0"/>
            <w:vAlign w:val="center"/>
          </w:tcPr>
          <w:p w14:paraId="6562175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樘</w:t>
            </w:r>
          </w:p>
        </w:tc>
        <w:tc>
          <w:tcPr>
            <w:tcW w:w="483" w:type="pct"/>
            <w:tcBorders>
              <w:top w:val="nil"/>
              <w:left w:val="nil"/>
              <w:bottom w:val="single" w:color="auto" w:sz="4" w:space="0"/>
              <w:right w:val="single" w:color="auto" w:sz="4" w:space="0"/>
            </w:tcBorders>
            <w:shd w:val="clear" w:color="000000" w:fill="FFFFFF"/>
            <w:noWrap w:val="0"/>
            <w:vAlign w:val="center"/>
          </w:tcPr>
          <w:p w14:paraId="0D449836">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r>
      <w:tr w14:paraId="67E0771A">
        <w:tblPrEx>
          <w:tblCellMar>
            <w:top w:w="0" w:type="dxa"/>
            <w:left w:w="108" w:type="dxa"/>
            <w:bottom w:w="0" w:type="dxa"/>
            <w:right w:w="108" w:type="dxa"/>
          </w:tblCellMar>
        </w:tblPrEx>
        <w:trPr>
          <w:trHeight w:val="285" w:hRule="atLeast"/>
        </w:trPr>
        <w:tc>
          <w:tcPr>
            <w:tcW w:w="461" w:type="pct"/>
            <w:tcBorders>
              <w:top w:val="nil"/>
              <w:left w:val="single" w:color="auto" w:sz="4" w:space="0"/>
              <w:bottom w:val="single" w:color="auto" w:sz="4" w:space="0"/>
              <w:right w:val="single" w:color="auto" w:sz="4" w:space="0"/>
            </w:tcBorders>
            <w:shd w:val="clear" w:color="000000" w:fill="FFFFFF"/>
            <w:noWrap w:val="0"/>
            <w:vAlign w:val="center"/>
          </w:tcPr>
          <w:p w14:paraId="2E1121F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8.10 </w:t>
            </w:r>
          </w:p>
        </w:tc>
        <w:tc>
          <w:tcPr>
            <w:tcW w:w="685" w:type="pct"/>
            <w:tcBorders>
              <w:top w:val="nil"/>
              <w:left w:val="nil"/>
              <w:bottom w:val="single" w:color="auto" w:sz="4" w:space="0"/>
              <w:right w:val="single" w:color="auto" w:sz="4" w:space="0"/>
            </w:tcBorders>
            <w:shd w:val="clear" w:color="000000" w:fill="FFFFFF"/>
            <w:noWrap w:val="0"/>
            <w:vAlign w:val="center"/>
          </w:tcPr>
          <w:p w14:paraId="2970E44C">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卫生间吊顶</w:t>
            </w:r>
          </w:p>
        </w:tc>
        <w:tc>
          <w:tcPr>
            <w:tcW w:w="3000" w:type="pct"/>
            <w:tcBorders>
              <w:top w:val="nil"/>
              <w:left w:val="nil"/>
              <w:bottom w:val="single" w:color="auto" w:sz="4" w:space="0"/>
              <w:right w:val="single" w:color="auto" w:sz="4" w:space="0"/>
            </w:tcBorders>
            <w:shd w:val="clear" w:color="000000" w:fill="FFFFFF"/>
            <w:noWrap/>
            <w:vAlign w:val="center"/>
          </w:tcPr>
          <w:p w14:paraId="1E6901C0">
            <w:pPr>
              <w:widowControl/>
              <w:spacing w:line="24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1、08厚300x300铝扣板吊，人工安装</w:t>
            </w:r>
            <w:r>
              <w:rPr>
                <w:rFonts w:hint="eastAsia" w:asciiTheme="minorEastAsia" w:hAnsiTheme="minorEastAsia" w:eastAsiaTheme="minorEastAsia" w:cstheme="minorEastAsia"/>
                <w:color w:val="auto"/>
                <w:kern w:val="0"/>
                <w:sz w:val="24"/>
                <w:szCs w:val="24"/>
                <w:highlight w:val="none"/>
              </w:rPr>
              <w:br w:type="textWrapping"/>
            </w:r>
            <w:r>
              <w:rPr>
                <w:rFonts w:hint="eastAsia" w:asciiTheme="minorEastAsia" w:hAnsiTheme="minorEastAsia" w:eastAsiaTheme="minorEastAsia" w:cstheme="minorEastAsia"/>
                <w:color w:val="auto"/>
                <w:kern w:val="0"/>
                <w:sz w:val="24"/>
                <w:szCs w:val="24"/>
                <w:highlight w:val="none"/>
              </w:rPr>
              <w:t>2、暖风排气照明一体暖风机，人工安装</w:t>
            </w:r>
          </w:p>
        </w:tc>
        <w:tc>
          <w:tcPr>
            <w:tcW w:w="369" w:type="pct"/>
            <w:tcBorders>
              <w:top w:val="nil"/>
              <w:left w:val="nil"/>
              <w:bottom w:val="single" w:color="auto" w:sz="4" w:space="0"/>
              <w:right w:val="single" w:color="auto" w:sz="4" w:space="0"/>
            </w:tcBorders>
            <w:shd w:val="clear" w:color="000000" w:fill="FFFFFF"/>
            <w:noWrap w:val="0"/>
            <w:vAlign w:val="center"/>
          </w:tcPr>
          <w:p w14:paraId="7E110F2E">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483" w:type="pct"/>
            <w:tcBorders>
              <w:top w:val="nil"/>
              <w:left w:val="nil"/>
              <w:bottom w:val="single" w:color="auto" w:sz="4" w:space="0"/>
              <w:right w:val="single" w:color="auto" w:sz="4" w:space="0"/>
            </w:tcBorders>
            <w:shd w:val="clear" w:color="000000" w:fill="FFFFFF"/>
            <w:noWrap w:val="0"/>
            <w:vAlign w:val="center"/>
          </w:tcPr>
          <w:p w14:paraId="12E594F2">
            <w:pPr>
              <w:widowControl/>
              <w:spacing w:line="24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17.5</w:t>
            </w:r>
          </w:p>
        </w:tc>
      </w:tr>
    </w:tbl>
    <w:p w14:paraId="70A6AE1F">
      <w:pPr>
        <w:keepNext w:val="0"/>
        <w:keepLines w:val="0"/>
        <w:pageBreakBefore w:val="0"/>
        <w:widowControl w:val="0"/>
        <w:kinsoku/>
        <w:wordWrap/>
        <w:overflowPunct/>
        <w:topLinePunct w:val="0"/>
        <w:autoSpaceDE/>
        <w:autoSpaceDN/>
        <w:bidi w:val="0"/>
        <w:adjustRightInd w:val="0"/>
        <w:snapToGrid/>
        <w:spacing w:line="380" w:lineRule="exact"/>
        <w:ind w:firstLine="480" w:firstLineChars="200"/>
        <w:jc w:val="left"/>
        <w:textAlignment w:val="auto"/>
        <w:rPr>
          <w:rFonts w:hint="eastAsia" w:cs="宋体" w:asciiTheme="minorEastAsia" w:hAnsiTheme="minorEastAsia" w:eastAsiaTheme="minorEastAsia"/>
          <w:color w:val="auto"/>
          <w:szCs w:val="21"/>
          <w:highlight w:val="none"/>
        </w:rPr>
      </w:pPr>
      <w:r>
        <w:rPr>
          <w:rFonts w:hint="eastAsia" w:ascii="宋体" w:hAnsi="宋体" w:cs="宋体"/>
          <w:color w:val="auto"/>
          <w:kern w:val="0"/>
          <w:sz w:val="24"/>
          <w:szCs w:val="21"/>
          <w:highlight w:val="none"/>
          <w:lang w:val="en-US" w:eastAsia="zh-CN"/>
        </w:rPr>
        <w:t>7．商务要求（所列要求中“以上”均含本数）</w:t>
      </w:r>
    </w:p>
    <w:tbl>
      <w:tblPr>
        <w:tblStyle w:val="62"/>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17"/>
        <w:gridCol w:w="7737"/>
      </w:tblGrid>
      <w:tr w14:paraId="46B143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000" w:type="pct"/>
            <w:gridSpan w:val="2"/>
            <w:tcBorders>
              <w:top w:val="single" w:color="auto" w:sz="4" w:space="0"/>
              <w:left w:val="single" w:color="auto" w:sz="4" w:space="0"/>
              <w:bottom w:val="single" w:color="auto" w:sz="4" w:space="0"/>
              <w:right w:val="single" w:color="auto" w:sz="4" w:space="0"/>
            </w:tcBorders>
            <w:noWrap w:val="0"/>
            <w:vAlign w:val="center"/>
          </w:tcPr>
          <w:p w14:paraId="6BFF0296">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商务要求</w:t>
            </w:r>
          </w:p>
        </w:tc>
      </w:tr>
      <w:tr w14:paraId="7A810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38AC90D7">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合同签订时间</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77CB824D">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自中标通知书发出之日起</w:t>
            </w:r>
            <w:r>
              <w:rPr>
                <w:rFonts w:hint="eastAsia" w:asciiTheme="minorEastAsia" w:hAnsiTheme="minorEastAsia" w:eastAsiaTheme="minorEastAsia" w:cstheme="minorEastAsia"/>
                <w:color w:val="auto"/>
                <w:sz w:val="24"/>
                <w:szCs w:val="24"/>
                <w:highlight w:val="none"/>
                <w:u w:val="none"/>
                <w:lang w:val="en-US" w:eastAsia="zh-CN"/>
              </w:rPr>
              <w:t>25</w:t>
            </w:r>
            <w:r>
              <w:rPr>
                <w:rFonts w:hint="eastAsia" w:asciiTheme="minorEastAsia" w:hAnsiTheme="minorEastAsia" w:eastAsiaTheme="minorEastAsia" w:cstheme="minorEastAsia"/>
                <w:color w:val="auto"/>
                <w:sz w:val="24"/>
                <w:szCs w:val="24"/>
                <w:highlight w:val="none"/>
              </w:rPr>
              <w:t>个自然日内。</w:t>
            </w:r>
          </w:p>
        </w:tc>
      </w:tr>
      <w:tr w14:paraId="6B68D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60F7EFEC">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Cs/>
                <w:color w:val="auto"/>
                <w:sz w:val="24"/>
                <w:szCs w:val="24"/>
                <w:highlight w:val="none"/>
              </w:rPr>
              <w:t>交付时间及地点</w:t>
            </w:r>
          </w:p>
        </w:tc>
        <w:tc>
          <w:tcPr>
            <w:tcW w:w="3925" w:type="pct"/>
            <w:tcBorders>
              <w:top w:val="single" w:color="auto" w:sz="4" w:space="0"/>
              <w:left w:val="single" w:color="auto" w:sz="4" w:space="0"/>
              <w:bottom w:val="single" w:color="auto" w:sz="4" w:space="0"/>
              <w:right w:val="single" w:color="auto" w:sz="4" w:space="0"/>
            </w:tcBorders>
            <w:noWrap w:val="0"/>
            <w:vAlign w:val="top"/>
          </w:tcPr>
          <w:p w14:paraId="7678E325">
            <w:pPr>
              <w:pageBreakBefore w:val="0"/>
              <w:widowControl w:val="0"/>
              <w:shd w:val="clear" w:color="auto" w:fill="auto"/>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交付时间：</w:t>
            </w:r>
            <w:r>
              <w:rPr>
                <w:rFonts w:hint="eastAsia" w:asciiTheme="minorEastAsia" w:hAnsiTheme="minorEastAsia" w:eastAsiaTheme="minorEastAsia" w:cstheme="minorEastAsia"/>
                <w:color w:val="auto"/>
                <w:sz w:val="24"/>
                <w:szCs w:val="24"/>
                <w:highlight w:val="none"/>
                <w:lang w:val="en-US" w:eastAsia="zh-CN"/>
              </w:rPr>
              <w:t>在</w:t>
            </w:r>
            <w:r>
              <w:rPr>
                <w:rFonts w:hint="eastAsia" w:asciiTheme="minorEastAsia" w:hAnsiTheme="minorEastAsia" w:eastAsiaTheme="minorEastAsia" w:cstheme="minorEastAsia"/>
                <w:color w:val="auto"/>
                <w:sz w:val="24"/>
                <w:szCs w:val="24"/>
                <w:highlight w:val="none"/>
              </w:rPr>
              <w:t>合同签订之日起</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个月内完成需求调研、</w:t>
            </w:r>
            <w:r>
              <w:rPr>
                <w:rFonts w:hint="eastAsia" w:asciiTheme="minorEastAsia" w:hAnsiTheme="minorEastAsia" w:eastAsiaTheme="minorEastAsia" w:cstheme="minorEastAsia"/>
                <w:color w:val="auto"/>
                <w:sz w:val="24"/>
                <w:szCs w:val="24"/>
                <w:highlight w:val="none"/>
                <w:lang w:val="en-US" w:eastAsia="zh-CN"/>
              </w:rPr>
              <w:t>设备供应、</w:t>
            </w:r>
            <w:r>
              <w:rPr>
                <w:rFonts w:hint="eastAsia" w:asciiTheme="minorEastAsia" w:hAnsiTheme="minorEastAsia" w:eastAsiaTheme="minorEastAsia" w:cstheme="minorEastAsia"/>
                <w:color w:val="auto"/>
                <w:sz w:val="24"/>
                <w:szCs w:val="24"/>
                <w:highlight w:val="none"/>
              </w:rPr>
              <w:t>系统设计、系统开发、系统集成、系统测试、系统部署、系统等保测评</w:t>
            </w:r>
            <w:r>
              <w:rPr>
                <w:rFonts w:hint="eastAsia" w:asciiTheme="minorEastAsia" w:hAnsiTheme="minorEastAsia" w:eastAsiaTheme="minorEastAsia" w:cstheme="minorEastAsia"/>
                <w:color w:val="auto"/>
                <w:sz w:val="24"/>
                <w:szCs w:val="24"/>
                <w:highlight w:val="none"/>
                <w:lang w:val="en-US" w:eastAsia="zh-CN"/>
              </w:rPr>
              <w:t>和商用密码应用安全性评估</w:t>
            </w:r>
            <w:r>
              <w:rPr>
                <w:rFonts w:hint="eastAsia" w:asciiTheme="minorEastAsia" w:hAnsiTheme="minorEastAsia" w:eastAsiaTheme="minorEastAsia" w:cstheme="minorEastAsia"/>
                <w:color w:val="auto"/>
                <w:sz w:val="24"/>
                <w:szCs w:val="24"/>
                <w:highlight w:val="none"/>
              </w:rPr>
              <w:t>、人员培训等工作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达到技术系统试运行要求，在合同签订之日起2个月内完成指挥场所装修工作。</w:t>
            </w:r>
          </w:p>
          <w:p w14:paraId="778AE623">
            <w:pPr>
              <w:keepNext/>
              <w:keepLines/>
              <w:pageBreakBefore w:val="0"/>
              <w:widowControl w:val="0"/>
              <w:shd w:val="clear" w:color="auto" w:fill="auto"/>
              <w:kinsoku/>
              <w:wordWrap/>
              <w:overflowPunct/>
              <w:topLinePunct w:val="0"/>
              <w:autoSpaceDE/>
              <w:autoSpaceDN/>
              <w:bidi w:val="0"/>
              <w:adjustRightInd/>
              <w:snapToGrid/>
              <w:spacing w:before="0" w:after="0" w:line="240" w:lineRule="auto"/>
              <w:jc w:val="both"/>
              <w:textAlignment w:val="auto"/>
              <w:outlineLvl w:val="0"/>
              <w:rPr>
                <w:rFonts w:hint="eastAsia" w:asciiTheme="minorEastAsia" w:hAnsiTheme="minorEastAsia" w:eastAsiaTheme="minorEastAsia" w:cstheme="minorEastAsia"/>
                <w:b w:val="0"/>
                <w:bCs w:val="0"/>
                <w:color w:val="auto"/>
                <w:kern w:val="44"/>
                <w:sz w:val="24"/>
                <w:szCs w:val="24"/>
                <w:highlight w:val="none"/>
                <w:lang w:val="en-US" w:eastAsia="zh-CN" w:bidi="ar-SA"/>
              </w:rPr>
            </w:pPr>
            <w:r>
              <w:rPr>
                <w:rFonts w:hint="eastAsia" w:asciiTheme="minorEastAsia" w:hAnsiTheme="minorEastAsia" w:eastAsiaTheme="minorEastAsia" w:cstheme="minorEastAsia"/>
                <w:b w:val="0"/>
                <w:bCs w:val="0"/>
                <w:color w:val="auto"/>
                <w:kern w:val="44"/>
                <w:sz w:val="24"/>
                <w:szCs w:val="24"/>
                <w:highlight w:val="none"/>
                <w:lang w:val="en-US" w:eastAsia="zh-CN" w:bidi="ar-SA"/>
              </w:rPr>
              <w:t>交付地点：北海市海城区中山东路213号北海市机关第二办公区2号楼。</w:t>
            </w:r>
          </w:p>
        </w:tc>
      </w:tr>
      <w:tr w14:paraId="4664A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1" w:hRule="atLeast"/>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13203FB8">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eastAsiaTheme="minorEastAsia" w:cstheme="minorEastAsia"/>
                <w:color w:val="auto"/>
                <w:sz w:val="24"/>
                <w:szCs w:val="24"/>
                <w:highlight w:val="none"/>
                <w:lang w:val="en-US" w:eastAsia="zh-CN"/>
              </w:rPr>
              <w:t>及条件</w:t>
            </w:r>
          </w:p>
        </w:tc>
        <w:tc>
          <w:tcPr>
            <w:tcW w:w="3925" w:type="pct"/>
            <w:tcBorders>
              <w:top w:val="single" w:color="auto" w:sz="4" w:space="0"/>
              <w:left w:val="single" w:color="auto" w:sz="4" w:space="0"/>
              <w:bottom w:val="single" w:color="auto" w:sz="4" w:space="0"/>
              <w:right w:val="single" w:color="auto" w:sz="4" w:space="0"/>
            </w:tcBorders>
            <w:noWrap w:val="0"/>
            <w:vAlign w:val="top"/>
          </w:tcPr>
          <w:p w14:paraId="399E920D">
            <w:pPr>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采购人通过银行转账方式向中标供应商支付合同款，具体付款方式为：</w:t>
            </w:r>
          </w:p>
          <w:p w14:paraId="4DA333C0">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在本合同生效且收到北海市财政部门拨付的项目资金后</w:t>
            </w:r>
            <w:r>
              <w:rPr>
                <w:rFonts w:hint="eastAsia" w:asciiTheme="minorEastAsia" w:hAnsiTheme="minorEastAsia" w:eastAsiaTheme="minorEastAsia" w:cstheme="minorEastAsia"/>
                <w:color w:val="auto"/>
                <w:sz w:val="24"/>
                <w:szCs w:val="24"/>
                <w:highlight w:val="none"/>
                <w:lang w:eastAsia="zh-CN"/>
              </w:rPr>
              <w:t>10个工作日</w:t>
            </w:r>
            <w:r>
              <w:rPr>
                <w:rFonts w:hint="eastAsia" w:asciiTheme="minorEastAsia" w:hAnsiTheme="minorEastAsia" w:eastAsiaTheme="minorEastAsia" w:cstheme="minorEastAsia"/>
                <w:color w:val="auto"/>
                <w:sz w:val="24"/>
                <w:szCs w:val="24"/>
                <w:highlight w:val="none"/>
              </w:rPr>
              <w:t>内，向中标供应商支付合同总金额的</w:t>
            </w:r>
            <w:r>
              <w:rPr>
                <w:rFonts w:hint="eastAsia" w:asciiTheme="minorEastAsia" w:hAnsiTheme="minorEastAsia" w:eastAsiaTheme="minorEastAsia" w:cstheme="minorEastAsia"/>
                <w:color w:val="auto"/>
                <w:sz w:val="24"/>
                <w:szCs w:val="24"/>
                <w:highlight w:val="none"/>
                <w:lang w:val="en-US" w:eastAsia="zh-CN"/>
              </w:rPr>
              <w:t>15</w:t>
            </w:r>
            <w:r>
              <w:rPr>
                <w:rFonts w:hint="eastAsia" w:asciiTheme="minorEastAsia" w:hAnsiTheme="minorEastAsia" w:eastAsiaTheme="minorEastAsia" w:cstheme="minorEastAsia"/>
                <w:color w:val="auto"/>
                <w:sz w:val="24"/>
                <w:szCs w:val="24"/>
                <w:highlight w:val="none"/>
              </w:rPr>
              <w:t>%；</w:t>
            </w:r>
          </w:p>
          <w:p w14:paraId="0F99745F">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在项目初步验收合格且收到北海市财政部门拨付的项目资金后</w:t>
            </w:r>
            <w:r>
              <w:rPr>
                <w:rFonts w:hint="eastAsia" w:asciiTheme="minorEastAsia" w:hAnsiTheme="minorEastAsia" w:eastAsiaTheme="minorEastAsia" w:cstheme="minorEastAsia"/>
                <w:color w:val="auto"/>
                <w:sz w:val="24"/>
                <w:szCs w:val="24"/>
                <w:highlight w:val="none"/>
                <w:lang w:eastAsia="zh-CN"/>
              </w:rPr>
              <w:t>10个工作日</w:t>
            </w:r>
            <w:r>
              <w:rPr>
                <w:rFonts w:hint="eastAsia" w:asciiTheme="minorEastAsia" w:hAnsiTheme="minorEastAsia" w:eastAsiaTheme="minorEastAsia" w:cstheme="minorEastAsia"/>
                <w:color w:val="auto"/>
                <w:sz w:val="24"/>
                <w:szCs w:val="24"/>
                <w:highlight w:val="none"/>
              </w:rPr>
              <w:t>内，向中标供应商支付合同总金额的</w:t>
            </w:r>
            <w:r>
              <w:rPr>
                <w:rFonts w:hint="eastAsia" w:asciiTheme="minorEastAsia" w:hAnsiTheme="minorEastAsia" w:eastAsiaTheme="minorEastAsia" w:cstheme="minorEastAsia"/>
                <w:color w:val="auto"/>
                <w:sz w:val="24"/>
                <w:szCs w:val="24"/>
                <w:highlight w:val="none"/>
                <w:lang w:val="en-US" w:eastAsia="zh-CN"/>
              </w:rPr>
              <w:t>45</w:t>
            </w:r>
            <w:r>
              <w:rPr>
                <w:rFonts w:hint="eastAsia" w:asciiTheme="minorEastAsia" w:hAnsiTheme="minorEastAsia" w:eastAsiaTheme="minorEastAsia" w:cstheme="minorEastAsia"/>
                <w:color w:val="auto"/>
                <w:sz w:val="24"/>
                <w:szCs w:val="24"/>
                <w:highlight w:val="none"/>
              </w:rPr>
              <w:t>%；</w:t>
            </w:r>
          </w:p>
          <w:p w14:paraId="3825025B">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在项目最终验收合格且收到北海市财政部门拨付的项目资金后</w:t>
            </w:r>
            <w:r>
              <w:rPr>
                <w:rFonts w:hint="eastAsia" w:asciiTheme="minorEastAsia" w:hAnsiTheme="minorEastAsia" w:eastAsiaTheme="minorEastAsia" w:cstheme="minorEastAsia"/>
                <w:color w:val="auto"/>
                <w:sz w:val="24"/>
                <w:szCs w:val="24"/>
                <w:highlight w:val="none"/>
                <w:lang w:eastAsia="zh-CN"/>
              </w:rPr>
              <w:t>10个工作日</w:t>
            </w:r>
            <w:r>
              <w:rPr>
                <w:rFonts w:hint="eastAsia" w:asciiTheme="minorEastAsia" w:hAnsiTheme="minorEastAsia" w:eastAsiaTheme="minorEastAsia" w:cstheme="minorEastAsia"/>
                <w:color w:val="auto"/>
                <w:sz w:val="24"/>
                <w:szCs w:val="24"/>
                <w:highlight w:val="none"/>
              </w:rPr>
              <w:t>内，向中标供应商支付合同总金额的</w:t>
            </w:r>
            <w:r>
              <w:rPr>
                <w:rFonts w:hint="eastAsia" w:asciiTheme="minorEastAsia" w:hAnsiTheme="minorEastAsia" w:eastAsiaTheme="minorEastAsia" w:cstheme="minorEastAsia"/>
                <w:color w:val="auto"/>
                <w:sz w:val="24"/>
                <w:szCs w:val="24"/>
                <w:highlight w:val="none"/>
                <w:lang w:val="en-US" w:eastAsia="zh-CN"/>
              </w:rPr>
              <w:t>40</w:t>
            </w:r>
            <w:r>
              <w:rPr>
                <w:rFonts w:hint="eastAsia" w:asciiTheme="minorEastAsia" w:hAnsiTheme="minorEastAsia" w:eastAsiaTheme="minorEastAsia" w:cstheme="minorEastAsia"/>
                <w:color w:val="auto"/>
                <w:sz w:val="24"/>
                <w:szCs w:val="24"/>
                <w:highlight w:val="none"/>
              </w:rPr>
              <w:t>%；</w:t>
            </w:r>
          </w:p>
          <w:p w14:paraId="1824C550">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中标供应商应向</w:t>
            </w:r>
            <w:r>
              <w:rPr>
                <w:rFonts w:hint="eastAsia" w:asciiTheme="minorEastAsia" w:hAnsiTheme="minorEastAsia" w:eastAsiaTheme="minorEastAsia" w:cstheme="minorEastAsia"/>
                <w:color w:val="auto"/>
                <w:sz w:val="24"/>
                <w:szCs w:val="24"/>
                <w:highlight w:val="none"/>
                <w:lang w:val="en-US" w:eastAsia="zh-CN"/>
              </w:rPr>
              <w:t>采购人</w:t>
            </w:r>
            <w:r>
              <w:rPr>
                <w:rFonts w:hint="eastAsia" w:asciiTheme="minorEastAsia" w:hAnsiTheme="minorEastAsia" w:eastAsiaTheme="minorEastAsia" w:cstheme="minorEastAsia"/>
                <w:color w:val="auto"/>
                <w:sz w:val="24"/>
                <w:szCs w:val="24"/>
                <w:highlight w:val="none"/>
              </w:rPr>
              <w:t>提供与支付金额相符的有效发票。</w:t>
            </w:r>
          </w:p>
        </w:tc>
      </w:tr>
      <w:tr w14:paraId="60297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6CF9AD83">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rPr>
              <w:t>报价要求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02BFBC85">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（一）投标报价应至少包含下列内容：</w:t>
            </w:r>
          </w:p>
          <w:p w14:paraId="3EDC2592">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1.项目建设费用，包括</w:t>
            </w:r>
            <w:r>
              <w:rPr>
                <w:rFonts w:hint="eastAsia" w:asciiTheme="minorEastAsia" w:hAnsiTheme="minorEastAsia" w:eastAsiaTheme="minorEastAsia" w:cstheme="minorEastAsia"/>
                <w:color w:val="auto"/>
                <w:sz w:val="24"/>
                <w:szCs w:val="24"/>
                <w:highlight w:val="none"/>
                <w:lang w:val="en-US" w:eastAsia="zh-CN"/>
              </w:rPr>
              <w:t>信息系统建设、指挥场所设施改造和部分设备购置等费用</w:t>
            </w:r>
            <w:r>
              <w:rPr>
                <w:rFonts w:hint="eastAsia" w:asciiTheme="minorEastAsia" w:hAnsiTheme="minorEastAsia" w:eastAsiaTheme="minorEastAsia" w:cstheme="minorEastAsia"/>
                <w:color w:val="auto"/>
                <w:sz w:val="24"/>
                <w:szCs w:val="24"/>
                <w:highlight w:val="none"/>
              </w:rPr>
              <w:t>。</w:t>
            </w:r>
          </w:p>
          <w:p w14:paraId="5EDC4DEA">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网络资产梳理服务</w:t>
            </w:r>
            <w:r>
              <w:rPr>
                <w:rFonts w:hint="eastAsia" w:asciiTheme="minorEastAsia" w:hAnsiTheme="minorEastAsia" w:eastAsiaTheme="minorEastAsia" w:cstheme="minorEastAsia"/>
                <w:color w:val="auto"/>
                <w:sz w:val="24"/>
                <w:szCs w:val="24"/>
                <w:highlight w:val="none"/>
                <w:lang w:val="en-US" w:eastAsia="zh-CN"/>
              </w:rPr>
              <w:t>费用。</w:t>
            </w:r>
            <w:r>
              <w:rPr>
                <w:rFonts w:hint="eastAsia" w:asciiTheme="minorEastAsia" w:hAnsiTheme="minorEastAsia" w:eastAsiaTheme="minorEastAsia" w:cstheme="minorEastAsia"/>
                <w:color w:val="auto"/>
                <w:sz w:val="24"/>
                <w:szCs w:val="24"/>
                <w:highlight w:val="none"/>
              </w:rPr>
              <w:t>网络资产梳理是数据运营的基础，通过网络资产梳理服务可以明确需要监管的网络资产范围。主要包括三个方面。</w:t>
            </w:r>
          </w:p>
          <w:p w14:paraId="7B2B355F">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全面梳理网络资产，包括终端、重要的服务器、核心的业务系统等资产，形成具备资产属性、IP、版本、资产责任人等要素的资产台账，尤其是明确资产所属的业务系统、物理位置、责任人等信息，并且能够对资产从不同的维度进行展示和维护，为后续安全运营工作如安全事件处置、漏洞补丁修复等工作顺利开展提供关键要素信息。</w:t>
            </w:r>
          </w:p>
          <w:p w14:paraId="23C15B47">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（2）资产的梳理需要周期性开展，定期结合主动扫描、人工上报等手段对网络资产进行核查和更新。</w:t>
            </w:r>
          </w:p>
          <w:p w14:paraId="4DDD6888">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（3）结合实际工作业务梳理网络资产的管理流程，形成资产业务管理规范，并在平台使用过程中对网络资产的业务管理流程进行优化。</w:t>
            </w:r>
          </w:p>
          <w:p w14:paraId="116D1BEE">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网络资产梳理服务由</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在建设期完成。</w:t>
            </w:r>
          </w:p>
          <w:p w14:paraId="1E01B875">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平台数据分类分级服务费用。遵循“接入一条数据、定级一条数据”的原则，利用数据分类分级工具和人工评估相结合的方式，通过专业的数据安全团队引导系统主管部门业务人员逐条确定数据安全级别，全面开展数据分类分级工作，形成《数据分类分级表》，针对数据分类分级表设计制定《数据安全访问控制策略》，指导持续的数据安全建设以及数据安全监测、脱敏、加密、验证、校验和权限管理等数据管控措施设计。从业务管理、安全要求等多维度设计数据分类分级规则和方法，制定配套的流程机制。同时完成业务数据分类分级标识，形成分类分级清单，结合数据场景化设计方案，明确不同敏感级别数据的安全管控策略和措施，构建不同业务领域的场景化数据安全管理矩阵，最后输出《数据分类分级方法和工作手册》。</w:t>
            </w:r>
          </w:p>
          <w:p w14:paraId="7705FDFD">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平台数据分类分级服务由项目承建单位在建设期完成。</w:t>
            </w:r>
          </w:p>
          <w:p w14:paraId="5244D0FA">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4.</w:t>
            </w:r>
            <w:r>
              <w:rPr>
                <w:rFonts w:hint="eastAsia" w:asciiTheme="minorEastAsia" w:hAnsiTheme="minorEastAsia" w:eastAsiaTheme="minorEastAsia" w:cstheme="minorEastAsia"/>
                <w:color w:val="auto"/>
                <w:kern w:val="0"/>
                <w:sz w:val="24"/>
                <w:szCs w:val="24"/>
                <w:highlight w:val="none"/>
                <w:lang w:val="en-US" w:eastAsia="zh-CN" w:bidi="ar-SA"/>
              </w:rPr>
              <w:t>平台运行服务费用。平台运行服务主要包括以下内容：</w:t>
            </w:r>
          </w:p>
          <w:p w14:paraId="407D51A2">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（1）数据治理服务</w:t>
            </w:r>
          </w:p>
          <w:p w14:paraId="69263578">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数据治理通过圈定和获得高价值数据，使数据质量满足深度价值挖掘的需要，建立数据之间的深层关联，保障数据的持续更新和安全运营。它贯穿数据采集、数据传输、数据存储、数据处理、数据应用等各环节。</w:t>
            </w:r>
          </w:p>
          <w:p w14:paraId="058A13CF">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在合理的范围内，采集最广泛的相关数据，建立元数据标准体系，实现数据元的标准接入和管理。再利用数据元模型对接入的数据进行模型化处理，统一数据编程、统一业务应用。</w:t>
            </w:r>
          </w:p>
          <w:p w14:paraId="20FDEB79">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数据治理体系建设的目的是将各种结构化、半结构化、非结构化的数据转换为数据元模型中的统一表达数据，进入大数据分析平台中。并在此基础上完成数据的质量管理和数据有效性监测等。</w:t>
            </w:r>
          </w:p>
          <w:p w14:paraId="2E20E8BC">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（2）网络资产信息维护服务</w:t>
            </w:r>
          </w:p>
          <w:p w14:paraId="7A91D40F">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依托平台业务系统的功能，对平台自动化产生以及人工填报的各类资产信息进行校对核验，维护网络资产信息库。</w:t>
            </w:r>
          </w:p>
          <w:p w14:paraId="07D386B5">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（3）数据核验分析服务</w:t>
            </w:r>
          </w:p>
          <w:p w14:paraId="425C2B73">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依托于平台业务系统的功能，对平台产生的各类数据进行核验，核验确认后再进入下一步工作信息流转流程，以降低误报和漏报。</w:t>
            </w:r>
          </w:p>
          <w:p w14:paraId="281E258F">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（4）应急指挥服务</w:t>
            </w:r>
          </w:p>
          <w:p w14:paraId="539F60E5">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结合数据核验分析服务，针对采购人工作需要编制报告等书面材料并跟踪闭环。</w:t>
            </w:r>
          </w:p>
          <w:p w14:paraId="7212C67D">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（5）网络安全服务</w:t>
            </w:r>
          </w:p>
          <w:p w14:paraId="07669BCC">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1)漏洞扫描修复服务：定期（至少每月一次）开展对平台的漏洞扫描，并生成漏洞扫描报告，对漏扫发现的安全漏洞及时进行修复整改。</w:t>
            </w:r>
          </w:p>
          <w:p w14:paraId="72D81618">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2)安全配置核查服务：根据采购人要求开展对平台的安全配置核查，包括核查平台各类硬件、软件配置的安全性，以及账号、密码、权限设置情况等，并对发现的问题进行整改。</w:t>
            </w:r>
          </w:p>
          <w:p w14:paraId="6DCDCD07">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3)重保支撑服务：在重保期间提供支撑服务，包括重保前的各项检查与修复、重保中的应急响应与处置、重保后的总结与改进等。</w:t>
            </w:r>
          </w:p>
          <w:p w14:paraId="5DA2DEAA">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（6）测评整改服务</w:t>
            </w:r>
          </w:p>
          <w:p w14:paraId="26CA0F08">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根据等保测评和商用密码应用测评结果，提供相关的整改服务，确保通过测评。包括但不限于：制定管理制度、设备策略配置、修复漏洞、安装杀毒软件（定期更新病毒库）等工作。</w:t>
            </w:r>
          </w:p>
          <w:p w14:paraId="2C3994B3">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（7）平台运行服务由中标供应商提供，服务期限为项目最终验收合格后3年以上。</w:t>
            </w:r>
          </w:p>
          <w:p w14:paraId="6C97A76D">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bidi="ar-SA"/>
              </w:rPr>
              <w:t>5.</w:t>
            </w:r>
            <w:r>
              <w:rPr>
                <w:rFonts w:hint="eastAsia" w:asciiTheme="minorEastAsia" w:hAnsiTheme="minorEastAsia" w:eastAsiaTheme="minorEastAsia" w:cstheme="minorEastAsia"/>
                <w:color w:val="auto"/>
                <w:kern w:val="0"/>
                <w:sz w:val="24"/>
                <w:szCs w:val="24"/>
                <w:highlight w:val="none"/>
                <w:lang w:val="en-US" w:eastAsia="zh-CN" w:bidi="ar-SA"/>
              </w:rPr>
              <w:t>售后服务费用，至少包括下列事项产生的费用：</w:t>
            </w:r>
          </w:p>
          <w:p w14:paraId="7EDA74E3">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（1）项目最终验收合格后，为信息系统提供为期3年以上质保运维升级服务。</w:t>
            </w:r>
          </w:p>
          <w:p w14:paraId="61B01607">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（2）项目最终验收合格后，为指挥场所装修成果提供3年以上质保服务。</w:t>
            </w:r>
          </w:p>
          <w:p w14:paraId="26033097">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6.根据业务需求，与第三方系统进行集成、对接所产生的相关费用。</w:t>
            </w:r>
          </w:p>
          <w:p w14:paraId="2CE9699E">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7.培训费用</w:t>
            </w:r>
            <w:r>
              <w:rPr>
                <w:rFonts w:hint="eastAsia" w:asciiTheme="minorEastAsia" w:hAnsiTheme="minorEastAsia" w:eastAsiaTheme="minorEastAsia" w:cstheme="minorEastAsia"/>
                <w:color w:val="auto"/>
                <w:kern w:val="2"/>
                <w:sz w:val="24"/>
                <w:szCs w:val="24"/>
                <w:highlight w:val="none"/>
                <w:lang w:val="en-US" w:eastAsia="zh-CN" w:bidi="ar-SA"/>
              </w:rPr>
              <w:t>，包括培训场地费用、培训教材费用等。</w:t>
            </w:r>
          </w:p>
          <w:p w14:paraId="421E7833">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项目初步验收、最终验收所产生的相关费用。</w:t>
            </w:r>
          </w:p>
          <w:p w14:paraId="793091AF">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.招投标服务费用，包括招标代理相关费用、投标所产生的相关费用。</w:t>
            </w:r>
          </w:p>
          <w:p w14:paraId="45DB20EA">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rPr>
              <w:t>其他费用，至少包括信息保密相关费用</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人员</w:t>
            </w:r>
            <w:r>
              <w:rPr>
                <w:rFonts w:hint="eastAsia" w:asciiTheme="minorEastAsia" w:hAnsiTheme="minorEastAsia" w:eastAsiaTheme="minorEastAsia" w:cstheme="minorEastAsia"/>
                <w:b w:val="0"/>
                <w:bCs w:val="0"/>
                <w:color w:val="auto"/>
                <w:sz w:val="24"/>
                <w:szCs w:val="24"/>
                <w:highlight w:val="none"/>
                <w:lang w:eastAsia="zh-CN"/>
              </w:rPr>
              <w:t>驻场</w:t>
            </w:r>
            <w:r>
              <w:rPr>
                <w:rFonts w:hint="eastAsia" w:asciiTheme="minorEastAsia" w:hAnsiTheme="minorEastAsia" w:eastAsiaTheme="minorEastAsia" w:cstheme="minorEastAsia"/>
                <w:b w:val="0"/>
                <w:bCs w:val="0"/>
                <w:color w:val="auto"/>
                <w:sz w:val="24"/>
                <w:szCs w:val="24"/>
                <w:highlight w:val="none"/>
              </w:rPr>
              <w:t>产生的相关费用</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消防检测费</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硬件设备的</w:t>
            </w:r>
            <w:r>
              <w:rPr>
                <w:rFonts w:hint="eastAsia" w:asciiTheme="minorEastAsia" w:hAnsiTheme="minorEastAsia" w:eastAsiaTheme="minorEastAsia" w:cstheme="minorEastAsia"/>
                <w:b w:val="0"/>
                <w:bCs w:val="0"/>
                <w:color w:val="auto"/>
                <w:sz w:val="24"/>
                <w:szCs w:val="24"/>
                <w:highlight w:val="none"/>
                <w:lang w:eastAsia="zh-CN"/>
              </w:rPr>
              <w:t>运输、装卸、安装、调试、培训、技术支持、售后服务</w:t>
            </w:r>
            <w:r>
              <w:rPr>
                <w:rFonts w:hint="eastAsia" w:asciiTheme="minorEastAsia" w:hAnsiTheme="minorEastAsia" w:eastAsiaTheme="minorEastAsia" w:cstheme="minorEastAsia"/>
                <w:b w:val="0"/>
                <w:bCs w:val="0"/>
                <w:color w:val="auto"/>
                <w:sz w:val="24"/>
                <w:szCs w:val="24"/>
                <w:highlight w:val="none"/>
                <w:lang w:val="en-US" w:eastAsia="zh-CN"/>
              </w:rPr>
              <w:t>以及</w:t>
            </w:r>
            <w:r>
              <w:rPr>
                <w:rFonts w:hint="eastAsia" w:asciiTheme="minorEastAsia" w:hAnsiTheme="minorEastAsia" w:eastAsiaTheme="minorEastAsia" w:cstheme="minorEastAsia"/>
                <w:b w:val="0"/>
                <w:bCs w:val="0"/>
                <w:color w:val="auto"/>
                <w:sz w:val="24"/>
                <w:szCs w:val="24"/>
                <w:highlight w:val="none"/>
                <w:lang w:eastAsia="zh-CN"/>
              </w:rPr>
              <w:t>系统更新升级或加工服务过程中产生的一切费用</w:t>
            </w:r>
            <w:r>
              <w:rPr>
                <w:rFonts w:hint="eastAsia" w:asciiTheme="minorEastAsia" w:hAnsiTheme="minorEastAsia" w:eastAsiaTheme="minorEastAsia" w:cstheme="minorEastAsia"/>
                <w:b w:val="0"/>
                <w:bCs w:val="0"/>
                <w:color w:val="auto"/>
                <w:sz w:val="24"/>
                <w:szCs w:val="24"/>
                <w:highlight w:val="none"/>
              </w:rPr>
              <w:t>等。</w:t>
            </w:r>
          </w:p>
          <w:p w14:paraId="3029C357">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（二）报价应包含</w:t>
            </w:r>
            <w:r>
              <w:rPr>
                <w:rFonts w:hint="eastAsia" w:asciiTheme="minorEastAsia" w:hAnsiTheme="minorEastAsia" w:eastAsiaTheme="minorEastAsia" w:cstheme="minorEastAsia"/>
                <w:color w:val="auto"/>
                <w:sz w:val="24"/>
                <w:szCs w:val="24"/>
                <w:highlight w:val="none"/>
                <w:lang w:val="en-US" w:eastAsia="zh-CN"/>
              </w:rPr>
              <w:t>必要的保险费用和</w:t>
            </w:r>
            <w:r>
              <w:rPr>
                <w:rFonts w:hint="eastAsia" w:asciiTheme="minorEastAsia" w:hAnsiTheme="minorEastAsia" w:eastAsiaTheme="minorEastAsia" w:cstheme="minorEastAsia"/>
                <w:color w:val="auto"/>
                <w:sz w:val="24"/>
                <w:szCs w:val="24"/>
                <w:highlight w:val="none"/>
              </w:rPr>
              <w:t>各项税费。</w:t>
            </w:r>
          </w:p>
          <w:p w14:paraId="4F044390">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（三）最终投标报价不能超过采购预算价，否则投标无效。</w:t>
            </w:r>
          </w:p>
        </w:tc>
      </w:tr>
      <w:tr w14:paraId="17D48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679350CD">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五、</w:t>
            </w:r>
            <w:r>
              <w:rPr>
                <w:rFonts w:hint="eastAsia" w:asciiTheme="minorEastAsia" w:hAnsiTheme="minorEastAsia" w:eastAsiaTheme="minorEastAsia" w:cstheme="minorEastAsia"/>
                <w:bCs/>
                <w:color w:val="auto"/>
                <w:sz w:val="24"/>
                <w:szCs w:val="24"/>
                <w:highlight w:val="none"/>
              </w:rPr>
              <w:t>实施要求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7E04A47D">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（一）中标供应商在项目实施前向采购人提供相关技术方案，技术方案</w:t>
            </w:r>
            <w:r>
              <w:rPr>
                <w:rFonts w:hint="eastAsia" w:asciiTheme="minorEastAsia" w:hAnsiTheme="minorEastAsia" w:eastAsiaTheme="minorEastAsia" w:cstheme="minorEastAsia"/>
                <w:color w:val="auto"/>
                <w:sz w:val="24"/>
                <w:szCs w:val="24"/>
                <w:highlight w:val="none"/>
                <w:lang w:val="en-US" w:eastAsia="zh-CN"/>
              </w:rPr>
              <w:t>须</w:t>
            </w:r>
            <w:r>
              <w:rPr>
                <w:rFonts w:hint="eastAsia" w:asciiTheme="minorEastAsia" w:hAnsiTheme="minorEastAsia" w:eastAsiaTheme="minorEastAsia" w:cstheme="minorEastAsia"/>
                <w:color w:val="auto"/>
                <w:sz w:val="24"/>
                <w:szCs w:val="24"/>
                <w:highlight w:val="none"/>
              </w:rPr>
              <w:t>达到采购人要求的项目总体建设目标，条理清晰，内容明确，完备。技术方案通过采购人</w:t>
            </w:r>
            <w:r>
              <w:rPr>
                <w:rFonts w:hint="eastAsia" w:asciiTheme="minorEastAsia" w:hAnsiTheme="minorEastAsia" w:eastAsiaTheme="minorEastAsia" w:cstheme="minorEastAsia"/>
                <w:color w:val="auto"/>
                <w:sz w:val="24"/>
                <w:szCs w:val="24"/>
                <w:highlight w:val="none"/>
                <w:lang w:val="en-US" w:eastAsia="zh-CN"/>
              </w:rPr>
              <w:t>审核</w:t>
            </w:r>
            <w:r>
              <w:rPr>
                <w:rFonts w:hint="eastAsia" w:asciiTheme="minorEastAsia" w:hAnsiTheme="minorEastAsia" w:eastAsiaTheme="minorEastAsia" w:cstheme="minorEastAsia"/>
                <w:color w:val="auto"/>
                <w:sz w:val="24"/>
                <w:szCs w:val="24"/>
                <w:highlight w:val="none"/>
              </w:rPr>
              <w:t>后方可实施。</w:t>
            </w:r>
          </w:p>
          <w:p w14:paraId="1647CDE2">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二）中标供应商供应的设备或者产品属于国家互联网信息办公室、工业和信息化部、公安部、国家认证认可监督管理委员会发布更新的《网络关键设备和网络安全专用产品目录》内设备或者产品的，需通过国家安全认证，并在认证有效期内，认证结果以国家互联网信息办公室、工业和信息化部、公安部、国家认证认可监督管理委员会公布和更新的《网络关键设备和网络安全专用产品安全认证和安全检测结果》为准。</w:t>
            </w:r>
          </w:p>
          <w:p w14:paraId="5470F071">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合同签订</w:t>
            </w:r>
            <w:r>
              <w:rPr>
                <w:rFonts w:hint="eastAsia" w:asciiTheme="minorEastAsia" w:hAnsiTheme="minorEastAsia" w:eastAsiaTheme="minorEastAsia" w:cstheme="minorEastAsia"/>
                <w:color w:val="auto"/>
                <w:sz w:val="24"/>
                <w:szCs w:val="24"/>
                <w:highlight w:val="none"/>
                <w:lang w:eastAsia="zh-CN"/>
              </w:rPr>
              <w:t>后</w:t>
            </w:r>
            <w:r>
              <w:rPr>
                <w:rFonts w:hint="eastAsia" w:asciiTheme="minorEastAsia" w:hAnsiTheme="minorEastAsia" w:eastAsiaTheme="minorEastAsia" w:cstheme="minorEastAsia"/>
                <w:color w:val="auto"/>
                <w:sz w:val="24"/>
                <w:szCs w:val="24"/>
                <w:highlight w:val="none"/>
              </w:rPr>
              <w:t>3个工作日内，中标供应商</w:t>
            </w:r>
            <w:r>
              <w:rPr>
                <w:rFonts w:hint="eastAsia" w:asciiTheme="minorEastAsia" w:hAnsiTheme="minorEastAsia" w:eastAsiaTheme="minorEastAsia" w:cstheme="minorEastAsia"/>
                <w:color w:val="auto"/>
                <w:sz w:val="24"/>
                <w:szCs w:val="24"/>
                <w:highlight w:val="none"/>
                <w:lang w:eastAsia="zh-CN"/>
              </w:rPr>
              <w:t>须派驻</w:t>
            </w:r>
            <w:r>
              <w:rPr>
                <w:rFonts w:hint="eastAsia" w:asciiTheme="minorEastAsia" w:hAnsiTheme="minorEastAsia" w:eastAsiaTheme="minorEastAsia" w:cstheme="minorEastAsia"/>
                <w:color w:val="auto"/>
                <w:sz w:val="24"/>
                <w:szCs w:val="24"/>
                <w:highlight w:val="none"/>
              </w:rPr>
              <w:t>1名项目经理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在采购人指定的工作地点</w:t>
            </w:r>
            <w:r>
              <w:rPr>
                <w:rFonts w:hint="eastAsia" w:asciiTheme="minorEastAsia" w:hAnsiTheme="minorEastAsia" w:eastAsiaTheme="minorEastAsia" w:cstheme="minorEastAsia"/>
                <w:color w:val="auto"/>
                <w:sz w:val="24"/>
                <w:szCs w:val="24"/>
                <w:highlight w:val="none"/>
                <w:lang w:eastAsia="zh-CN"/>
              </w:rPr>
              <w:t>驻场工作，全程参与本项目实施，直至项目最终验收通过；</w:t>
            </w:r>
            <w:r>
              <w:rPr>
                <w:rFonts w:hint="eastAsia" w:asciiTheme="minorEastAsia" w:hAnsiTheme="minorEastAsia" w:eastAsiaTheme="minorEastAsia" w:cstheme="minorEastAsia"/>
                <w:color w:val="auto"/>
                <w:sz w:val="24"/>
                <w:szCs w:val="24"/>
                <w:highlight w:val="none"/>
              </w:rPr>
              <w:t>合同签订</w:t>
            </w:r>
            <w:r>
              <w:rPr>
                <w:rFonts w:hint="eastAsia" w:asciiTheme="minorEastAsia" w:hAnsiTheme="minorEastAsia" w:eastAsiaTheme="minorEastAsia" w:cstheme="minorEastAsia"/>
                <w:color w:val="auto"/>
                <w:sz w:val="24"/>
                <w:szCs w:val="24"/>
                <w:highlight w:val="none"/>
                <w:lang w:eastAsia="zh-CN"/>
              </w:rPr>
              <w:t>后</w:t>
            </w:r>
            <w:r>
              <w:rPr>
                <w:rFonts w:hint="eastAsia" w:asciiTheme="minorEastAsia" w:hAnsiTheme="minorEastAsia" w:eastAsiaTheme="minorEastAsia" w:cstheme="minorEastAsia"/>
                <w:color w:val="auto"/>
                <w:sz w:val="24"/>
                <w:szCs w:val="24"/>
                <w:highlight w:val="none"/>
              </w:rPr>
              <w:t>3个工作日内，中标供应商</w:t>
            </w:r>
            <w:r>
              <w:rPr>
                <w:rFonts w:hint="eastAsia" w:asciiTheme="minorEastAsia" w:hAnsiTheme="minorEastAsia" w:eastAsiaTheme="minorEastAsia" w:cstheme="minorEastAsia"/>
                <w:color w:val="auto"/>
                <w:sz w:val="24"/>
                <w:szCs w:val="24"/>
                <w:highlight w:val="none"/>
                <w:lang w:eastAsia="zh-CN"/>
              </w:rPr>
              <w:t>须</w:t>
            </w:r>
            <w:r>
              <w:rPr>
                <w:rFonts w:hint="eastAsia" w:asciiTheme="minorEastAsia" w:hAnsiTheme="minorEastAsia" w:eastAsiaTheme="minorEastAsia" w:cstheme="minorEastAsia"/>
                <w:color w:val="auto"/>
                <w:sz w:val="24"/>
                <w:szCs w:val="24"/>
                <w:highlight w:val="none"/>
              </w:rPr>
              <w:t>派驻1名项目经理和1名需求调研人员，在采购人指定的工作地点</w:t>
            </w:r>
            <w:r>
              <w:rPr>
                <w:rFonts w:hint="eastAsia" w:asciiTheme="minorEastAsia" w:hAnsiTheme="minorEastAsia" w:eastAsiaTheme="minorEastAsia" w:cstheme="minorEastAsia"/>
                <w:color w:val="auto"/>
                <w:sz w:val="24"/>
                <w:szCs w:val="24"/>
                <w:highlight w:val="none"/>
                <w:lang w:eastAsia="zh-CN"/>
              </w:rPr>
              <w:t>驻场</w:t>
            </w:r>
            <w:r>
              <w:rPr>
                <w:rFonts w:hint="eastAsia" w:asciiTheme="minorEastAsia" w:hAnsiTheme="minorEastAsia" w:eastAsiaTheme="minorEastAsia" w:cstheme="minorEastAsia"/>
                <w:color w:val="auto"/>
                <w:sz w:val="24"/>
                <w:szCs w:val="24"/>
                <w:highlight w:val="none"/>
              </w:rPr>
              <w:t>跟班学习，了解采购人的业务工作需求和工作流程，详细调研项目需求</w:t>
            </w:r>
            <w:r>
              <w:rPr>
                <w:rFonts w:hint="eastAsia" w:asciiTheme="minorEastAsia" w:hAnsiTheme="minorEastAsia" w:eastAsiaTheme="minorEastAsia" w:cstheme="minorEastAsia"/>
                <w:color w:val="auto"/>
                <w:sz w:val="24"/>
                <w:szCs w:val="24"/>
                <w:highlight w:val="none"/>
                <w:lang w:eastAsia="zh-CN"/>
              </w:rPr>
              <w:t>，驻场</w:t>
            </w:r>
            <w:r>
              <w:rPr>
                <w:rFonts w:hint="eastAsia" w:asciiTheme="minorEastAsia" w:hAnsiTheme="minorEastAsia" w:eastAsiaTheme="minorEastAsia" w:cstheme="minorEastAsia"/>
                <w:color w:val="auto"/>
                <w:sz w:val="24"/>
                <w:szCs w:val="24"/>
                <w:highlight w:val="none"/>
              </w:rPr>
              <w:t>工作需持续60个自然日，中标供应商在合同签订之日起40个自然日内编制形成需求调研报告。</w:t>
            </w:r>
          </w:p>
          <w:p w14:paraId="23A5F1E3">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（四）中标供应商在项目实施期间派驻实施人员所涉及的食宿、交通等一切与项目有关的费用自理。</w:t>
            </w:r>
          </w:p>
          <w:p w14:paraId="78CABBA7">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）中标供应商需严格遵守合同所要求的保密条款，如违约，采购人有权追责。</w:t>
            </w:r>
          </w:p>
          <w:p w14:paraId="2B3956B5">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（六）中标供应商须在合同签订之日起</w:t>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t>6个月</w:t>
            </w:r>
            <w:r>
              <w:rPr>
                <w:rFonts w:hint="eastAsia" w:asciiTheme="minorEastAsia" w:hAnsiTheme="minorEastAsia" w:eastAsiaTheme="minorEastAsia" w:cstheme="minorEastAsia"/>
                <w:color w:val="auto"/>
                <w:kern w:val="0"/>
                <w:sz w:val="24"/>
                <w:szCs w:val="24"/>
                <w:highlight w:val="none"/>
                <w:lang w:val="en-US" w:eastAsia="zh-CN" w:bidi="ar-SA"/>
              </w:rPr>
              <w:t>内完成项目相关技术系统建设、部署，达到技术系统试运行要求。</w:t>
            </w:r>
          </w:p>
          <w:p w14:paraId="15C45700">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（七）中标供应商须在合同签订之日起</w:t>
            </w:r>
            <w:r>
              <w:rPr>
                <w:rFonts w:hint="eastAsia" w:asciiTheme="minorEastAsia" w:hAnsiTheme="minorEastAsia" w:eastAsiaTheme="minorEastAsia" w:cstheme="minorEastAsia"/>
                <w:color w:val="auto"/>
                <w:kern w:val="0"/>
                <w:sz w:val="24"/>
                <w:szCs w:val="24"/>
                <w:highlight w:val="none"/>
                <w:shd w:val="clear" w:color="auto" w:fill="auto"/>
                <w:lang w:val="en-US" w:eastAsia="zh-CN" w:bidi="ar-SA"/>
              </w:rPr>
              <w:t>2个月</w:t>
            </w:r>
            <w:r>
              <w:rPr>
                <w:rFonts w:hint="eastAsia" w:asciiTheme="minorEastAsia" w:hAnsiTheme="minorEastAsia" w:eastAsiaTheme="minorEastAsia" w:cstheme="minorEastAsia"/>
                <w:color w:val="auto"/>
                <w:kern w:val="0"/>
                <w:sz w:val="24"/>
                <w:szCs w:val="24"/>
                <w:highlight w:val="none"/>
                <w:lang w:val="en-US" w:eastAsia="zh-CN" w:bidi="ar-SA"/>
              </w:rPr>
              <w:t>内完成指挥场所装修工作。</w:t>
            </w:r>
          </w:p>
          <w:p w14:paraId="0C4827ED">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（八）中标供应商须与第三方系统厂商充分沟通对接，做好系统集成、数据接口对接工作。</w:t>
            </w:r>
          </w:p>
          <w:p w14:paraId="2944A8AB">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color w:val="auto"/>
                <w:kern w:val="0"/>
                <w:sz w:val="24"/>
                <w:szCs w:val="24"/>
                <w:highlight w:val="none"/>
                <w:lang w:val="en-US" w:eastAsia="zh-CN" w:bidi="ar-SA"/>
              </w:rPr>
              <w:t>（九）中标供应商须确保所有配套设备性能满足工作要求。中标供应商须负责软件系统和硬件设备的集成工作。</w:t>
            </w:r>
          </w:p>
          <w:p w14:paraId="4AE2F0C9">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color w:val="auto"/>
                <w:sz w:val="24"/>
                <w:szCs w:val="24"/>
                <w:highlight w:val="none"/>
              </w:rPr>
              <w:t>（十）中标供应商须免费协助采购人进行项目软件著作权申报工作（包括但不限于整理申报工作所需的资料、相关的技术文件及报告），项目相关软件著作权</w:t>
            </w:r>
            <w:r>
              <w:rPr>
                <w:rFonts w:hint="eastAsia" w:asciiTheme="minorEastAsia" w:hAnsiTheme="minorEastAsia" w:eastAsiaTheme="minorEastAsia" w:cstheme="minorEastAsia"/>
                <w:color w:val="auto"/>
                <w:sz w:val="24"/>
                <w:szCs w:val="24"/>
                <w:highlight w:val="none"/>
                <w:lang w:eastAsia="zh-CN"/>
              </w:rPr>
              <w:t>（至少包含项目涉及的</w:t>
            </w:r>
            <w:r>
              <w:rPr>
                <w:rFonts w:hint="eastAsia" w:asciiTheme="minorEastAsia" w:hAnsiTheme="minorEastAsia" w:eastAsiaTheme="minorEastAsia" w:cstheme="minorEastAsia"/>
                <w:color w:val="auto"/>
                <w:sz w:val="24"/>
                <w:szCs w:val="24"/>
                <w:highlight w:val="none"/>
                <w:lang w:val="en-US" w:eastAsia="zh-CN"/>
              </w:rPr>
              <w:t>信息</w:t>
            </w:r>
            <w:r>
              <w:rPr>
                <w:rFonts w:hint="eastAsia" w:asciiTheme="minorEastAsia" w:hAnsiTheme="minorEastAsia" w:eastAsiaTheme="minorEastAsia" w:cstheme="minorEastAsia"/>
                <w:color w:val="auto"/>
                <w:sz w:val="24"/>
                <w:szCs w:val="24"/>
                <w:highlight w:val="none"/>
                <w:lang w:eastAsia="zh-CN"/>
              </w:rPr>
              <w:t>系统</w:t>
            </w:r>
            <w:r>
              <w:rPr>
                <w:rFonts w:hint="eastAsia" w:asciiTheme="minorEastAsia" w:hAnsiTheme="minorEastAsia" w:eastAsiaTheme="minorEastAsia" w:cstheme="minorEastAsia"/>
                <w:color w:val="auto"/>
                <w:sz w:val="24"/>
                <w:szCs w:val="24"/>
                <w:highlight w:val="none"/>
                <w:lang w:val="en-US" w:eastAsia="zh-CN"/>
              </w:rPr>
              <w:t>完整的</w:t>
            </w:r>
            <w:r>
              <w:rPr>
                <w:rFonts w:hint="eastAsia" w:asciiTheme="minorEastAsia" w:hAnsiTheme="minorEastAsia" w:eastAsiaTheme="minorEastAsia" w:cstheme="minorEastAsia"/>
                <w:color w:val="auto"/>
                <w:sz w:val="24"/>
                <w:szCs w:val="24"/>
                <w:highlight w:val="none"/>
                <w:lang w:eastAsia="zh-CN"/>
              </w:rPr>
              <w:t>源代码、项目相关文档等）</w:t>
            </w:r>
            <w:r>
              <w:rPr>
                <w:rFonts w:hint="eastAsia" w:asciiTheme="minorEastAsia" w:hAnsiTheme="minorEastAsia" w:eastAsiaTheme="minorEastAsia" w:cstheme="minorEastAsia"/>
                <w:color w:val="auto"/>
                <w:sz w:val="24"/>
                <w:szCs w:val="24"/>
                <w:highlight w:val="none"/>
              </w:rPr>
              <w:t>、知识产权归采购人所有。</w:t>
            </w:r>
          </w:p>
          <w:p w14:paraId="5E580ED8">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）中标供应商须免费协助采购人进行项目评奖申报工作（包括但不限于整理申报工作所需的资料、相关的技术文件及报告）。</w:t>
            </w:r>
          </w:p>
          <w:p w14:paraId="5D017952">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bCs/>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）中标供应商须免费协助采购人进行项目审计工作（包括但不限于整理审计过程中所需的全部资料、相关的技术文件及报告）。</w:t>
            </w:r>
          </w:p>
          <w:p w14:paraId="4522A7DA">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Cs/>
                <w:color w:val="auto"/>
                <w:kern w:val="0"/>
                <w:sz w:val="24"/>
                <w:szCs w:val="24"/>
                <w:highlight w:val="none"/>
                <w:lang w:val="en-US" w:eastAsia="zh-CN" w:bidi="ar-SA"/>
              </w:rPr>
              <w:t>（十三）实施期间如有人员变动，中标供应商必须书面向采购人申请，经采购人审批许可，替换的人员所具备的资质不得低于原人员的资质，且累计替换人数不得高于总投入项目人数的20%，否则采购人有权终止合同，采购人可依法追究中标供应商相应的法律责任。</w:t>
            </w:r>
          </w:p>
        </w:tc>
      </w:tr>
      <w:tr w14:paraId="17BBA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25AADEAE">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六、</w:t>
            </w:r>
            <w:r>
              <w:rPr>
                <w:rFonts w:hint="eastAsia" w:asciiTheme="minorEastAsia" w:hAnsiTheme="minorEastAsia" w:eastAsiaTheme="minorEastAsia" w:cstheme="minorEastAsia"/>
                <w:bCs/>
                <w:color w:val="auto"/>
                <w:sz w:val="24"/>
                <w:szCs w:val="24"/>
                <w:highlight w:val="none"/>
              </w:rPr>
              <w:t>培训要求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5B61FF04">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bCs/>
                <w:color w:val="auto"/>
                <w:sz w:val="24"/>
                <w:szCs w:val="24"/>
                <w:highlight w:val="none"/>
              </w:rPr>
              <w:t>供应商须与采购人协商，制定完整的培训计划并通过采购人审核后才能实施培训。</w:t>
            </w:r>
          </w:p>
          <w:p w14:paraId="090C92C6">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（二）</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bCs/>
                <w:color w:val="auto"/>
                <w:sz w:val="24"/>
                <w:szCs w:val="24"/>
                <w:highlight w:val="none"/>
              </w:rPr>
              <w:t>供应商须指派相关专家、专业技术人员负责培训工作，提供培训次数不得少于3次。</w:t>
            </w:r>
          </w:p>
          <w:p w14:paraId="6EF110BB">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（三）培训相关费用已包含在采购费用中，</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bCs/>
                <w:color w:val="auto"/>
                <w:sz w:val="24"/>
                <w:szCs w:val="24"/>
                <w:highlight w:val="none"/>
              </w:rPr>
              <w:t>供应商不得另行收取培训费用。</w:t>
            </w:r>
          </w:p>
        </w:tc>
      </w:tr>
      <w:tr w14:paraId="7AB1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0333B73C">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七、</w:t>
            </w:r>
            <w:r>
              <w:rPr>
                <w:rFonts w:hint="eastAsia" w:asciiTheme="minorEastAsia" w:hAnsiTheme="minorEastAsia" w:eastAsiaTheme="minorEastAsia" w:cstheme="minorEastAsia"/>
                <w:color w:val="auto"/>
                <w:sz w:val="24"/>
                <w:szCs w:val="24"/>
                <w:highlight w:val="none"/>
                <w:shd w:val="clear" w:color="auto" w:fill="auto"/>
              </w:rPr>
              <w:t>售后服务要求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7A8B8C13">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w:t>
            </w:r>
            <w:r>
              <w:rPr>
                <w:rFonts w:hint="eastAsia" w:asciiTheme="minorEastAsia" w:hAnsiTheme="minorEastAsia" w:eastAsiaTheme="minorEastAsia" w:cstheme="minorEastAsia"/>
                <w:color w:val="auto"/>
                <w:kern w:val="0"/>
                <w:sz w:val="24"/>
                <w:szCs w:val="24"/>
                <w:highlight w:val="none"/>
                <w:lang w:val="en-US" w:eastAsia="zh-CN" w:bidi="ar-SA"/>
              </w:rPr>
              <w:t>项目最终验收合格后，</w:t>
            </w:r>
            <w:r>
              <w:rPr>
                <w:rFonts w:hint="eastAsia" w:asciiTheme="minorEastAsia" w:hAnsiTheme="minorEastAsia" w:eastAsiaTheme="minorEastAsia" w:cstheme="minorEastAsia"/>
                <w:color w:val="auto"/>
                <w:kern w:val="2"/>
                <w:sz w:val="24"/>
                <w:szCs w:val="24"/>
                <w:highlight w:val="none"/>
                <w:lang w:val="en-US" w:eastAsia="zh-CN" w:bidi="ar-SA"/>
              </w:rPr>
              <w:t>为信息系统提供3年以上质保运维升级服务。</w:t>
            </w:r>
          </w:p>
          <w:p w14:paraId="2613BDA6">
            <w:pPr>
              <w:pageBreakBefore w:val="0"/>
              <w:widowControl w:val="0"/>
              <w:kinsoku/>
              <w:wordWrap/>
              <w:overflowPunct/>
              <w:topLinePunct w:val="0"/>
              <w:autoSpaceDE/>
              <w:autoSpaceDN/>
              <w:bidi w:val="0"/>
              <w:adjustRightInd/>
              <w:snapToGrid/>
              <w:spacing w:after="0" w:line="240" w:lineRule="auto"/>
              <w:ind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w:t>
            </w:r>
            <w:r>
              <w:rPr>
                <w:rFonts w:hint="eastAsia" w:asciiTheme="minorEastAsia" w:hAnsiTheme="minorEastAsia" w:eastAsiaTheme="minorEastAsia" w:cstheme="minorEastAsia"/>
                <w:color w:val="auto"/>
                <w:kern w:val="0"/>
                <w:sz w:val="24"/>
                <w:szCs w:val="24"/>
                <w:highlight w:val="none"/>
                <w:lang w:val="en-US" w:eastAsia="zh-CN" w:bidi="ar-SA"/>
              </w:rPr>
              <w:t>项目最终验收合格后，</w:t>
            </w:r>
            <w:r>
              <w:rPr>
                <w:rFonts w:hint="eastAsia" w:asciiTheme="minorEastAsia" w:hAnsiTheme="minorEastAsia" w:eastAsiaTheme="minorEastAsia" w:cstheme="minorEastAsia"/>
                <w:color w:val="auto"/>
                <w:kern w:val="2"/>
                <w:sz w:val="24"/>
                <w:szCs w:val="24"/>
                <w:highlight w:val="none"/>
                <w:lang w:val="en-US" w:eastAsia="zh-CN" w:bidi="ar-SA"/>
              </w:rPr>
              <w:t>为指挥场所装修成果提供3年以上质保服务。</w:t>
            </w:r>
          </w:p>
          <w:p w14:paraId="2EA85E85">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）出现故障时，中标供应商</w:t>
            </w:r>
            <w:r>
              <w:rPr>
                <w:rFonts w:hint="eastAsia" w:asciiTheme="minorEastAsia" w:hAnsiTheme="minorEastAsia" w:eastAsiaTheme="minorEastAsia" w:cstheme="minorEastAsia"/>
                <w:color w:val="auto"/>
                <w:kern w:val="2"/>
                <w:sz w:val="24"/>
                <w:szCs w:val="24"/>
                <w:highlight w:val="none"/>
                <w:lang w:val="en-US" w:eastAsia="zh-CN"/>
              </w:rPr>
              <w:t>须在1小时内到达现场解决问题，一般性问题须在2小时内解决，复杂问题须在4小时内解决。硬件出现复杂问题如4小时内无法解决，须提供备品备件。</w:t>
            </w:r>
          </w:p>
          <w:p w14:paraId="29347201">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）项目最终验收通过后，中标供应商须至少派驻</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人，在采购人指定的工作地点，对项目所有建设内容提供</w:t>
            </w:r>
            <w:r>
              <w:rPr>
                <w:rFonts w:hint="eastAsia" w:asciiTheme="minorEastAsia" w:hAnsiTheme="minorEastAsia" w:eastAsiaTheme="minorEastAsia" w:cstheme="minorEastAsia"/>
                <w:color w:val="auto"/>
                <w:sz w:val="24"/>
                <w:szCs w:val="24"/>
                <w:highlight w:val="none"/>
                <w:lang w:val="en-US" w:eastAsia="zh-CN"/>
              </w:rPr>
              <w:t>3年以上</w:t>
            </w:r>
            <w:r>
              <w:rPr>
                <w:rFonts w:hint="eastAsia" w:asciiTheme="minorEastAsia" w:hAnsiTheme="minorEastAsia" w:eastAsiaTheme="minorEastAsia" w:cstheme="minorEastAsia"/>
                <w:color w:val="auto"/>
                <w:sz w:val="24"/>
                <w:szCs w:val="24"/>
                <w:highlight w:val="none"/>
                <w:lang w:eastAsia="zh-CN"/>
              </w:rPr>
              <w:t>驻场</w:t>
            </w:r>
            <w:r>
              <w:rPr>
                <w:rFonts w:hint="eastAsia" w:asciiTheme="minorEastAsia" w:hAnsiTheme="minorEastAsia" w:eastAsiaTheme="minorEastAsia" w:cstheme="minorEastAsia"/>
                <w:color w:val="auto"/>
                <w:sz w:val="24"/>
                <w:szCs w:val="24"/>
                <w:highlight w:val="none"/>
                <w:lang w:val="en-US" w:eastAsia="zh-CN"/>
              </w:rPr>
              <w:t>售后</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和平台运行服务</w:t>
            </w:r>
            <w:r>
              <w:rPr>
                <w:rFonts w:hint="eastAsia" w:asciiTheme="minorEastAsia" w:hAnsiTheme="minorEastAsia" w:eastAsiaTheme="minorEastAsia" w:cstheme="minorEastAsia"/>
                <w:color w:val="auto"/>
                <w:sz w:val="24"/>
                <w:szCs w:val="24"/>
                <w:highlight w:val="none"/>
              </w:rPr>
              <w:t>。</w:t>
            </w:r>
          </w:p>
        </w:tc>
      </w:tr>
      <w:tr w14:paraId="24161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5CF961F2">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八、</w:t>
            </w:r>
            <w:r>
              <w:rPr>
                <w:rFonts w:hint="eastAsia" w:asciiTheme="minorEastAsia" w:hAnsiTheme="minorEastAsia" w:eastAsiaTheme="minorEastAsia" w:cstheme="minorEastAsia"/>
                <w:color w:val="auto"/>
                <w:sz w:val="24"/>
                <w:szCs w:val="24"/>
                <w:highlight w:val="none"/>
              </w:rPr>
              <w:t>履约保证要求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2FEE2AFD">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shd w:val="clear" w:color="auto" w:fill="auto"/>
              </w:rPr>
              <w:t>合同签订后10个工作日内，中标供应商需向采购人足额递交履约保证金，履约保证金</w:t>
            </w:r>
            <w:r>
              <w:rPr>
                <w:rFonts w:hint="eastAsia" w:asciiTheme="minorEastAsia" w:hAnsiTheme="minorEastAsia" w:eastAsiaTheme="minorEastAsia" w:cstheme="minorEastAsia"/>
                <w:color w:val="auto"/>
                <w:sz w:val="24"/>
                <w:szCs w:val="24"/>
                <w:highlight w:val="none"/>
                <w:shd w:val="clear" w:color="auto" w:fill="auto"/>
                <w:lang w:val="en-US" w:eastAsia="zh-CN"/>
              </w:rPr>
              <w:t>为</w:t>
            </w:r>
            <w:r>
              <w:rPr>
                <w:rFonts w:hint="eastAsia" w:asciiTheme="minorEastAsia" w:hAnsiTheme="minorEastAsia" w:eastAsiaTheme="minorEastAsia" w:cstheme="minorEastAsia"/>
                <w:color w:val="auto"/>
                <w:sz w:val="24"/>
                <w:szCs w:val="24"/>
                <w:highlight w:val="none"/>
                <w:shd w:val="clear" w:color="auto" w:fill="auto"/>
                <w:lang w:eastAsia="zh-CN"/>
              </w:rPr>
              <w:t>合同总金额</w:t>
            </w:r>
            <w:r>
              <w:rPr>
                <w:rFonts w:hint="eastAsia" w:asciiTheme="minorEastAsia" w:hAnsiTheme="minorEastAsia" w:eastAsiaTheme="minorEastAsia" w:cstheme="minorEastAsia"/>
                <w:color w:val="auto"/>
                <w:sz w:val="24"/>
                <w:szCs w:val="24"/>
                <w:highlight w:val="none"/>
                <w:shd w:val="clear" w:color="auto" w:fill="auto"/>
              </w:rPr>
              <w:t>的</w:t>
            </w:r>
            <w:r>
              <w:rPr>
                <w:rFonts w:hint="eastAsia" w:asciiTheme="minorEastAsia" w:hAnsiTheme="minorEastAsia" w:eastAsiaTheme="minorEastAsia" w:cstheme="minorEastAsia"/>
                <w:color w:val="auto"/>
                <w:sz w:val="24"/>
                <w:szCs w:val="24"/>
                <w:highlight w:val="none"/>
                <w:shd w:val="clear" w:color="auto" w:fill="auto"/>
                <w:lang w:val="en-US" w:eastAsia="zh-CN"/>
              </w:rPr>
              <w:t>5</w:t>
            </w:r>
            <w:r>
              <w:rPr>
                <w:rFonts w:hint="eastAsia" w:asciiTheme="minorEastAsia" w:hAnsiTheme="minorEastAsia" w:eastAsiaTheme="minorEastAsia" w:cstheme="minorEastAsia"/>
                <w:color w:val="auto"/>
                <w:sz w:val="24"/>
                <w:szCs w:val="24"/>
                <w:highlight w:val="none"/>
                <w:shd w:val="clear" w:color="auto" w:fill="auto"/>
              </w:rPr>
              <w:t>%</w:t>
            </w:r>
            <w:r>
              <w:rPr>
                <w:rFonts w:hint="eastAsia" w:asciiTheme="minorEastAsia" w:hAnsiTheme="minorEastAsia" w:eastAsiaTheme="minorEastAsia" w:cstheme="minorEastAsia"/>
                <w:color w:val="auto"/>
                <w:sz w:val="24"/>
                <w:szCs w:val="24"/>
                <w:highlight w:val="none"/>
              </w:rPr>
              <w:t>。中标供应商按照采购人要求，完成所承诺的</w:t>
            </w:r>
            <w:r>
              <w:rPr>
                <w:rFonts w:hint="eastAsia" w:asciiTheme="minorEastAsia" w:hAnsiTheme="minorEastAsia" w:eastAsiaTheme="minorEastAsia" w:cstheme="minorEastAsia"/>
                <w:color w:val="auto"/>
                <w:sz w:val="24"/>
                <w:szCs w:val="24"/>
                <w:highlight w:val="none"/>
                <w:lang w:eastAsia="zh-CN"/>
              </w:rPr>
              <w:t>驻场</w:t>
            </w:r>
            <w:r>
              <w:rPr>
                <w:rFonts w:hint="eastAsia" w:asciiTheme="minorEastAsia" w:hAnsiTheme="minorEastAsia" w:eastAsiaTheme="minorEastAsia" w:cstheme="minorEastAsia"/>
                <w:color w:val="auto"/>
                <w:sz w:val="24"/>
                <w:szCs w:val="24"/>
                <w:highlight w:val="none"/>
                <w:lang w:val="en-US" w:eastAsia="zh-CN"/>
              </w:rPr>
              <w:t>售后</w:t>
            </w:r>
            <w:r>
              <w:rPr>
                <w:rFonts w:hint="eastAsia" w:asciiTheme="minorEastAsia" w:hAnsiTheme="minorEastAsia" w:eastAsiaTheme="minorEastAsia" w:cstheme="minorEastAsia"/>
                <w:color w:val="auto"/>
                <w:sz w:val="24"/>
                <w:szCs w:val="24"/>
                <w:highlight w:val="none"/>
              </w:rPr>
              <w:t>服务</w:t>
            </w:r>
            <w:r>
              <w:rPr>
                <w:rFonts w:hint="eastAsia" w:asciiTheme="minorEastAsia" w:hAnsiTheme="minorEastAsia" w:eastAsiaTheme="minorEastAsia" w:cstheme="minorEastAsia"/>
                <w:color w:val="auto"/>
                <w:sz w:val="24"/>
                <w:szCs w:val="24"/>
                <w:highlight w:val="none"/>
                <w:lang w:val="en-US" w:eastAsia="zh-CN"/>
              </w:rPr>
              <w:t>和平台运行服务</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经</w:t>
            </w:r>
            <w:r>
              <w:rPr>
                <w:rFonts w:hint="eastAsia" w:asciiTheme="minorEastAsia" w:hAnsiTheme="minorEastAsia" w:eastAsiaTheme="minorEastAsia" w:cstheme="minorEastAsia"/>
                <w:color w:val="auto"/>
                <w:sz w:val="24"/>
                <w:szCs w:val="24"/>
                <w:highlight w:val="none"/>
              </w:rPr>
              <w:t>采购人确认后，向采购人提出履约保证金退付申请，采购人履行完必要的审批手续后，向中标供应商退付履约保证金（不计利息）。</w:t>
            </w:r>
          </w:p>
        </w:tc>
      </w:tr>
      <w:tr w14:paraId="3EE23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086B7223">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九、</w:t>
            </w:r>
            <w:r>
              <w:rPr>
                <w:rFonts w:hint="eastAsia" w:asciiTheme="minorEastAsia" w:hAnsiTheme="minorEastAsia" w:eastAsiaTheme="minorEastAsia" w:cstheme="minorEastAsia"/>
                <w:color w:val="auto"/>
                <w:sz w:val="24"/>
                <w:szCs w:val="24"/>
                <w:highlight w:val="none"/>
              </w:rPr>
              <w:t>验收要求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190ADB7D">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项目初步验收和最终验收</w:t>
            </w:r>
            <w:r>
              <w:rPr>
                <w:rFonts w:hint="eastAsia" w:asciiTheme="minorEastAsia" w:hAnsiTheme="minorEastAsia" w:eastAsiaTheme="minorEastAsia" w:cstheme="minorEastAsia"/>
                <w:color w:val="auto"/>
                <w:sz w:val="24"/>
                <w:szCs w:val="24"/>
                <w:highlight w:val="none"/>
                <w:lang w:val="en-US" w:eastAsia="zh-CN"/>
              </w:rPr>
              <w:t>按照《广西壮族自治区政府采购项目履约验收管理办法》以及北海市有关规定执行，</w:t>
            </w:r>
            <w:r>
              <w:rPr>
                <w:rFonts w:hint="eastAsia" w:asciiTheme="minorEastAsia" w:hAnsiTheme="minorEastAsia" w:eastAsiaTheme="minorEastAsia" w:cstheme="minorEastAsia"/>
                <w:color w:val="auto"/>
                <w:sz w:val="24"/>
                <w:szCs w:val="24"/>
                <w:highlight w:val="none"/>
              </w:rPr>
              <w:t>所需相关费用由中标供应商支付。中标供应商</w:t>
            </w:r>
            <w:r>
              <w:rPr>
                <w:rFonts w:hint="eastAsia" w:asciiTheme="minorEastAsia" w:hAnsiTheme="minorEastAsia" w:eastAsiaTheme="minorEastAsia" w:cstheme="minorEastAsia"/>
                <w:color w:val="auto"/>
                <w:sz w:val="24"/>
                <w:szCs w:val="24"/>
                <w:highlight w:val="none"/>
                <w:lang w:val="en-US" w:eastAsia="zh-CN"/>
              </w:rPr>
              <w:t>须</w:t>
            </w:r>
            <w:r>
              <w:rPr>
                <w:rFonts w:hint="eastAsia" w:asciiTheme="minorEastAsia" w:hAnsiTheme="minorEastAsia" w:eastAsiaTheme="minorEastAsia" w:cstheme="minorEastAsia"/>
                <w:color w:val="auto"/>
                <w:sz w:val="24"/>
                <w:szCs w:val="24"/>
                <w:highlight w:val="none"/>
              </w:rPr>
              <w:t>按要求编制相关验收材料，全程参与验收过程</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并在验收会议上形成验收报告。中标供应商须根据验收意见完善相关内容，确保项目通过初步验收和最终验收。</w:t>
            </w:r>
          </w:p>
        </w:tc>
      </w:tr>
      <w:tr w14:paraId="049F0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2" w:hRule="atLeast"/>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1EDBB29C">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十、</w:t>
            </w:r>
            <w:r>
              <w:rPr>
                <w:rFonts w:hint="eastAsia" w:asciiTheme="minorEastAsia" w:hAnsiTheme="minorEastAsia" w:eastAsiaTheme="minorEastAsia" w:cstheme="minorEastAsia"/>
                <w:b/>
                <w:bCs/>
                <w:color w:val="auto"/>
                <w:sz w:val="24"/>
                <w:szCs w:val="24"/>
                <w:highlight w:val="none"/>
              </w:rPr>
              <w:t>装修要求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7944D390">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（一）本项目第2项采购内容“</w:t>
            </w:r>
            <w:r>
              <w:rPr>
                <w:rFonts w:hint="eastAsia" w:asciiTheme="minorEastAsia" w:hAnsiTheme="minorEastAsia" w:eastAsiaTheme="minorEastAsia" w:cstheme="minorEastAsia"/>
                <w:b/>
                <w:bCs/>
                <w:color w:val="auto"/>
                <w:sz w:val="24"/>
                <w:szCs w:val="24"/>
                <w:highlight w:val="none"/>
                <w:lang w:val="en-US" w:eastAsia="zh-CN"/>
              </w:rPr>
              <w:t>指挥场所</w:t>
            </w:r>
            <w:r>
              <w:rPr>
                <w:rFonts w:hint="eastAsia" w:asciiTheme="minorEastAsia" w:hAnsiTheme="minorEastAsia" w:eastAsiaTheme="minorEastAsia" w:cstheme="minorEastAsia"/>
                <w:b/>
                <w:bCs/>
                <w:color w:val="auto"/>
                <w:sz w:val="24"/>
                <w:szCs w:val="24"/>
                <w:highlight w:val="none"/>
              </w:rPr>
              <w:t>装修”允许分包，投标人将项目分包的，应当在投标文件中载明分包承担主体，分包承担主体不得再次分包。</w:t>
            </w:r>
          </w:p>
          <w:p w14:paraId="6BEF29DE">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▲（二）本项目第2项“</w:t>
            </w:r>
            <w:r>
              <w:rPr>
                <w:rFonts w:hint="eastAsia" w:asciiTheme="minorEastAsia" w:hAnsiTheme="minorEastAsia" w:eastAsiaTheme="minorEastAsia" w:cstheme="minorEastAsia"/>
                <w:b/>
                <w:bCs/>
                <w:color w:val="auto"/>
                <w:sz w:val="24"/>
                <w:szCs w:val="24"/>
                <w:highlight w:val="none"/>
                <w:lang w:val="en-US" w:eastAsia="zh-CN"/>
              </w:rPr>
              <w:t>指挥场所</w:t>
            </w:r>
            <w:r>
              <w:rPr>
                <w:rFonts w:hint="eastAsia" w:asciiTheme="minorEastAsia" w:hAnsiTheme="minorEastAsia" w:eastAsiaTheme="minorEastAsia" w:cstheme="minorEastAsia"/>
                <w:b/>
                <w:bCs/>
                <w:color w:val="auto"/>
                <w:sz w:val="24"/>
                <w:szCs w:val="24"/>
                <w:highlight w:val="none"/>
              </w:rPr>
              <w:t>装修”采购内容的承接供应商必须具备建筑装修装饰工程专业承包二级及以上资质或建筑工程施工总承包三级及以上资质，投标文件中提供承接供应商有效的建筑装修装饰工程专业承包二级及以上资质证书复印件或建筑工程施工总承包三级及以上资质证书复印件。投标人将项目分包的，应当在投标文件中提供分包承担主体有效的资质证书复印件。</w:t>
            </w:r>
          </w:p>
        </w:tc>
      </w:tr>
      <w:tr w14:paraId="720AA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27B74759">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val="en-US" w:eastAsia="zh-CN"/>
              </w:rPr>
              <w:t>十一、</w:t>
            </w:r>
            <w:r>
              <w:rPr>
                <w:rFonts w:hint="eastAsia" w:asciiTheme="minorEastAsia" w:hAnsiTheme="minorEastAsia" w:eastAsiaTheme="minorEastAsia" w:cstheme="minorEastAsia"/>
                <w:color w:val="auto"/>
                <w:sz w:val="24"/>
                <w:szCs w:val="24"/>
                <w:highlight w:val="none"/>
                <w:lang w:eastAsia="zh-CN"/>
              </w:rPr>
              <w:t>保密要求</w:t>
            </w:r>
          </w:p>
        </w:tc>
        <w:tc>
          <w:tcPr>
            <w:tcW w:w="3925" w:type="pct"/>
            <w:tcBorders>
              <w:top w:val="single" w:color="auto" w:sz="4" w:space="0"/>
              <w:left w:val="single" w:color="auto" w:sz="4" w:space="0"/>
              <w:bottom w:val="single" w:color="auto" w:sz="4" w:space="0"/>
              <w:right w:val="single" w:color="auto" w:sz="4" w:space="0"/>
            </w:tcBorders>
            <w:noWrap w:val="0"/>
            <w:vAlign w:val="center"/>
          </w:tcPr>
          <w:p w14:paraId="6BC8B9FF">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（一）中标</w:t>
            </w:r>
            <w:r>
              <w:rPr>
                <w:rFonts w:hint="eastAsia" w:asciiTheme="minorEastAsia" w:hAnsiTheme="minorEastAsia" w:eastAsiaTheme="minorEastAsia" w:cstheme="minorEastAsia"/>
                <w:color w:val="auto"/>
                <w:sz w:val="24"/>
                <w:szCs w:val="24"/>
                <w:highlight w:val="none"/>
              </w:rPr>
              <w:t>供应商</w:t>
            </w:r>
            <w:r>
              <w:rPr>
                <w:rFonts w:hint="eastAsia" w:asciiTheme="minorEastAsia" w:hAnsiTheme="minorEastAsia" w:eastAsiaTheme="minorEastAsia" w:cstheme="minorEastAsia"/>
                <w:color w:val="auto"/>
                <w:sz w:val="24"/>
                <w:szCs w:val="24"/>
                <w:highlight w:val="none"/>
                <w:lang w:eastAsia="zh-CN"/>
              </w:rPr>
              <w:t>须</w:t>
            </w:r>
            <w:r>
              <w:rPr>
                <w:rFonts w:hint="eastAsia" w:asciiTheme="minorEastAsia" w:hAnsiTheme="minorEastAsia" w:eastAsiaTheme="minorEastAsia" w:cstheme="minorEastAsia"/>
                <w:color w:val="auto"/>
                <w:sz w:val="24"/>
                <w:szCs w:val="24"/>
                <w:highlight w:val="none"/>
              </w:rPr>
              <w:t>遵守国家相关保密法规，忠实保守国家秘密</w:t>
            </w:r>
            <w:r>
              <w:rPr>
                <w:rFonts w:hint="eastAsia" w:asciiTheme="minorEastAsia" w:hAnsiTheme="minorEastAsia" w:eastAsiaTheme="minorEastAsia" w:cstheme="minorEastAsia"/>
                <w:color w:val="auto"/>
                <w:sz w:val="24"/>
                <w:szCs w:val="24"/>
                <w:highlight w:val="none"/>
                <w:lang w:eastAsia="zh-CN"/>
              </w:rPr>
              <w:t>。</w:t>
            </w:r>
          </w:p>
          <w:p w14:paraId="50D8D847">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保密内容是指：本项目建设的有关信息，包括项目现有和新建项目内容、实施地点及时间等所有与本项目相关的信息，以及在实施过程中产生的口头、图像、书面和其他形式的相关信息。</w:t>
            </w:r>
          </w:p>
          <w:p w14:paraId="6253073C">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（三）中标供应商</w:t>
            </w:r>
            <w:r>
              <w:rPr>
                <w:rFonts w:hint="eastAsia" w:asciiTheme="minorEastAsia" w:hAnsiTheme="minorEastAsia" w:eastAsiaTheme="minorEastAsia" w:cstheme="minorEastAsia"/>
                <w:color w:val="auto"/>
                <w:sz w:val="24"/>
                <w:szCs w:val="24"/>
                <w:highlight w:val="none"/>
              </w:rPr>
              <w:t>在项目建设</w:t>
            </w:r>
            <w:r>
              <w:rPr>
                <w:rFonts w:hint="eastAsia" w:asciiTheme="minorEastAsia" w:hAnsiTheme="minorEastAsia" w:eastAsiaTheme="minorEastAsia" w:cstheme="minorEastAsia"/>
                <w:color w:val="auto"/>
                <w:sz w:val="24"/>
                <w:szCs w:val="24"/>
                <w:highlight w:val="none"/>
                <w:lang w:eastAsia="zh-CN"/>
              </w:rPr>
              <w:t>实施</w:t>
            </w:r>
            <w:r>
              <w:rPr>
                <w:rFonts w:hint="eastAsia" w:asciiTheme="minorEastAsia" w:hAnsiTheme="minorEastAsia" w:eastAsiaTheme="minorEastAsia" w:cstheme="minorEastAsia"/>
                <w:color w:val="auto"/>
                <w:sz w:val="24"/>
                <w:szCs w:val="24"/>
                <w:highlight w:val="none"/>
              </w:rPr>
              <w:t>过程中获悉的所有文件及相关材料仅用于其处理本项目建设及服务内容，不得用作他途</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凡是以直接、间接、口头或书面等形式泄露涉及保密内容的行为均属泄密。</w:t>
            </w:r>
          </w:p>
          <w:p w14:paraId="5741E50E">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在项目建设过程中，</w:t>
            </w:r>
            <w:r>
              <w:rPr>
                <w:rFonts w:hint="eastAsia" w:asciiTheme="minorEastAsia" w:hAnsiTheme="minorEastAsia" w:eastAsiaTheme="minorEastAsia" w:cstheme="minorEastAsia"/>
                <w:color w:val="auto"/>
                <w:sz w:val="24"/>
                <w:szCs w:val="24"/>
                <w:highlight w:val="none"/>
                <w:lang w:eastAsia="zh-CN"/>
              </w:rPr>
              <w:t>中标供应商须</w:t>
            </w:r>
            <w:r>
              <w:rPr>
                <w:rFonts w:hint="eastAsia" w:asciiTheme="minorEastAsia" w:hAnsiTheme="minorEastAsia" w:eastAsiaTheme="minorEastAsia" w:cstheme="minorEastAsia"/>
                <w:color w:val="auto"/>
                <w:sz w:val="24"/>
                <w:szCs w:val="24"/>
                <w:highlight w:val="none"/>
              </w:rPr>
              <w:t>对获悉的所有文件及相关材料承担保密义务，不得擅自记录、复印、拍摄、摘抄、收藏采购人的任何文件资料和信息，不得随意翻阅与工作无关的文件和资料，未经</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书面许可不得泄露给任何第三方。</w:t>
            </w:r>
          </w:p>
          <w:p w14:paraId="5EB5825F">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（五）中标供应商</w:t>
            </w:r>
            <w:r>
              <w:rPr>
                <w:rFonts w:hint="eastAsia" w:asciiTheme="minorEastAsia" w:hAnsiTheme="minorEastAsia" w:eastAsiaTheme="minorEastAsia" w:cstheme="minorEastAsia"/>
                <w:color w:val="auto"/>
                <w:sz w:val="24"/>
                <w:szCs w:val="24"/>
                <w:highlight w:val="none"/>
              </w:rPr>
              <w:t>严禁私自下载、拷贝采购人计算机内的信息资料，不得擅自携带采购人记载工作内容的硬盘、软盘和打印资料外出；严禁将工作中使用计算机储存的敏感内容、内部程序、口令、密码等泄露给无关人员。</w:t>
            </w:r>
          </w:p>
          <w:p w14:paraId="24FA623A">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（六）中标供应商须与本项目实施</w:t>
            </w:r>
            <w:r>
              <w:rPr>
                <w:rFonts w:hint="eastAsia" w:asciiTheme="minorEastAsia" w:hAnsiTheme="minorEastAsia" w:eastAsiaTheme="minorEastAsia" w:cstheme="minorEastAsia"/>
                <w:color w:val="auto"/>
                <w:sz w:val="24"/>
                <w:szCs w:val="24"/>
                <w:highlight w:val="none"/>
              </w:rPr>
              <w:t>人员签订保密协议，</w:t>
            </w:r>
            <w:r>
              <w:rPr>
                <w:rFonts w:hint="eastAsia" w:asciiTheme="minorEastAsia" w:hAnsiTheme="minorEastAsia" w:eastAsiaTheme="minorEastAsia" w:cstheme="minorEastAsia"/>
                <w:color w:val="auto"/>
                <w:sz w:val="24"/>
                <w:szCs w:val="24"/>
                <w:highlight w:val="none"/>
                <w:lang w:eastAsia="zh-CN"/>
              </w:rPr>
              <w:t>对本项目实施</w:t>
            </w:r>
            <w:r>
              <w:rPr>
                <w:rFonts w:hint="eastAsia" w:asciiTheme="minorEastAsia" w:hAnsiTheme="minorEastAsia" w:eastAsiaTheme="minorEastAsia" w:cstheme="minorEastAsia"/>
                <w:color w:val="auto"/>
                <w:sz w:val="24"/>
                <w:szCs w:val="24"/>
                <w:highlight w:val="none"/>
              </w:rPr>
              <w:t>人员培训</w:t>
            </w:r>
            <w:r>
              <w:rPr>
                <w:rFonts w:hint="eastAsia" w:asciiTheme="minorEastAsia" w:hAnsiTheme="minorEastAsia" w:eastAsiaTheme="minorEastAsia" w:cstheme="minorEastAsia"/>
                <w:color w:val="auto"/>
                <w:sz w:val="24"/>
                <w:szCs w:val="24"/>
                <w:highlight w:val="none"/>
                <w:lang w:eastAsia="zh-CN"/>
              </w:rPr>
              <w:t>保密要求、</w:t>
            </w:r>
            <w:r>
              <w:rPr>
                <w:rFonts w:hint="eastAsia" w:asciiTheme="minorEastAsia" w:hAnsiTheme="minorEastAsia" w:eastAsiaTheme="minorEastAsia" w:cstheme="minorEastAsia"/>
                <w:color w:val="auto"/>
                <w:sz w:val="24"/>
                <w:szCs w:val="24"/>
                <w:highlight w:val="none"/>
              </w:rPr>
              <w:t>泄密造成的风险和各种不良后果</w:t>
            </w:r>
            <w:r>
              <w:rPr>
                <w:rFonts w:hint="eastAsia" w:asciiTheme="minorEastAsia" w:hAnsiTheme="minorEastAsia" w:eastAsiaTheme="minorEastAsia" w:cstheme="minorEastAsia"/>
                <w:color w:val="auto"/>
                <w:sz w:val="24"/>
                <w:szCs w:val="24"/>
                <w:highlight w:val="none"/>
                <w:lang w:eastAsia="zh-CN"/>
              </w:rPr>
              <w:t>。</w:t>
            </w:r>
          </w:p>
          <w:p w14:paraId="3F82490C">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（七）中标供应商</w:t>
            </w:r>
            <w:r>
              <w:rPr>
                <w:rFonts w:hint="eastAsia" w:asciiTheme="minorEastAsia" w:hAnsiTheme="minorEastAsia" w:eastAsiaTheme="minorEastAsia" w:cstheme="minorEastAsia"/>
                <w:color w:val="auto"/>
                <w:sz w:val="24"/>
                <w:szCs w:val="24"/>
                <w:highlight w:val="none"/>
              </w:rPr>
              <w:t>不得带领无关人员进入办公场所。</w:t>
            </w:r>
          </w:p>
          <w:p w14:paraId="3B67A3EA">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中标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须无条件配合开展</w:t>
            </w:r>
            <w:r>
              <w:rPr>
                <w:rFonts w:hint="eastAsia" w:asciiTheme="minorEastAsia" w:hAnsiTheme="minorEastAsia" w:eastAsiaTheme="minorEastAsia" w:cstheme="minorEastAsia"/>
                <w:color w:val="auto"/>
                <w:sz w:val="24"/>
                <w:szCs w:val="24"/>
                <w:highlight w:val="none"/>
                <w:lang w:eastAsia="zh-CN"/>
              </w:rPr>
              <w:t>本项目实施</w:t>
            </w:r>
            <w:r>
              <w:rPr>
                <w:rFonts w:hint="eastAsia" w:asciiTheme="minorEastAsia" w:hAnsiTheme="minorEastAsia" w:eastAsiaTheme="minorEastAsia" w:cstheme="minorEastAsia"/>
                <w:color w:val="auto"/>
                <w:sz w:val="24"/>
                <w:szCs w:val="24"/>
                <w:highlight w:val="none"/>
              </w:rPr>
              <w:t>人员岗前审查、保密教育、保密检查工作。必须对项目实施过程中获取的相关信息保密（相关信息包括但不限于本项目），如发生失泄密事件即终止合同，且中标</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不得参与</w:t>
            </w:r>
            <w:r>
              <w:rPr>
                <w:rFonts w:hint="eastAsia" w:asciiTheme="minorEastAsia" w:hAnsiTheme="minorEastAsia" w:eastAsiaTheme="minorEastAsia" w:cstheme="minorEastAsia"/>
                <w:color w:val="auto"/>
                <w:sz w:val="24"/>
                <w:szCs w:val="24"/>
                <w:highlight w:val="none"/>
                <w:lang w:eastAsia="zh-CN"/>
              </w:rPr>
              <w:t>采购人后续</w:t>
            </w:r>
            <w:r>
              <w:rPr>
                <w:rFonts w:hint="eastAsia" w:asciiTheme="minorEastAsia" w:hAnsiTheme="minorEastAsia" w:eastAsiaTheme="minorEastAsia" w:cstheme="minorEastAsia"/>
                <w:color w:val="auto"/>
                <w:sz w:val="24"/>
                <w:szCs w:val="24"/>
                <w:highlight w:val="none"/>
              </w:rPr>
              <w:t>项目投标活动。</w:t>
            </w:r>
          </w:p>
          <w:p w14:paraId="7373B7E5">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（九）上述保密要求</w:t>
            </w:r>
            <w:r>
              <w:rPr>
                <w:rFonts w:hint="eastAsia" w:asciiTheme="minorEastAsia" w:hAnsiTheme="minorEastAsia" w:eastAsiaTheme="minorEastAsia" w:cstheme="minorEastAsia"/>
                <w:color w:val="auto"/>
                <w:sz w:val="24"/>
                <w:szCs w:val="24"/>
                <w:highlight w:val="none"/>
              </w:rPr>
              <w:t>长期有效，不因本</w:t>
            </w:r>
            <w:r>
              <w:rPr>
                <w:rFonts w:hint="eastAsia" w:asciiTheme="minorEastAsia" w:hAnsiTheme="minorEastAsia" w:eastAsiaTheme="minorEastAsia" w:cstheme="minorEastAsia"/>
                <w:color w:val="auto"/>
                <w:sz w:val="24"/>
                <w:szCs w:val="24"/>
                <w:highlight w:val="none"/>
                <w:lang w:eastAsia="zh-CN"/>
              </w:rPr>
              <w:t>项目</w:t>
            </w:r>
            <w:r>
              <w:rPr>
                <w:rFonts w:hint="eastAsia" w:asciiTheme="minorEastAsia" w:hAnsiTheme="minorEastAsia" w:eastAsiaTheme="minorEastAsia" w:cstheme="minorEastAsia"/>
                <w:color w:val="auto"/>
                <w:sz w:val="24"/>
                <w:szCs w:val="24"/>
                <w:highlight w:val="none"/>
              </w:rPr>
              <w:t>合同的终止而终止。</w:t>
            </w:r>
          </w:p>
        </w:tc>
      </w:tr>
      <w:tr w14:paraId="045317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74" w:type="pct"/>
            <w:tcBorders>
              <w:top w:val="single" w:color="auto" w:sz="4" w:space="0"/>
              <w:left w:val="single" w:color="auto" w:sz="4" w:space="0"/>
              <w:bottom w:val="single" w:color="auto" w:sz="4" w:space="0"/>
              <w:right w:val="single" w:color="auto" w:sz="4" w:space="0"/>
            </w:tcBorders>
            <w:noWrap w:val="0"/>
            <w:vAlign w:val="center"/>
          </w:tcPr>
          <w:p w14:paraId="0E2DAC09">
            <w:pPr>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十二、</w:t>
            </w:r>
            <w:r>
              <w:rPr>
                <w:rFonts w:hint="eastAsia" w:asciiTheme="minorEastAsia" w:hAnsiTheme="minorEastAsia" w:eastAsiaTheme="minorEastAsia" w:cstheme="minorEastAsia"/>
                <w:color w:val="auto"/>
                <w:sz w:val="24"/>
                <w:szCs w:val="24"/>
                <w:highlight w:val="none"/>
                <w:lang w:eastAsia="zh-CN"/>
              </w:rPr>
              <w:t>现场考察要求</w:t>
            </w:r>
          </w:p>
        </w:tc>
        <w:tc>
          <w:tcPr>
            <w:tcW w:w="3925" w:type="pct"/>
            <w:tcBorders>
              <w:top w:val="single" w:color="auto" w:sz="4" w:space="0"/>
              <w:left w:val="single" w:color="auto" w:sz="4" w:space="0"/>
              <w:bottom w:val="single" w:color="auto" w:sz="4" w:space="0"/>
              <w:right w:val="single" w:color="auto" w:sz="4" w:space="0"/>
            </w:tcBorders>
            <w:noWrap w:val="0"/>
            <w:vAlign w:val="top"/>
          </w:tcPr>
          <w:p w14:paraId="78588962">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（一）采购人对本项目组织现场考察，投标供应商可按照指定时间到达指定地点了解项目情况，如投标供应商未参加现场考察而导致投标失误由投标供应商自行承担。</w:t>
            </w:r>
          </w:p>
          <w:p w14:paraId="70441927">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（二）投标供应商须持个人有效身份证原件、委托授权书原件及政采云平台获取本项目的证明材料前往参加现场考察。</w:t>
            </w:r>
          </w:p>
          <w:p w14:paraId="19B2A520">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（三）每个投标供应商参加现场考察会的人员不能超过2人。</w:t>
            </w:r>
          </w:p>
          <w:p w14:paraId="49FB56F9">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（四）时间：2025年9月</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eastAsia="zh-CN"/>
              </w:rPr>
              <w:t>日上午9时。</w:t>
            </w:r>
          </w:p>
          <w:p w14:paraId="3A9A94B0">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（五）地点：北海市海城区中山路213号2号楼。</w:t>
            </w:r>
          </w:p>
          <w:p w14:paraId="3C25D85C">
            <w:pPr>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（六）联系人：朱庆丰，联系电话：0779-2021285。</w:t>
            </w:r>
          </w:p>
        </w:tc>
      </w:tr>
    </w:tbl>
    <w:p w14:paraId="6D1C35FE">
      <w:pPr>
        <w:pStyle w:val="79"/>
        <w:ind w:left="0" w:leftChars="0" w:firstLine="0" w:firstLineChars="0"/>
        <w:rPr>
          <w:rFonts w:hint="eastAsia" w:ascii="宋体" w:hAnsi="宋体" w:eastAsia="宋体" w:cs="宋体"/>
          <w:color w:val="auto"/>
          <w:highlight w:val="none"/>
          <w:u w:val="single"/>
        </w:rPr>
      </w:pPr>
    </w:p>
    <w:p w14:paraId="39FB6904">
      <w:pPr>
        <w:pStyle w:val="79"/>
        <w:rPr>
          <w:rFonts w:hint="eastAsia" w:ascii="宋体" w:hAnsi="宋体" w:eastAsia="宋体" w:cs="宋体"/>
          <w:color w:val="auto"/>
          <w:highlight w:val="none"/>
          <w:u w:val="single"/>
        </w:rPr>
      </w:pPr>
    </w:p>
    <w:p w14:paraId="3AF53466">
      <w:pPr>
        <w:pStyle w:val="79"/>
        <w:rPr>
          <w:rFonts w:hint="eastAsia" w:ascii="宋体" w:hAnsi="宋体" w:eastAsia="宋体" w:cs="宋体"/>
          <w:color w:val="auto"/>
          <w:highlight w:val="none"/>
          <w:u w:val="single"/>
        </w:rPr>
        <w:sectPr>
          <w:footerReference r:id="rId7" w:type="first"/>
          <w:footerReference r:id="rId6" w:type="default"/>
          <w:pgSz w:w="11906" w:h="16838"/>
          <w:pgMar w:top="1134" w:right="1134" w:bottom="1134" w:left="1134" w:header="567" w:footer="680" w:gutter="0"/>
          <w:pgNumType w:fmt="decimal" w:start="1"/>
          <w:cols w:space="720" w:num="1"/>
          <w:docGrid w:type="lines" w:linePitch="312" w:charSpace="0"/>
        </w:sectPr>
      </w:pPr>
    </w:p>
    <w:p w14:paraId="4CA02150">
      <w:pPr>
        <w:spacing w:line="360" w:lineRule="auto"/>
        <w:jc w:val="center"/>
        <w:outlineLvl w:val="0"/>
        <w:rPr>
          <w:rFonts w:ascii="宋体" w:hAnsi="宋体" w:cs="宋体"/>
          <w:b/>
          <w:color w:val="auto"/>
          <w:sz w:val="36"/>
          <w:szCs w:val="36"/>
          <w:highlight w:val="none"/>
        </w:rPr>
      </w:pPr>
      <w:bookmarkStart w:id="23" w:name="_Toc176368905"/>
      <w:bookmarkStart w:id="24" w:name="_Toc11298"/>
      <w:r>
        <w:rPr>
          <w:rFonts w:hint="eastAsia" w:ascii="宋体" w:hAnsi="宋体" w:cs="宋体"/>
          <w:b/>
          <w:color w:val="auto"/>
          <w:sz w:val="36"/>
          <w:szCs w:val="36"/>
          <w:highlight w:val="none"/>
        </w:rPr>
        <w:t>第四部分</w:t>
      </w:r>
      <w:bookmarkStart w:id="25" w:name="_Toc184314441"/>
      <w:bookmarkEnd w:id="25"/>
      <w:bookmarkStart w:id="26" w:name="_Toc184312104"/>
      <w:bookmarkEnd w:id="26"/>
      <w:bookmarkStart w:id="27" w:name="_Toc184308100"/>
      <w:bookmarkEnd w:id="27"/>
      <w:bookmarkStart w:id="28" w:name="_Toc184310300"/>
      <w:bookmarkEnd w:id="28"/>
      <w:bookmarkStart w:id="29" w:name="_Toc184313261"/>
      <w:bookmarkEnd w:id="29"/>
      <w:bookmarkStart w:id="30" w:name="_Toc184313290"/>
      <w:bookmarkEnd w:id="30"/>
      <w:bookmarkStart w:id="31" w:name="_Toc184308045"/>
      <w:bookmarkEnd w:id="31"/>
      <w:bookmarkStart w:id="32" w:name="_Toc184313304"/>
      <w:bookmarkEnd w:id="32"/>
      <w:bookmarkStart w:id="33" w:name="_Toc184312115"/>
      <w:bookmarkEnd w:id="33"/>
      <w:bookmarkStart w:id="34" w:name="_Toc184314416"/>
      <w:bookmarkEnd w:id="34"/>
      <w:bookmarkStart w:id="35" w:name="_Toc184313241"/>
      <w:bookmarkEnd w:id="35"/>
      <w:bookmarkStart w:id="36" w:name="_Toc184312123"/>
      <w:bookmarkEnd w:id="36"/>
      <w:bookmarkStart w:id="37" w:name="_Toc184314482"/>
      <w:bookmarkEnd w:id="37"/>
      <w:bookmarkStart w:id="38" w:name="_Toc184312125"/>
      <w:bookmarkEnd w:id="38"/>
      <w:bookmarkStart w:id="39" w:name="_Toc184313297"/>
      <w:bookmarkEnd w:id="39"/>
      <w:bookmarkStart w:id="40" w:name="_Toc184314461"/>
      <w:bookmarkEnd w:id="40"/>
      <w:bookmarkStart w:id="41" w:name="_Toc184310330"/>
      <w:bookmarkEnd w:id="41"/>
      <w:bookmarkStart w:id="42" w:name="_Toc184312114"/>
      <w:bookmarkEnd w:id="42"/>
      <w:bookmarkStart w:id="43" w:name="_Toc184313253"/>
      <w:bookmarkEnd w:id="43"/>
      <w:bookmarkStart w:id="44" w:name="_Toc184314462"/>
      <w:bookmarkEnd w:id="44"/>
      <w:bookmarkStart w:id="45" w:name="_Toc184312137"/>
      <w:bookmarkEnd w:id="45"/>
      <w:bookmarkStart w:id="46" w:name="_Toc184313294"/>
      <w:bookmarkEnd w:id="46"/>
      <w:bookmarkStart w:id="47" w:name="_Toc184312102"/>
      <w:bookmarkEnd w:id="47"/>
      <w:bookmarkStart w:id="48" w:name="_Toc184312101"/>
      <w:bookmarkEnd w:id="48"/>
      <w:bookmarkStart w:id="49" w:name="_Toc184313265"/>
      <w:bookmarkEnd w:id="49"/>
      <w:bookmarkStart w:id="50" w:name="_Toc184308103"/>
      <w:bookmarkEnd w:id="50"/>
      <w:bookmarkStart w:id="51" w:name="_Toc184308054"/>
      <w:bookmarkEnd w:id="51"/>
      <w:bookmarkStart w:id="52" w:name="_Toc184308097"/>
      <w:bookmarkEnd w:id="52"/>
      <w:bookmarkStart w:id="53" w:name="_Toc184313285"/>
      <w:bookmarkEnd w:id="53"/>
      <w:bookmarkStart w:id="54" w:name="_Toc184313239"/>
      <w:bookmarkEnd w:id="54"/>
      <w:bookmarkStart w:id="55" w:name="_Toc184310315"/>
      <w:bookmarkEnd w:id="55"/>
      <w:bookmarkStart w:id="56" w:name="_Toc184314433"/>
      <w:bookmarkEnd w:id="56"/>
      <w:bookmarkStart w:id="57" w:name="_Toc184310309"/>
      <w:bookmarkEnd w:id="57"/>
      <w:bookmarkStart w:id="58" w:name="_Toc184308088"/>
      <w:bookmarkEnd w:id="58"/>
      <w:bookmarkStart w:id="59" w:name="_Toc184314468"/>
      <w:bookmarkEnd w:id="59"/>
      <w:bookmarkStart w:id="60" w:name="_Toc184312098"/>
      <w:bookmarkEnd w:id="60"/>
      <w:bookmarkStart w:id="61" w:name="_Toc184313287"/>
      <w:bookmarkEnd w:id="61"/>
      <w:bookmarkStart w:id="62" w:name="_Toc184310341"/>
      <w:bookmarkEnd w:id="62"/>
      <w:bookmarkStart w:id="63" w:name="_Toc184312096"/>
      <w:bookmarkEnd w:id="63"/>
      <w:bookmarkStart w:id="64" w:name="_Toc184312085"/>
      <w:bookmarkEnd w:id="64"/>
      <w:bookmarkStart w:id="65" w:name="_Toc184310339"/>
      <w:bookmarkEnd w:id="65"/>
      <w:bookmarkStart w:id="66" w:name="_Toc184312081"/>
      <w:bookmarkEnd w:id="66"/>
      <w:bookmarkStart w:id="67" w:name="_Toc184310325"/>
      <w:bookmarkEnd w:id="67"/>
      <w:bookmarkStart w:id="68" w:name="_Toc184314418"/>
      <w:bookmarkEnd w:id="68"/>
      <w:bookmarkStart w:id="69" w:name="_Toc184308044"/>
      <w:bookmarkEnd w:id="69"/>
      <w:bookmarkStart w:id="70" w:name="_Toc184313248"/>
      <w:bookmarkEnd w:id="70"/>
      <w:bookmarkStart w:id="71" w:name="_Toc184308069"/>
      <w:bookmarkEnd w:id="71"/>
      <w:bookmarkStart w:id="72" w:name="_Toc184308065"/>
      <w:bookmarkEnd w:id="72"/>
      <w:bookmarkStart w:id="73" w:name="_Toc184310292"/>
      <w:bookmarkEnd w:id="73"/>
      <w:bookmarkStart w:id="74" w:name="_Toc184308090"/>
      <w:bookmarkEnd w:id="74"/>
      <w:bookmarkStart w:id="75" w:name="_Toc184308091"/>
      <w:bookmarkEnd w:id="75"/>
      <w:bookmarkStart w:id="76" w:name="_Toc184312113"/>
      <w:bookmarkEnd w:id="76"/>
      <w:bookmarkStart w:id="77" w:name="_Toc184313264"/>
      <w:bookmarkEnd w:id="77"/>
      <w:bookmarkStart w:id="78" w:name="_Toc184308051"/>
      <w:bookmarkEnd w:id="78"/>
      <w:bookmarkStart w:id="79" w:name="_Toc184310299"/>
      <w:bookmarkEnd w:id="79"/>
      <w:bookmarkStart w:id="80" w:name="_Toc184313262"/>
      <w:bookmarkEnd w:id="80"/>
      <w:bookmarkStart w:id="81" w:name="_Toc184312076"/>
      <w:bookmarkEnd w:id="81"/>
      <w:bookmarkStart w:id="82" w:name="_Toc184312106"/>
      <w:bookmarkEnd w:id="82"/>
      <w:bookmarkStart w:id="83" w:name="_Toc184314473"/>
      <w:bookmarkEnd w:id="83"/>
      <w:bookmarkStart w:id="84" w:name="_Toc184312116"/>
      <w:bookmarkEnd w:id="84"/>
      <w:bookmarkStart w:id="85" w:name="_Toc184314438"/>
      <w:bookmarkEnd w:id="85"/>
      <w:bookmarkStart w:id="86" w:name="_Toc184312068"/>
      <w:bookmarkEnd w:id="86"/>
      <w:bookmarkStart w:id="87" w:name="_Toc184314479"/>
      <w:bookmarkEnd w:id="87"/>
      <w:bookmarkStart w:id="88" w:name="_Toc184308063"/>
      <w:bookmarkEnd w:id="88"/>
      <w:bookmarkStart w:id="89" w:name="_Toc184308061"/>
      <w:bookmarkEnd w:id="89"/>
      <w:bookmarkStart w:id="90" w:name="_Toc184308037"/>
      <w:bookmarkEnd w:id="90"/>
      <w:bookmarkStart w:id="91" w:name="_Toc184314417"/>
      <w:bookmarkEnd w:id="91"/>
      <w:bookmarkStart w:id="92" w:name="_Toc184314439"/>
      <w:bookmarkEnd w:id="92"/>
      <w:bookmarkStart w:id="93" w:name="_Toc184314412"/>
      <w:bookmarkEnd w:id="93"/>
      <w:bookmarkStart w:id="94" w:name="_Toc184314458"/>
      <w:bookmarkEnd w:id="94"/>
      <w:bookmarkStart w:id="95" w:name="_Toc184313299"/>
      <w:bookmarkEnd w:id="95"/>
      <w:bookmarkStart w:id="96" w:name="_Toc184308070"/>
      <w:bookmarkEnd w:id="96"/>
      <w:bookmarkStart w:id="97" w:name="_Toc184312069"/>
      <w:bookmarkEnd w:id="97"/>
      <w:bookmarkStart w:id="98" w:name="_Toc184314466"/>
      <w:bookmarkEnd w:id="98"/>
      <w:bookmarkStart w:id="99" w:name="_Toc184312122"/>
      <w:bookmarkEnd w:id="99"/>
      <w:bookmarkStart w:id="100" w:name="_Toc184312133"/>
      <w:bookmarkEnd w:id="100"/>
      <w:bookmarkStart w:id="101" w:name="_Toc184308106"/>
      <w:bookmarkEnd w:id="101"/>
      <w:bookmarkStart w:id="102" w:name="_Toc184312111"/>
      <w:bookmarkEnd w:id="102"/>
      <w:bookmarkStart w:id="103" w:name="_Toc184312092"/>
      <w:bookmarkEnd w:id="103"/>
      <w:bookmarkStart w:id="104" w:name="_Toc184314477"/>
      <w:bookmarkEnd w:id="104"/>
      <w:bookmarkStart w:id="105" w:name="_Toc184310296"/>
      <w:bookmarkEnd w:id="105"/>
      <w:bookmarkStart w:id="106" w:name="_Toc184310318"/>
      <w:bookmarkEnd w:id="106"/>
      <w:bookmarkStart w:id="107" w:name="_Toc184310307"/>
      <w:bookmarkEnd w:id="107"/>
      <w:bookmarkStart w:id="108" w:name="_Toc184313238"/>
      <w:bookmarkEnd w:id="108"/>
      <w:bookmarkStart w:id="109" w:name="_Toc184312136"/>
      <w:bookmarkEnd w:id="109"/>
      <w:bookmarkStart w:id="110" w:name="_Toc184314442"/>
      <w:bookmarkEnd w:id="110"/>
      <w:bookmarkStart w:id="111" w:name="_Toc184314446"/>
      <w:bookmarkEnd w:id="111"/>
      <w:bookmarkStart w:id="112" w:name="_Toc184312071"/>
      <w:bookmarkEnd w:id="112"/>
      <w:bookmarkStart w:id="113" w:name="_Toc184310333"/>
      <w:bookmarkEnd w:id="113"/>
      <w:bookmarkStart w:id="114" w:name="_Toc184314434"/>
      <w:bookmarkEnd w:id="114"/>
      <w:bookmarkStart w:id="115" w:name="_Toc184312121"/>
      <w:bookmarkEnd w:id="115"/>
      <w:bookmarkStart w:id="116" w:name="_Toc184308068"/>
      <w:bookmarkEnd w:id="116"/>
      <w:bookmarkStart w:id="117" w:name="_Toc184313263"/>
      <w:bookmarkEnd w:id="117"/>
      <w:bookmarkStart w:id="118" w:name="_Toc184312087"/>
      <w:bookmarkEnd w:id="118"/>
      <w:bookmarkStart w:id="119" w:name="_Toc184313251"/>
      <w:bookmarkEnd w:id="119"/>
      <w:bookmarkStart w:id="120" w:name="_Toc184308082"/>
      <w:bookmarkEnd w:id="120"/>
      <w:bookmarkStart w:id="121" w:name="_Toc184308086"/>
      <w:bookmarkEnd w:id="121"/>
      <w:bookmarkStart w:id="122" w:name="_Toc184314453"/>
      <w:bookmarkEnd w:id="122"/>
      <w:bookmarkStart w:id="123" w:name="_Toc184310276"/>
      <w:bookmarkEnd w:id="123"/>
      <w:bookmarkStart w:id="124" w:name="_Toc184314456"/>
      <w:bookmarkEnd w:id="124"/>
      <w:bookmarkStart w:id="125" w:name="_Toc184314470"/>
      <w:bookmarkEnd w:id="125"/>
      <w:bookmarkStart w:id="126" w:name="_Toc184310289"/>
      <w:bookmarkEnd w:id="126"/>
      <w:bookmarkStart w:id="127" w:name="_Toc184313240"/>
      <w:bookmarkEnd w:id="127"/>
      <w:bookmarkStart w:id="128" w:name="_Toc184313249"/>
      <w:bookmarkEnd w:id="128"/>
      <w:bookmarkStart w:id="129" w:name="_Toc184314463"/>
      <w:bookmarkEnd w:id="129"/>
      <w:bookmarkStart w:id="130" w:name="_Toc184312128"/>
      <w:bookmarkEnd w:id="130"/>
      <w:bookmarkStart w:id="131" w:name="_Toc184314420"/>
      <w:bookmarkEnd w:id="131"/>
      <w:bookmarkStart w:id="132" w:name="_Toc184313301"/>
      <w:bookmarkEnd w:id="132"/>
      <w:bookmarkStart w:id="133" w:name="_Toc184313274"/>
      <w:bookmarkEnd w:id="133"/>
      <w:bookmarkStart w:id="134" w:name="_Toc184314447"/>
      <w:bookmarkEnd w:id="134"/>
      <w:bookmarkStart w:id="135" w:name="_Toc184313272"/>
      <w:bookmarkEnd w:id="135"/>
      <w:bookmarkStart w:id="136" w:name="_Toc184312139"/>
      <w:bookmarkEnd w:id="136"/>
      <w:bookmarkStart w:id="137" w:name="_Toc184310286"/>
      <w:bookmarkEnd w:id="137"/>
      <w:bookmarkStart w:id="138" w:name="_Toc184310297"/>
      <w:bookmarkEnd w:id="138"/>
      <w:bookmarkStart w:id="139" w:name="_Toc184312108"/>
      <w:bookmarkEnd w:id="139"/>
      <w:bookmarkStart w:id="140" w:name="_Toc184310335"/>
      <w:bookmarkEnd w:id="140"/>
      <w:bookmarkStart w:id="141" w:name="_Toc184314459"/>
      <w:bookmarkEnd w:id="141"/>
      <w:bookmarkStart w:id="142" w:name="_Toc184314431"/>
      <w:bookmarkEnd w:id="142"/>
      <w:bookmarkStart w:id="143" w:name="_Toc184310277"/>
      <w:bookmarkEnd w:id="143"/>
      <w:bookmarkStart w:id="144" w:name="_Toc184313245"/>
      <w:bookmarkEnd w:id="144"/>
      <w:bookmarkStart w:id="145" w:name="_Toc184314426"/>
      <w:bookmarkEnd w:id="145"/>
      <w:bookmarkStart w:id="146" w:name="_Toc184308096"/>
      <w:bookmarkEnd w:id="146"/>
      <w:bookmarkStart w:id="147" w:name="_Toc184314454"/>
      <w:bookmarkEnd w:id="147"/>
      <w:bookmarkStart w:id="148" w:name="_Toc184312079"/>
      <w:bookmarkEnd w:id="148"/>
      <w:bookmarkStart w:id="149" w:name="_Toc184313266"/>
      <w:bookmarkEnd w:id="149"/>
      <w:bookmarkStart w:id="150" w:name="_Toc184314410"/>
      <w:bookmarkEnd w:id="150"/>
      <w:bookmarkStart w:id="151" w:name="_Toc184308048"/>
      <w:bookmarkEnd w:id="151"/>
      <w:bookmarkStart w:id="152" w:name="_Toc184313298"/>
      <w:bookmarkEnd w:id="152"/>
      <w:bookmarkStart w:id="153" w:name="_Toc184312135"/>
      <w:bookmarkEnd w:id="153"/>
      <w:bookmarkStart w:id="154" w:name="_Toc184312132"/>
      <w:bookmarkEnd w:id="154"/>
      <w:bookmarkStart w:id="155" w:name="_Toc184312075"/>
      <w:bookmarkEnd w:id="155"/>
      <w:bookmarkStart w:id="156" w:name="_Toc184314413"/>
      <w:bookmarkEnd w:id="156"/>
      <w:bookmarkStart w:id="157" w:name="_Toc184313288"/>
      <w:bookmarkEnd w:id="157"/>
      <w:bookmarkStart w:id="158" w:name="_Toc184313254"/>
      <w:bookmarkEnd w:id="158"/>
      <w:bookmarkStart w:id="159" w:name="_Toc184308087"/>
      <w:bookmarkEnd w:id="159"/>
      <w:bookmarkStart w:id="160" w:name="_Toc184310298"/>
      <w:bookmarkEnd w:id="160"/>
      <w:bookmarkStart w:id="161" w:name="_Toc184313289"/>
      <w:bookmarkEnd w:id="161"/>
      <w:bookmarkStart w:id="162" w:name="_Toc184313242"/>
      <w:bookmarkEnd w:id="162"/>
      <w:bookmarkStart w:id="163" w:name="_Toc184310287"/>
      <w:bookmarkEnd w:id="163"/>
      <w:bookmarkStart w:id="164" w:name="_Toc184312072"/>
      <w:bookmarkEnd w:id="164"/>
      <w:bookmarkStart w:id="165" w:name="_Toc184314449"/>
      <w:bookmarkEnd w:id="165"/>
      <w:bookmarkStart w:id="166" w:name="_Toc184313303"/>
      <w:bookmarkEnd w:id="166"/>
      <w:bookmarkStart w:id="167" w:name="_Toc184308102"/>
      <w:bookmarkEnd w:id="167"/>
      <w:bookmarkStart w:id="168" w:name="_Toc184312109"/>
      <w:bookmarkEnd w:id="168"/>
      <w:bookmarkStart w:id="169" w:name="_Toc184308041"/>
      <w:bookmarkEnd w:id="169"/>
      <w:bookmarkStart w:id="170" w:name="_Toc184310274"/>
      <w:bookmarkEnd w:id="170"/>
      <w:bookmarkStart w:id="171" w:name="_Toc184308083"/>
      <w:bookmarkEnd w:id="171"/>
      <w:bookmarkStart w:id="172" w:name="_Toc184314480"/>
      <w:bookmarkEnd w:id="172"/>
      <w:bookmarkStart w:id="173" w:name="_Toc184310288"/>
      <w:bookmarkEnd w:id="173"/>
      <w:bookmarkStart w:id="174" w:name="_Toc184310308"/>
      <w:bookmarkEnd w:id="174"/>
      <w:bookmarkStart w:id="175" w:name="_Toc184312107"/>
      <w:bookmarkEnd w:id="175"/>
      <w:bookmarkStart w:id="176" w:name="_Toc184308062"/>
      <w:bookmarkEnd w:id="176"/>
      <w:bookmarkStart w:id="177" w:name="_Toc184308040"/>
      <w:bookmarkEnd w:id="177"/>
      <w:bookmarkStart w:id="178" w:name="_Toc184313309"/>
      <w:bookmarkEnd w:id="178"/>
      <w:bookmarkStart w:id="179" w:name="_Toc184310327"/>
      <w:bookmarkEnd w:id="179"/>
      <w:bookmarkStart w:id="180" w:name="_Toc184308094"/>
      <w:bookmarkEnd w:id="180"/>
      <w:bookmarkStart w:id="181" w:name="_Toc184310342"/>
      <w:bookmarkEnd w:id="181"/>
      <w:bookmarkStart w:id="182" w:name="_Toc184308064"/>
      <w:bookmarkEnd w:id="182"/>
      <w:bookmarkStart w:id="183" w:name="_Toc184312095"/>
      <w:bookmarkEnd w:id="183"/>
      <w:bookmarkStart w:id="184" w:name="_Toc184313252"/>
      <w:bookmarkEnd w:id="184"/>
      <w:bookmarkStart w:id="185" w:name="_Toc184312100"/>
      <w:bookmarkEnd w:id="185"/>
      <w:bookmarkStart w:id="186" w:name="_Toc184312070"/>
      <w:bookmarkEnd w:id="186"/>
      <w:bookmarkStart w:id="187" w:name="_Toc184314475"/>
      <w:bookmarkEnd w:id="187"/>
      <w:bookmarkStart w:id="188" w:name="_Toc184310338"/>
      <w:bookmarkEnd w:id="188"/>
      <w:bookmarkStart w:id="189" w:name="_Toc184308047"/>
      <w:bookmarkEnd w:id="189"/>
      <w:bookmarkStart w:id="190" w:name="_Toc184313260"/>
      <w:bookmarkEnd w:id="190"/>
      <w:bookmarkStart w:id="191" w:name="_Toc184310316"/>
      <w:bookmarkEnd w:id="191"/>
      <w:bookmarkStart w:id="192" w:name="_Toc184308060"/>
      <w:bookmarkEnd w:id="192"/>
      <w:bookmarkStart w:id="193" w:name="_Toc184308049"/>
      <w:bookmarkEnd w:id="193"/>
      <w:bookmarkStart w:id="194" w:name="_Toc184313308"/>
      <w:bookmarkEnd w:id="194"/>
      <w:bookmarkStart w:id="195" w:name="_Toc184314432"/>
      <w:bookmarkEnd w:id="195"/>
      <w:bookmarkStart w:id="196" w:name="_Toc184308066"/>
      <w:bookmarkEnd w:id="196"/>
      <w:bookmarkStart w:id="197" w:name="_Toc184308084"/>
      <w:bookmarkEnd w:id="197"/>
      <w:bookmarkStart w:id="198" w:name="_Toc184310290"/>
      <w:bookmarkEnd w:id="198"/>
      <w:bookmarkStart w:id="199" w:name="_Toc184312127"/>
      <w:bookmarkEnd w:id="199"/>
      <w:bookmarkStart w:id="200" w:name="_Toc184313267"/>
      <w:bookmarkEnd w:id="200"/>
      <w:bookmarkStart w:id="201" w:name="_Toc184313291"/>
      <w:bookmarkEnd w:id="201"/>
      <w:bookmarkStart w:id="202" w:name="_Toc184310305"/>
      <w:bookmarkEnd w:id="202"/>
      <w:bookmarkStart w:id="203" w:name="_Toc184308108"/>
      <w:bookmarkEnd w:id="203"/>
      <w:bookmarkStart w:id="204" w:name="_Toc184310343"/>
      <w:bookmarkEnd w:id="204"/>
      <w:bookmarkStart w:id="205" w:name="_Toc184312099"/>
      <w:bookmarkEnd w:id="205"/>
      <w:bookmarkStart w:id="206" w:name="_Toc184308072"/>
      <w:bookmarkEnd w:id="206"/>
      <w:bookmarkStart w:id="207" w:name="_Toc184312103"/>
      <w:bookmarkEnd w:id="207"/>
      <w:bookmarkStart w:id="208" w:name="_Toc184308075"/>
      <w:bookmarkEnd w:id="208"/>
      <w:bookmarkStart w:id="209" w:name="_Toc184310279"/>
      <w:bookmarkEnd w:id="209"/>
      <w:bookmarkStart w:id="210" w:name="_Toc184314444"/>
      <w:bookmarkEnd w:id="210"/>
      <w:bookmarkStart w:id="211" w:name="_Toc184313258"/>
      <w:bookmarkEnd w:id="211"/>
      <w:bookmarkStart w:id="212" w:name="_Toc184308059"/>
      <w:bookmarkEnd w:id="212"/>
      <w:bookmarkStart w:id="213" w:name="_Toc184313296"/>
      <w:bookmarkEnd w:id="213"/>
      <w:bookmarkStart w:id="214" w:name="_Toc184314467"/>
      <w:bookmarkEnd w:id="214"/>
      <w:bookmarkStart w:id="215" w:name="_Toc184310310"/>
      <w:bookmarkEnd w:id="215"/>
      <w:bookmarkStart w:id="216" w:name="_Toc184314425"/>
      <w:bookmarkEnd w:id="216"/>
      <w:bookmarkStart w:id="217" w:name="_Toc184312097"/>
      <w:bookmarkEnd w:id="217"/>
      <w:bookmarkStart w:id="218" w:name="_Toc184308080"/>
      <w:bookmarkEnd w:id="218"/>
      <w:bookmarkStart w:id="219" w:name="_Toc184313282"/>
      <w:bookmarkEnd w:id="219"/>
      <w:bookmarkStart w:id="220" w:name="_Toc184310326"/>
      <w:bookmarkEnd w:id="220"/>
      <w:bookmarkStart w:id="221" w:name="_Toc184313302"/>
      <w:bookmarkEnd w:id="221"/>
      <w:bookmarkStart w:id="222" w:name="_Toc184313281"/>
      <w:bookmarkEnd w:id="222"/>
      <w:bookmarkStart w:id="223" w:name="_Toc184312130"/>
      <w:bookmarkEnd w:id="223"/>
      <w:bookmarkStart w:id="224" w:name="_Toc184313283"/>
      <w:bookmarkEnd w:id="224"/>
      <w:bookmarkStart w:id="225" w:name="_Toc184314476"/>
      <w:bookmarkEnd w:id="225"/>
      <w:bookmarkStart w:id="226" w:name="_Toc184310328"/>
      <w:bookmarkEnd w:id="226"/>
      <w:bookmarkStart w:id="227" w:name="_Toc184314424"/>
      <w:bookmarkEnd w:id="227"/>
      <w:bookmarkStart w:id="228" w:name="_Toc184314451"/>
      <w:bookmarkEnd w:id="228"/>
      <w:bookmarkStart w:id="229" w:name="_Toc184312078"/>
      <w:bookmarkEnd w:id="229"/>
      <w:bookmarkStart w:id="230" w:name="_Toc184312119"/>
      <w:bookmarkEnd w:id="230"/>
      <w:bookmarkStart w:id="231" w:name="_Toc184313295"/>
      <w:bookmarkEnd w:id="231"/>
      <w:bookmarkStart w:id="232" w:name="_Toc184310282"/>
      <w:bookmarkEnd w:id="232"/>
      <w:bookmarkStart w:id="233" w:name="_Toc184313292"/>
      <w:bookmarkEnd w:id="233"/>
      <w:bookmarkStart w:id="234" w:name="_Toc184308104"/>
      <w:bookmarkEnd w:id="234"/>
      <w:bookmarkStart w:id="235" w:name="_Toc184308042"/>
      <w:bookmarkEnd w:id="235"/>
      <w:bookmarkStart w:id="236" w:name="_Toc184313271"/>
      <w:bookmarkEnd w:id="236"/>
      <w:bookmarkStart w:id="237" w:name="_Toc184312117"/>
      <w:bookmarkEnd w:id="237"/>
      <w:bookmarkStart w:id="238" w:name="_Toc184308053"/>
      <w:bookmarkEnd w:id="238"/>
      <w:bookmarkStart w:id="239" w:name="_Toc184308067"/>
      <w:bookmarkEnd w:id="239"/>
      <w:bookmarkStart w:id="240" w:name="_Toc184308107"/>
      <w:bookmarkEnd w:id="240"/>
      <w:bookmarkStart w:id="241" w:name="_Toc184313268"/>
      <w:bookmarkEnd w:id="241"/>
      <w:bookmarkStart w:id="242" w:name="_Toc184310312"/>
      <w:bookmarkEnd w:id="242"/>
      <w:bookmarkStart w:id="243" w:name="_Toc184312126"/>
      <w:bookmarkEnd w:id="243"/>
      <w:bookmarkStart w:id="244" w:name="_Toc184313310"/>
      <w:bookmarkEnd w:id="244"/>
      <w:bookmarkStart w:id="245" w:name="_Toc184314455"/>
      <w:bookmarkEnd w:id="245"/>
      <w:bookmarkStart w:id="246" w:name="_Toc184310344"/>
      <w:bookmarkEnd w:id="246"/>
      <w:bookmarkStart w:id="247" w:name="_Toc184312080"/>
      <w:bookmarkEnd w:id="247"/>
      <w:bookmarkStart w:id="248" w:name="_Toc184312067"/>
      <w:bookmarkEnd w:id="248"/>
      <w:bookmarkStart w:id="249" w:name="_Toc184314471"/>
      <w:bookmarkEnd w:id="249"/>
      <w:bookmarkStart w:id="250" w:name="_Toc184313278"/>
      <w:bookmarkEnd w:id="250"/>
      <w:bookmarkStart w:id="251" w:name="_Toc184308071"/>
      <w:bookmarkEnd w:id="251"/>
      <w:bookmarkStart w:id="252" w:name="_Toc184314472"/>
      <w:bookmarkEnd w:id="252"/>
      <w:bookmarkStart w:id="253" w:name="_Toc184313255"/>
      <w:bookmarkEnd w:id="253"/>
      <w:bookmarkStart w:id="254" w:name="_Toc184310275"/>
      <w:bookmarkEnd w:id="254"/>
      <w:bookmarkStart w:id="255" w:name="_Toc184310293"/>
      <w:bookmarkEnd w:id="255"/>
      <w:bookmarkStart w:id="256" w:name="_Toc184314437"/>
      <w:bookmarkEnd w:id="256"/>
      <w:bookmarkStart w:id="257" w:name="_Toc184312083"/>
      <w:bookmarkEnd w:id="257"/>
      <w:bookmarkStart w:id="258" w:name="_Toc184313305"/>
      <w:bookmarkEnd w:id="258"/>
      <w:bookmarkStart w:id="259" w:name="_Toc184310319"/>
      <w:bookmarkEnd w:id="259"/>
      <w:bookmarkStart w:id="260" w:name="_Toc184308073"/>
      <w:bookmarkEnd w:id="260"/>
      <w:bookmarkStart w:id="261" w:name="_Toc184308098"/>
      <w:bookmarkEnd w:id="261"/>
      <w:bookmarkStart w:id="262" w:name="_Toc184313275"/>
      <w:bookmarkEnd w:id="262"/>
      <w:bookmarkStart w:id="263" w:name="_Toc184308095"/>
      <w:bookmarkEnd w:id="263"/>
      <w:bookmarkStart w:id="264" w:name="_Toc184308079"/>
      <w:bookmarkEnd w:id="264"/>
      <w:bookmarkStart w:id="265" w:name="_Toc184308089"/>
      <w:bookmarkEnd w:id="265"/>
      <w:bookmarkStart w:id="266" w:name="_Toc184310313"/>
      <w:bookmarkEnd w:id="266"/>
      <w:bookmarkStart w:id="267" w:name="_Toc184313246"/>
      <w:bookmarkEnd w:id="267"/>
      <w:bookmarkStart w:id="268" w:name="_Toc184314452"/>
      <w:bookmarkEnd w:id="268"/>
      <w:bookmarkStart w:id="269" w:name="_Toc184310331"/>
      <w:bookmarkEnd w:id="269"/>
      <w:bookmarkStart w:id="270" w:name="_Toc184308052"/>
      <w:bookmarkEnd w:id="270"/>
      <w:bookmarkStart w:id="271" w:name="_Toc184313307"/>
      <w:bookmarkEnd w:id="271"/>
      <w:bookmarkStart w:id="272" w:name="_Toc184310272"/>
      <w:bookmarkEnd w:id="272"/>
      <w:bookmarkStart w:id="273" w:name="_Toc184313256"/>
      <w:bookmarkEnd w:id="273"/>
      <w:bookmarkStart w:id="274" w:name="_Toc184313284"/>
      <w:bookmarkEnd w:id="274"/>
      <w:bookmarkStart w:id="275" w:name="_Toc184314414"/>
      <w:bookmarkEnd w:id="275"/>
      <w:bookmarkStart w:id="276" w:name="_Toc184310302"/>
      <w:bookmarkEnd w:id="276"/>
      <w:bookmarkStart w:id="277" w:name="_Toc184310306"/>
      <w:bookmarkEnd w:id="277"/>
      <w:bookmarkStart w:id="278" w:name="_Toc184313269"/>
      <w:bookmarkEnd w:id="278"/>
      <w:bookmarkStart w:id="279" w:name="_Toc184308036"/>
      <w:bookmarkEnd w:id="279"/>
      <w:bookmarkStart w:id="280" w:name="_Toc184314430"/>
      <w:bookmarkEnd w:id="280"/>
      <w:bookmarkStart w:id="281" w:name="_Toc184312077"/>
      <w:bookmarkEnd w:id="281"/>
      <w:bookmarkStart w:id="282" w:name="_Toc184314478"/>
      <w:bookmarkEnd w:id="282"/>
      <w:bookmarkStart w:id="283" w:name="_Toc184314415"/>
      <w:bookmarkEnd w:id="283"/>
      <w:bookmarkStart w:id="284" w:name="_Toc184308039"/>
      <w:bookmarkEnd w:id="284"/>
      <w:bookmarkStart w:id="285" w:name="_Toc184314411"/>
      <w:bookmarkEnd w:id="285"/>
      <w:bookmarkStart w:id="286" w:name="_Toc184314429"/>
      <w:bookmarkEnd w:id="286"/>
      <w:bookmarkStart w:id="287" w:name="_Toc184308085"/>
      <w:bookmarkEnd w:id="287"/>
      <w:bookmarkStart w:id="288" w:name="_Toc184310323"/>
      <w:bookmarkEnd w:id="288"/>
      <w:bookmarkStart w:id="289" w:name="_Toc184308093"/>
      <w:bookmarkEnd w:id="289"/>
      <w:bookmarkStart w:id="290" w:name="_Toc184314427"/>
      <w:bookmarkEnd w:id="290"/>
      <w:bookmarkStart w:id="291" w:name="_Toc184312138"/>
      <w:bookmarkEnd w:id="291"/>
      <w:bookmarkStart w:id="292" w:name="_Toc184312134"/>
      <w:bookmarkEnd w:id="292"/>
      <w:bookmarkStart w:id="293" w:name="_Toc184314474"/>
      <w:bookmarkEnd w:id="293"/>
      <w:bookmarkStart w:id="294" w:name="_Toc184312093"/>
      <w:bookmarkEnd w:id="294"/>
      <w:bookmarkStart w:id="295" w:name="_Toc184308050"/>
      <w:bookmarkEnd w:id="295"/>
      <w:bookmarkStart w:id="296" w:name="_Toc184310291"/>
      <w:bookmarkEnd w:id="296"/>
      <w:bookmarkStart w:id="297" w:name="_Toc184310332"/>
      <w:bookmarkEnd w:id="297"/>
      <w:bookmarkStart w:id="298" w:name="_Toc184314435"/>
      <w:bookmarkEnd w:id="298"/>
      <w:bookmarkStart w:id="299" w:name="_Toc184313257"/>
      <w:bookmarkEnd w:id="299"/>
      <w:bookmarkStart w:id="300" w:name="_Toc184310324"/>
      <w:bookmarkEnd w:id="300"/>
      <w:bookmarkStart w:id="301" w:name="_Toc184313286"/>
      <w:bookmarkEnd w:id="301"/>
      <w:bookmarkStart w:id="302" w:name="_Toc184314448"/>
      <w:bookmarkEnd w:id="302"/>
      <w:bookmarkStart w:id="303" w:name="_Toc184308046"/>
      <w:bookmarkEnd w:id="303"/>
      <w:bookmarkStart w:id="304" w:name="_Toc184308077"/>
      <w:bookmarkEnd w:id="304"/>
      <w:bookmarkStart w:id="305" w:name="_Toc184310295"/>
      <w:bookmarkEnd w:id="305"/>
      <w:bookmarkStart w:id="306" w:name="_Toc184308081"/>
      <w:bookmarkEnd w:id="306"/>
      <w:bookmarkStart w:id="307" w:name="_Toc184310320"/>
      <w:bookmarkEnd w:id="307"/>
      <w:bookmarkStart w:id="308" w:name="_Toc184310283"/>
      <w:bookmarkEnd w:id="308"/>
      <w:bookmarkStart w:id="309" w:name="_Toc184312090"/>
      <w:bookmarkEnd w:id="309"/>
      <w:bookmarkStart w:id="310" w:name="_Toc184313270"/>
      <w:bookmarkEnd w:id="310"/>
      <w:bookmarkStart w:id="311" w:name="_Toc184308101"/>
      <w:bookmarkEnd w:id="311"/>
      <w:bookmarkStart w:id="312" w:name="_Toc184308038"/>
      <w:bookmarkEnd w:id="312"/>
      <w:bookmarkStart w:id="313" w:name="_Toc184308076"/>
      <w:bookmarkEnd w:id="313"/>
      <w:bookmarkStart w:id="314" w:name="_Toc184310321"/>
      <w:bookmarkEnd w:id="314"/>
      <w:bookmarkStart w:id="315" w:name="_Toc184312129"/>
      <w:bookmarkEnd w:id="315"/>
      <w:bookmarkStart w:id="316" w:name="_Toc184310284"/>
      <w:bookmarkEnd w:id="316"/>
      <w:bookmarkStart w:id="317" w:name="_Toc184312118"/>
      <w:bookmarkEnd w:id="317"/>
      <w:bookmarkStart w:id="318" w:name="_Toc184313244"/>
      <w:bookmarkEnd w:id="318"/>
      <w:bookmarkStart w:id="319" w:name="_Toc184313306"/>
      <w:bookmarkEnd w:id="319"/>
      <w:bookmarkStart w:id="320" w:name="_Toc184312091"/>
      <w:bookmarkEnd w:id="320"/>
      <w:bookmarkStart w:id="321" w:name="_Toc184312088"/>
      <w:bookmarkEnd w:id="321"/>
      <w:bookmarkStart w:id="322" w:name="_Toc184310303"/>
      <w:bookmarkEnd w:id="322"/>
      <w:bookmarkStart w:id="323" w:name="_Toc184314469"/>
      <w:bookmarkEnd w:id="323"/>
      <w:bookmarkStart w:id="324" w:name="_Toc184310273"/>
      <w:bookmarkEnd w:id="324"/>
      <w:bookmarkStart w:id="325" w:name="_Toc184314419"/>
      <w:bookmarkEnd w:id="325"/>
      <w:bookmarkStart w:id="326" w:name="_Toc184313247"/>
      <w:bookmarkEnd w:id="326"/>
      <w:bookmarkStart w:id="327" w:name="_Toc184312112"/>
      <w:bookmarkEnd w:id="327"/>
      <w:bookmarkStart w:id="328" w:name="_Toc184312086"/>
      <w:bookmarkEnd w:id="328"/>
      <w:bookmarkStart w:id="329" w:name="_Toc184312131"/>
      <w:bookmarkEnd w:id="329"/>
      <w:bookmarkStart w:id="330" w:name="_Toc184310336"/>
      <w:bookmarkEnd w:id="330"/>
      <w:bookmarkStart w:id="331" w:name="_Toc184310314"/>
      <w:bookmarkEnd w:id="331"/>
      <w:bookmarkStart w:id="332" w:name="_Toc184310285"/>
      <w:bookmarkEnd w:id="332"/>
      <w:bookmarkStart w:id="333" w:name="_Toc184314423"/>
      <w:bookmarkEnd w:id="333"/>
      <w:bookmarkStart w:id="334" w:name="_Toc184310340"/>
      <w:bookmarkEnd w:id="334"/>
      <w:bookmarkStart w:id="335" w:name="_Toc184314421"/>
      <w:bookmarkEnd w:id="335"/>
      <w:bookmarkStart w:id="336" w:name="_Toc184310280"/>
      <w:bookmarkEnd w:id="336"/>
      <w:bookmarkStart w:id="337" w:name="_Toc184312124"/>
      <w:bookmarkEnd w:id="337"/>
      <w:bookmarkStart w:id="338" w:name="_Toc184310281"/>
      <w:bookmarkEnd w:id="338"/>
      <w:bookmarkStart w:id="339" w:name="_Toc184312084"/>
      <w:bookmarkEnd w:id="339"/>
      <w:bookmarkStart w:id="340" w:name="_Toc184314464"/>
      <w:bookmarkEnd w:id="340"/>
      <w:bookmarkStart w:id="341" w:name="_Toc184313276"/>
      <w:bookmarkEnd w:id="341"/>
      <w:bookmarkStart w:id="342" w:name="_Toc184314481"/>
      <w:bookmarkEnd w:id="342"/>
      <w:bookmarkStart w:id="343" w:name="_Toc184312089"/>
      <w:bookmarkEnd w:id="343"/>
      <w:bookmarkStart w:id="344" w:name="_Toc184313277"/>
      <w:bookmarkEnd w:id="344"/>
      <w:bookmarkStart w:id="345" w:name="_Toc184314465"/>
      <w:bookmarkEnd w:id="345"/>
      <w:bookmarkStart w:id="346" w:name="_Toc184310317"/>
      <w:bookmarkEnd w:id="346"/>
      <w:bookmarkStart w:id="347" w:name="_Toc184314443"/>
      <w:bookmarkEnd w:id="347"/>
      <w:bookmarkStart w:id="348" w:name="_Toc184308074"/>
      <w:bookmarkEnd w:id="348"/>
      <w:bookmarkStart w:id="349" w:name="_Toc184310334"/>
      <w:bookmarkEnd w:id="349"/>
      <w:bookmarkStart w:id="350" w:name="_Toc184310322"/>
      <w:bookmarkEnd w:id="350"/>
      <w:bookmarkStart w:id="351" w:name="_Toc184308058"/>
      <w:bookmarkEnd w:id="351"/>
      <w:bookmarkStart w:id="352" w:name="_Toc184308078"/>
      <w:bookmarkEnd w:id="352"/>
      <w:bookmarkStart w:id="353" w:name="_Toc184308099"/>
      <w:bookmarkEnd w:id="353"/>
      <w:bookmarkStart w:id="354" w:name="_Toc184310301"/>
      <w:bookmarkEnd w:id="354"/>
      <w:bookmarkStart w:id="355" w:name="_Toc184308043"/>
      <w:bookmarkEnd w:id="355"/>
      <w:bookmarkStart w:id="356" w:name="_Toc184314422"/>
      <w:bookmarkEnd w:id="356"/>
      <w:bookmarkStart w:id="357" w:name="_Toc184310304"/>
      <w:bookmarkEnd w:id="357"/>
      <w:bookmarkStart w:id="358" w:name="_Toc184313250"/>
      <w:bookmarkEnd w:id="358"/>
      <w:bookmarkStart w:id="359" w:name="_Toc184310337"/>
      <w:bookmarkEnd w:id="359"/>
      <w:bookmarkStart w:id="360" w:name="_Toc184308057"/>
      <w:bookmarkEnd w:id="360"/>
      <w:bookmarkStart w:id="361" w:name="_Toc184314460"/>
      <w:bookmarkEnd w:id="361"/>
      <w:bookmarkStart w:id="362" w:name="_Toc184313279"/>
      <w:bookmarkEnd w:id="362"/>
      <w:bookmarkStart w:id="363" w:name="_Toc184313273"/>
      <w:bookmarkEnd w:id="363"/>
      <w:bookmarkStart w:id="364" w:name="_Toc184312094"/>
      <w:bookmarkEnd w:id="364"/>
      <w:bookmarkStart w:id="365" w:name="_Toc184310329"/>
      <w:bookmarkEnd w:id="365"/>
      <w:bookmarkStart w:id="366" w:name="_Toc184313293"/>
      <w:bookmarkEnd w:id="366"/>
      <w:bookmarkStart w:id="367" w:name="_Toc184313280"/>
      <w:bookmarkEnd w:id="367"/>
      <w:bookmarkStart w:id="368" w:name="_Toc184310294"/>
      <w:bookmarkEnd w:id="368"/>
      <w:bookmarkStart w:id="369" w:name="_Toc184308105"/>
      <w:bookmarkEnd w:id="369"/>
      <w:bookmarkStart w:id="370" w:name="_Toc184312074"/>
      <w:bookmarkEnd w:id="370"/>
      <w:bookmarkStart w:id="371" w:name="_Toc184314457"/>
      <w:bookmarkEnd w:id="371"/>
      <w:bookmarkStart w:id="372" w:name="_Toc184308092"/>
      <w:bookmarkEnd w:id="372"/>
      <w:bookmarkStart w:id="373" w:name="_Toc184314428"/>
      <w:bookmarkEnd w:id="373"/>
      <w:bookmarkStart w:id="374" w:name="_Toc184314436"/>
      <w:bookmarkEnd w:id="374"/>
      <w:bookmarkStart w:id="375" w:name="_Toc184312110"/>
      <w:bookmarkEnd w:id="375"/>
      <w:bookmarkStart w:id="376" w:name="_Toc184314440"/>
      <w:bookmarkEnd w:id="376"/>
      <w:bookmarkStart w:id="377" w:name="_Toc184312105"/>
      <w:bookmarkEnd w:id="377"/>
      <w:bookmarkStart w:id="378" w:name="_Toc184310311"/>
      <w:bookmarkEnd w:id="378"/>
      <w:bookmarkStart w:id="379" w:name="_Toc184308056"/>
      <w:bookmarkEnd w:id="379"/>
      <w:bookmarkStart w:id="380" w:name="_Toc184310278"/>
      <w:bookmarkEnd w:id="380"/>
      <w:bookmarkStart w:id="381" w:name="_Toc184308055"/>
      <w:bookmarkEnd w:id="381"/>
      <w:bookmarkStart w:id="382" w:name="_Toc184312120"/>
      <w:bookmarkEnd w:id="382"/>
      <w:bookmarkStart w:id="383" w:name="_Toc184313259"/>
      <w:bookmarkEnd w:id="383"/>
      <w:bookmarkStart w:id="384" w:name="_Toc184312082"/>
      <w:bookmarkEnd w:id="384"/>
      <w:bookmarkStart w:id="385" w:name="_Toc184314445"/>
      <w:bookmarkEnd w:id="385"/>
      <w:bookmarkStart w:id="386" w:name="_Toc184313243"/>
      <w:bookmarkEnd w:id="386"/>
      <w:bookmarkStart w:id="387" w:name="_Toc184313300"/>
      <w:bookmarkEnd w:id="387"/>
      <w:bookmarkStart w:id="388" w:name="_Toc184314450"/>
      <w:bookmarkEnd w:id="388"/>
      <w:bookmarkStart w:id="389" w:name="_Toc184312073"/>
      <w:bookmarkEnd w:id="389"/>
      <w:r>
        <w:rPr>
          <w:rFonts w:hint="eastAsia" w:ascii="宋体" w:hAnsi="宋体" w:cs="宋体"/>
          <w:b/>
          <w:color w:val="auto"/>
          <w:sz w:val="36"/>
          <w:szCs w:val="36"/>
          <w:highlight w:val="none"/>
        </w:rPr>
        <w:t xml:space="preserve"> 评标办法</w:t>
      </w:r>
      <w:bookmarkEnd w:id="23"/>
      <w:bookmarkEnd w:id="24"/>
    </w:p>
    <w:p w14:paraId="37DC1050">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6474BE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outlineLvl w:val="1"/>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1.</w:t>
      </w:r>
      <w:r>
        <w:rPr>
          <w:rFonts w:hint="eastAsia" w:asciiTheme="minorEastAsia" w:hAnsiTheme="minorEastAsia" w:eastAsiaTheme="minorEastAsia"/>
          <w:b/>
          <w:color w:val="auto"/>
          <w:sz w:val="24"/>
          <w:szCs w:val="24"/>
          <w:highlight w:val="none"/>
        </w:rPr>
        <w:t>价格分</w:t>
      </w:r>
      <w:r>
        <w:rPr>
          <w:rFonts w:hint="eastAsia" w:asciiTheme="minorEastAsia" w:hAnsiTheme="minorEastAsia" w:eastAsiaTheme="minorEastAsia"/>
          <w:b/>
          <w:color w:val="auto"/>
          <w:sz w:val="24"/>
          <w:szCs w:val="24"/>
          <w:highlight w:val="none"/>
          <w:lang w:eastAsia="zh-CN"/>
        </w:rPr>
        <w:t>：</w:t>
      </w:r>
      <w:r>
        <w:rPr>
          <w:rFonts w:hint="eastAsia" w:asciiTheme="minorEastAsia" w:hAnsiTheme="minorEastAsia" w:eastAsiaTheme="minorEastAsia"/>
          <w:b/>
          <w:color w:val="auto"/>
          <w:sz w:val="24"/>
          <w:szCs w:val="24"/>
          <w:highlight w:val="none"/>
          <w:lang w:val="en-US" w:eastAsia="zh-CN"/>
        </w:rPr>
        <w:t>满分10</w:t>
      </w:r>
      <w:r>
        <w:rPr>
          <w:rFonts w:hint="eastAsia" w:asciiTheme="minorEastAsia" w:hAnsiTheme="minorEastAsia" w:eastAsiaTheme="minorEastAsia"/>
          <w:b/>
          <w:color w:val="auto"/>
          <w:sz w:val="24"/>
          <w:szCs w:val="24"/>
          <w:highlight w:val="none"/>
        </w:rPr>
        <w:t>分</w:t>
      </w:r>
    </w:p>
    <w:p w14:paraId="7001CA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（1）评标报价为投标人的投标报价进行政策性扣除后的价格，评标报价只是作为评标时使用。最终中标人的中标金额等于投标报价。</w:t>
      </w:r>
    </w:p>
    <w:p w14:paraId="6AC2E1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2）按照《广西壮族自治区财政厅关于进一步发挥政府采购政策功能促进企业发展的通知》（桂财采〔2022〕30号）的规定，投标的全部产品按政策文件要求认定为小型和微型企业产品的（提供《中小企业声明函》），对投标价给予20%的扣除，扣除后的价格为评标价，即评标价=投标价×（1-20%）；除上述情况外，评标价=投标价。</w:t>
      </w:r>
    </w:p>
    <w:p w14:paraId="03B841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2A0AD7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8A6A1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（5）政策性扣除计算方法。</w:t>
      </w:r>
    </w:p>
    <w:p w14:paraId="612554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outlineLvl w:val="1"/>
        <w:rPr>
          <w:rFonts w:hint="eastAsia" w:asciiTheme="minorEastAsia" w:hAnsiTheme="minorEastAsia" w:eastAsiaTheme="minorEastAsia"/>
          <w:b w:val="0"/>
          <w:bCs/>
          <w:color w:val="auto"/>
          <w:sz w:val="24"/>
          <w:szCs w:val="24"/>
          <w:highlight w:val="none"/>
        </w:rPr>
      </w:pPr>
      <w:r>
        <w:rPr>
          <w:rFonts w:hint="eastAsia" w:asciiTheme="minorEastAsia" w:hAnsiTheme="minorEastAsia" w:eastAsiaTheme="minorEastAsia"/>
          <w:b w:val="0"/>
          <w:bCs/>
          <w:color w:val="auto"/>
          <w:sz w:val="24"/>
          <w:szCs w:val="24"/>
          <w:highlight w:val="none"/>
        </w:rPr>
        <w:t>投标人被评定为监狱企业或者残疾人福利性单位或者小型和微型企业且其所投标全部产品为小型和微型企业产品的，该投标人的投标报价给予20%的扣除，扣除后的价格为评标报价，即评标报价=投标报价×（1-20%）；除上述情况外，评标报价=投标报价。</w:t>
      </w:r>
    </w:p>
    <w:p w14:paraId="06CE519E">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6</w:t>
      </w:r>
      <w:r>
        <w:rPr>
          <w:rFonts w:hint="eastAsia" w:asciiTheme="minorEastAsia" w:hAnsiTheme="minorEastAsia" w:eastAsiaTheme="minorEastAsia"/>
          <w:color w:val="auto"/>
          <w:sz w:val="24"/>
          <w:szCs w:val="24"/>
          <w:highlight w:val="none"/>
        </w:rPr>
        <w:t>）以满足招标文件要求且最后报价最低的投标人的价格为投标基准价，其投标人的报价分为最高分</w:t>
      </w:r>
      <w:r>
        <w:rPr>
          <w:rFonts w:asciiTheme="minorEastAsia" w:hAnsiTheme="minorEastAsia" w:eastAsiaTheme="minorEastAsia"/>
          <w:color w:val="auto"/>
          <w:sz w:val="24"/>
          <w:szCs w:val="24"/>
          <w:highlight w:val="none"/>
        </w:rPr>
        <w:t>30</w:t>
      </w:r>
      <w:r>
        <w:rPr>
          <w:rFonts w:hint="eastAsia" w:asciiTheme="minorEastAsia" w:hAnsiTheme="minorEastAsia" w:eastAsiaTheme="minorEastAsia"/>
          <w:color w:val="auto"/>
          <w:sz w:val="24"/>
          <w:szCs w:val="24"/>
          <w:highlight w:val="none"/>
        </w:rPr>
        <w:t>分；</w:t>
      </w:r>
    </w:p>
    <w:p w14:paraId="6ABF58EE">
      <w:pPr>
        <w:keepNext w:val="0"/>
        <w:keepLines w:val="0"/>
        <w:pageBreakBefore w:val="0"/>
        <w:kinsoku/>
        <w:wordWrap/>
        <w:overflowPunct/>
        <w:topLinePunct w:val="0"/>
        <w:bidi w:val="0"/>
        <w:adjustRightInd w:val="0"/>
        <w:snapToGrid w:val="0"/>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7</w:t>
      </w:r>
      <w:r>
        <w:rPr>
          <w:rFonts w:hint="eastAsia" w:asciiTheme="minorEastAsia" w:hAnsiTheme="minorEastAsia" w:eastAsiaTheme="minorEastAsia"/>
          <w:color w:val="auto"/>
          <w:sz w:val="24"/>
          <w:szCs w:val="24"/>
          <w:highlight w:val="none"/>
        </w:rPr>
        <w:t>）某投标人的价格分计算公式：</w:t>
      </w:r>
    </w:p>
    <w:p w14:paraId="2C8FF4FC">
      <w:pPr>
        <w:keepNext w:val="0"/>
        <w:keepLines w:val="0"/>
        <w:pageBreakBefore w:val="0"/>
        <w:kinsoku/>
        <w:wordWrap/>
        <w:overflowPunct/>
        <w:topLinePunct w:val="0"/>
        <w:bidi w:val="0"/>
        <w:adjustRightInd w:val="0"/>
        <w:snapToGrid w:val="0"/>
        <w:ind w:firstLine="3120" w:firstLineChars="13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最低投标人评标报价金额</w:t>
      </w:r>
      <w:r>
        <w:rPr>
          <w:rFonts w:asciiTheme="minorEastAsia" w:hAnsiTheme="minorEastAsia" w:eastAsiaTheme="minorEastAsia"/>
          <w:color w:val="auto"/>
          <w:sz w:val="24"/>
          <w:szCs w:val="24"/>
          <w:highlight w:val="none"/>
        </w:rPr>
        <w:t xml:space="preserve"> </w:t>
      </w:r>
    </w:p>
    <w:p w14:paraId="2BBEF1AE">
      <w:pPr>
        <w:keepNext w:val="0"/>
        <w:keepLines w:val="0"/>
        <w:pageBreakBefore w:val="0"/>
        <w:kinsoku/>
        <w:wordWrap/>
        <w:overflowPunct/>
        <w:topLinePunct w:val="0"/>
        <w:bidi w:val="0"/>
        <w:adjustRightInd w:val="0"/>
        <w:snapToGrid w:val="0"/>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某投标人价格分</w:t>
      </w:r>
      <w:r>
        <w:rPr>
          <w:rFonts w:asciiTheme="minorEastAsia" w:hAnsiTheme="minorEastAsia" w:eastAsiaTheme="minorEastAsia"/>
          <w:color w:val="auto"/>
          <w:sz w:val="24"/>
          <w:szCs w:val="24"/>
          <w:highlight w:val="none"/>
        </w:rPr>
        <w:t xml:space="preserve"> =   </w:t>
      </w:r>
      <w:r>
        <w:rPr>
          <w:rFonts w:asciiTheme="minorEastAsia" w:hAnsiTheme="minorEastAsia" w:eastAsiaTheme="minorEastAsia"/>
          <w:color w:val="auto"/>
          <w:sz w:val="24"/>
          <w:szCs w:val="24"/>
          <w:highlight w:val="none"/>
        </w:rPr>
        <w:drawing>
          <wp:inline distT="0" distB="0" distL="0" distR="0">
            <wp:extent cx="1981835" cy="20955"/>
            <wp:effectExtent l="0" t="0" r="0" b="0"/>
            <wp:docPr id="1" name="图片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wps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981835" cy="20955"/>
                    </a:xfrm>
                    <a:prstGeom prst="rect">
                      <a:avLst/>
                    </a:prstGeom>
                    <a:noFill/>
                    <a:ln>
                      <a:noFill/>
                    </a:ln>
                  </pic:spPr>
                </pic:pic>
              </a:graphicData>
            </a:graphic>
          </wp:inline>
        </w:drawing>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10</w:t>
      </w:r>
      <w:r>
        <w:rPr>
          <w:rFonts w:hint="eastAsia" w:asciiTheme="minorEastAsia" w:hAnsiTheme="minorEastAsia" w:eastAsiaTheme="minorEastAsia"/>
          <w:color w:val="auto"/>
          <w:sz w:val="24"/>
          <w:szCs w:val="24"/>
          <w:highlight w:val="none"/>
        </w:rPr>
        <w:t>分</w:t>
      </w:r>
    </w:p>
    <w:p w14:paraId="2D54D94E">
      <w:pPr>
        <w:keepNext w:val="0"/>
        <w:keepLines w:val="0"/>
        <w:pageBreakBefore w:val="0"/>
        <w:kinsoku/>
        <w:wordWrap/>
        <w:overflowPunct/>
        <w:topLinePunct w:val="0"/>
        <w:bidi w:val="0"/>
        <w:adjustRightInd w:val="0"/>
        <w:snapToGrid w:val="0"/>
        <w:ind w:firstLine="480" w:firstLineChars="200"/>
        <w:textAlignment w:val="auto"/>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某投标人评标报价金额</w:t>
      </w:r>
      <w:r>
        <w:rPr>
          <w:rFonts w:asciiTheme="minorEastAsia" w:hAnsiTheme="minorEastAsia" w:eastAsiaTheme="minorEastAsia"/>
          <w:color w:val="auto"/>
          <w:sz w:val="24"/>
          <w:szCs w:val="24"/>
          <w:highlight w:val="none"/>
        </w:rPr>
        <w:t xml:space="preserve">  </w:t>
      </w:r>
    </w:p>
    <w:p w14:paraId="6F6114BD">
      <w:pPr>
        <w:keepNext w:val="0"/>
        <w:keepLines w:val="0"/>
        <w:pageBreakBefore w:val="0"/>
        <w:kinsoku/>
        <w:wordWrap/>
        <w:overflowPunct/>
        <w:topLinePunct w:val="0"/>
        <w:bidi w:val="0"/>
        <w:adjustRightInd w:val="0"/>
        <w:snapToGrid w:val="0"/>
        <w:ind w:firstLine="480" w:firstLineChars="200"/>
        <w:textAlignment w:val="auto"/>
        <w:rPr>
          <w:rFonts w:asciiTheme="minorEastAsia" w:hAnsiTheme="minorEastAsia" w:eastAsiaTheme="minorEastAsia"/>
          <w:color w:val="auto"/>
          <w:sz w:val="24"/>
          <w:szCs w:val="24"/>
          <w:highlight w:val="none"/>
        </w:rPr>
      </w:pPr>
    </w:p>
    <w:p w14:paraId="7E8BC539">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Theme="minorEastAsia" w:hAnsiTheme="minorEastAsia" w:eastAsiaTheme="minorEastAsia"/>
          <w:b/>
          <w:bCs/>
          <w:color w:val="auto"/>
          <w:sz w:val="24"/>
          <w:szCs w:val="24"/>
          <w:highlight w:val="none"/>
        </w:rPr>
        <w:t>说明：本项目根据市场报价，为了确保采购质量和维护公平的竞争，</w:t>
      </w:r>
      <w:r>
        <w:rPr>
          <w:rFonts w:hint="eastAsia" w:asciiTheme="minorEastAsia" w:hAnsiTheme="minorEastAsia" w:eastAsiaTheme="minorEastAsia"/>
          <w:b/>
          <w:bCs/>
          <w:color w:val="auto"/>
          <w:sz w:val="24"/>
          <w:szCs w:val="24"/>
          <w:highlight w:val="none"/>
          <w:lang w:eastAsia="zh-CN"/>
        </w:rPr>
        <w:t>根据《北海市财政局关于开展推动解决政府采购异常低价问题试点工作的通知》北财采〔2025〕25 号的规定，</w:t>
      </w:r>
      <w:r>
        <w:rPr>
          <w:rFonts w:hint="eastAsia" w:asciiTheme="minorEastAsia" w:hAnsiTheme="minorEastAsia" w:eastAsiaTheme="minorEastAsia"/>
          <w:b/>
          <w:bCs/>
          <w:color w:val="auto"/>
          <w:sz w:val="24"/>
          <w:szCs w:val="24"/>
          <w:highlight w:val="none"/>
        </w:rPr>
        <w:t>政府采购评审中出现下列情形之一的，评审委员会应当启动异常低价投标（响应）审查程序</w:t>
      </w:r>
      <w:r>
        <w:rPr>
          <w:rFonts w:hint="eastAsia" w:asciiTheme="minorEastAsia" w:hAnsiTheme="minorEastAsia" w:eastAsiaTheme="minorEastAsia"/>
          <w:b/>
          <w:bCs/>
          <w:color w:val="auto"/>
          <w:sz w:val="24"/>
          <w:szCs w:val="24"/>
          <w:highlight w:val="none"/>
          <w:lang w:eastAsia="zh-CN"/>
        </w:rPr>
        <w:t>：</w:t>
      </w:r>
      <w:r>
        <w:rPr>
          <w:rFonts w:hint="eastAsia" w:asciiTheme="minorEastAsia" w:hAnsiTheme="minorEastAsia" w:eastAsiaTheme="minorEastAsia"/>
          <w:b/>
          <w:bCs/>
          <w:color w:val="auto"/>
          <w:sz w:val="24"/>
          <w:szCs w:val="24"/>
          <w:highlight w:val="none"/>
        </w:rPr>
        <w:t>（1）投标（响应）报价低于全部通过符合性审查供应商投标（响应）报价平均值 50%的，即投（响应）报价&lt;全部通过符合性审查供应商投标（响应）报价平均值×50%；（2）投标（响应）报价低于通过符合性审查且报价次低供应商投标（响应）报价 50%的，即投标（响应）报价&lt;通过符合性审查且报价次低供应商投标（响应）报价×50%；（3）投标（响应）报价低于采购项目最高限价 45%的，即投标（响应）报价&lt;采购项目最高限价×45%；（4）其他评审委员会认为供应商报价过低，有可能影响产品质量或者不能诚信履约的情形。</w:t>
      </w:r>
    </w:p>
    <w:p w14:paraId="126A4AC2">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2.技术方案分：满分33分（未提供技术方案的不得分）</w:t>
      </w:r>
    </w:p>
    <w:p w14:paraId="1973A5A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（1）系统业务功能规划和设计情况（满分12分）</w:t>
      </w:r>
    </w:p>
    <w:p w14:paraId="2E73263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一档（12分）：对相关技术系统业务功能模块的规划和设计非常全面、非常详细、非常清晰、非常完整。</w:t>
      </w:r>
    </w:p>
    <w:p w14:paraId="75F9C92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二档（8分）：对相关技术系统业务功能模块的规划和设计较为全面、较为详细、较为清晰、较为完整。</w:t>
      </w:r>
    </w:p>
    <w:p w14:paraId="1D008458">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三档（4分）：对相关技术系统业务功能模块的规划和设计不够全面、不够详细、不够清晰、不够完整。</w:t>
      </w:r>
    </w:p>
    <w:p w14:paraId="35DBEDF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（2）系统架构设计情况（满分21分）</w:t>
      </w:r>
    </w:p>
    <w:p w14:paraId="70B1976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档（21分）：针对项目业务需求，对技术架构、功能架构、网络架构、部署架构、数据架构等方面进行设计，在技术架构中应用人工智能大模型等新技术新应用对信息进行包括但不限于分析、研判、预警等处理，技术架构设计成果非常详细、非常全面、非常合理、非常成熟。</w:t>
      </w:r>
    </w:p>
    <w:p w14:paraId="05156577">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档（14分）：针对项目业务需求，对技术架构、功能架构、网络架构、部署架构、数据架构等方面进行设计，在技术架构中应用人工智能大模型等新技术新应用对信息进行包括但不限于分析、研判、预警等处理，技术架构设计成果较为详细、较为全面、较为合理、较为成熟。</w:t>
      </w:r>
    </w:p>
    <w:p w14:paraId="1FE1C0B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档（7分）：针对项目业务需求，对技术架构、功能架构、网络架构、部署架构、数据架构等方面进行设计，在技术架构中没有应用人工智能大模型等新技术新应用，技术架构设计成果不够详细、不够全面、不够合理、不够成熟。</w:t>
      </w:r>
    </w:p>
    <w:p w14:paraId="3E6315B0">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3.实施方案分：满分12分（未提供实施方案的不得分）</w:t>
      </w:r>
    </w:p>
    <w:p w14:paraId="6BBDF541">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一档（12分）：针对项目业务需求，制定实施方案，方案非常详细、非常全面、可执行性非常强。</w:t>
      </w:r>
    </w:p>
    <w:p w14:paraId="3DE9EB1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二档（8分）：针对项目业务需求，制定实施方案，方案较为详细、较为全面、可执行性较强。</w:t>
      </w:r>
    </w:p>
    <w:p w14:paraId="4360AF5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三档（4分）：针对项目业务需求，制定实施方案，但方案不够详细、不够全面、可执行性不够强。</w:t>
      </w:r>
    </w:p>
    <w:p w14:paraId="4EE0D315">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4.服务方案分：满分36分（未提供服务方案的不得分）</w:t>
      </w:r>
    </w:p>
    <w:p w14:paraId="1A70C52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（1）项目实施过程驻场和调研（满分6分）</w:t>
      </w:r>
    </w:p>
    <w:p w14:paraId="26D89AB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项目实施过程驻场和调研要求：</w:t>
      </w:r>
      <w:r>
        <w:rPr>
          <w:rFonts w:hint="eastAsia" w:asciiTheme="minorEastAsia" w:hAnsiTheme="minorEastAsia" w:eastAsiaTheme="minorEastAsia" w:cstheme="minorEastAsia"/>
          <w:color w:val="auto"/>
          <w:kern w:val="0"/>
          <w:sz w:val="24"/>
          <w:szCs w:val="24"/>
          <w:highlight w:val="none"/>
          <w:lang w:val="en-US" w:eastAsia="zh-CN" w:bidi="ar-SA"/>
        </w:rPr>
        <w:t>合同签订后3个工作日内，中标供应商须派驻1名项目经理，在采购人指定的工作地点驻场工作，全程参与本项目实施，直至项目最终验收通过；合同签订后3个工作日内，中标供应商须派驻1名项目经理和1名需求调研人员，在采购人指定的工作地点驻场跟班学习，了解采购人的业务工作需求和工作流程，详细调研项目需求，驻场工作需持续60个自然日，中标供应商在合同签订之日起40个自然日内编制形成需求调研报告。</w:t>
      </w:r>
    </w:p>
    <w:p w14:paraId="43D0FF85">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一档（6分）：提供的方案或</w:t>
      </w:r>
      <w:r>
        <w:rPr>
          <w:rFonts w:hint="eastAsia" w:asciiTheme="minorEastAsia" w:hAnsiTheme="minorEastAsia" w:eastAsiaTheme="minorEastAsia" w:cstheme="minorEastAsia"/>
          <w:color w:val="auto"/>
          <w:kern w:val="2"/>
          <w:sz w:val="24"/>
          <w:szCs w:val="24"/>
          <w:highlight w:val="none"/>
          <w:lang w:val="en-US" w:eastAsia="zh-CN" w:bidi="ar-SA"/>
        </w:rPr>
        <w:t>承诺</w:t>
      </w:r>
      <w:r>
        <w:rPr>
          <w:rFonts w:hint="eastAsia" w:asciiTheme="minorEastAsia" w:hAnsiTheme="minorEastAsia" w:eastAsiaTheme="minorEastAsia" w:cstheme="minorEastAsia"/>
          <w:color w:val="auto"/>
          <w:kern w:val="2"/>
          <w:sz w:val="24"/>
          <w:szCs w:val="24"/>
          <w:highlight w:val="none"/>
          <w:lang w:val="en-US" w:eastAsia="zh-CN" w:bidi="ar-SA"/>
        </w:rPr>
        <w:t>能完全满足上述驻场和调研要求。</w:t>
      </w:r>
    </w:p>
    <w:p w14:paraId="79CCA1B3">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二档（4分）：提供的方案或</w:t>
      </w:r>
      <w:r>
        <w:rPr>
          <w:rFonts w:hint="eastAsia" w:asciiTheme="minorEastAsia" w:hAnsiTheme="minorEastAsia" w:eastAsiaTheme="minorEastAsia" w:cstheme="minorEastAsia"/>
          <w:color w:val="auto"/>
          <w:kern w:val="2"/>
          <w:sz w:val="24"/>
          <w:szCs w:val="24"/>
          <w:highlight w:val="none"/>
          <w:lang w:val="en-US" w:eastAsia="zh-CN" w:bidi="ar-SA"/>
        </w:rPr>
        <w:t>承诺</w:t>
      </w:r>
      <w:r>
        <w:rPr>
          <w:rFonts w:hint="eastAsia" w:asciiTheme="minorEastAsia" w:hAnsiTheme="minorEastAsia" w:eastAsiaTheme="minorEastAsia" w:cstheme="minorEastAsia"/>
          <w:color w:val="auto"/>
          <w:kern w:val="2"/>
          <w:sz w:val="24"/>
          <w:szCs w:val="24"/>
          <w:highlight w:val="none"/>
          <w:lang w:val="en-US" w:eastAsia="zh-CN" w:bidi="ar-SA"/>
        </w:rPr>
        <w:t>能基本满足上述驻场和调研要求。</w:t>
      </w:r>
    </w:p>
    <w:p w14:paraId="045B1D69">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三档（2分）：提供的方案或</w:t>
      </w:r>
      <w:r>
        <w:rPr>
          <w:rFonts w:hint="eastAsia" w:asciiTheme="minorEastAsia" w:hAnsiTheme="minorEastAsia" w:eastAsiaTheme="minorEastAsia" w:cstheme="minorEastAsia"/>
          <w:color w:val="auto"/>
          <w:kern w:val="2"/>
          <w:sz w:val="24"/>
          <w:szCs w:val="24"/>
          <w:highlight w:val="none"/>
          <w:lang w:val="en-US" w:eastAsia="zh-CN" w:bidi="ar-SA"/>
        </w:rPr>
        <w:t>承诺</w:t>
      </w:r>
      <w:r>
        <w:rPr>
          <w:rFonts w:hint="eastAsia" w:asciiTheme="minorEastAsia" w:hAnsiTheme="minorEastAsia" w:eastAsiaTheme="minorEastAsia" w:cstheme="minorEastAsia"/>
          <w:color w:val="auto"/>
          <w:kern w:val="2"/>
          <w:sz w:val="24"/>
          <w:szCs w:val="24"/>
          <w:highlight w:val="none"/>
          <w:lang w:val="en-US" w:eastAsia="zh-CN" w:bidi="ar-SA"/>
        </w:rPr>
        <w:t>能简单满足上述驻场和调研要求。</w:t>
      </w:r>
    </w:p>
    <w:p w14:paraId="46A1285F">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（2）项目建设成果文档管理（满分6分）</w:t>
      </w:r>
    </w:p>
    <w:p w14:paraId="6952D68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项目建设成果文档管理要求：须配合采购人完成项目软件著作权申报、项目相关奖项申报、项目审计等有关工作，至少包括材料编制及整理、工作流程梳理等。</w:t>
      </w:r>
    </w:p>
    <w:p w14:paraId="4CB3B89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一档（6分）：提供的方案或</w:t>
      </w:r>
      <w:r>
        <w:rPr>
          <w:rFonts w:hint="eastAsia" w:asciiTheme="minorEastAsia" w:hAnsiTheme="minorEastAsia" w:eastAsiaTheme="minorEastAsia" w:cstheme="minorEastAsia"/>
          <w:color w:val="auto"/>
          <w:kern w:val="2"/>
          <w:sz w:val="24"/>
          <w:szCs w:val="24"/>
          <w:highlight w:val="none"/>
          <w:lang w:val="en-US" w:eastAsia="zh-CN" w:bidi="ar-SA"/>
        </w:rPr>
        <w:t>承诺</w:t>
      </w:r>
      <w:r>
        <w:rPr>
          <w:rFonts w:hint="eastAsia" w:asciiTheme="minorEastAsia" w:hAnsiTheme="minorEastAsia" w:eastAsiaTheme="minorEastAsia" w:cstheme="minorEastAsia"/>
          <w:color w:val="auto"/>
          <w:kern w:val="2"/>
          <w:sz w:val="24"/>
          <w:szCs w:val="24"/>
          <w:highlight w:val="none"/>
          <w:lang w:val="en-US" w:eastAsia="zh-CN" w:bidi="ar-SA"/>
        </w:rPr>
        <w:t>能完全满足上述项目建设成果文档管理要求。</w:t>
      </w:r>
    </w:p>
    <w:p w14:paraId="68B46BF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二档（4分）：提供的方案或</w:t>
      </w:r>
      <w:r>
        <w:rPr>
          <w:rFonts w:hint="eastAsia" w:asciiTheme="minorEastAsia" w:hAnsiTheme="minorEastAsia" w:eastAsiaTheme="minorEastAsia" w:cstheme="minorEastAsia"/>
          <w:color w:val="auto"/>
          <w:kern w:val="2"/>
          <w:sz w:val="24"/>
          <w:szCs w:val="24"/>
          <w:highlight w:val="none"/>
          <w:lang w:val="en-US" w:eastAsia="zh-CN" w:bidi="ar-SA"/>
        </w:rPr>
        <w:t>承诺</w:t>
      </w:r>
      <w:r>
        <w:rPr>
          <w:rFonts w:hint="eastAsia" w:asciiTheme="minorEastAsia" w:hAnsiTheme="minorEastAsia" w:eastAsiaTheme="minorEastAsia" w:cstheme="minorEastAsia"/>
          <w:color w:val="auto"/>
          <w:kern w:val="2"/>
          <w:sz w:val="24"/>
          <w:szCs w:val="24"/>
          <w:highlight w:val="none"/>
          <w:lang w:val="en-US" w:eastAsia="zh-CN" w:bidi="ar-SA"/>
        </w:rPr>
        <w:t>能基本满足上述项目建设成果文档管理要求。</w:t>
      </w:r>
    </w:p>
    <w:p w14:paraId="239AA5A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三档（2分）：提供的方案或</w:t>
      </w:r>
      <w:r>
        <w:rPr>
          <w:rFonts w:hint="eastAsia" w:asciiTheme="minorEastAsia" w:hAnsiTheme="minorEastAsia" w:eastAsiaTheme="minorEastAsia" w:cstheme="minorEastAsia"/>
          <w:color w:val="auto"/>
          <w:kern w:val="2"/>
          <w:sz w:val="24"/>
          <w:szCs w:val="24"/>
          <w:highlight w:val="none"/>
          <w:lang w:val="en-US" w:eastAsia="zh-CN" w:bidi="ar-SA"/>
        </w:rPr>
        <w:t>承诺</w:t>
      </w:r>
      <w:r>
        <w:rPr>
          <w:rFonts w:hint="eastAsia" w:asciiTheme="minorEastAsia" w:hAnsiTheme="minorEastAsia" w:eastAsiaTheme="minorEastAsia" w:cstheme="minorEastAsia"/>
          <w:color w:val="auto"/>
          <w:kern w:val="2"/>
          <w:sz w:val="24"/>
          <w:szCs w:val="24"/>
          <w:highlight w:val="none"/>
          <w:lang w:val="en-US" w:eastAsia="zh-CN" w:bidi="ar-SA"/>
        </w:rPr>
        <w:t>能简单满足上述项目建设成果文档管理要求。</w:t>
      </w:r>
    </w:p>
    <w:p w14:paraId="36576DDD">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（3）售后服务（满分12分）</w:t>
      </w:r>
    </w:p>
    <w:p w14:paraId="45072ABA">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项目最终验收合格后，为信息系统提供质保运维升级服务并为指挥场所装修成果提供质保服务，以采购需求最低标准（3年）为基准，每免费延长一年的得3分，满分12分。</w:t>
      </w:r>
    </w:p>
    <w:p w14:paraId="46A6884B">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（4）驻场服务项目（满分12分）</w:t>
      </w:r>
    </w:p>
    <w:p w14:paraId="156FF780">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最终验收合格后，派驻工作人员在采购人指定的工作地点对项目所有建设内容提供驻场售后服务和平台运行服务，以采购需求最低标准（派驻2人服务3年）为基准，每免费延长1年（派驻人员保持2人不变）的得3分，满分12分。</w:t>
      </w:r>
    </w:p>
    <w:p w14:paraId="0077595D">
      <w:pPr>
        <w:keepNext w:val="0"/>
        <w:keepLines w:val="0"/>
        <w:pageBreakBefore w:val="0"/>
        <w:widowControl w:val="0"/>
        <w:kinsoku/>
        <w:wordWrap/>
        <w:overflowPunct/>
        <w:topLinePunct w:val="0"/>
        <w:autoSpaceDE/>
        <w:autoSpaceDN/>
        <w:bidi w:val="0"/>
        <w:adjustRightInd/>
        <w:snapToGrid/>
        <w:spacing w:after="0" w:line="56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5.商务分：满分7分</w:t>
      </w:r>
    </w:p>
    <w:p w14:paraId="5AA49390">
      <w:pPr>
        <w:snapToGrid w:val="0"/>
        <w:spacing w:line="360" w:lineRule="auto"/>
        <w:ind w:firstLine="480" w:firstLineChars="200"/>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投标人拟投入的项目建设实施人员具备通信类或计算机类高级职称证书、信息系统项目管理师证书、系统分析师证书、系统架构设计师证书、系统规划与管理师证书，每人每一个证书得1分，满分7分。（投标文件中须提供证书原件扫描件；并近半年内（2025年3月至8月）任意一个月投标人为实施人员缴纳人社保证明或单位代缴个人所得税税单等材料证明）。</w:t>
      </w:r>
    </w:p>
    <w:p w14:paraId="29BD87D9">
      <w:pPr>
        <w:pStyle w:val="32"/>
        <w:keepNext w:val="0"/>
        <w:keepLines w:val="0"/>
        <w:pageBreakBefore w:val="0"/>
        <w:kinsoku/>
        <w:wordWrap/>
        <w:overflowPunct/>
        <w:topLinePunct w:val="0"/>
        <w:bidi w:val="0"/>
        <w:adjustRightInd w:val="0"/>
        <w:spacing w:line="360" w:lineRule="auto"/>
        <w:ind w:firstLine="482" w:firstLineChars="200"/>
        <w:jc w:val="left"/>
        <w:textAlignment w:val="auto"/>
        <w:outlineLvl w:val="0"/>
        <w:rPr>
          <w:rFonts w:hint="default" w:asciiTheme="minorEastAsia" w:hAnsiTheme="minorEastAsia" w:eastAsiaTheme="minorEastAsia"/>
          <w:b/>
          <w:color w:val="auto"/>
          <w:sz w:val="24"/>
          <w:szCs w:val="24"/>
          <w:highlight w:val="none"/>
          <w:lang w:val="en-US" w:eastAsia="zh-CN"/>
        </w:rPr>
      </w:pPr>
      <w:r>
        <w:rPr>
          <w:rFonts w:asciiTheme="minorEastAsia" w:hAnsiTheme="minorEastAsia" w:eastAsiaTheme="minorEastAsia"/>
          <w:b/>
          <w:color w:val="auto"/>
          <w:sz w:val="24"/>
          <w:szCs w:val="24"/>
          <w:highlight w:val="none"/>
        </w:rPr>
        <w:t>6</w:t>
      </w:r>
      <w:r>
        <w:rPr>
          <w:rFonts w:hint="eastAsia" w:asciiTheme="minorEastAsia" w:hAnsiTheme="minorEastAsia" w:eastAsiaTheme="minorEastAsia"/>
          <w:b/>
          <w:color w:val="auto"/>
          <w:sz w:val="24"/>
          <w:szCs w:val="24"/>
          <w:highlight w:val="none"/>
        </w:rPr>
        <w:t>、政策功能分（节能、环保、产品等）</w:t>
      </w:r>
      <w:r>
        <w:rPr>
          <w:rFonts w:hint="eastAsia" w:asciiTheme="minorEastAsia" w:hAnsiTheme="minorEastAsia" w:eastAsiaTheme="minorEastAsia"/>
          <w:b/>
          <w:color w:val="auto"/>
          <w:sz w:val="24"/>
          <w:szCs w:val="24"/>
          <w:highlight w:val="none"/>
          <w:lang w:eastAsia="zh-CN"/>
        </w:rPr>
        <w:t>：满分</w:t>
      </w:r>
      <w:r>
        <w:rPr>
          <w:rFonts w:hint="eastAsia" w:asciiTheme="minorEastAsia" w:hAnsiTheme="minorEastAsia" w:eastAsiaTheme="minorEastAsia"/>
          <w:b/>
          <w:color w:val="auto"/>
          <w:sz w:val="24"/>
          <w:szCs w:val="24"/>
          <w:highlight w:val="none"/>
          <w:lang w:val="en-US" w:eastAsia="zh-CN"/>
        </w:rPr>
        <w:t>2分</w:t>
      </w:r>
    </w:p>
    <w:p w14:paraId="29BE03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）投标产品纳入《财政部</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发展改革委</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生态环境部</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市场监管总局关于调整优化节能产品</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环境标志产品政府采购执行机制的通知》（财库〔</w:t>
      </w:r>
      <w:r>
        <w:rPr>
          <w:rFonts w:asciiTheme="minorEastAsia" w:hAnsiTheme="minorEastAsia" w:eastAsiaTheme="minorEastAsia"/>
          <w:color w:val="auto"/>
          <w:sz w:val="24"/>
          <w:szCs w:val="24"/>
          <w:highlight w:val="none"/>
        </w:rPr>
        <w:t>2019</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9</w:t>
      </w:r>
      <w:r>
        <w:rPr>
          <w:rFonts w:hint="eastAsia" w:asciiTheme="minorEastAsia" w:hAnsiTheme="minorEastAsia" w:eastAsiaTheme="minorEastAsia"/>
          <w:color w:val="auto"/>
          <w:sz w:val="24"/>
          <w:szCs w:val="24"/>
          <w:highlight w:val="none"/>
        </w:rPr>
        <w:t>号）中节能产品政府采购品目清单的（适用于非强制采购节能产品，产品提供投标产品所属节能产品认证证书复印件并加盖单位公章），每项得</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分，满分</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分。</w:t>
      </w:r>
    </w:p>
    <w:p w14:paraId="20126815">
      <w:pPr>
        <w:pStyle w:val="3"/>
        <w:pageBreakBefore w:val="0"/>
        <w:widowControl w:val="0"/>
        <w:kinsoku/>
        <w:wordWrap/>
        <w:overflowPunct/>
        <w:topLinePunct w:val="0"/>
        <w:autoSpaceDE/>
        <w:autoSpaceDN/>
        <w:bidi w:val="0"/>
        <w:ind w:left="0" w:leftChars="0" w:firstLine="480" w:firstLineChars="200"/>
        <w:textAlignment w:val="auto"/>
        <w:rPr>
          <w:rFonts w:hint="eastAsia" w:cs="Times New Roman" w:asciiTheme="minorEastAsia" w:hAnsiTheme="minorEastAsia" w:eastAsiaTheme="minorEastAsia"/>
          <w:b w:val="0"/>
          <w:bCs w:val="0"/>
          <w:color w:val="auto"/>
          <w:kern w:val="2"/>
          <w:sz w:val="24"/>
          <w:szCs w:val="24"/>
          <w:highlight w:val="none"/>
          <w:lang w:val="en-US" w:eastAsia="zh-CN" w:bidi="ar-SA"/>
        </w:rPr>
      </w:pPr>
      <w:r>
        <w:rPr>
          <w:rFonts w:hint="eastAsia" w:cs="Times New Roman" w:asciiTheme="minorEastAsia" w:hAnsiTheme="minorEastAsia" w:eastAsiaTheme="minorEastAsia"/>
          <w:b w:val="0"/>
          <w:bCs w:val="0"/>
          <w:color w:val="auto"/>
          <w:kern w:val="2"/>
          <w:sz w:val="24"/>
          <w:szCs w:val="24"/>
          <w:highlight w:val="none"/>
          <w:lang w:val="en-US" w:eastAsia="zh-CN" w:bidi="ar-SA"/>
        </w:rPr>
        <w:t>（2）投标产品纳入《财政部发展改革委 生态环境部 市场监管总局关于调整优化节能产品 环境标志产品政府采购执行机制的通知》（财库〔2019〕9号）中环境标志产品政府采购品目清单的（提供投标产品所属环境标志产品认证证书复印件并加盖单位公章），每项得1分，满分1分。</w:t>
      </w:r>
    </w:p>
    <w:p w14:paraId="0A82AED6">
      <w:pPr>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w:t>
      </w:r>
    </w:p>
    <w:p w14:paraId="22FBE693">
      <w:pPr>
        <w:keepNext w:val="0"/>
        <w:keepLines w:val="0"/>
        <w:pageBreakBefore w:val="0"/>
        <w:widowControl w:val="0"/>
        <w:kinsoku/>
        <w:wordWrap/>
        <w:overflowPunct/>
        <w:topLinePunct w:val="0"/>
        <w:autoSpaceDE/>
        <w:autoSpaceDN/>
        <w:bidi w:val="0"/>
        <w:snapToGrid w:val="0"/>
        <w:spacing w:line="360" w:lineRule="auto"/>
        <w:ind w:firstLine="643" w:firstLineChars="200"/>
        <w:textAlignment w:val="auto"/>
        <w:rPr>
          <w:rFonts w:hint="eastAsia" w:ascii="宋体" w:hAnsi="宋体" w:cs="宋体"/>
          <w:b/>
          <w:color w:val="auto"/>
          <w:sz w:val="32"/>
          <w:highlight w:val="none"/>
        </w:rPr>
      </w:pPr>
    </w:p>
    <w:p w14:paraId="1D386B14">
      <w:pPr>
        <w:keepNext w:val="0"/>
        <w:keepLines w:val="0"/>
        <w:pageBreakBefore w:val="0"/>
        <w:widowControl w:val="0"/>
        <w:kinsoku/>
        <w:wordWrap/>
        <w:overflowPunct/>
        <w:topLinePunct w:val="0"/>
        <w:autoSpaceDE/>
        <w:autoSpaceDN/>
        <w:bidi w:val="0"/>
        <w:snapToGrid w:val="0"/>
        <w:spacing w:line="360" w:lineRule="auto"/>
        <w:ind w:left="0" w:leftChars="0" w:firstLine="643" w:firstLineChars="200"/>
        <w:textAlignment w:val="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7FFAA560">
      <w:pPr>
        <w:keepNext w:val="0"/>
        <w:keepLines w:val="0"/>
        <w:pageBreakBefore w:val="0"/>
        <w:widowControl w:val="0"/>
        <w:kinsoku/>
        <w:wordWrap/>
        <w:overflowPunct/>
        <w:topLinePunct w:val="0"/>
        <w:autoSpaceDE/>
        <w:autoSpaceDN/>
        <w:bidi w:val="0"/>
        <w:adjustRightInd/>
        <w:spacing w:line="360" w:lineRule="auto"/>
        <w:ind w:left="0" w:leftChars="0" w:firstLine="482" w:firstLineChars="200"/>
        <w:textAlignment w:val="auto"/>
        <w:rPr>
          <w:rFonts w:hint="eastAsia" w:ascii="宋体" w:hAnsi="宋体" w:eastAsia="宋体" w:cs="宋体"/>
          <w:b/>
          <w:color w:val="auto"/>
          <w:kern w:val="0"/>
          <w:sz w:val="24"/>
          <w:highlight w:val="none"/>
          <w:lang w:eastAsia="zh-CN"/>
        </w:rPr>
      </w:pPr>
      <w:r>
        <w:rPr>
          <w:rFonts w:hint="eastAsia" w:ascii="宋体" w:hAnsi="宋体" w:cs="宋体"/>
          <w:b/>
          <w:color w:val="auto"/>
          <w:kern w:val="0"/>
          <w:sz w:val="24"/>
          <w:highlight w:val="none"/>
        </w:rPr>
        <w:t>1.本项目采用的评标方法</w:t>
      </w:r>
      <w:r>
        <w:rPr>
          <w:rFonts w:hint="eastAsia" w:ascii="宋体" w:hAnsi="宋体" w:cs="宋体"/>
          <w:b/>
          <w:color w:val="auto"/>
          <w:kern w:val="0"/>
          <w:sz w:val="24"/>
          <w:highlight w:val="none"/>
          <w:lang w:eastAsia="zh-CN"/>
        </w:rPr>
        <w:t>：</w:t>
      </w:r>
    </w:p>
    <w:p w14:paraId="4EDD0429">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s="宋体"/>
          <w:color w:val="auto"/>
          <w:kern w:val="0"/>
          <w:sz w:val="24"/>
          <w:highlight w:val="none"/>
        </w:rPr>
      </w:pPr>
      <w:sdt>
        <w:sdtPr>
          <w:rPr>
            <w:rFonts w:hint="eastAsia" w:ascii="宋体" w:hAnsi="宋体" w:cs="宋体"/>
            <w:color w:val="auto"/>
            <w:kern w:val="0"/>
            <w:sz w:val="24"/>
            <w:highlight w:val="none"/>
          </w:rPr>
          <w:id w:val="-74749234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b/>
          <w:color w:val="auto"/>
          <w:kern w:val="0"/>
          <w:sz w:val="24"/>
          <w:highlight w:val="none"/>
        </w:rPr>
        <w:t>综合评分法</w:t>
      </w:r>
      <w:r>
        <w:rPr>
          <w:rFonts w:hint="eastAsia" w:ascii="宋体" w:hAnsi="宋体" w:cs="宋体"/>
          <w:b/>
          <w:bCs/>
          <w:color w:val="auto"/>
          <w:sz w:val="24"/>
          <w:highlight w:val="none"/>
        </w:rPr>
        <w:t>。</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449C9971">
      <w:pPr>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rPr>
          <w:rFonts w:ascii="宋体" w:hAnsi="宋体" w:cs="宋体"/>
          <w:b/>
          <w:color w:val="auto"/>
          <w:kern w:val="0"/>
          <w:sz w:val="24"/>
          <w:highlight w:val="none"/>
        </w:rPr>
      </w:pPr>
      <w:sdt>
        <w:sdtPr>
          <w:rPr>
            <w:rFonts w:hint="eastAsia" w:ascii="宋体" w:hAnsi="宋体" w:cs="宋体"/>
            <w:color w:val="auto"/>
            <w:kern w:val="0"/>
            <w:sz w:val="24"/>
            <w:highlight w:val="none"/>
          </w:rPr>
          <w:id w:val="-46134223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color w:val="auto"/>
          <w:kern w:val="0"/>
          <w:sz w:val="24"/>
          <w:highlight w:val="none"/>
        </w:rPr>
        <w:t>B</w:t>
      </w:r>
      <w:r>
        <w:rPr>
          <w:rFonts w:hint="eastAsia" w:ascii="宋体" w:hAnsi="宋体" w:cs="宋体"/>
          <w:color w:val="auto"/>
          <w:sz w:val="24"/>
          <w:highlight w:val="none"/>
        </w:rPr>
        <w:t>最低评标价法</w:t>
      </w:r>
      <w:r>
        <w:rPr>
          <w:rFonts w:hint="eastAsia" w:ascii="宋体" w:hAnsi="宋体" w:cs="宋体"/>
          <w:b w:val="0"/>
          <w:bCs/>
          <w:color w:val="auto"/>
          <w:kern w:val="0"/>
          <w:sz w:val="24"/>
          <w:highlight w:val="none"/>
          <w:lang w:eastAsia="zh-CN"/>
        </w:rPr>
        <w:t>。</w:t>
      </w:r>
      <w:r>
        <w:rPr>
          <w:rFonts w:hint="eastAsia" w:ascii="宋体" w:hAnsi="宋体" w:cs="宋体"/>
          <w:color w:val="auto"/>
          <w:kern w:val="0"/>
          <w:sz w:val="24"/>
          <w:highlight w:val="none"/>
        </w:rPr>
        <w:t>最低评标价法，是指投标文件满足招标文件全部实质性要求，且投标报价最低的投标人为中标候选人的评标方法。</w:t>
      </w:r>
    </w:p>
    <w:p w14:paraId="5D9DAFF7">
      <w:pPr>
        <w:keepNext w:val="0"/>
        <w:keepLines w:val="0"/>
        <w:pageBreakBefore w:val="0"/>
        <w:widowControl w:val="0"/>
        <w:kinsoku/>
        <w:wordWrap/>
        <w:overflowPunct/>
        <w:topLinePunct w:val="0"/>
        <w:autoSpaceDE/>
        <w:autoSpaceDN/>
        <w:bidi w:val="0"/>
        <w:adjustRightInd/>
        <w:spacing w:line="360" w:lineRule="auto"/>
        <w:ind w:left="0" w:leftChars="0" w:firstLine="643" w:firstLineChars="200"/>
        <w:textAlignment w:val="auto"/>
        <w:outlineLvl w:val="1"/>
        <w:rPr>
          <w:rFonts w:ascii="宋体" w:hAnsi="宋体" w:cs="宋体"/>
          <w:color w:val="auto"/>
          <w:kern w:val="0"/>
          <w:sz w:val="24"/>
          <w:highlight w:val="none"/>
        </w:rPr>
      </w:pPr>
      <w:r>
        <w:rPr>
          <w:rFonts w:hint="eastAsia" w:ascii="宋体" w:hAnsi="宋体" w:cs="宋体"/>
          <w:b/>
          <w:color w:val="auto"/>
          <w:sz w:val="32"/>
          <w:highlight w:val="none"/>
        </w:rPr>
        <w:t>二、评标标准</w:t>
      </w:r>
    </w:p>
    <w:p w14:paraId="662F7D8C">
      <w:pPr>
        <w:keepNext w:val="0"/>
        <w:keepLines w:val="0"/>
        <w:pageBreakBefore w:val="0"/>
        <w:widowControl w:val="0"/>
        <w:kinsoku/>
        <w:wordWrap/>
        <w:overflowPunct/>
        <w:topLinePunct w:val="0"/>
        <w:autoSpaceDE/>
        <w:autoSpaceDN/>
        <w:bidi w:val="0"/>
        <w:spacing w:line="360" w:lineRule="auto"/>
        <w:ind w:left="0" w:leftChars="0"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2.评标标准：</w:t>
      </w:r>
      <w:r>
        <w:rPr>
          <w:rFonts w:hint="eastAsia" w:ascii="宋体" w:hAnsi="宋体" w:cs="宋体"/>
          <w:color w:val="auto"/>
          <w:sz w:val="24"/>
          <w:highlight w:val="none"/>
        </w:rPr>
        <w:t>采用综合评分法的，评标标准</w:t>
      </w:r>
      <w:r>
        <w:rPr>
          <w:rFonts w:hint="eastAsia" w:ascii="宋体" w:hAnsi="宋体" w:cs="宋体"/>
          <w:color w:val="auto"/>
          <w:kern w:val="0"/>
          <w:sz w:val="24"/>
          <w:highlight w:val="none"/>
        </w:rPr>
        <w:t>见评标办法前附表。采用最低评标价法评标时，除了算术修正和落实政府采购政策需进行的价格扣除外，不能对投标人的投标价格进行任何调整。</w:t>
      </w:r>
    </w:p>
    <w:p w14:paraId="1EC58B0A">
      <w:pPr>
        <w:keepNext w:val="0"/>
        <w:keepLines w:val="0"/>
        <w:pageBreakBefore w:val="0"/>
        <w:kinsoku/>
        <w:wordWrap/>
        <w:overflowPunct/>
        <w:topLinePunct w:val="0"/>
        <w:autoSpaceDE/>
        <w:autoSpaceDN/>
        <w:bidi w:val="0"/>
        <w:spacing w:line="360" w:lineRule="auto"/>
        <w:ind w:left="0" w:leftChars="0" w:firstLine="723" w:firstLineChars="200"/>
        <w:textAlignment w:val="auto"/>
        <w:outlineLvl w:val="1"/>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72984660">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3.1</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3E6CD71B">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CC39A8F">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3.3</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汇总商务技术得分。</w:t>
      </w:r>
      <w:r>
        <w:rPr>
          <w:rFonts w:hint="eastAsia" w:ascii="宋体" w:hAnsi="宋体" w:cs="宋体"/>
          <w:color w:val="auto"/>
          <w:kern w:val="0"/>
          <w:sz w:val="24"/>
          <w:highlight w:val="none"/>
        </w:rPr>
        <w:t>采用综合评分法时，评标委员会各成员应当独立对每个投标人的商务和技术文件进行评价，并汇总商务技术得分情况。</w:t>
      </w:r>
    </w:p>
    <w:p w14:paraId="28BBB417">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3.4</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报价评审。</w:t>
      </w:r>
    </w:p>
    <w:p w14:paraId="3AB359FD">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highlight w:val="none"/>
        </w:rPr>
      </w:pPr>
      <w:r>
        <w:rPr>
          <w:rFonts w:hint="eastAsia" w:ascii="宋体" w:hAnsi="宋体" w:cs="宋体"/>
          <w:color w:val="auto"/>
          <w:kern w:val="0"/>
          <w:highlight w:val="none"/>
        </w:rPr>
        <w:t>3.4.1</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投标文件报价出现前后不一致的，按照下列规定修正：</w:t>
      </w:r>
    </w:p>
    <w:p w14:paraId="07028BE4">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3.4.1.1</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投标文件中开标一览表(报价表)内容与投标文件中相应内容不一致的，以开标一览表(报价表)为准;</w:t>
      </w:r>
    </w:p>
    <w:p w14:paraId="012566C5">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3.4.1.2</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大写金额和小写金额不一致的，以大写金额为准;</w:t>
      </w:r>
    </w:p>
    <w:p w14:paraId="3B2A788B">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3.4.1.3</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单价金额小数点或者百分比有明显错位的，以开标一览表的总价为准，并修改单价;</w:t>
      </w:r>
    </w:p>
    <w:p w14:paraId="727846CC">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3.4.1.4</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总价金额与按单价汇总金额不一致的，以单价金额计算结果为准。</w:t>
      </w:r>
    </w:p>
    <w:p w14:paraId="33539F68">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3.4.1.5</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同时出现两种以上不一致的，按照3.4.1规定的顺序修正。修正后的报价按照财政部第87号令 《政府采购货物和服务招标投标管理办法》第五十一条第二款的规定经投标人确认后产生约束力。</w:t>
      </w:r>
    </w:p>
    <w:p w14:paraId="7BF33333">
      <w:pPr>
        <w:keepNext w:val="0"/>
        <w:keepLines w:val="0"/>
        <w:pageBreakBefore w:val="0"/>
        <w:kinsoku/>
        <w:wordWrap/>
        <w:overflowPunct/>
        <w:topLinePunct w:val="0"/>
        <w:autoSpaceDE/>
        <w:autoSpaceDN/>
        <w:bidi w:val="0"/>
        <w:snapToGrid w:val="0"/>
        <w:spacing w:line="360" w:lineRule="auto"/>
        <w:ind w:left="0" w:lef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3.4.2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投标文件出现不是唯一的、有选择性投标报价的，投标无效。</w:t>
      </w:r>
    </w:p>
    <w:p w14:paraId="525DA7EF">
      <w:pPr>
        <w:keepNext w:val="0"/>
        <w:keepLines w:val="0"/>
        <w:pageBreakBefore w:val="0"/>
        <w:kinsoku/>
        <w:wordWrap/>
        <w:overflowPunct/>
        <w:topLinePunct w:val="0"/>
        <w:autoSpaceDE/>
        <w:autoSpaceDN/>
        <w:bidi w:val="0"/>
        <w:snapToGrid w:val="0"/>
        <w:spacing w:line="360" w:lineRule="auto"/>
        <w:ind w:left="0" w:lef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3.4.3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投标报价超过招标文件中规定的预算金额或者最高限价的，投标无效。</w:t>
      </w:r>
    </w:p>
    <w:p w14:paraId="2886A5B3">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3.4.4</w:t>
      </w:r>
      <w:r>
        <w:rPr>
          <w:rFonts w:hint="eastAsia" w:ascii="宋体" w:hAnsi="宋体" w:cs="宋体"/>
          <w:color w:val="auto"/>
          <w:kern w:val="0"/>
          <w:szCs w:val="24"/>
          <w:highlight w:val="none"/>
          <w:lang w:val="en-US" w:eastAsia="zh-CN"/>
        </w:rPr>
        <w:t xml:space="preserve"> </w:t>
      </w:r>
      <w:r>
        <w:rPr>
          <w:rFonts w:hint="eastAsia" w:ascii="宋体" w:hAnsi="宋体" w:cs="宋体"/>
          <w:color w:val="auto"/>
          <w:kern w:val="0"/>
          <w:szCs w:val="24"/>
          <w:highlight w:val="none"/>
        </w:rPr>
        <w:t xml:space="preserve">政府采购评审中出现下列情形之一的，评审委员会应当启动异常低价投标（响应）审查程序: </w:t>
      </w:r>
    </w:p>
    <w:p w14:paraId="1F628544">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（1）投标（响应）报价低于全部通过符合性审查供应商投标（响应）报价平均值 50%的，即投标（响应）报价&lt;全部通过符合性审查供应商投标（响应）报价平均值×50%； </w:t>
      </w:r>
    </w:p>
    <w:p w14:paraId="73A49E5A">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（2）投标（响应）报价低于通过符合性审查且报价次低供应商投标（响应）报价 50%的，即投标（响应）报价&lt;通过符合性审查且报价次低供应商投标（响应）报价×50%； </w:t>
      </w:r>
    </w:p>
    <w:p w14:paraId="24FFCB02">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（3）投标（响应）报价低于采购项目最高限价 45%的，即投标（响应）报价&lt;采购项目最高限价×45%； </w:t>
      </w:r>
    </w:p>
    <w:p w14:paraId="7808C62B">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（4）其他评审委员会认为供应商报价过低，有可能影响产品质量或者不能诚信履约的情形。 </w:t>
      </w:r>
    </w:p>
    <w:p w14:paraId="36DFD051">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5</w:t>
      </w:r>
      <w:r>
        <w:rPr>
          <w:rFonts w:hint="eastAsia" w:ascii="宋体" w:hAnsi="宋体" w:cs="宋体"/>
          <w:color w:val="auto"/>
          <w:kern w:val="0"/>
          <w:szCs w:val="24"/>
          <w:highlight w:val="none"/>
        </w:rPr>
        <w:t xml:space="preserve">审查工作流程。评审委员会严格按照评审现场说明、综合评估研判和出具处理结果三个步骤开展审查流程。 </w:t>
      </w:r>
    </w:p>
    <w:p w14:paraId="0D3E84F2">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1）评审现场说明。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14:paraId="07DB0F04">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 xml:space="preserve">（2）综合评估研判。评审委员会应当结合同类产品在主要电商平台的价格、该行业当地薪资水平等情况，依据专业经验对报价合理性进行判断。对异常低价存在争议的，应当按照少数服从多数的原则作出结论。 </w:t>
      </w:r>
    </w:p>
    <w:p w14:paraId="65019379">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cs="宋体"/>
          <w:color w:val="auto"/>
          <w:kern w:val="0"/>
          <w:szCs w:val="24"/>
          <w:highlight w:val="none"/>
        </w:rPr>
      </w:pPr>
      <w:r>
        <w:rPr>
          <w:rFonts w:hint="eastAsia" w:ascii="宋体" w:hAnsi="宋体" w:cs="宋体"/>
          <w:color w:val="auto"/>
          <w:kern w:val="0"/>
          <w:szCs w:val="24"/>
          <w:highlight w:val="none"/>
        </w:rPr>
        <w:t>（3）出具处理结果。如果投标（响应）供应商不提供书面说明、证明材料，或者提供的书面说明、证明材料不能证明其报价合理性的，应当将其作为无效投标（响应）处理。审查相关情况应当在评审报告中记录。</w:t>
      </w:r>
    </w:p>
    <w:p w14:paraId="44F96CE8">
      <w:pPr>
        <w:pStyle w:val="129"/>
        <w:keepNext w:val="0"/>
        <w:keepLines w:val="0"/>
        <w:pageBreakBefore w:val="0"/>
        <w:kinsoku/>
        <w:wordWrap/>
        <w:overflowPunct/>
        <w:topLinePunct w:val="0"/>
        <w:autoSpaceDE/>
        <w:autoSpaceDN/>
        <w:bidi w:val="0"/>
        <w:spacing w:before="0" w:line="360" w:lineRule="auto"/>
        <w:ind w:left="0" w:leftChars="0" w:firstLine="480" w:firstLineChars="200"/>
        <w:textAlignment w:val="auto"/>
        <w:rPr>
          <w:rFonts w:ascii="宋体" w:hAnsi="宋体" w:cs="宋体"/>
          <w:color w:val="auto"/>
          <w:kern w:val="0"/>
          <w:szCs w:val="24"/>
          <w:highlight w:val="none"/>
        </w:rPr>
      </w:pPr>
      <w:r>
        <w:rPr>
          <w:rFonts w:hint="eastAsia" w:ascii="宋体" w:hAnsi="宋体" w:cs="宋体"/>
          <w:color w:val="auto"/>
          <w:kern w:val="0"/>
          <w:szCs w:val="24"/>
          <w:highlight w:val="none"/>
        </w:rPr>
        <w:t>3.4.</w:t>
      </w:r>
      <w:r>
        <w:rPr>
          <w:rFonts w:hint="eastAsia" w:ascii="宋体" w:hAnsi="宋体" w:cs="宋体"/>
          <w:color w:val="auto"/>
          <w:kern w:val="0"/>
          <w:szCs w:val="24"/>
          <w:highlight w:val="none"/>
          <w:lang w:val="en-US" w:eastAsia="zh-CN"/>
        </w:rPr>
        <w:t>6</w:t>
      </w:r>
      <w:r>
        <w:rPr>
          <w:rFonts w:hint="eastAsia" w:ascii="宋体" w:hAnsi="宋体" w:cs="宋体"/>
          <w:color w:val="auto"/>
          <w:kern w:val="0"/>
          <w:szCs w:val="24"/>
          <w:highlight w:val="none"/>
        </w:rPr>
        <w:t>对于未预留份额专门面向中小企业采购的政府采购项目，以及预留份额政府采购项目中的非预留部分标项，对小型和微型企业的投标报价给予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对于专门面向中小企业采购的项目或者采购包，不再执行价格评审优惠的扶持政策。</w:t>
      </w:r>
    </w:p>
    <w:p w14:paraId="43AA4DFA">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3.5</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排序与推荐。</w:t>
      </w:r>
    </w:p>
    <w:p w14:paraId="27F1845F">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3.5.1</w:t>
      </w:r>
      <w:r>
        <w:rPr>
          <w:rFonts w:hint="eastAsia" w:ascii="宋体" w:hAnsi="宋体" w:cs="宋体"/>
          <w:b/>
          <w:color w:val="auto"/>
          <w:kern w:val="0"/>
          <w:sz w:val="24"/>
          <w:highlight w:val="none"/>
          <w:lang w:val="en-US" w:eastAsia="zh-CN"/>
        </w:rPr>
        <w:t xml:space="preserve"> </w:t>
      </w:r>
      <w:r>
        <w:rPr>
          <w:rFonts w:hint="eastAsia" w:ascii="宋体" w:hAnsi="宋体" w:cs="宋体"/>
          <w:color w:val="auto"/>
          <w:kern w:val="0"/>
          <w:sz w:val="24"/>
          <w:highlight w:val="none"/>
        </w:rPr>
        <w:t>采用综合评分法的，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排名第一的中标候选人。</w:t>
      </w:r>
    </w:p>
    <w:p w14:paraId="0A64EC79">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cs="宋体"/>
          <w:color w:val="auto"/>
          <w:highlight w:val="none"/>
        </w:rPr>
      </w:pPr>
      <w:r>
        <w:rPr>
          <w:rFonts w:hint="eastAsia" w:cs="宋体"/>
          <w:color w:val="auto"/>
          <w:highlight w:val="none"/>
        </w:rPr>
        <w:t>3.5.2</w:t>
      </w:r>
      <w:r>
        <w:rPr>
          <w:rFonts w:hint="eastAsia" w:cs="宋体"/>
          <w:color w:val="auto"/>
          <w:highlight w:val="none"/>
          <w:lang w:val="en-US" w:eastAsia="zh-CN"/>
        </w:rPr>
        <w:t xml:space="preserve"> </w:t>
      </w:r>
      <w:r>
        <w:rPr>
          <w:rFonts w:hint="eastAsia" w:cs="宋体"/>
          <w:color w:val="auto"/>
          <w:highlight w:val="none"/>
        </w:rPr>
        <w:t>采用最低评标价法的，评标结果按投标报价由低到高顺序排列。评标价相同时，由评标委员会根据投标文件中技术、服务、合同条款及其它实质性要求等情况，按照择优选择的原则，集体讨论确定排序，并按确定排序由优到劣的原则推荐中标候选人。投标文件满足招标文件全部实质性要求且投标报价最低的投标人为排名第一的中标候选人。</w:t>
      </w:r>
    </w:p>
    <w:p w14:paraId="79DD6D97">
      <w:pPr>
        <w:keepNext w:val="0"/>
        <w:keepLines w:val="0"/>
        <w:pageBreakBefore w:val="0"/>
        <w:kinsoku/>
        <w:wordWrap/>
        <w:overflowPunct/>
        <w:topLinePunct w:val="0"/>
        <w:autoSpaceDE/>
        <w:autoSpaceDN/>
        <w:bidi w:val="0"/>
        <w:spacing w:line="360" w:lineRule="auto"/>
        <w:ind w:left="0" w:leftChars="0" w:firstLine="482" w:firstLineChars="200"/>
        <w:textAlignment w:val="auto"/>
        <w:rPr>
          <w:rFonts w:ascii="宋体" w:hAnsi="宋体" w:cs="宋体"/>
          <w:color w:val="auto"/>
          <w:kern w:val="0"/>
          <w:sz w:val="24"/>
          <w:highlight w:val="none"/>
        </w:rPr>
      </w:pPr>
      <w:r>
        <w:rPr>
          <w:rFonts w:hint="eastAsia" w:ascii="宋体" w:hAnsi="宋体" w:cs="宋体"/>
          <w:b/>
          <w:color w:val="auto"/>
          <w:kern w:val="0"/>
          <w:sz w:val="24"/>
          <w:highlight w:val="none"/>
        </w:rPr>
        <w:t>3.6</w:t>
      </w:r>
      <w:r>
        <w:rPr>
          <w:rFonts w:hint="eastAsia" w:ascii="宋体" w:hAnsi="宋体" w:cs="宋体"/>
          <w:b/>
          <w:color w:val="auto"/>
          <w:kern w:val="0"/>
          <w:sz w:val="24"/>
          <w:highlight w:val="none"/>
          <w:lang w:val="en-US" w:eastAsia="zh-CN"/>
        </w:rPr>
        <w:t xml:space="preserve"> </w:t>
      </w:r>
      <w:r>
        <w:rPr>
          <w:rFonts w:hint="eastAsia" w:ascii="宋体" w:hAnsi="宋体" w:cs="宋体"/>
          <w:b/>
          <w:color w:val="auto"/>
          <w:kern w:val="0"/>
          <w:sz w:val="24"/>
          <w:highlight w:val="none"/>
        </w:rPr>
        <w:t>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1717147">
      <w:pPr>
        <w:keepNext w:val="0"/>
        <w:keepLines w:val="0"/>
        <w:pageBreakBefore w:val="0"/>
        <w:widowControl/>
        <w:shd w:val="clear" w:color="auto" w:fill="FFFFFF"/>
        <w:kinsoku/>
        <w:wordWrap/>
        <w:overflowPunct/>
        <w:topLinePunct w:val="0"/>
        <w:autoSpaceDE/>
        <w:autoSpaceDN/>
        <w:bidi w:val="0"/>
        <w:adjustRightInd/>
        <w:spacing w:line="360" w:lineRule="auto"/>
        <w:ind w:left="0" w:leftChars="0" w:firstLine="643" w:firstLineChars="200"/>
        <w:jc w:val="left"/>
        <w:textAlignment w:val="auto"/>
        <w:outlineLvl w:val="1"/>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24515D0E">
      <w:pPr>
        <w:pStyle w:val="129"/>
        <w:keepNext w:val="0"/>
        <w:keepLines w:val="0"/>
        <w:pageBreakBefore w:val="0"/>
        <w:kinsoku/>
        <w:wordWrap/>
        <w:overflowPunct/>
        <w:topLinePunct w:val="0"/>
        <w:autoSpaceDE/>
        <w:autoSpaceDN/>
        <w:bidi w:val="0"/>
        <w:spacing w:before="0" w:line="360" w:lineRule="auto"/>
        <w:ind w:left="0" w:leftChars="0" w:firstLine="482" w:firstLineChars="200"/>
        <w:textAlignment w:val="auto"/>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4EEE738">
      <w:pPr>
        <w:pStyle w:val="24"/>
        <w:keepNext w:val="0"/>
        <w:keepLines w:val="0"/>
        <w:pageBreakBefore w:val="0"/>
        <w:kinsoku/>
        <w:wordWrap/>
        <w:overflowPunct/>
        <w:topLinePunct w:val="0"/>
        <w:autoSpaceDE/>
        <w:autoSpaceDN/>
        <w:bidi w:val="0"/>
        <w:spacing w:line="360" w:lineRule="auto"/>
        <w:ind w:left="0" w:leftChars="0" w:firstLine="482" w:firstLineChars="200"/>
        <w:textAlignment w:val="auto"/>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D0EE39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投标人不具备招标文件中规定的资格要求的（投标人未提供有效的资格文件的，视为投标人不具备招标文件中规定的资格要求）；</w:t>
      </w:r>
    </w:p>
    <w:p w14:paraId="23683E63">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投标文件未按照招标文件要求签署、盖章的；</w:t>
      </w:r>
    </w:p>
    <w:p w14:paraId="2905258B">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采购人拟采购的产品属于政府强制采购的节能产品品目清单范围的，投标人相应的投标产品未获得国家确定的认证机构出具的、处于有效期之内的节能产品认证证书的；</w:t>
      </w:r>
    </w:p>
    <w:p w14:paraId="2042A4EB">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4.2.4</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投标文件含有采购人不能接受的附加条件的；</w:t>
      </w:r>
    </w:p>
    <w:p w14:paraId="3C15D69D">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4.2.5</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投标文件中承诺的投标有效期少于招标文件中载明的投标有效期的；</w:t>
      </w:r>
    </w:p>
    <w:p w14:paraId="32C41683">
      <w:pPr>
        <w:keepNext w:val="0"/>
        <w:keepLines w:val="0"/>
        <w:pageBreakBefore w:val="0"/>
        <w:kinsoku/>
        <w:wordWrap/>
        <w:overflowPunct/>
        <w:topLinePunct w:val="0"/>
        <w:autoSpaceDE/>
        <w:autoSpaceDN/>
        <w:bidi w:val="0"/>
        <w:snapToGrid w:val="0"/>
        <w:spacing w:line="360" w:lineRule="auto"/>
        <w:ind w:left="0" w:leftChars="0"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4.2.6</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投标文件出现不是唯一的、有选择性投标报价的;</w:t>
      </w:r>
    </w:p>
    <w:p w14:paraId="0EE8B442">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4.2.7</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投标报价超过招标文件中规定的预算金额或者最高限价的;</w:t>
      </w:r>
    </w:p>
    <w:p w14:paraId="27548DA5">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4.2.8</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报价明显低于其他通过符合性审查投标人的报价，有可能影响产品质量或者不能诚信履约的，未能按要求提供书面说明或者提交相关证明材料，不能证明其报价合理性的;</w:t>
      </w:r>
    </w:p>
    <w:p w14:paraId="7E1A8260">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4.2.9</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投标人对根据修正原则修正后的报价不确认的；</w:t>
      </w:r>
    </w:p>
    <w:p w14:paraId="213EC9DF">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4.2.10</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投标人提供虚假材料投标的；</w:t>
      </w:r>
    </w:p>
    <w:p w14:paraId="74A66032">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4.2.11</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投标人有恶意串通、妨碍其他投标人的竞争行为、损害采购人或者其他投标人的合法权益情形的；</w:t>
      </w:r>
    </w:p>
    <w:p w14:paraId="208539A2">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4.2.12</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投标人仅提交备份投标文件，未在电子交易平台传输递交投标文件的，投标无效；</w:t>
      </w:r>
    </w:p>
    <w:p w14:paraId="54C338ED">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4.2.13 投标文件不满足招标文件的其它实质性要求的；</w:t>
      </w:r>
    </w:p>
    <w:p w14:paraId="56C7A361">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4.2.14参与同一个采购包（标段）的供应商存在下列情形之一且无法合理解释的，其投标（响应）文件无效：</w:t>
      </w:r>
    </w:p>
    <w:p w14:paraId="6B02D6D9">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（1）不同供应商的电子投标（响应）文件上传计算机的网卡MAC地址或硬盘序列号等硬件信息相同的；</w:t>
      </w:r>
    </w:p>
    <w:p w14:paraId="09D6F467">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（2）上传的电子投标（响应）文件若出现使用本项目其他投标（响应）供应商的数字证书加密的，或者加盖本项目其他投标（响应）供应商的电子印章的；</w:t>
      </w:r>
    </w:p>
    <w:p w14:paraId="09CBA90B">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）不同供应商的投标（响应）文件的内容存在3处（含）以上错误一致的；</w:t>
      </w:r>
    </w:p>
    <w:p w14:paraId="34EA53D0">
      <w:pPr>
        <w:pStyle w:val="83"/>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）不同供应商联系人为同一人或不同联系人的联系电话一致的。</w:t>
      </w:r>
    </w:p>
    <w:p w14:paraId="48D80905">
      <w:pPr>
        <w:keepNext w:val="0"/>
        <w:keepLines w:val="0"/>
        <w:pageBreakBefore w:val="0"/>
        <w:kinsoku/>
        <w:wordWrap/>
        <w:overflowPunct/>
        <w:topLinePunct w:val="0"/>
        <w:autoSpaceDE/>
        <w:autoSpaceDN/>
        <w:bidi w:val="0"/>
        <w:spacing w:line="360" w:lineRule="auto"/>
        <w:ind w:left="0" w:leftChars="0" w:firstLine="480" w:firstLineChars="200"/>
        <w:textAlignment w:val="auto"/>
        <w:rPr>
          <w:rFonts w:hint="eastAsia" w:cs="宋体"/>
          <w:b/>
          <w:color w:val="auto"/>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 xml:space="preserve">5 </w:t>
      </w:r>
      <w:r>
        <w:rPr>
          <w:rFonts w:hint="eastAsia" w:ascii="宋体" w:hAnsi="宋体" w:cs="宋体"/>
          <w:color w:val="auto"/>
          <w:kern w:val="0"/>
          <w:sz w:val="24"/>
          <w:highlight w:val="none"/>
        </w:rPr>
        <w:t>法律、法规、规章（适用本市的）及省级以上规范性文件（适用本市的）规定的其他无效情形。</w:t>
      </w:r>
    </w:p>
    <w:p w14:paraId="0E66778E">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105879F3">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5.1</w:t>
      </w:r>
      <w:r>
        <w:rPr>
          <w:rFonts w:hint="eastAsia" w:cs="宋体"/>
          <w:color w:val="auto"/>
          <w:highlight w:val="none"/>
          <w:lang w:val="en-US" w:eastAsia="zh-CN"/>
        </w:rPr>
        <w:t xml:space="preserve"> </w:t>
      </w:r>
      <w:r>
        <w:rPr>
          <w:rFonts w:hint="eastAsia" w:cs="宋体"/>
          <w:color w:val="auto"/>
          <w:highlight w:val="none"/>
        </w:rPr>
        <w:t>符合专业条件的供应商或者对招标文件作实质响应的供应商不足3家的；</w:t>
      </w:r>
    </w:p>
    <w:p w14:paraId="0A9C0A4D">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5.2</w:t>
      </w:r>
      <w:r>
        <w:rPr>
          <w:rFonts w:hint="eastAsia" w:cs="宋体"/>
          <w:color w:val="auto"/>
          <w:highlight w:val="none"/>
          <w:lang w:val="en-US" w:eastAsia="zh-CN"/>
        </w:rPr>
        <w:t xml:space="preserve"> </w:t>
      </w:r>
      <w:r>
        <w:rPr>
          <w:rFonts w:hint="eastAsia" w:cs="宋体"/>
          <w:color w:val="auto"/>
          <w:highlight w:val="none"/>
        </w:rPr>
        <w:t>出现影响采购公正的违法、违规行为的；</w:t>
      </w:r>
    </w:p>
    <w:p w14:paraId="47ABD629">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5.3</w:t>
      </w:r>
      <w:r>
        <w:rPr>
          <w:rFonts w:hint="eastAsia" w:cs="宋体"/>
          <w:color w:val="auto"/>
          <w:highlight w:val="none"/>
          <w:lang w:val="en-US" w:eastAsia="zh-CN"/>
        </w:rPr>
        <w:t xml:space="preserve"> </w:t>
      </w:r>
      <w:r>
        <w:rPr>
          <w:rFonts w:hint="eastAsia" w:cs="宋体"/>
          <w:color w:val="auto"/>
          <w:highlight w:val="none"/>
        </w:rPr>
        <w:t>投标人的报价均超过了采购预算，采购人不能支付的；</w:t>
      </w:r>
    </w:p>
    <w:p w14:paraId="367E780B">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5.4</w:t>
      </w:r>
      <w:r>
        <w:rPr>
          <w:rFonts w:hint="eastAsia" w:cs="宋体"/>
          <w:color w:val="auto"/>
          <w:highlight w:val="none"/>
          <w:lang w:val="en-US" w:eastAsia="zh-CN"/>
        </w:rPr>
        <w:t xml:space="preserve"> </w:t>
      </w:r>
      <w:r>
        <w:rPr>
          <w:rFonts w:hint="eastAsia" w:cs="宋体"/>
          <w:color w:val="auto"/>
          <w:highlight w:val="none"/>
        </w:rPr>
        <w:t>因重大变故，采购任务取消的。</w:t>
      </w:r>
    </w:p>
    <w:p w14:paraId="692DF764">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废标后，采购代理机构应当将废标理由通知所有投标人。</w:t>
      </w:r>
    </w:p>
    <w:p w14:paraId="313197AB">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670B7517">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62A0625F">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7.1</w:t>
      </w:r>
      <w:r>
        <w:rPr>
          <w:rFonts w:hint="eastAsia" w:cs="宋体"/>
          <w:color w:val="auto"/>
          <w:highlight w:val="none"/>
          <w:lang w:val="en-US" w:eastAsia="zh-CN"/>
        </w:rPr>
        <w:t xml:space="preserve"> </w:t>
      </w:r>
      <w:r>
        <w:rPr>
          <w:rFonts w:hint="eastAsia" w:cs="宋体"/>
          <w:color w:val="auto"/>
          <w:highlight w:val="none"/>
        </w:rPr>
        <w:t>未确定中标供应商的，终止本次政府采购活动，重新开展政府采购活动。</w:t>
      </w:r>
    </w:p>
    <w:p w14:paraId="295E9DED">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7.2</w:t>
      </w:r>
      <w:r>
        <w:rPr>
          <w:rFonts w:hint="eastAsia" w:cs="宋体"/>
          <w:color w:val="auto"/>
          <w:highlight w:val="none"/>
          <w:lang w:val="en-US" w:eastAsia="zh-CN"/>
        </w:rPr>
        <w:t xml:space="preserve"> </w:t>
      </w:r>
      <w:r>
        <w:rPr>
          <w:rFonts w:hint="eastAsia" w:cs="宋体"/>
          <w:color w:val="auto"/>
          <w:highlight w:val="none"/>
        </w:rPr>
        <w:t>已确定中标供应商但尚未签订政府采购合同的，中标结果无效，从合格的中标候选人中另行确定中标供应商；没有合格的中标候选人的，重新开展政府采购活动。</w:t>
      </w:r>
    </w:p>
    <w:p w14:paraId="1C873EEA">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7.3</w:t>
      </w:r>
      <w:r>
        <w:rPr>
          <w:rFonts w:hint="eastAsia" w:cs="宋体"/>
          <w:color w:val="auto"/>
          <w:highlight w:val="none"/>
          <w:lang w:val="en-US" w:eastAsia="zh-CN"/>
        </w:rPr>
        <w:t xml:space="preserve"> </w:t>
      </w:r>
      <w:r>
        <w:rPr>
          <w:rFonts w:hint="eastAsia" w:cs="宋体"/>
          <w:color w:val="auto"/>
          <w:highlight w:val="none"/>
        </w:rPr>
        <w:t>政府采购合同已签订但尚未履行的，撤销合同，从合格的中标候选人中另行确定中标供应商；没有合格的中标候选人的，重新开展政府采购活动。</w:t>
      </w:r>
    </w:p>
    <w:p w14:paraId="032B3072">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7.4</w:t>
      </w:r>
      <w:r>
        <w:rPr>
          <w:rFonts w:hint="eastAsia" w:cs="宋体"/>
          <w:color w:val="auto"/>
          <w:highlight w:val="none"/>
          <w:lang w:val="en-US" w:eastAsia="zh-CN"/>
        </w:rPr>
        <w:t xml:space="preserve"> </w:t>
      </w:r>
      <w:r>
        <w:rPr>
          <w:rFonts w:hint="eastAsia" w:cs="宋体"/>
          <w:color w:val="auto"/>
          <w:highlight w:val="none"/>
        </w:rPr>
        <w:t>政府采购合同已经履行，给采购人、供应商造成损失的，由责任人承担赔偿责任。</w:t>
      </w:r>
    </w:p>
    <w:p w14:paraId="08E79256">
      <w:pPr>
        <w:pStyle w:val="24"/>
        <w:keepNext w:val="0"/>
        <w:keepLines w:val="0"/>
        <w:pageBreakBefore w:val="0"/>
        <w:kinsoku/>
        <w:wordWrap/>
        <w:overflowPunct/>
        <w:topLinePunct w:val="0"/>
        <w:autoSpaceDE/>
        <w:autoSpaceDN/>
        <w:bidi w:val="0"/>
        <w:snapToGrid w:val="0"/>
        <w:spacing w:line="360" w:lineRule="auto"/>
        <w:ind w:left="0" w:leftChars="0" w:firstLine="480" w:firstLineChars="200"/>
        <w:textAlignment w:val="auto"/>
        <w:rPr>
          <w:rFonts w:cs="宋体"/>
          <w:color w:val="auto"/>
          <w:highlight w:val="none"/>
        </w:rPr>
      </w:pPr>
      <w:r>
        <w:rPr>
          <w:rFonts w:hint="eastAsia" w:cs="宋体"/>
          <w:color w:val="auto"/>
          <w:highlight w:val="none"/>
        </w:rPr>
        <w:t>7.5</w:t>
      </w:r>
      <w:r>
        <w:rPr>
          <w:rFonts w:hint="eastAsia" w:cs="宋体"/>
          <w:color w:val="auto"/>
          <w:highlight w:val="none"/>
          <w:lang w:val="en-US" w:eastAsia="zh-CN"/>
        </w:rPr>
        <w:t xml:space="preserve"> </w:t>
      </w:r>
      <w:r>
        <w:rPr>
          <w:rFonts w:hint="eastAsia" w:cs="宋体"/>
          <w:color w:val="auto"/>
          <w:highlight w:val="none"/>
        </w:rPr>
        <w:t>政府采购当事人有其他违反政府采购法或者政府采购法实施条例等法律法规规定的行为，经改正后仍然影响或者可能影响中标结果或者依法被认定为中标无效的，依照7.1-7.4规定处理。</w:t>
      </w:r>
    </w:p>
    <w:p w14:paraId="6EC9B5D3">
      <w:pPr>
        <w:pStyle w:val="83"/>
        <w:keepNext w:val="0"/>
        <w:keepLines w:val="0"/>
        <w:pageBreakBefore w:val="0"/>
        <w:kinsoku/>
        <w:wordWrap/>
        <w:overflowPunct/>
        <w:topLinePunct w:val="0"/>
        <w:autoSpaceDE/>
        <w:autoSpaceDN/>
        <w:bidi w:val="0"/>
        <w:spacing w:line="360" w:lineRule="auto"/>
        <w:ind w:left="0" w:leftChars="0" w:firstLine="643" w:firstLineChars="200"/>
        <w:textAlignment w:val="auto"/>
        <w:rPr>
          <w:b/>
          <w:color w:val="auto"/>
          <w:sz w:val="32"/>
          <w:szCs w:val="32"/>
          <w:highlight w:val="none"/>
        </w:rPr>
      </w:pPr>
      <w:r>
        <w:rPr>
          <w:rFonts w:hint="eastAsia"/>
          <w:b/>
          <w:color w:val="auto"/>
          <w:sz w:val="32"/>
          <w:szCs w:val="32"/>
          <w:highlight w:val="none"/>
        </w:rPr>
        <w:t>五、评审过程的保密与录像</w:t>
      </w:r>
    </w:p>
    <w:p w14:paraId="760CFB6C">
      <w:pPr>
        <w:keepNext w:val="0"/>
        <w:keepLines w:val="0"/>
        <w:pageBreakBefore w:val="0"/>
        <w:widowControl/>
        <w:kinsoku/>
        <w:wordWrap/>
        <w:overflowPunct/>
        <w:topLinePunct w:val="0"/>
        <w:autoSpaceDE/>
        <w:autoSpaceDN/>
        <w:bidi w:val="0"/>
        <w:spacing w:line="360" w:lineRule="auto"/>
        <w:ind w:left="0" w:leftChars="0" w:firstLine="482" w:firstLineChars="200"/>
        <w:textAlignment w:val="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8.1.保密。</w:t>
      </w:r>
      <w:r>
        <w:rPr>
          <w:rFonts w:hint="eastAsia" w:cs="仿宋_GB2312" w:asciiTheme="minorEastAsia" w:hAnsiTheme="minorEastAsia" w:eastAsiaTheme="minorEastAsia"/>
          <w:color w:val="auto"/>
          <w:sz w:val="24"/>
          <w:highlight w:val="none"/>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14:paraId="528787AB">
      <w:pPr>
        <w:pStyle w:val="24"/>
        <w:keepNext w:val="0"/>
        <w:keepLines w:val="0"/>
        <w:pageBreakBefore w:val="0"/>
        <w:kinsoku/>
        <w:wordWrap/>
        <w:overflowPunct/>
        <w:topLinePunct w:val="0"/>
        <w:autoSpaceDE/>
        <w:autoSpaceDN/>
        <w:bidi w:val="0"/>
        <w:snapToGrid w:val="0"/>
        <w:spacing w:line="360" w:lineRule="auto"/>
        <w:ind w:left="0" w:leftChars="0" w:firstLine="482" w:firstLineChars="200"/>
        <w:textAlignment w:val="auto"/>
        <w:rPr>
          <w:rFonts w:cs="宋体"/>
          <w:color w:val="auto"/>
          <w:highlight w:val="none"/>
        </w:rPr>
      </w:pPr>
      <w:r>
        <w:rPr>
          <w:rFonts w:hint="eastAsia" w:cs="仿宋_GB2312" w:asciiTheme="minorEastAsia" w:hAnsiTheme="minorEastAsia" w:eastAsiaTheme="minorEastAsia"/>
          <w:b/>
          <w:color w:val="auto"/>
          <w:highlight w:val="none"/>
        </w:rPr>
        <w:t>8.2.录音录像。</w:t>
      </w:r>
      <w:r>
        <w:rPr>
          <w:rFonts w:hint="eastAsia" w:cs="仿宋_GB2312" w:asciiTheme="minorEastAsia" w:hAnsiTheme="minorEastAsia" w:eastAsiaTheme="minorEastAsia"/>
          <w:color w:val="auto"/>
          <w:highlight w:val="none"/>
        </w:rPr>
        <w:t>采购代理机构对评审工作现场进行全过程录音录像，录音录像资料作为采购项目文件随其他文件一并存档。</w:t>
      </w:r>
    </w:p>
    <w:bookmarkEnd w:id="21"/>
    <w:p w14:paraId="645A7403">
      <w:pPr>
        <w:widowControl/>
        <w:adjustRightInd/>
        <w:jc w:val="left"/>
        <w:rPr>
          <w:rFonts w:ascii="宋体" w:hAnsi="宋体" w:cs="宋体"/>
          <w:b/>
          <w:color w:val="auto"/>
          <w:sz w:val="36"/>
          <w:szCs w:val="36"/>
          <w:highlight w:val="none"/>
        </w:rPr>
      </w:pPr>
      <w:bookmarkStart w:id="390" w:name="第五部分"/>
      <w:bookmarkStart w:id="391" w:name="_Toc86217003"/>
      <w:r>
        <w:rPr>
          <w:rFonts w:ascii="宋体" w:hAnsi="宋体" w:cs="宋体"/>
          <w:b/>
          <w:color w:val="auto"/>
          <w:sz w:val="36"/>
          <w:szCs w:val="36"/>
          <w:highlight w:val="none"/>
        </w:rPr>
        <w:br w:type="page"/>
      </w:r>
    </w:p>
    <w:p w14:paraId="188E4094">
      <w:pPr>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jc w:val="center"/>
        <w:textAlignment w:val="auto"/>
        <w:outlineLvl w:val="0"/>
        <w:rPr>
          <w:rFonts w:ascii="宋体" w:hAnsi="宋体" w:cs="宋体"/>
          <w:b/>
          <w:color w:val="auto"/>
          <w:sz w:val="36"/>
          <w:szCs w:val="36"/>
          <w:highlight w:val="none"/>
        </w:rPr>
      </w:pPr>
      <w:bookmarkStart w:id="392" w:name="_Toc32594"/>
      <w:bookmarkStart w:id="393" w:name="_Toc176368906"/>
      <w:r>
        <w:rPr>
          <w:rFonts w:hint="eastAsia" w:ascii="宋体" w:hAnsi="宋体" w:cs="宋体"/>
          <w:b/>
          <w:color w:val="auto"/>
          <w:sz w:val="36"/>
          <w:szCs w:val="36"/>
          <w:highlight w:val="none"/>
        </w:rPr>
        <w:t>第五部分 拟签订的合同文本</w:t>
      </w:r>
      <w:bookmarkEnd w:id="392"/>
      <w:bookmarkEnd w:id="393"/>
    </w:p>
    <w:p w14:paraId="63192E9F">
      <w:pPr>
        <w:snapToGrid w:val="0"/>
        <w:spacing w:line="400" w:lineRule="exact"/>
        <w:jc w:val="both"/>
        <w:rPr>
          <w:rFonts w:hint="eastAsia" w:ascii="仿宋" w:hAnsi="仿宋" w:eastAsia="仿宋" w:cs="仿宋"/>
          <w:b/>
          <w:bCs/>
          <w:color w:val="auto"/>
          <w:sz w:val="32"/>
          <w:szCs w:val="32"/>
          <w:highlight w:val="none"/>
        </w:rPr>
      </w:pPr>
    </w:p>
    <w:p w14:paraId="74E5CD1D">
      <w:pPr>
        <w:snapToGrid w:val="0"/>
        <w:spacing w:line="400" w:lineRule="exact"/>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北海市网络应急指挥中心二期项目政府采购合同</w:t>
      </w:r>
      <w:r>
        <w:rPr>
          <w:rFonts w:hint="eastAsia" w:asciiTheme="minorEastAsia" w:hAnsiTheme="minorEastAsia" w:eastAsiaTheme="minorEastAsia" w:cstheme="minorEastAsia"/>
          <w:b/>
          <w:color w:val="auto"/>
          <w:sz w:val="32"/>
          <w:szCs w:val="32"/>
          <w:highlight w:val="none"/>
        </w:rPr>
        <w:t>文本</w:t>
      </w:r>
    </w:p>
    <w:p w14:paraId="76FCD56C">
      <w:pPr>
        <w:snapToGrid w:val="0"/>
        <w:spacing w:line="360" w:lineRule="exact"/>
        <w:ind w:right="480" w:firstLine="6000" w:firstLineChars="25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合同编号：</w:t>
      </w:r>
    </w:p>
    <w:p w14:paraId="3E8A2534">
      <w:pPr>
        <w:snapToGrid w:val="0"/>
        <w:spacing w:line="360" w:lineRule="exact"/>
        <w:rPr>
          <w:rFonts w:hint="eastAsia" w:asciiTheme="minorEastAsia" w:hAnsiTheme="minorEastAsia" w:eastAsiaTheme="minorEastAsia" w:cstheme="minorEastAsia"/>
          <w:color w:val="auto"/>
          <w:sz w:val="24"/>
          <w:highlight w:val="none"/>
        </w:rPr>
      </w:pPr>
    </w:p>
    <w:p w14:paraId="47BFDB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购</w:t>
      </w: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 xml:space="preserve">人（甲方）                          </w:t>
      </w:r>
      <w:r>
        <w:rPr>
          <w:rFonts w:hint="eastAsia" w:asciiTheme="minorEastAsia" w:hAnsiTheme="minorEastAsia" w:eastAsiaTheme="minorEastAsia" w:cstheme="minorEastAsia"/>
          <w:color w:val="auto"/>
          <w:spacing w:val="-20"/>
          <w:sz w:val="24"/>
          <w:highlight w:val="none"/>
        </w:rPr>
        <w:t>采 购 计 划 号</w:t>
      </w:r>
      <w:r>
        <w:rPr>
          <w:rFonts w:hint="eastAsia" w:asciiTheme="minorEastAsia" w:hAnsiTheme="minorEastAsia" w:eastAsiaTheme="minorEastAsia" w:cstheme="minorEastAsia"/>
          <w:color w:val="auto"/>
          <w:sz w:val="24"/>
          <w:highlight w:val="none"/>
        </w:rPr>
        <w:t xml:space="preserve">              </w:t>
      </w:r>
    </w:p>
    <w:p w14:paraId="5A10773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供 应 商（乙方）                          </w:t>
      </w:r>
      <w:r>
        <w:rPr>
          <w:rFonts w:hint="eastAsia" w:asciiTheme="minorEastAsia" w:hAnsiTheme="minorEastAsia" w:eastAsiaTheme="minorEastAsia" w:cstheme="minorEastAsia"/>
          <w:color w:val="auto"/>
          <w:spacing w:val="-20"/>
          <w:sz w:val="24"/>
          <w:highlight w:val="none"/>
        </w:rPr>
        <w:t>招  标  编  号</w:t>
      </w:r>
      <w:r>
        <w:rPr>
          <w:rFonts w:hint="eastAsia" w:asciiTheme="minorEastAsia" w:hAnsiTheme="minorEastAsia" w:eastAsiaTheme="minorEastAsia" w:cstheme="minorEastAsia"/>
          <w:color w:val="auto"/>
          <w:sz w:val="24"/>
          <w:highlight w:val="none"/>
        </w:rPr>
        <w:t xml:space="preserve">               </w:t>
      </w:r>
    </w:p>
    <w:p w14:paraId="3F50287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签  订  地  点                            签 订 时 间               </w:t>
      </w:r>
    </w:p>
    <w:p w14:paraId="61CEFC2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本合同为中小企业预留合同：（否）。</w:t>
      </w:r>
    </w:p>
    <w:p w14:paraId="703BA9C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根据《中华人民共和国政府采购法》、《中华人民共和国民法典》等法律、法规规定，按照招标文件规定条款和乙方投标文件及其承诺，甲乙双方签订本合同。</w:t>
      </w:r>
    </w:p>
    <w:p w14:paraId="45974EC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第一条　合同标的</w:t>
      </w:r>
    </w:p>
    <w:p w14:paraId="16AA99B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1、项目一览表</w:t>
      </w:r>
    </w:p>
    <w:tbl>
      <w:tblPr>
        <w:tblStyle w:val="6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200"/>
        <w:gridCol w:w="1300"/>
        <w:gridCol w:w="1207"/>
      </w:tblGrid>
      <w:tr w14:paraId="036C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39BCBD6">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EF105EA">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名称</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156EC6E0">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服务内容</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27EFE8A">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  量</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A29681E">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61B701D7">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  价</w:t>
            </w:r>
          </w:p>
          <w:p w14:paraId="2D26CCFC">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（元）</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B0625C1">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总  价</w:t>
            </w:r>
          </w:p>
          <w:p w14:paraId="36EBFF83">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（元）</w:t>
            </w:r>
          </w:p>
        </w:tc>
      </w:tr>
      <w:tr w14:paraId="7A2B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CC19D88">
            <w:pPr>
              <w:spacing w:line="240" w:lineRule="auto"/>
              <w:jc w:val="center"/>
              <w:rPr>
                <w:rFonts w:hint="eastAsia" w:asciiTheme="minorEastAsia" w:hAnsiTheme="minorEastAsia" w:eastAsiaTheme="minorEastAsia" w:cstheme="minorEastAsia"/>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015EC4BB">
            <w:pPr>
              <w:spacing w:line="240" w:lineRule="auto"/>
              <w:jc w:val="center"/>
              <w:rPr>
                <w:rFonts w:hint="eastAsia" w:asciiTheme="minorEastAsia" w:hAnsiTheme="minorEastAsia" w:eastAsiaTheme="minorEastAsia" w:cstheme="minorEastAsia"/>
                <w:color w:val="auto"/>
                <w:sz w:val="24"/>
                <w:highlight w:val="none"/>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AD2A291">
            <w:pPr>
              <w:spacing w:line="240" w:lineRule="auto"/>
              <w:jc w:val="center"/>
              <w:rPr>
                <w:rFonts w:hint="eastAsia" w:asciiTheme="minorEastAsia" w:hAnsiTheme="minorEastAsia" w:eastAsiaTheme="minorEastAsia" w:cstheme="minorEastAsia"/>
                <w:color w:val="auto"/>
                <w:sz w:val="24"/>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C702EBC">
            <w:pPr>
              <w:spacing w:line="240" w:lineRule="auto"/>
              <w:jc w:val="center"/>
              <w:rPr>
                <w:rFonts w:hint="eastAsia" w:asciiTheme="minorEastAsia" w:hAnsiTheme="minorEastAsia" w:eastAsiaTheme="minorEastAsia" w:cstheme="minorEastAsia"/>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964D78D">
            <w:pPr>
              <w:spacing w:line="240" w:lineRule="auto"/>
              <w:jc w:val="center"/>
              <w:rPr>
                <w:rFonts w:hint="eastAsia" w:asciiTheme="minorEastAsia" w:hAnsiTheme="minorEastAsia" w:eastAsiaTheme="minorEastAsia" w:cstheme="minorEastAsia"/>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129C2C2C">
            <w:pPr>
              <w:spacing w:line="240" w:lineRule="auto"/>
              <w:jc w:val="center"/>
              <w:rPr>
                <w:rFonts w:hint="eastAsia" w:asciiTheme="minorEastAsia" w:hAnsiTheme="minorEastAsia" w:eastAsiaTheme="minorEastAsia" w:cstheme="minorEastAsia"/>
                <w:color w:val="auto"/>
                <w:sz w:val="24"/>
                <w:highlight w:val="none"/>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D49BE85">
            <w:pPr>
              <w:spacing w:line="240" w:lineRule="auto"/>
              <w:jc w:val="center"/>
              <w:rPr>
                <w:rFonts w:hint="eastAsia" w:asciiTheme="minorEastAsia" w:hAnsiTheme="minorEastAsia" w:eastAsiaTheme="minorEastAsia" w:cstheme="minorEastAsia"/>
                <w:color w:val="auto"/>
                <w:sz w:val="24"/>
                <w:highlight w:val="none"/>
              </w:rPr>
            </w:pPr>
          </w:p>
        </w:tc>
      </w:tr>
      <w:tr w14:paraId="3B76E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48E1AB8C">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详见开标一览表</w:t>
            </w:r>
          </w:p>
        </w:tc>
      </w:tr>
      <w:tr w14:paraId="5A58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360" w:type="dxa"/>
            <w:gridSpan w:val="7"/>
            <w:tcBorders>
              <w:top w:val="single" w:color="auto" w:sz="4" w:space="0"/>
              <w:left w:val="single" w:color="auto" w:sz="4" w:space="0"/>
              <w:bottom w:val="single" w:color="auto" w:sz="4" w:space="0"/>
              <w:right w:val="single" w:color="auto" w:sz="4" w:space="0"/>
            </w:tcBorders>
            <w:noWrap w:val="0"/>
            <w:vAlign w:val="center"/>
          </w:tcPr>
          <w:p w14:paraId="127A4EAF">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人民币合计金额（大写）：</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元整（¥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tc>
      </w:tr>
    </w:tbl>
    <w:p w14:paraId="2F67EE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合计金额包括但不限于满足本次投标全部采购需求所应提供的服务，以及伴随的货物和工程（如有）的价格；包含投标服务、货物、工程的成本、运输（含保险）、安装（如有）、调试、检验、技术服务、培训、税费等所有费用。如招标文件对其另有规定的，从其规定。</w:t>
      </w:r>
    </w:p>
    <w:p w14:paraId="42A6C54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第二条　质量保证</w:t>
      </w:r>
    </w:p>
    <w:p w14:paraId="53C7EAC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乙方所提供的服务及服务内容必须与投标文件承诺相一致，有国家强制性标准的，还必须符合国家强制性标准的规定，没有国家强制性标准但有其他强制性标准的，必须符合其他强制性标准的规定。</w:t>
      </w:r>
    </w:p>
    <w:p w14:paraId="0C083417">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第三条　权利保证</w:t>
      </w:r>
    </w:p>
    <w:p w14:paraId="78E16AB5">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1、甲方有权要求乙方按照</w:t>
      </w:r>
      <w:r>
        <w:rPr>
          <w:rFonts w:hint="eastAsia" w:asciiTheme="minorEastAsia" w:hAnsiTheme="minorEastAsia" w:eastAsiaTheme="minorEastAsia" w:cstheme="minorEastAsia"/>
          <w:color w:val="auto"/>
          <w:sz w:val="24"/>
          <w:highlight w:val="none"/>
          <w:lang w:val="en-US" w:eastAsia="zh-CN"/>
        </w:rPr>
        <w:t>投标文件和</w:t>
      </w:r>
      <w:r>
        <w:rPr>
          <w:rFonts w:hint="eastAsia" w:asciiTheme="minorEastAsia" w:hAnsiTheme="minorEastAsia" w:eastAsiaTheme="minorEastAsia" w:cstheme="minorEastAsia"/>
          <w:color w:val="auto"/>
          <w:sz w:val="24"/>
          <w:highlight w:val="none"/>
        </w:rPr>
        <w:t>本合同约定按时完成项目建设，提交工作成果。</w:t>
      </w:r>
    </w:p>
    <w:p w14:paraId="7AF9717A">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2、甲方有权随时对乙方的工作进度和质量进行监督检查。</w:t>
      </w:r>
    </w:p>
    <w:p w14:paraId="12AD524E">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3、甲方有权要求乙方对其建设过程中存在的问题进行整改。</w:t>
      </w:r>
    </w:p>
    <w:p w14:paraId="68C026EE">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4、甲方有权要求乙方提供相关的技术材料和必要的技术指导。</w:t>
      </w:r>
    </w:p>
    <w:p w14:paraId="01DEC872">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5、乙方应依据合同约定按时完成项目建设，提交工作成果。提交的工作成果符合国家有关行政管理部门的规定制式、质量等要求，满足甲方项目的需求。</w:t>
      </w:r>
    </w:p>
    <w:p w14:paraId="204ACFDB">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6、乙方应在</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规定时间内</w:t>
      </w:r>
      <w:r>
        <w:rPr>
          <w:rFonts w:hint="eastAsia" w:asciiTheme="minorEastAsia" w:hAnsiTheme="minorEastAsia" w:eastAsiaTheme="minorEastAsia" w:cstheme="minorEastAsia"/>
          <w:color w:val="auto"/>
          <w:sz w:val="24"/>
          <w:highlight w:val="none"/>
          <w:lang w:val="en-US" w:eastAsia="zh-CN"/>
        </w:rPr>
        <w:t>按照</w:t>
      </w:r>
      <w:r>
        <w:rPr>
          <w:rFonts w:hint="eastAsia" w:asciiTheme="minorEastAsia" w:hAnsiTheme="minorEastAsia" w:eastAsiaTheme="minorEastAsia" w:cstheme="minorEastAsia"/>
          <w:color w:val="auto"/>
          <w:sz w:val="24"/>
          <w:highlight w:val="none"/>
        </w:rPr>
        <w:t>甲方对工作成果的修改意见完成相关修改和完善。</w:t>
      </w:r>
    </w:p>
    <w:p w14:paraId="04CBA7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、甲方对本项目的系统、数据库及应用软件享有永久使用权，</w:t>
      </w:r>
      <w:r>
        <w:rPr>
          <w:rFonts w:hint="eastAsia" w:asciiTheme="minorEastAsia" w:hAnsiTheme="minorEastAsia" w:eastAsiaTheme="minorEastAsia" w:cstheme="minorEastAsia"/>
          <w:color w:val="auto"/>
          <w:sz w:val="24"/>
          <w:highlight w:val="none"/>
        </w:rPr>
        <w:t>乙方应</w:t>
      </w:r>
      <w:r>
        <w:rPr>
          <w:rFonts w:hint="eastAsia" w:asciiTheme="minorEastAsia" w:hAnsiTheme="minorEastAsia" w:eastAsiaTheme="minorEastAsia" w:cstheme="minorEastAsia"/>
          <w:color w:val="auto"/>
          <w:sz w:val="24"/>
          <w:highlight w:val="none"/>
          <w:lang w:val="en-US" w:eastAsia="zh-CN"/>
        </w:rPr>
        <w:t>向甲方交付本项目信息系统完整的源代码，</w:t>
      </w:r>
      <w:r>
        <w:rPr>
          <w:rFonts w:hint="eastAsia" w:asciiTheme="minorEastAsia" w:hAnsiTheme="minorEastAsia" w:eastAsiaTheme="minorEastAsia" w:cstheme="minorEastAsia"/>
          <w:color w:val="auto"/>
          <w:sz w:val="24"/>
          <w:highlight w:val="none"/>
        </w:rPr>
        <w:t>按照甲方要求无条件免费开放接口，并配合第三方进行开发。</w:t>
      </w:r>
    </w:p>
    <w:p w14:paraId="1B8CC996">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、未经甲方书面同意，乙方不得将本项目下的权利义务转让给其他第三方。</w:t>
      </w:r>
    </w:p>
    <w:p w14:paraId="71D288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、项目验收通过后，乙方还应向甲方传授与该项目相关的技术知识，提供相关的技术资料和必要的技术指导。</w:t>
      </w:r>
    </w:p>
    <w:p w14:paraId="24F6330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第四条　交付和验收</w:t>
      </w:r>
    </w:p>
    <w:p w14:paraId="09BD1FB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1、服务期限：</w:t>
      </w:r>
      <w:r>
        <w:rPr>
          <w:rFonts w:hint="eastAsia" w:asciiTheme="minorEastAsia" w:hAnsiTheme="minorEastAsia" w:eastAsiaTheme="minorEastAsia" w:cstheme="minorEastAsia"/>
          <w:color w:val="auto"/>
          <w:sz w:val="24"/>
          <w:highlight w:val="none"/>
          <w:u w:val="single"/>
        </w:rPr>
        <w:t xml:space="preserve">           起至           </w:t>
      </w:r>
      <w:r>
        <w:rPr>
          <w:rFonts w:hint="eastAsia" w:asciiTheme="minorEastAsia" w:hAnsiTheme="minorEastAsia" w:eastAsiaTheme="minorEastAsia" w:cstheme="minorEastAsia"/>
          <w:color w:val="auto"/>
          <w:sz w:val="24"/>
          <w:highlight w:val="none"/>
        </w:rPr>
        <w:t>，服务地点：</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指定地点。</w:t>
      </w:r>
    </w:p>
    <w:p w14:paraId="62F3ABF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2、乙方应按</w:t>
      </w:r>
      <w:r>
        <w:rPr>
          <w:rFonts w:hint="eastAsia" w:asciiTheme="minorEastAsia" w:hAnsiTheme="minorEastAsia" w:eastAsiaTheme="minorEastAsia" w:cstheme="minorEastAsia"/>
          <w:color w:val="auto"/>
          <w:sz w:val="24"/>
          <w:highlight w:val="none"/>
          <w:lang w:eastAsia="zh-CN"/>
        </w:rPr>
        <w:t>投标文件和本合同约定</w:t>
      </w:r>
      <w:r>
        <w:rPr>
          <w:rFonts w:hint="eastAsia" w:asciiTheme="minorEastAsia" w:hAnsiTheme="minorEastAsia" w:eastAsiaTheme="minorEastAsia" w:cstheme="minorEastAsia"/>
          <w:color w:val="auto"/>
          <w:sz w:val="24"/>
          <w:highlight w:val="none"/>
        </w:rPr>
        <w:t>向甲方提供相应的服务，并提供所服务内容的相关技术资料。</w:t>
      </w:r>
    </w:p>
    <w:p w14:paraId="6E88C76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3、乙方应对提交的服务成果作出全面检查和整理，并列出清单，作为甲方验收和使用的技术条件依据，清单应随提交的服务成果交给甲方。</w:t>
      </w:r>
    </w:p>
    <w:p w14:paraId="0124395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4、乙方提供不符合投标文件和本合同</w:t>
      </w:r>
      <w:r>
        <w:rPr>
          <w:rFonts w:hint="eastAsia" w:asciiTheme="minorEastAsia" w:hAnsiTheme="minorEastAsia" w:eastAsiaTheme="minorEastAsia" w:cstheme="minorEastAsia"/>
          <w:color w:val="auto"/>
          <w:sz w:val="24"/>
          <w:highlight w:val="none"/>
          <w:lang w:eastAsia="zh-CN"/>
        </w:rPr>
        <w:t>约定</w:t>
      </w:r>
      <w:r>
        <w:rPr>
          <w:rFonts w:hint="eastAsia" w:asciiTheme="minorEastAsia" w:hAnsiTheme="minorEastAsia" w:eastAsiaTheme="minorEastAsia" w:cstheme="minorEastAsia"/>
          <w:color w:val="auto"/>
          <w:sz w:val="24"/>
          <w:highlight w:val="none"/>
        </w:rPr>
        <w:t>的服务成果，甲方有权拒绝接受。</w:t>
      </w:r>
    </w:p>
    <w:p w14:paraId="3DAF990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5、验收具体分为初步验收、试运行、最终验收三个环节。乙方提交服务成果后应及时</w:t>
      </w:r>
      <w:r>
        <w:rPr>
          <w:rFonts w:hint="eastAsia" w:asciiTheme="minorEastAsia" w:hAnsiTheme="minorEastAsia" w:eastAsiaTheme="minorEastAsia" w:cstheme="minorEastAsia"/>
          <w:color w:val="auto"/>
          <w:sz w:val="24"/>
          <w:highlight w:val="none"/>
        </w:rPr>
        <w:t>以书面形式</w:t>
      </w:r>
      <w:r>
        <w:rPr>
          <w:rFonts w:hint="eastAsia" w:asciiTheme="minorEastAsia" w:hAnsiTheme="minorEastAsia" w:eastAsiaTheme="minorEastAsia" w:cstheme="minorEastAsia"/>
          <w:color w:val="auto"/>
          <w:sz w:val="24"/>
          <w:highlight w:val="none"/>
          <w:lang w:val="en-US" w:eastAsia="zh-CN"/>
        </w:rPr>
        <w:t>向甲方提出初步验收申请，</w:t>
      </w:r>
      <w:r>
        <w:rPr>
          <w:rFonts w:hint="eastAsia" w:asciiTheme="minorEastAsia" w:hAnsiTheme="minorEastAsia" w:eastAsiaTheme="minorEastAsia" w:cstheme="minorEastAsia"/>
          <w:color w:val="auto"/>
          <w:sz w:val="24"/>
          <w:highlight w:val="none"/>
        </w:rPr>
        <w:t>甲方应在收到</w:t>
      </w:r>
      <w:r>
        <w:rPr>
          <w:rFonts w:hint="eastAsia" w:asciiTheme="minorEastAsia" w:hAnsiTheme="minorEastAsia" w:eastAsiaTheme="minorEastAsia" w:cstheme="minorEastAsia"/>
          <w:color w:val="auto"/>
          <w:sz w:val="24"/>
          <w:highlight w:val="none"/>
          <w:lang w:val="en-US" w:eastAsia="zh-CN"/>
        </w:rPr>
        <w:t>初步验收申请</w:t>
      </w:r>
      <w:r>
        <w:rPr>
          <w:rFonts w:hint="eastAsia" w:asciiTheme="minorEastAsia" w:hAnsiTheme="minorEastAsia" w:eastAsiaTheme="minorEastAsia" w:cstheme="minorEastAsia"/>
          <w:color w:val="auto"/>
          <w:sz w:val="24"/>
          <w:highlight w:val="none"/>
        </w:rPr>
        <w:t>后</w:t>
      </w:r>
      <w:r>
        <w:rPr>
          <w:rFonts w:hint="eastAsia" w:asciiTheme="minorEastAsia" w:hAnsiTheme="minorEastAsia" w:eastAsiaTheme="minorEastAsia" w:cstheme="minorEastAsia"/>
          <w:color w:val="auto"/>
          <w:sz w:val="24"/>
          <w:highlight w:val="none"/>
          <w:lang w:val="en-US" w:eastAsia="zh-CN"/>
        </w:rPr>
        <w:t>6个月</w:t>
      </w:r>
      <w:r>
        <w:rPr>
          <w:rFonts w:hint="eastAsia" w:asciiTheme="minorEastAsia" w:hAnsiTheme="minorEastAsia" w:eastAsiaTheme="minorEastAsia" w:cstheme="minorEastAsia"/>
          <w:color w:val="auto"/>
          <w:sz w:val="24"/>
          <w:highlight w:val="none"/>
        </w:rPr>
        <w:t>内进行</w:t>
      </w:r>
      <w:r>
        <w:rPr>
          <w:rFonts w:hint="eastAsia" w:asciiTheme="minorEastAsia" w:hAnsiTheme="minorEastAsia" w:eastAsiaTheme="minorEastAsia" w:cstheme="minorEastAsia"/>
          <w:color w:val="auto"/>
          <w:sz w:val="24"/>
          <w:highlight w:val="none"/>
          <w:lang w:val="en-US" w:eastAsia="zh-CN"/>
        </w:rPr>
        <w:t>初步</w:t>
      </w:r>
      <w:r>
        <w:rPr>
          <w:rFonts w:hint="eastAsia" w:asciiTheme="minorEastAsia" w:hAnsiTheme="minorEastAsia" w:eastAsiaTheme="minorEastAsia" w:cstheme="minorEastAsia"/>
          <w:color w:val="auto"/>
          <w:sz w:val="24"/>
          <w:highlight w:val="none"/>
        </w:rPr>
        <w:t>验收，逾期不开始</w:t>
      </w:r>
      <w:r>
        <w:rPr>
          <w:rFonts w:hint="eastAsia" w:asciiTheme="minorEastAsia" w:hAnsiTheme="minorEastAsia" w:eastAsiaTheme="minorEastAsia" w:cstheme="minorEastAsia"/>
          <w:color w:val="auto"/>
          <w:sz w:val="24"/>
          <w:highlight w:val="none"/>
          <w:lang w:val="en-US" w:eastAsia="zh-CN"/>
        </w:rPr>
        <w:t>初步</w:t>
      </w:r>
      <w:r>
        <w:rPr>
          <w:rFonts w:hint="eastAsia" w:asciiTheme="minorEastAsia" w:hAnsiTheme="minorEastAsia" w:eastAsiaTheme="minorEastAsia" w:cstheme="minorEastAsia"/>
          <w:color w:val="auto"/>
          <w:sz w:val="24"/>
          <w:highlight w:val="none"/>
        </w:rPr>
        <w:t>验收的，乙方可视同</w:t>
      </w:r>
      <w:r>
        <w:rPr>
          <w:rFonts w:hint="eastAsia" w:asciiTheme="minorEastAsia" w:hAnsiTheme="minorEastAsia" w:eastAsiaTheme="minorEastAsia" w:cstheme="minorEastAsia"/>
          <w:color w:val="auto"/>
          <w:sz w:val="24"/>
          <w:highlight w:val="none"/>
          <w:lang w:val="en-US" w:eastAsia="zh-CN"/>
        </w:rPr>
        <w:t>初步</w:t>
      </w:r>
      <w:r>
        <w:rPr>
          <w:rFonts w:hint="eastAsia" w:asciiTheme="minorEastAsia" w:hAnsiTheme="minorEastAsia" w:eastAsiaTheme="minorEastAsia" w:cstheme="minorEastAsia"/>
          <w:color w:val="auto"/>
          <w:sz w:val="24"/>
          <w:highlight w:val="none"/>
        </w:rPr>
        <w:t>验收合格</w:t>
      </w:r>
      <w:r>
        <w:rPr>
          <w:rFonts w:hint="eastAsia" w:asciiTheme="minorEastAsia" w:hAnsiTheme="minorEastAsia" w:eastAsiaTheme="minorEastAsia" w:cstheme="minorEastAsia"/>
          <w:color w:val="auto"/>
          <w:sz w:val="24"/>
          <w:highlight w:val="none"/>
          <w:lang w:val="en-US" w:eastAsia="zh-CN"/>
        </w:rPr>
        <w:t>；项目初步验收合格后进入6个月试运行期；乙方在试运行期结束后应及时</w:t>
      </w:r>
      <w:r>
        <w:rPr>
          <w:rFonts w:hint="eastAsia" w:asciiTheme="minorEastAsia" w:hAnsiTheme="minorEastAsia" w:eastAsiaTheme="minorEastAsia" w:cstheme="minorEastAsia"/>
          <w:color w:val="auto"/>
          <w:sz w:val="24"/>
          <w:highlight w:val="none"/>
        </w:rPr>
        <w:t>以书面形式</w:t>
      </w:r>
      <w:r>
        <w:rPr>
          <w:rFonts w:hint="eastAsia" w:asciiTheme="minorEastAsia" w:hAnsiTheme="minorEastAsia" w:eastAsiaTheme="minorEastAsia" w:cstheme="minorEastAsia"/>
          <w:color w:val="auto"/>
          <w:sz w:val="24"/>
          <w:highlight w:val="none"/>
          <w:lang w:val="en-US" w:eastAsia="zh-CN"/>
        </w:rPr>
        <w:t>向甲方提出最终验收申请，</w:t>
      </w:r>
      <w:r>
        <w:rPr>
          <w:rFonts w:hint="eastAsia" w:asciiTheme="minorEastAsia" w:hAnsiTheme="minorEastAsia" w:eastAsiaTheme="minorEastAsia" w:cstheme="minorEastAsia"/>
          <w:color w:val="auto"/>
          <w:sz w:val="24"/>
          <w:highlight w:val="none"/>
        </w:rPr>
        <w:t>甲方应在收到</w:t>
      </w:r>
      <w:r>
        <w:rPr>
          <w:rFonts w:hint="eastAsia" w:asciiTheme="minorEastAsia" w:hAnsiTheme="minorEastAsia" w:eastAsiaTheme="minorEastAsia" w:cstheme="minorEastAsia"/>
          <w:color w:val="auto"/>
          <w:sz w:val="24"/>
          <w:highlight w:val="none"/>
          <w:lang w:val="en-US" w:eastAsia="zh-CN"/>
        </w:rPr>
        <w:t>最终验收申请</w:t>
      </w:r>
      <w:r>
        <w:rPr>
          <w:rFonts w:hint="eastAsia" w:asciiTheme="minorEastAsia" w:hAnsiTheme="minorEastAsia" w:eastAsiaTheme="minorEastAsia" w:cstheme="minorEastAsia"/>
          <w:color w:val="auto"/>
          <w:sz w:val="24"/>
          <w:highlight w:val="none"/>
        </w:rPr>
        <w:t>后</w:t>
      </w:r>
      <w:r>
        <w:rPr>
          <w:rFonts w:hint="eastAsia" w:asciiTheme="minorEastAsia" w:hAnsiTheme="minorEastAsia" w:eastAsiaTheme="minorEastAsia" w:cstheme="minorEastAsia"/>
          <w:color w:val="auto"/>
          <w:sz w:val="24"/>
          <w:highlight w:val="none"/>
          <w:lang w:val="en-US" w:eastAsia="zh-CN"/>
        </w:rPr>
        <w:t>6个月</w:t>
      </w:r>
      <w:r>
        <w:rPr>
          <w:rFonts w:hint="eastAsia" w:asciiTheme="minorEastAsia" w:hAnsiTheme="minorEastAsia" w:eastAsiaTheme="minorEastAsia" w:cstheme="minorEastAsia"/>
          <w:color w:val="auto"/>
          <w:sz w:val="24"/>
          <w:highlight w:val="none"/>
        </w:rPr>
        <w:t>内进行</w:t>
      </w:r>
      <w:r>
        <w:rPr>
          <w:rFonts w:hint="eastAsia" w:asciiTheme="minorEastAsia" w:hAnsiTheme="minorEastAsia" w:eastAsiaTheme="minorEastAsia" w:cstheme="minorEastAsia"/>
          <w:color w:val="auto"/>
          <w:sz w:val="24"/>
          <w:highlight w:val="none"/>
          <w:lang w:val="en-US" w:eastAsia="zh-CN"/>
        </w:rPr>
        <w:t>最终</w:t>
      </w:r>
      <w:r>
        <w:rPr>
          <w:rFonts w:hint="eastAsia" w:asciiTheme="minorEastAsia" w:hAnsiTheme="minorEastAsia" w:eastAsiaTheme="minorEastAsia" w:cstheme="minorEastAsia"/>
          <w:color w:val="auto"/>
          <w:sz w:val="24"/>
          <w:highlight w:val="none"/>
        </w:rPr>
        <w:t>验收，逾期不开始</w:t>
      </w:r>
      <w:r>
        <w:rPr>
          <w:rFonts w:hint="eastAsia" w:asciiTheme="minorEastAsia" w:hAnsiTheme="minorEastAsia" w:eastAsiaTheme="minorEastAsia" w:cstheme="minorEastAsia"/>
          <w:color w:val="auto"/>
          <w:sz w:val="24"/>
          <w:highlight w:val="none"/>
          <w:lang w:val="en-US" w:eastAsia="zh-CN"/>
        </w:rPr>
        <w:t>最终</w:t>
      </w:r>
      <w:r>
        <w:rPr>
          <w:rFonts w:hint="eastAsia" w:asciiTheme="minorEastAsia" w:hAnsiTheme="minorEastAsia" w:eastAsiaTheme="minorEastAsia" w:cstheme="minorEastAsia"/>
          <w:color w:val="auto"/>
          <w:sz w:val="24"/>
          <w:highlight w:val="none"/>
        </w:rPr>
        <w:t>验收的，乙方可视同</w:t>
      </w:r>
      <w:r>
        <w:rPr>
          <w:rFonts w:hint="eastAsia" w:asciiTheme="minorEastAsia" w:hAnsiTheme="minorEastAsia" w:eastAsiaTheme="minorEastAsia" w:cstheme="minorEastAsia"/>
          <w:color w:val="auto"/>
          <w:sz w:val="24"/>
          <w:highlight w:val="none"/>
          <w:lang w:val="en-US" w:eastAsia="zh-CN"/>
        </w:rPr>
        <w:t>最终</w:t>
      </w:r>
      <w:r>
        <w:rPr>
          <w:rFonts w:hint="eastAsia" w:asciiTheme="minorEastAsia" w:hAnsiTheme="minorEastAsia" w:eastAsiaTheme="minorEastAsia" w:cstheme="minorEastAsia"/>
          <w:color w:val="auto"/>
          <w:sz w:val="24"/>
          <w:highlight w:val="none"/>
        </w:rPr>
        <w:t>验收合格</w:t>
      </w:r>
      <w:r>
        <w:rPr>
          <w:rFonts w:hint="eastAsia" w:asciiTheme="minorEastAsia" w:hAnsiTheme="minorEastAsia" w:eastAsiaTheme="minorEastAsia" w:cstheme="minorEastAsia"/>
          <w:color w:val="auto"/>
          <w:sz w:val="24"/>
          <w:highlight w:val="none"/>
          <w:lang w:eastAsia="zh-CN"/>
        </w:rPr>
        <w:t>。</w:t>
      </w:r>
    </w:p>
    <w:p w14:paraId="6A7E6F5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、如验收不合格，乙方应按照甲方要求修改和完善，直至通过甲方验收。</w:t>
      </w:r>
    </w:p>
    <w:p w14:paraId="390391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、甲乙双方应按照《广西壮族自治区政府采购项目履约验收管理办法》、</w:t>
      </w:r>
      <w:r>
        <w:rPr>
          <w:rFonts w:hint="eastAsia" w:asciiTheme="minorEastAsia" w:hAnsiTheme="minorEastAsia" w:eastAsiaTheme="minorEastAsia" w:cstheme="minorEastAsia"/>
          <w:color w:val="auto"/>
          <w:sz w:val="24"/>
          <w:highlight w:val="none"/>
          <w:lang w:val="en-US" w:eastAsia="zh-CN"/>
        </w:rPr>
        <w:t>本</w:t>
      </w:r>
      <w:r>
        <w:rPr>
          <w:rFonts w:hint="eastAsia" w:asciiTheme="minorEastAsia" w:hAnsiTheme="minorEastAsia" w:eastAsiaTheme="minorEastAsia" w:cstheme="minorEastAsia"/>
          <w:color w:val="auto"/>
          <w:sz w:val="24"/>
          <w:highlight w:val="none"/>
        </w:rPr>
        <w:t>合同、投标文件</w:t>
      </w:r>
      <w:r>
        <w:rPr>
          <w:rFonts w:hint="eastAsia" w:asciiTheme="minorEastAsia" w:hAnsiTheme="minorEastAsia" w:eastAsiaTheme="minorEastAsia" w:cstheme="minorEastAsia"/>
          <w:color w:val="auto"/>
          <w:sz w:val="24"/>
          <w:highlight w:val="none"/>
          <w:lang w:val="en-US" w:eastAsia="zh-CN"/>
        </w:rPr>
        <w:t>等进行</w:t>
      </w:r>
      <w:r>
        <w:rPr>
          <w:rFonts w:hint="eastAsia" w:asciiTheme="minorEastAsia" w:hAnsiTheme="minorEastAsia" w:eastAsiaTheme="minorEastAsia" w:cstheme="minorEastAsia"/>
          <w:color w:val="auto"/>
          <w:sz w:val="24"/>
          <w:highlight w:val="none"/>
        </w:rPr>
        <w:t>验收。</w:t>
      </w:r>
    </w:p>
    <w:p w14:paraId="305F05F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、验收时乙方必须在现场，验收完毕后作出验收结果报告。</w:t>
      </w:r>
    </w:p>
    <w:p w14:paraId="5094F06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、甲方在验收过程中如发现乙方提供的服务成果不满足投标文件</w:t>
      </w:r>
      <w:r>
        <w:rPr>
          <w:rFonts w:hint="eastAsia" w:asciiTheme="minorEastAsia" w:hAnsiTheme="minorEastAsia" w:eastAsiaTheme="minorEastAsia" w:cstheme="minorEastAsia"/>
          <w:color w:val="auto"/>
          <w:sz w:val="24"/>
          <w:highlight w:val="none"/>
          <w:lang w:val="en-US" w:eastAsia="zh-CN"/>
        </w:rPr>
        <w:t>和</w:t>
      </w:r>
      <w:r>
        <w:rPr>
          <w:rFonts w:hint="eastAsia" w:asciiTheme="minorEastAsia" w:hAnsiTheme="minorEastAsia" w:eastAsiaTheme="minorEastAsia" w:cstheme="minorEastAsia"/>
          <w:color w:val="auto"/>
          <w:sz w:val="24"/>
          <w:highlight w:val="none"/>
        </w:rPr>
        <w:t>本合同</w:t>
      </w:r>
      <w:r>
        <w:rPr>
          <w:rFonts w:hint="eastAsia" w:asciiTheme="minorEastAsia" w:hAnsiTheme="minorEastAsia" w:eastAsiaTheme="minorEastAsia" w:cstheme="minorEastAsia"/>
          <w:color w:val="auto"/>
          <w:sz w:val="24"/>
          <w:highlight w:val="none"/>
          <w:lang w:eastAsia="zh-CN"/>
        </w:rPr>
        <w:t>约定</w:t>
      </w:r>
      <w:r>
        <w:rPr>
          <w:rFonts w:hint="eastAsia" w:asciiTheme="minorEastAsia" w:hAnsiTheme="minorEastAsia" w:eastAsiaTheme="minorEastAsia" w:cstheme="minorEastAsia"/>
          <w:color w:val="auto"/>
          <w:sz w:val="24"/>
          <w:highlight w:val="none"/>
        </w:rPr>
        <w:t>的，可暂缓向乙方付款，直到乙方及时完善并提交相应的服务成果且经甲方验收合格后，方可办理付款。</w:t>
      </w:r>
    </w:p>
    <w:p w14:paraId="4628AA3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、甲方验收时以书面形式提出异议的，乙方应自收到甲方异议后</w:t>
      </w:r>
      <w:r>
        <w:rPr>
          <w:rFonts w:hint="eastAsia" w:asciiTheme="minorEastAsia" w:hAnsiTheme="minorEastAsia" w:eastAsiaTheme="minorEastAsia" w:cstheme="minorEastAsia"/>
          <w:color w:val="auto"/>
          <w:sz w:val="24"/>
          <w:highlight w:val="none"/>
          <w:lang w:val="en-US" w:eastAsia="zh-CN"/>
        </w:rPr>
        <w:t>十五</w:t>
      </w:r>
      <w:r>
        <w:rPr>
          <w:rFonts w:hint="eastAsia" w:asciiTheme="minorEastAsia" w:hAnsiTheme="minorEastAsia" w:eastAsiaTheme="minorEastAsia" w:cstheme="minorEastAsia"/>
          <w:color w:val="auto"/>
          <w:sz w:val="24"/>
          <w:highlight w:val="none"/>
        </w:rPr>
        <w:t>个工作日内予以解决，否则甲方有权不出具验收合格单。</w:t>
      </w:r>
    </w:p>
    <w:p w14:paraId="6D6342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11</w:t>
      </w:r>
      <w:r>
        <w:rPr>
          <w:rFonts w:hint="eastAsia" w:asciiTheme="minorEastAsia" w:hAnsiTheme="minorEastAsia" w:eastAsiaTheme="minorEastAsia" w:cstheme="minorEastAsia"/>
          <w:color w:val="auto"/>
          <w:sz w:val="24"/>
          <w:highlight w:val="none"/>
        </w:rPr>
        <w:t>、验收所产生的费用由乙方负责。</w:t>
      </w:r>
    </w:p>
    <w:p w14:paraId="3F8F10F8">
      <w:pPr>
        <w:snapToGrid w:val="0"/>
        <w:spacing w:line="36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第五条</w:t>
      </w:r>
      <w:r>
        <w:rPr>
          <w:rFonts w:hint="eastAsia" w:asciiTheme="minorEastAsia" w:hAnsiTheme="minorEastAsia" w:eastAsiaTheme="minorEastAsia" w:cstheme="minorEastAsia"/>
          <w:b/>
          <w:color w:val="auto"/>
          <w:sz w:val="24"/>
          <w:highlight w:val="none"/>
        </w:rPr>
        <w:t>　</w:t>
      </w:r>
      <w:r>
        <w:rPr>
          <w:rFonts w:hint="eastAsia" w:asciiTheme="minorEastAsia" w:hAnsiTheme="minorEastAsia" w:eastAsiaTheme="minorEastAsia" w:cstheme="minorEastAsia"/>
          <w:b/>
          <w:bCs/>
          <w:color w:val="auto"/>
          <w:sz w:val="24"/>
          <w:highlight w:val="none"/>
        </w:rPr>
        <w:t>项目成果归属与知识产权</w:t>
      </w:r>
    </w:p>
    <w:p w14:paraId="4D30BE5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完成本项目成果的著作权、专利申请权等一切知识产权和所有权应排他性的归甲方享有。如出现任何除乙方以外的第三者对成果主张知识产权或所有权、使用权等权利，而引起诉讼或索赔的，由乙方承担相应责任并负责解决，如因此给甲方造成损失和费用的，由乙方向甲方全额赔付。</w:t>
      </w:r>
    </w:p>
    <w:p w14:paraId="78AAF3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2、甲方和其他第三方利用乙方提交的工作成果所完成的新的技术成果，归甲方所有。</w:t>
      </w:r>
    </w:p>
    <w:p w14:paraId="081F2C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3、甲方为进行委托工作而提供给乙方的一切资料和知识产权属甲方所有</w:t>
      </w:r>
      <w:r>
        <w:rPr>
          <w:rFonts w:hint="eastAsia" w:asciiTheme="minorEastAsia" w:hAnsiTheme="minorEastAsia" w:eastAsiaTheme="minorEastAsia" w:cstheme="minorEastAsia"/>
          <w:color w:val="auto"/>
          <w:sz w:val="24"/>
          <w:highlight w:val="none"/>
          <w:lang w:eastAsia="zh-CN"/>
        </w:rPr>
        <w:t>，未经甲方书面同意，乙方不得随意使用或许可第三人使用，不得用于其他商业或宣传用途，包括不得在评奖、教学、著作、研讨等非营利性活动中使用。</w:t>
      </w:r>
    </w:p>
    <w:p w14:paraId="18593A6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b/>
          <w:bCs/>
          <w:color w:val="auto"/>
          <w:sz w:val="24"/>
          <w:highlight w:val="none"/>
        </w:rPr>
        <w:t>第六条</w:t>
      </w:r>
      <w:r>
        <w:rPr>
          <w:rFonts w:hint="eastAsia" w:asciiTheme="minorEastAsia" w:hAnsiTheme="minorEastAsia" w:eastAsiaTheme="minorEastAsia" w:cstheme="minorEastAsia"/>
          <w:b/>
          <w:color w:val="auto"/>
          <w:sz w:val="24"/>
          <w:highlight w:val="none"/>
        </w:rPr>
        <w:t>　</w:t>
      </w:r>
      <w:r>
        <w:rPr>
          <w:rFonts w:hint="eastAsia" w:asciiTheme="minorEastAsia" w:hAnsiTheme="minorEastAsia" w:eastAsiaTheme="minorEastAsia" w:cstheme="minorEastAsia"/>
          <w:b/>
          <w:bCs/>
          <w:color w:val="auto"/>
          <w:sz w:val="24"/>
          <w:highlight w:val="none"/>
        </w:rPr>
        <w:t>保密条款</w:t>
      </w:r>
    </w:p>
    <w:p w14:paraId="4A7B304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lang w:eastAsia="zh-CN"/>
        </w:rPr>
        <w:t>乙方须</w:t>
      </w:r>
      <w:r>
        <w:rPr>
          <w:rFonts w:hint="eastAsia" w:asciiTheme="minorEastAsia" w:hAnsiTheme="minorEastAsia" w:eastAsiaTheme="minorEastAsia" w:cstheme="minorEastAsia"/>
          <w:color w:val="auto"/>
          <w:sz w:val="24"/>
          <w:highlight w:val="none"/>
        </w:rPr>
        <w:t>遵守国家相关保密法规，忠实保守国家秘密</w:t>
      </w:r>
      <w:r>
        <w:rPr>
          <w:rFonts w:hint="eastAsia" w:asciiTheme="minorEastAsia" w:hAnsiTheme="minorEastAsia" w:eastAsiaTheme="minorEastAsia" w:cstheme="minorEastAsia"/>
          <w:color w:val="auto"/>
          <w:sz w:val="24"/>
          <w:highlight w:val="none"/>
          <w:lang w:eastAsia="zh-CN"/>
        </w:rPr>
        <w:t>。</w:t>
      </w:r>
    </w:p>
    <w:p w14:paraId="31D2552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保密内容是指：本项目建设的有关信息，包括项目现有和新建项目内容、实施地点及时间等所有与本项目相关的信息，以及在实施过程中产生的口头、图像、书面和其他形式的相关信息。</w:t>
      </w:r>
    </w:p>
    <w:p w14:paraId="6DA42DE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3、乙方</w:t>
      </w:r>
      <w:r>
        <w:rPr>
          <w:rFonts w:hint="eastAsia" w:asciiTheme="minorEastAsia" w:hAnsiTheme="minorEastAsia" w:eastAsiaTheme="minorEastAsia" w:cstheme="minorEastAsia"/>
          <w:color w:val="auto"/>
          <w:sz w:val="24"/>
          <w:highlight w:val="none"/>
        </w:rPr>
        <w:t>在项目建设</w:t>
      </w:r>
      <w:r>
        <w:rPr>
          <w:rFonts w:hint="eastAsia" w:asciiTheme="minorEastAsia" w:hAnsiTheme="minorEastAsia" w:eastAsiaTheme="minorEastAsia" w:cstheme="minorEastAsia"/>
          <w:color w:val="auto"/>
          <w:sz w:val="24"/>
          <w:highlight w:val="none"/>
          <w:lang w:eastAsia="zh-CN"/>
        </w:rPr>
        <w:t>实施</w:t>
      </w:r>
      <w:r>
        <w:rPr>
          <w:rFonts w:hint="eastAsia" w:asciiTheme="minorEastAsia" w:hAnsiTheme="minorEastAsia" w:eastAsiaTheme="minorEastAsia" w:cstheme="minorEastAsia"/>
          <w:color w:val="auto"/>
          <w:sz w:val="24"/>
          <w:highlight w:val="none"/>
        </w:rPr>
        <w:t>过程中获悉的所有文件及相关材料仅用于其处理本项目建设及服务内容，不得用作他途</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凡是以直接、间接、口头或书面等形式泄露涉及保密内容的行为均属泄密。</w:t>
      </w:r>
    </w:p>
    <w:p w14:paraId="5C078A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在项目建设过程中，</w:t>
      </w:r>
      <w:r>
        <w:rPr>
          <w:rFonts w:hint="eastAsia" w:asciiTheme="minorEastAsia" w:hAnsiTheme="minorEastAsia" w:eastAsiaTheme="minorEastAsia" w:cstheme="minorEastAsia"/>
          <w:color w:val="auto"/>
          <w:sz w:val="24"/>
          <w:highlight w:val="none"/>
          <w:lang w:eastAsia="zh-CN"/>
        </w:rPr>
        <w:t>乙方须</w:t>
      </w:r>
      <w:r>
        <w:rPr>
          <w:rFonts w:hint="eastAsia" w:asciiTheme="minorEastAsia" w:hAnsiTheme="minorEastAsia" w:eastAsiaTheme="minorEastAsia" w:cstheme="minorEastAsia"/>
          <w:color w:val="auto"/>
          <w:sz w:val="24"/>
          <w:highlight w:val="none"/>
        </w:rPr>
        <w:t>对获悉的所有文件及相关材料承担保密义务，不得擅自记录、复印、拍摄、摘抄、收藏</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的任何文件资料和信息，不得随意翻阅与工作无关的文件和资料，未经</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书面许可不得泄露给任何第三方。</w:t>
      </w:r>
    </w:p>
    <w:p w14:paraId="1483757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5、乙方</w:t>
      </w:r>
      <w:r>
        <w:rPr>
          <w:rFonts w:hint="eastAsia" w:asciiTheme="minorEastAsia" w:hAnsiTheme="minorEastAsia" w:eastAsiaTheme="minorEastAsia" w:cstheme="minorEastAsia"/>
          <w:color w:val="auto"/>
          <w:sz w:val="24"/>
          <w:highlight w:val="none"/>
        </w:rPr>
        <w:t>严禁私自下载、拷贝</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计算机内的信息资料，不得擅自携带</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记载工作内容的硬盘、软盘和打印资料外出；严禁将工作中使用计算机储存的敏感内容、内部程序、口令、密码等泄露给无关人员。</w:t>
      </w:r>
    </w:p>
    <w:p w14:paraId="46CC47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6、乙方</w:t>
      </w:r>
      <w:r>
        <w:rPr>
          <w:rFonts w:hint="eastAsia" w:asciiTheme="minorEastAsia" w:hAnsiTheme="minorEastAsia" w:eastAsiaTheme="minorEastAsia" w:cstheme="minorEastAsia"/>
          <w:color w:val="auto"/>
          <w:sz w:val="24"/>
          <w:highlight w:val="none"/>
          <w:lang w:eastAsia="zh-CN"/>
        </w:rPr>
        <w:t>须与本项目实施</w:t>
      </w:r>
      <w:r>
        <w:rPr>
          <w:rFonts w:hint="eastAsia" w:asciiTheme="minorEastAsia" w:hAnsiTheme="minorEastAsia" w:eastAsiaTheme="minorEastAsia" w:cstheme="minorEastAsia"/>
          <w:color w:val="auto"/>
          <w:sz w:val="24"/>
          <w:highlight w:val="none"/>
        </w:rPr>
        <w:t>人员签订保密协议，</w:t>
      </w:r>
      <w:r>
        <w:rPr>
          <w:rFonts w:hint="eastAsia" w:asciiTheme="minorEastAsia" w:hAnsiTheme="minorEastAsia" w:eastAsiaTheme="minorEastAsia" w:cstheme="minorEastAsia"/>
          <w:color w:val="auto"/>
          <w:sz w:val="24"/>
          <w:highlight w:val="none"/>
          <w:lang w:eastAsia="zh-CN"/>
        </w:rPr>
        <w:t>对本项目实施</w:t>
      </w:r>
      <w:r>
        <w:rPr>
          <w:rFonts w:hint="eastAsia" w:asciiTheme="minorEastAsia" w:hAnsiTheme="minorEastAsia" w:eastAsiaTheme="minorEastAsia" w:cstheme="minorEastAsia"/>
          <w:color w:val="auto"/>
          <w:sz w:val="24"/>
          <w:highlight w:val="none"/>
        </w:rPr>
        <w:t>人员培训</w:t>
      </w:r>
      <w:r>
        <w:rPr>
          <w:rFonts w:hint="eastAsia" w:asciiTheme="minorEastAsia" w:hAnsiTheme="minorEastAsia" w:eastAsiaTheme="minorEastAsia" w:cstheme="minorEastAsia"/>
          <w:color w:val="auto"/>
          <w:sz w:val="24"/>
          <w:highlight w:val="none"/>
          <w:lang w:eastAsia="zh-CN"/>
        </w:rPr>
        <w:t>保密要求、</w:t>
      </w:r>
      <w:r>
        <w:rPr>
          <w:rFonts w:hint="eastAsia" w:asciiTheme="minorEastAsia" w:hAnsiTheme="minorEastAsia" w:eastAsiaTheme="minorEastAsia" w:cstheme="minorEastAsia"/>
          <w:color w:val="auto"/>
          <w:sz w:val="24"/>
          <w:highlight w:val="none"/>
        </w:rPr>
        <w:t>泄密造成的风险和各种不良后果</w:t>
      </w:r>
      <w:r>
        <w:rPr>
          <w:rFonts w:hint="eastAsia" w:asciiTheme="minorEastAsia" w:hAnsiTheme="minorEastAsia" w:eastAsiaTheme="minorEastAsia" w:cstheme="minorEastAsia"/>
          <w:color w:val="auto"/>
          <w:sz w:val="24"/>
          <w:highlight w:val="none"/>
          <w:lang w:eastAsia="zh-CN"/>
        </w:rPr>
        <w:t>。</w:t>
      </w:r>
    </w:p>
    <w:p w14:paraId="0B2E081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7、乙方</w:t>
      </w:r>
      <w:r>
        <w:rPr>
          <w:rFonts w:hint="eastAsia" w:asciiTheme="minorEastAsia" w:hAnsiTheme="minorEastAsia" w:eastAsiaTheme="minorEastAsia" w:cstheme="minorEastAsia"/>
          <w:color w:val="auto"/>
          <w:sz w:val="24"/>
          <w:highlight w:val="none"/>
        </w:rPr>
        <w:t>不得带领无关人员进入办公场所。</w:t>
      </w:r>
    </w:p>
    <w:p w14:paraId="228C67A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8、乙方</w:t>
      </w:r>
      <w:r>
        <w:rPr>
          <w:rFonts w:hint="eastAsia" w:asciiTheme="minorEastAsia" w:hAnsiTheme="minorEastAsia" w:eastAsiaTheme="minorEastAsia" w:cstheme="minorEastAsia"/>
          <w:color w:val="auto"/>
          <w:sz w:val="24"/>
          <w:highlight w:val="none"/>
        </w:rPr>
        <w:t>须无条件配合开展</w:t>
      </w:r>
      <w:r>
        <w:rPr>
          <w:rFonts w:hint="eastAsia" w:asciiTheme="minorEastAsia" w:hAnsiTheme="minorEastAsia" w:eastAsiaTheme="minorEastAsia" w:cstheme="minorEastAsia"/>
          <w:color w:val="auto"/>
          <w:sz w:val="24"/>
          <w:highlight w:val="none"/>
          <w:lang w:eastAsia="zh-CN"/>
        </w:rPr>
        <w:t>本项目实施</w:t>
      </w:r>
      <w:r>
        <w:rPr>
          <w:rFonts w:hint="eastAsia" w:asciiTheme="minorEastAsia" w:hAnsiTheme="minorEastAsia" w:eastAsiaTheme="minorEastAsia" w:cstheme="minorEastAsia"/>
          <w:color w:val="auto"/>
          <w:sz w:val="24"/>
          <w:highlight w:val="none"/>
        </w:rPr>
        <w:t>人员岗前审查、保密教育、保密检查工作。必须对项目实施过程中获取的相关信息保密（相关信息包括但不限于本项目），如发生失泄密事件即终止合同，且</w:t>
      </w:r>
      <w:r>
        <w:rPr>
          <w:rFonts w:hint="eastAsia" w:asciiTheme="minorEastAsia" w:hAnsiTheme="minorEastAsia" w:eastAsiaTheme="minorEastAsia" w:cstheme="minorEastAsia"/>
          <w:color w:val="auto"/>
          <w:sz w:val="24"/>
          <w:highlight w:val="none"/>
          <w:lang w:val="en-US" w:eastAsia="zh-CN"/>
        </w:rPr>
        <w:t>乙方</w:t>
      </w:r>
      <w:r>
        <w:rPr>
          <w:rFonts w:hint="eastAsia" w:asciiTheme="minorEastAsia" w:hAnsiTheme="minorEastAsia" w:eastAsiaTheme="minorEastAsia" w:cstheme="minorEastAsia"/>
          <w:color w:val="auto"/>
          <w:sz w:val="24"/>
          <w:highlight w:val="none"/>
        </w:rPr>
        <w:t>不得参与</w:t>
      </w:r>
      <w:r>
        <w:rPr>
          <w:rFonts w:hint="eastAsia" w:asciiTheme="minorEastAsia" w:hAnsiTheme="minorEastAsia" w:eastAsiaTheme="minorEastAsia" w:cstheme="minorEastAsia"/>
          <w:color w:val="auto"/>
          <w:sz w:val="24"/>
          <w:highlight w:val="none"/>
          <w:lang w:eastAsia="zh-CN"/>
        </w:rPr>
        <w:t>甲方后续</w:t>
      </w:r>
      <w:r>
        <w:rPr>
          <w:rFonts w:hint="eastAsia" w:asciiTheme="minorEastAsia" w:hAnsiTheme="minorEastAsia" w:eastAsiaTheme="minorEastAsia" w:cstheme="minorEastAsia"/>
          <w:color w:val="auto"/>
          <w:sz w:val="24"/>
          <w:highlight w:val="none"/>
        </w:rPr>
        <w:t>项目投标活动。</w:t>
      </w:r>
    </w:p>
    <w:p w14:paraId="71E5685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lang w:eastAsia="zh-CN"/>
        </w:rPr>
        <w:t>上述保密要求</w:t>
      </w:r>
      <w:r>
        <w:rPr>
          <w:rFonts w:hint="eastAsia" w:asciiTheme="minorEastAsia" w:hAnsiTheme="minorEastAsia" w:eastAsiaTheme="minorEastAsia" w:cstheme="minorEastAsia"/>
          <w:color w:val="auto"/>
          <w:sz w:val="24"/>
          <w:highlight w:val="none"/>
        </w:rPr>
        <w:t>长期有效，不因本</w:t>
      </w:r>
      <w:r>
        <w:rPr>
          <w:rFonts w:hint="eastAsia" w:asciiTheme="minorEastAsia" w:hAnsiTheme="minorEastAsia" w:eastAsiaTheme="minorEastAsia" w:cstheme="minorEastAsia"/>
          <w:color w:val="auto"/>
          <w:sz w:val="24"/>
          <w:highlight w:val="none"/>
          <w:lang w:eastAsia="zh-CN"/>
        </w:rPr>
        <w:t>项目</w:t>
      </w:r>
      <w:r>
        <w:rPr>
          <w:rFonts w:hint="eastAsia" w:asciiTheme="minorEastAsia" w:hAnsiTheme="minorEastAsia" w:eastAsiaTheme="minorEastAsia" w:cstheme="minorEastAsia"/>
          <w:color w:val="auto"/>
          <w:sz w:val="24"/>
          <w:highlight w:val="none"/>
        </w:rPr>
        <w:t>合同的终止而终止。</w:t>
      </w:r>
    </w:p>
    <w:p w14:paraId="332E9EA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w:t>
      </w:r>
      <w:r>
        <w:rPr>
          <w:rFonts w:hint="eastAsia" w:asciiTheme="minorEastAsia" w:hAnsiTheme="minorEastAsia" w:eastAsiaTheme="minorEastAsia" w:cstheme="minorEastAsia"/>
          <w:b/>
          <w:color w:val="auto"/>
          <w:sz w:val="24"/>
          <w:highlight w:val="none"/>
          <w:lang w:val="en-US" w:eastAsia="zh-CN"/>
        </w:rPr>
        <w:t>七</w:t>
      </w:r>
      <w:r>
        <w:rPr>
          <w:rFonts w:hint="eastAsia" w:asciiTheme="minorEastAsia" w:hAnsiTheme="minorEastAsia" w:eastAsiaTheme="minorEastAsia" w:cstheme="minorEastAsia"/>
          <w:b/>
          <w:color w:val="auto"/>
          <w:sz w:val="24"/>
          <w:highlight w:val="none"/>
        </w:rPr>
        <w:t>条　售后服务及培训</w:t>
      </w:r>
    </w:p>
    <w:p w14:paraId="3282E49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1、乙方应按照国家有关法律法规和本合同所附的《售后服务承诺》要求为甲方提供相应的售后服务。</w:t>
      </w:r>
    </w:p>
    <w:p w14:paraId="63DA758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2、甲方应</w:t>
      </w:r>
      <w:r>
        <w:rPr>
          <w:rFonts w:hint="eastAsia" w:asciiTheme="minorEastAsia" w:hAnsiTheme="minorEastAsia" w:eastAsiaTheme="minorEastAsia" w:cstheme="minorEastAsia"/>
          <w:color w:val="auto"/>
          <w:sz w:val="24"/>
          <w:highlight w:val="none"/>
          <w:lang w:val="en-US" w:eastAsia="zh-CN"/>
        </w:rPr>
        <w:t>为乙方</w:t>
      </w:r>
      <w:r>
        <w:rPr>
          <w:rFonts w:hint="eastAsia" w:asciiTheme="minorEastAsia" w:hAnsiTheme="minorEastAsia" w:eastAsiaTheme="minorEastAsia" w:cstheme="minorEastAsia"/>
          <w:color w:val="auto"/>
          <w:sz w:val="24"/>
          <w:highlight w:val="none"/>
        </w:rPr>
        <w:t>提供必要</w:t>
      </w:r>
      <w:r>
        <w:rPr>
          <w:rFonts w:hint="eastAsia" w:asciiTheme="minorEastAsia" w:hAnsiTheme="minorEastAsia" w:eastAsiaTheme="minorEastAsia" w:cstheme="minorEastAsia"/>
          <w:color w:val="auto"/>
          <w:sz w:val="24"/>
          <w:highlight w:val="none"/>
          <w:lang w:val="en-US" w:eastAsia="zh-CN"/>
        </w:rPr>
        <w:t>售后服务</w:t>
      </w:r>
      <w:r>
        <w:rPr>
          <w:rFonts w:hint="eastAsia" w:asciiTheme="minorEastAsia" w:hAnsiTheme="minorEastAsia" w:eastAsiaTheme="minorEastAsia" w:cstheme="minorEastAsia"/>
          <w:color w:val="auto"/>
          <w:sz w:val="24"/>
          <w:highlight w:val="none"/>
        </w:rPr>
        <w:t>条件（如场地、电源、水源等）</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售后服务所需使用的电脑等硬件设备由乙方负责解决</w:t>
      </w:r>
      <w:r>
        <w:rPr>
          <w:rFonts w:hint="eastAsia" w:asciiTheme="minorEastAsia" w:hAnsiTheme="minorEastAsia" w:eastAsiaTheme="minorEastAsia" w:cstheme="minorEastAsia"/>
          <w:color w:val="auto"/>
          <w:sz w:val="24"/>
          <w:highlight w:val="none"/>
        </w:rPr>
        <w:t>。</w:t>
      </w:r>
    </w:p>
    <w:p w14:paraId="72B1D66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3、乙方负责甲方有关人员的培训。培训时间、地点：</w:t>
      </w:r>
      <w:r>
        <w:rPr>
          <w:rFonts w:hint="eastAsia" w:asciiTheme="minorEastAsia" w:hAnsiTheme="minorEastAsia" w:eastAsiaTheme="minorEastAsia" w:cstheme="minorEastAsia"/>
          <w:color w:val="auto"/>
          <w:sz w:val="24"/>
          <w:highlight w:val="none"/>
          <w:lang w:eastAsia="zh-CN"/>
        </w:rPr>
        <w:t>甲方</w:t>
      </w:r>
      <w:r>
        <w:rPr>
          <w:rFonts w:hint="eastAsia" w:asciiTheme="minorEastAsia" w:hAnsiTheme="minorEastAsia" w:eastAsiaTheme="minorEastAsia" w:cstheme="minorEastAsia"/>
          <w:color w:val="auto"/>
          <w:sz w:val="24"/>
          <w:highlight w:val="none"/>
        </w:rPr>
        <w:t>指定地点。</w:t>
      </w:r>
    </w:p>
    <w:p w14:paraId="6289801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394" w:name="_Hlk83594181"/>
      <w:r>
        <w:rPr>
          <w:rFonts w:hint="eastAsia" w:asciiTheme="minorEastAsia" w:hAnsiTheme="minorEastAsia" w:eastAsiaTheme="minorEastAsia" w:cstheme="minorEastAsia"/>
          <w:color w:val="auto"/>
          <w:sz w:val="24"/>
          <w:highlight w:val="none"/>
        </w:rPr>
        <w:t>4、在服务时间以及质保期内，乙方应对出现的质量及安全问题负责处理解决并承担一切费用。</w:t>
      </w:r>
    </w:p>
    <w:p w14:paraId="7E2E54C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、乙方如不再为甲方继续提供本项目服务，则须按甲方要求，在十个工作日内向甲方移交本项目所有相关数据，不得留存或另行备份。</w:t>
      </w:r>
    </w:p>
    <w:bookmarkEnd w:id="394"/>
    <w:p w14:paraId="1620E5A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w:t>
      </w:r>
      <w:r>
        <w:rPr>
          <w:rFonts w:hint="eastAsia" w:asciiTheme="minorEastAsia" w:hAnsiTheme="minorEastAsia" w:eastAsiaTheme="minorEastAsia" w:cstheme="minorEastAsia"/>
          <w:b/>
          <w:color w:val="auto"/>
          <w:sz w:val="24"/>
          <w:highlight w:val="none"/>
          <w:lang w:val="en-US" w:eastAsia="zh-CN"/>
        </w:rPr>
        <w:t>八</w:t>
      </w:r>
      <w:r>
        <w:rPr>
          <w:rFonts w:hint="eastAsia" w:asciiTheme="minorEastAsia" w:hAnsiTheme="minorEastAsia" w:eastAsiaTheme="minorEastAsia" w:cstheme="minorEastAsia"/>
          <w:b/>
          <w:color w:val="auto"/>
          <w:sz w:val="24"/>
          <w:highlight w:val="none"/>
        </w:rPr>
        <w:t>条　付款方式</w:t>
      </w:r>
    </w:p>
    <w:p w14:paraId="136DB65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eastAsia="zh-CN"/>
        </w:rPr>
        <w:t>甲方</w:t>
      </w:r>
      <w:r>
        <w:rPr>
          <w:rFonts w:hint="eastAsia" w:asciiTheme="minorEastAsia" w:hAnsiTheme="minorEastAsia" w:eastAsiaTheme="minorEastAsia" w:cstheme="minorEastAsia"/>
          <w:bCs/>
          <w:color w:val="auto"/>
          <w:sz w:val="24"/>
          <w:highlight w:val="none"/>
        </w:rPr>
        <w:t>通过银行转账方式向</w:t>
      </w:r>
      <w:r>
        <w:rPr>
          <w:rFonts w:hint="eastAsia" w:asciiTheme="minorEastAsia" w:hAnsiTheme="minorEastAsia" w:eastAsiaTheme="minorEastAsia" w:cstheme="minorEastAsia"/>
          <w:bCs/>
          <w:color w:val="auto"/>
          <w:sz w:val="24"/>
          <w:highlight w:val="none"/>
          <w:lang w:eastAsia="zh-CN"/>
        </w:rPr>
        <w:t>乙方</w:t>
      </w:r>
      <w:r>
        <w:rPr>
          <w:rFonts w:hint="eastAsia" w:asciiTheme="minorEastAsia" w:hAnsiTheme="minorEastAsia" w:eastAsiaTheme="minorEastAsia" w:cstheme="minorEastAsia"/>
          <w:bCs/>
          <w:color w:val="auto"/>
          <w:sz w:val="24"/>
          <w:highlight w:val="none"/>
        </w:rPr>
        <w:t>支付合同款，具体付款方式为：</w:t>
      </w:r>
    </w:p>
    <w:p w14:paraId="574B15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1、</w:t>
      </w:r>
      <w:r>
        <w:rPr>
          <w:rFonts w:hint="eastAsia" w:asciiTheme="minorEastAsia" w:hAnsiTheme="minorEastAsia" w:eastAsiaTheme="minorEastAsia" w:cstheme="minorEastAsia"/>
          <w:bCs/>
          <w:color w:val="auto"/>
          <w:sz w:val="24"/>
          <w:highlight w:val="none"/>
          <w:lang w:eastAsia="zh-CN"/>
        </w:rPr>
        <w:t>甲方</w:t>
      </w:r>
      <w:r>
        <w:rPr>
          <w:rFonts w:hint="eastAsia" w:asciiTheme="minorEastAsia" w:hAnsiTheme="minorEastAsia" w:eastAsiaTheme="minorEastAsia" w:cstheme="minorEastAsia"/>
          <w:bCs/>
          <w:color w:val="auto"/>
          <w:sz w:val="24"/>
          <w:highlight w:val="none"/>
          <w:lang w:val="en-US" w:eastAsia="zh-CN"/>
        </w:rPr>
        <w:t>在本合同生效且收到北海市财政部门拨付的项目资金</w:t>
      </w:r>
      <w:r>
        <w:rPr>
          <w:rFonts w:hint="eastAsia" w:asciiTheme="minorEastAsia" w:hAnsiTheme="minorEastAsia" w:eastAsiaTheme="minorEastAsia" w:cstheme="minorEastAsia"/>
          <w:bCs/>
          <w:color w:val="auto"/>
          <w:sz w:val="24"/>
          <w:highlight w:val="none"/>
        </w:rPr>
        <w:t>后</w:t>
      </w:r>
      <w:r>
        <w:rPr>
          <w:rFonts w:hint="eastAsia" w:asciiTheme="minorEastAsia" w:hAnsiTheme="minorEastAsia" w:eastAsiaTheme="minorEastAsia" w:cstheme="minorEastAsia"/>
          <w:bCs/>
          <w:color w:val="auto"/>
          <w:sz w:val="24"/>
          <w:highlight w:val="none"/>
          <w:lang w:eastAsia="zh-CN"/>
        </w:rPr>
        <w:t>10个工作日</w:t>
      </w:r>
      <w:r>
        <w:rPr>
          <w:rFonts w:hint="eastAsia" w:asciiTheme="minorEastAsia" w:hAnsiTheme="minorEastAsia" w:eastAsiaTheme="minorEastAsia" w:cstheme="minorEastAsia"/>
          <w:bCs/>
          <w:color w:val="auto"/>
          <w:sz w:val="24"/>
          <w:highlight w:val="none"/>
        </w:rPr>
        <w:t>内，向</w:t>
      </w:r>
      <w:r>
        <w:rPr>
          <w:rFonts w:hint="eastAsia" w:asciiTheme="minorEastAsia" w:hAnsiTheme="minorEastAsia" w:eastAsiaTheme="minorEastAsia" w:cstheme="minorEastAsia"/>
          <w:bCs/>
          <w:color w:val="auto"/>
          <w:sz w:val="24"/>
          <w:highlight w:val="none"/>
          <w:lang w:eastAsia="zh-CN"/>
        </w:rPr>
        <w:t>乙方</w:t>
      </w:r>
      <w:r>
        <w:rPr>
          <w:rFonts w:hint="eastAsia" w:asciiTheme="minorEastAsia" w:hAnsiTheme="minorEastAsia" w:eastAsiaTheme="minorEastAsia" w:cstheme="minorEastAsia"/>
          <w:bCs/>
          <w:color w:val="auto"/>
          <w:sz w:val="24"/>
          <w:highlight w:val="none"/>
        </w:rPr>
        <w:t>支付合同总金额的15%；</w:t>
      </w:r>
    </w:p>
    <w:p w14:paraId="43ECB65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2、甲方在</w:t>
      </w:r>
      <w:r>
        <w:rPr>
          <w:rFonts w:hint="eastAsia" w:asciiTheme="minorEastAsia" w:hAnsiTheme="minorEastAsia" w:eastAsiaTheme="minorEastAsia" w:cstheme="minorEastAsia"/>
          <w:bCs/>
          <w:color w:val="auto"/>
          <w:sz w:val="24"/>
          <w:highlight w:val="none"/>
        </w:rPr>
        <w:t>项目初步验收</w:t>
      </w:r>
      <w:r>
        <w:rPr>
          <w:rFonts w:hint="eastAsia" w:asciiTheme="minorEastAsia" w:hAnsiTheme="minorEastAsia" w:eastAsiaTheme="minorEastAsia" w:cstheme="minorEastAsia"/>
          <w:bCs/>
          <w:color w:val="auto"/>
          <w:sz w:val="24"/>
          <w:highlight w:val="none"/>
          <w:lang w:val="en-US" w:eastAsia="zh-CN"/>
        </w:rPr>
        <w:t>合格且收到北海市财政部门拨付的项目资金</w:t>
      </w:r>
      <w:r>
        <w:rPr>
          <w:rFonts w:hint="eastAsia" w:asciiTheme="minorEastAsia" w:hAnsiTheme="minorEastAsia" w:eastAsiaTheme="minorEastAsia" w:cstheme="minorEastAsia"/>
          <w:bCs/>
          <w:color w:val="auto"/>
          <w:sz w:val="24"/>
          <w:highlight w:val="none"/>
        </w:rPr>
        <w:t>后</w:t>
      </w:r>
      <w:r>
        <w:rPr>
          <w:rFonts w:hint="eastAsia" w:asciiTheme="minorEastAsia" w:hAnsiTheme="minorEastAsia" w:eastAsiaTheme="minorEastAsia" w:cstheme="minorEastAsia"/>
          <w:bCs/>
          <w:color w:val="auto"/>
          <w:sz w:val="24"/>
          <w:highlight w:val="none"/>
          <w:lang w:eastAsia="zh-CN"/>
        </w:rPr>
        <w:t>10个工作日</w:t>
      </w:r>
      <w:r>
        <w:rPr>
          <w:rFonts w:hint="eastAsia" w:asciiTheme="minorEastAsia" w:hAnsiTheme="minorEastAsia" w:eastAsiaTheme="minorEastAsia" w:cstheme="minorEastAsia"/>
          <w:bCs/>
          <w:color w:val="auto"/>
          <w:sz w:val="24"/>
          <w:highlight w:val="none"/>
        </w:rPr>
        <w:t>内，</w:t>
      </w:r>
      <w:r>
        <w:rPr>
          <w:rFonts w:hint="eastAsia" w:asciiTheme="minorEastAsia" w:hAnsiTheme="minorEastAsia" w:eastAsiaTheme="minorEastAsia" w:cstheme="minorEastAsia"/>
          <w:bCs/>
          <w:color w:val="auto"/>
          <w:sz w:val="24"/>
          <w:highlight w:val="none"/>
          <w:lang w:eastAsia="zh-CN"/>
        </w:rPr>
        <w:t>甲方</w:t>
      </w:r>
      <w:r>
        <w:rPr>
          <w:rFonts w:hint="eastAsia" w:asciiTheme="minorEastAsia" w:hAnsiTheme="minorEastAsia" w:eastAsiaTheme="minorEastAsia" w:cstheme="minorEastAsia"/>
          <w:bCs/>
          <w:color w:val="auto"/>
          <w:sz w:val="24"/>
          <w:highlight w:val="none"/>
        </w:rPr>
        <w:t>向</w:t>
      </w:r>
      <w:r>
        <w:rPr>
          <w:rFonts w:hint="eastAsia" w:asciiTheme="minorEastAsia" w:hAnsiTheme="minorEastAsia" w:eastAsiaTheme="minorEastAsia" w:cstheme="minorEastAsia"/>
          <w:bCs/>
          <w:color w:val="auto"/>
          <w:sz w:val="24"/>
          <w:highlight w:val="none"/>
          <w:lang w:eastAsia="zh-CN"/>
        </w:rPr>
        <w:t>乙方</w:t>
      </w:r>
      <w:r>
        <w:rPr>
          <w:rFonts w:hint="eastAsia" w:asciiTheme="minorEastAsia" w:hAnsiTheme="minorEastAsia" w:eastAsiaTheme="minorEastAsia" w:cstheme="minorEastAsia"/>
          <w:bCs/>
          <w:color w:val="auto"/>
          <w:sz w:val="24"/>
          <w:highlight w:val="none"/>
        </w:rPr>
        <w:t>支付合同总金额的45%；</w:t>
      </w:r>
    </w:p>
    <w:p w14:paraId="0968488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3、甲方在</w:t>
      </w:r>
      <w:r>
        <w:rPr>
          <w:rFonts w:hint="eastAsia" w:asciiTheme="minorEastAsia" w:hAnsiTheme="minorEastAsia" w:eastAsiaTheme="minorEastAsia" w:cstheme="minorEastAsia"/>
          <w:bCs/>
          <w:color w:val="auto"/>
          <w:sz w:val="24"/>
          <w:highlight w:val="none"/>
        </w:rPr>
        <w:t>项目最终验收合格</w:t>
      </w:r>
      <w:r>
        <w:rPr>
          <w:rFonts w:hint="eastAsia" w:asciiTheme="minorEastAsia" w:hAnsiTheme="minorEastAsia" w:eastAsiaTheme="minorEastAsia" w:cstheme="minorEastAsia"/>
          <w:bCs/>
          <w:color w:val="auto"/>
          <w:sz w:val="24"/>
          <w:highlight w:val="none"/>
          <w:lang w:val="en-US" w:eastAsia="zh-CN"/>
        </w:rPr>
        <w:t>且收到收到北海市财政部门拨付的项目资金</w:t>
      </w:r>
      <w:r>
        <w:rPr>
          <w:rFonts w:hint="eastAsia" w:asciiTheme="minorEastAsia" w:hAnsiTheme="minorEastAsia" w:eastAsiaTheme="minorEastAsia" w:cstheme="minorEastAsia"/>
          <w:bCs/>
          <w:color w:val="auto"/>
          <w:sz w:val="24"/>
          <w:highlight w:val="none"/>
        </w:rPr>
        <w:t>后</w:t>
      </w:r>
      <w:r>
        <w:rPr>
          <w:rFonts w:hint="eastAsia" w:asciiTheme="minorEastAsia" w:hAnsiTheme="minorEastAsia" w:eastAsiaTheme="minorEastAsia" w:cstheme="minorEastAsia"/>
          <w:bCs/>
          <w:color w:val="auto"/>
          <w:sz w:val="24"/>
          <w:highlight w:val="none"/>
          <w:lang w:eastAsia="zh-CN"/>
        </w:rPr>
        <w:t>10个工作日</w:t>
      </w:r>
      <w:r>
        <w:rPr>
          <w:rFonts w:hint="eastAsia" w:asciiTheme="minorEastAsia" w:hAnsiTheme="minorEastAsia" w:eastAsiaTheme="minorEastAsia" w:cstheme="minorEastAsia"/>
          <w:bCs/>
          <w:color w:val="auto"/>
          <w:sz w:val="24"/>
          <w:highlight w:val="none"/>
        </w:rPr>
        <w:t>内，</w:t>
      </w:r>
      <w:r>
        <w:rPr>
          <w:rFonts w:hint="eastAsia" w:asciiTheme="minorEastAsia" w:hAnsiTheme="minorEastAsia" w:eastAsiaTheme="minorEastAsia" w:cstheme="minorEastAsia"/>
          <w:bCs/>
          <w:color w:val="auto"/>
          <w:sz w:val="24"/>
          <w:highlight w:val="none"/>
          <w:lang w:eastAsia="zh-CN"/>
        </w:rPr>
        <w:t>甲方</w:t>
      </w:r>
      <w:r>
        <w:rPr>
          <w:rFonts w:hint="eastAsia" w:asciiTheme="minorEastAsia" w:hAnsiTheme="minorEastAsia" w:eastAsiaTheme="minorEastAsia" w:cstheme="minorEastAsia"/>
          <w:bCs/>
          <w:color w:val="auto"/>
          <w:sz w:val="24"/>
          <w:highlight w:val="none"/>
        </w:rPr>
        <w:t>向</w:t>
      </w:r>
      <w:r>
        <w:rPr>
          <w:rFonts w:hint="eastAsia" w:asciiTheme="minorEastAsia" w:hAnsiTheme="minorEastAsia" w:eastAsiaTheme="minorEastAsia" w:cstheme="minorEastAsia"/>
          <w:bCs/>
          <w:color w:val="auto"/>
          <w:sz w:val="24"/>
          <w:highlight w:val="none"/>
          <w:lang w:eastAsia="zh-CN"/>
        </w:rPr>
        <w:t>乙方</w:t>
      </w:r>
      <w:r>
        <w:rPr>
          <w:rFonts w:hint="eastAsia" w:asciiTheme="minorEastAsia" w:hAnsiTheme="minorEastAsia" w:eastAsiaTheme="minorEastAsia" w:cstheme="minorEastAsia"/>
          <w:bCs/>
          <w:color w:val="auto"/>
          <w:sz w:val="24"/>
          <w:highlight w:val="none"/>
        </w:rPr>
        <w:t>支付</w:t>
      </w:r>
      <w:r>
        <w:rPr>
          <w:rFonts w:hint="eastAsia" w:asciiTheme="minorEastAsia" w:hAnsiTheme="minorEastAsia" w:eastAsiaTheme="minorEastAsia" w:cstheme="minorEastAsia"/>
          <w:bCs/>
          <w:color w:val="auto"/>
          <w:sz w:val="24"/>
          <w:highlight w:val="none"/>
          <w:lang w:eastAsia="zh-CN"/>
        </w:rPr>
        <w:t>合同总金额</w:t>
      </w:r>
      <w:r>
        <w:rPr>
          <w:rFonts w:hint="eastAsia" w:asciiTheme="minorEastAsia" w:hAnsiTheme="minorEastAsia" w:eastAsiaTheme="minorEastAsia" w:cstheme="minorEastAsia"/>
          <w:bCs/>
          <w:color w:val="auto"/>
          <w:sz w:val="24"/>
          <w:highlight w:val="none"/>
        </w:rPr>
        <w:t>的40%；</w:t>
      </w:r>
    </w:p>
    <w:p w14:paraId="0069A92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lang w:val="en-US" w:eastAsia="zh-CN"/>
        </w:rPr>
        <w:t>4、乙方</w:t>
      </w:r>
      <w:r>
        <w:rPr>
          <w:rFonts w:hint="eastAsia" w:asciiTheme="minorEastAsia" w:hAnsiTheme="minorEastAsia" w:eastAsiaTheme="minorEastAsia" w:cstheme="minorEastAsia"/>
          <w:bCs/>
          <w:color w:val="auto"/>
          <w:sz w:val="24"/>
          <w:highlight w:val="none"/>
        </w:rPr>
        <w:t>应向</w:t>
      </w:r>
      <w:r>
        <w:rPr>
          <w:rFonts w:hint="eastAsia" w:asciiTheme="minorEastAsia" w:hAnsiTheme="minorEastAsia" w:eastAsiaTheme="minorEastAsia" w:cstheme="minorEastAsia"/>
          <w:bCs/>
          <w:color w:val="auto"/>
          <w:sz w:val="24"/>
          <w:highlight w:val="none"/>
          <w:lang w:val="en-US" w:eastAsia="zh-CN"/>
        </w:rPr>
        <w:t>甲方</w:t>
      </w:r>
      <w:r>
        <w:rPr>
          <w:rFonts w:hint="eastAsia" w:asciiTheme="minorEastAsia" w:hAnsiTheme="minorEastAsia" w:eastAsiaTheme="minorEastAsia" w:cstheme="minorEastAsia"/>
          <w:bCs/>
          <w:color w:val="auto"/>
          <w:sz w:val="24"/>
          <w:highlight w:val="none"/>
        </w:rPr>
        <w:t>提供与支付金额相符的有效发票。</w:t>
      </w:r>
    </w:p>
    <w:p w14:paraId="73BD556F">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w:t>
      </w:r>
      <w:r>
        <w:rPr>
          <w:rFonts w:hint="eastAsia" w:asciiTheme="minorEastAsia" w:hAnsiTheme="minorEastAsia" w:eastAsiaTheme="minorEastAsia" w:cstheme="minorEastAsia"/>
          <w:b/>
          <w:color w:val="auto"/>
          <w:sz w:val="24"/>
          <w:highlight w:val="none"/>
          <w:lang w:val="en-US" w:eastAsia="zh-CN"/>
        </w:rPr>
        <w:t>九</w:t>
      </w:r>
      <w:r>
        <w:rPr>
          <w:rFonts w:hint="eastAsia" w:asciiTheme="minorEastAsia" w:hAnsiTheme="minorEastAsia" w:eastAsiaTheme="minorEastAsia" w:cstheme="minorEastAsia"/>
          <w:b/>
          <w:color w:val="auto"/>
          <w:sz w:val="24"/>
          <w:highlight w:val="none"/>
        </w:rPr>
        <w:t>条　履约保证金</w:t>
      </w:r>
    </w:p>
    <w:p w14:paraId="7061283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履约保证金金额：</w:t>
      </w:r>
      <w:r>
        <w:rPr>
          <w:rFonts w:hint="eastAsia" w:asciiTheme="minorEastAsia" w:hAnsiTheme="minorEastAsia" w:eastAsiaTheme="minorEastAsia" w:cstheme="minorEastAsia"/>
          <w:color w:val="auto"/>
          <w:sz w:val="24"/>
          <w:highlight w:val="none"/>
          <w:lang w:eastAsia="zh-CN"/>
        </w:rPr>
        <w:t>合同总金额</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i w:val="0"/>
          <w:iCs w:val="0"/>
          <w:color w:val="auto"/>
          <w:sz w:val="24"/>
          <w:szCs w:val="24"/>
          <w:highlight w:val="none"/>
          <w:u w:val="none" w:color="auto"/>
        </w:rPr>
        <w:t xml:space="preserve">   %（注：履约保证金不超过5%）</w:t>
      </w:r>
      <w:r>
        <w:rPr>
          <w:rFonts w:hint="eastAsia" w:asciiTheme="minorEastAsia" w:hAnsiTheme="minorEastAsia" w:eastAsiaTheme="minorEastAsia" w:cstheme="minorEastAsia"/>
          <w:color w:val="auto"/>
          <w:sz w:val="24"/>
          <w:highlight w:val="none"/>
        </w:rPr>
        <w:t>。</w:t>
      </w:r>
    </w:p>
    <w:p w14:paraId="05D5E985">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履约保证金递交时间</w:t>
      </w:r>
      <w:r>
        <w:rPr>
          <w:rFonts w:hint="eastAsia" w:asciiTheme="minorEastAsia" w:hAnsiTheme="minorEastAsia" w:eastAsiaTheme="minorEastAsia" w:cstheme="minorEastAsia"/>
          <w:color w:val="auto"/>
          <w:sz w:val="24"/>
          <w:highlight w:val="none"/>
          <w:lang w:val="en-US" w:eastAsia="zh-CN"/>
        </w:rPr>
        <w:t>和方式</w:t>
      </w:r>
      <w:r>
        <w:rPr>
          <w:rFonts w:hint="eastAsia" w:asciiTheme="minorEastAsia" w:hAnsiTheme="minorEastAsia" w:eastAsiaTheme="minorEastAsia" w:cstheme="minorEastAsia"/>
          <w:color w:val="auto"/>
          <w:sz w:val="24"/>
          <w:highlight w:val="none"/>
        </w:rPr>
        <w:t>：合同签订后10个工作日内，乙方以支票、汇票、本票或者金融机构、担保机构出具的保函等非现金形式向甲方递交足额的履约保证金。</w:t>
      </w:r>
    </w:p>
    <w:p w14:paraId="507DA90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履约保证金退付方式、时间及条件：乙方按照甲方的要求，完成所承诺</w:t>
      </w:r>
      <w:r>
        <w:rPr>
          <w:rFonts w:hint="eastAsia" w:asciiTheme="minorEastAsia" w:hAnsiTheme="minorEastAsia" w:eastAsiaTheme="minorEastAsia" w:cstheme="minorEastAsia"/>
          <w:color w:val="auto"/>
          <w:sz w:val="24"/>
          <w:highlight w:val="none"/>
          <w:lang w:val="en-US" w:eastAsia="zh-CN"/>
        </w:rPr>
        <w:t>服务内容（含</w:t>
      </w:r>
      <w:r>
        <w:rPr>
          <w:rFonts w:hint="eastAsia" w:asciiTheme="minorEastAsia" w:hAnsiTheme="minorEastAsia" w:eastAsiaTheme="minorEastAsia" w:cstheme="minorEastAsia"/>
          <w:color w:val="auto"/>
          <w:sz w:val="24"/>
          <w:highlight w:val="none"/>
        </w:rPr>
        <w:t>售后服务</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，并得到甲方的确认后，向甲方提出履约保证金退付申请，甲方履行完必要的审批手续后，向乙方退付履约保证金（不计利息）。</w:t>
      </w:r>
    </w:p>
    <w:p w14:paraId="16E00CB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签订合同后，如乙方不按双方签订的合同</w:t>
      </w:r>
      <w:r>
        <w:rPr>
          <w:rFonts w:hint="eastAsia" w:asciiTheme="minorEastAsia" w:hAnsiTheme="minorEastAsia" w:eastAsiaTheme="minorEastAsia" w:cstheme="minorEastAsia"/>
          <w:color w:val="auto"/>
          <w:sz w:val="24"/>
          <w:highlight w:val="none"/>
          <w:lang w:val="en-US" w:eastAsia="zh-CN"/>
        </w:rPr>
        <w:t>约定</w:t>
      </w:r>
      <w:r>
        <w:rPr>
          <w:rFonts w:hint="eastAsia" w:asciiTheme="minorEastAsia" w:hAnsiTheme="minorEastAsia" w:eastAsiaTheme="minorEastAsia" w:cstheme="minorEastAsia"/>
          <w:color w:val="auto"/>
          <w:sz w:val="24"/>
          <w:highlight w:val="none"/>
        </w:rPr>
        <w:t>履约，则</w:t>
      </w:r>
      <w:r>
        <w:rPr>
          <w:rFonts w:hint="eastAsia" w:asciiTheme="minorEastAsia" w:hAnsiTheme="minorEastAsia" w:eastAsiaTheme="minorEastAsia" w:cstheme="minorEastAsia"/>
          <w:color w:val="auto"/>
          <w:sz w:val="24"/>
          <w:highlight w:val="none"/>
          <w:lang w:val="en-US" w:eastAsia="zh-CN"/>
        </w:rPr>
        <w:t>甲方有权</w:t>
      </w:r>
      <w:r>
        <w:rPr>
          <w:rFonts w:hint="eastAsia" w:asciiTheme="minorEastAsia" w:hAnsiTheme="minorEastAsia" w:eastAsiaTheme="minorEastAsia" w:cstheme="minorEastAsia"/>
          <w:color w:val="auto"/>
          <w:sz w:val="24"/>
          <w:highlight w:val="none"/>
        </w:rPr>
        <w:t>没收其全部履约保证金，履约保证金不足以赔偿损失的，按实际损失赔偿。</w:t>
      </w:r>
    </w:p>
    <w:p w14:paraId="3D4F893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w:t>
      </w:r>
      <w:r>
        <w:rPr>
          <w:rFonts w:hint="eastAsia" w:asciiTheme="minorEastAsia" w:hAnsiTheme="minorEastAsia" w:eastAsiaTheme="minorEastAsia" w:cstheme="minorEastAsia"/>
          <w:b/>
          <w:color w:val="auto"/>
          <w:sz w:val="24"/>
          <w:highlight w:val="none"/>
          <w:lang w:val="en-US" w:eastAsia="zh-CN"/>
        </w:rPr>
        <w:t>十</w:t>
      </w:r>
      <w:r>
        <w:rPr>
          <w:rFonts w:hint="eastAsia" w:asciiTheme="minorEastAsia" w:hAnsiTheme="minorEastAsia" w:eastAsiaTheme="minorEastAsia" w:cstheme="minorEastAsia"/>
          <w:b/>
          <w:color w:val="auto"/>
          <w:sz w:val="24"/>
          <w:highlight w:val="none"/>
        </w:rPr>
        <w:t>条  税费</w:t>
      </w:r>
    </w:p>
    <w:p w14:paraId="3FDB2D7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本合同执行中相关的一切税费均由乙方负担，合同另有约定的除外。</w:t>
      </w:r>
    </w:p>
    <w:p w14:paraId="20980C9C">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w:t>
      </w:r>
      <w:r>
        <w:rPr>
          <w:rFonts w:hint="eastAsia" w:asciiTheme="minorEastAsia" w:hAnsiTheme="minorEastAsia" w:eastAsiaTheme="minorEastAsia" w:cstheme="minorEastAsia"/>
          <w:b/>
          <w:color w:val="auto"/>
          <w:sz w:val="24"/>
          <w:highlight w:val="none"/>
          <w:lang w:val="en-US" w:eastAsia="zh-CN"/>
        </w:rPr>
        <w:t>十一</w:t>
      </w:r>
      <w:r>
        <w:rPr>
          <w:rFonts w:hint="eastAsia" w:asciiTheme="minorEastAsia" w:hAnsiTheme="minorEastAsia" w:eastAsiaTheme="minorEastAsia" w:cstheme="minorEastAsia"/>
          <w:b/>
          <w:color w:val="auto"/>
          <w:sz w:val="24"/>
          <w:highlight w:val="none"/>
        </w:rPr>
        <w:t>条　违约责任</w:t>
      </w:r>
    </w:p>
    <w:p w14:paraId="7B16C0F2">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1、本合同一经签订，双方应严格履行，任何一方不履行均视为违约，违约方应对因此给对方造成的损失承担赔偿责任。</w:t>
      </w:r>
    </w:p>
    <w:p w14:paraId="2417F75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2、如经核实发现，乙方为承接本项目向甲方提供的相关资料存在虚假（包括但不限于项目组成员信息不实、不具有资质），甲方有权解除合同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甲方解除合同的，甲方无需再支付未付款项，且乙方应退还甲方已支付的全部款项，并按合同总金额的20％向甲方支付违约金，若违约金不足以弥补因此给甲方造成的损失的，甲方有权追偿。</w:t>
      </w:r>
    </w:p>
    <w:p w14:paraId="2990D852">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3、因乙方自身原因，导致乙方未按期完成本项目（包括</w:t>
      </w:r>
      <w:r>
        <w:rPr>
          <w:rFonts w:hint="eastAsia" w:asciiTheme="minorEastAsia" w:hAnsiTheme="minorEastAsia" w:eastAsiaTheme="minorEastAsia" w:cstheme="minorEastAsia"/>
          <w:color w:val="auto"/>
          <w:sz w:val="24"/>
          <w:highlight w:val="none"/>
          <w:lang w:val="en-US" w:eastAsia="zh-CN"/>
        </w:rPr>
        <w:t>但不限于</w:t>
      </w:r>
      <w:r>
        <w:rPr>
          <w:rFonts w:hint="eastAsia" w:asciiTheme="minorEastAsia" w:hAnsiTheme="minorEastAsia" w:eastAsiaTheme="minorEastAsia" w:cstheme="minorEastAsia"/>
          <w:color w:val="auto"/>
          <w:sz w:val="24"/>
          <w:highlight w:val="none"/>
        </w:rPr>
        <w:t>乙方提交的项目未通过验收）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甲方</w:t>
      </w:r>
      <w:r>
        <w:rPr>
          <w:rFonts w:hint="eastAsia" w:asciiTheme="minorEastAsia" w:hAnsiTheme="minorEastAsia" w:eastAsiaTheme="minorEastAsia" w:cstheme="minorEastAsia"/>
          <w:color w:val="auto"/>
          <w:sz w:val="24"/>
          <w:highlight w:val="none"/>
          <w:lang w:val="en-US" w:eastAsia="zh-CN"/>
        </w:rPr>
        <w:t>有权</w:t>
      </w:r>
      <w:r>
        <w:rPr>
          <w:rFonts w:hint="eastAsia" w:asciiTheme="minorEastAsia" w:hAnsiTheme="minorEastAsia" w:eastAsiaTheme="minorEastAsia" w:cstheme="minorEastAsia"/>
          <w:color w:val="auto"/>
          <w:sz w:val="24"/>
          <w:highlight w:val="none"/>
        </w:rPr>
        <w:t>要求乙方支付违约金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乙方</w:t>
      </w:r>
      <w:r>
        <w:rPr>
          <w:rFonts w:hint="eastAsia" w:asciiTheme="minorEastAsia" w:hAnsiTheme="minorEastAsia" w:eastAsiaTheme="minorEastAsia" w:cstheme="minorEastAsia"/>
          <w:color w:val="auto"/>
          <w:sz w:val="24"/>
          <w:highlight w:val="none"/>
        </w:rPr>
        <w:t>每逾期</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日，应按合同总金额的日万分之二向甲方支付违约金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逾期</w:t>
      </w:r>
      <w:r>
        <w:rPr>
          <w:rFonts w:hint="eastAsia" w:asciiTheme="minorEastAsia" w:hAnsiTheme="minorEastAsia" w:eastAsiaTheme="minorEastAsia" w:cstheme="minorEastAsia"/>
          <w:color w:val="auto"/>
          <w:sz w:val="24"/>
          <w:highlight w:val="none"/>
          <w:lang w:val="en-US" w:eastAsia="zh-CN"/>
        </w:rPr>
        <w:t>超过</w:t>
      </w:r>
      <w:r>
        <w:rPr>
          <w:rFonts w:hint="eastAsia" w:asciiTheme="minorEastAsia" w:hAnsiTheme="minorEastAsia" w:eastAsiaTheme="minorEastAsia" w:cstheme="minorEastAsia"/>
          <w:color w:val="auto"/>
          <w:sz w:val="24"/>
          <w:highlight w:val="none"/>
        </w:rPr>
        <w:t>20日的，甲方有权解除合同</w:t>
      </w:r>
      <w:r>
        <w:rPr>
          <w:rFonts w:hint="eastAsia" w:asciiTheme="minorEastAsia" w:hAnsiTheme="minorEastAsia" w:eastAsiaTheme="minorEastAsia" w:cstheme="minorEastAsia"/>
          <w:color w:val="auto"/>
          <w:sz w:val="24"/>
          <w:highlight w:val="none"/>
          <w:lang w:eastAsia="zh-CN"/>
        </w:rPr>
        <w:t>，甲方解除合同的，甲方无需再支付未付款项，且乙方应退还甲方已支付的全部款项，并按合同总金额的20％向甲方支付违约金，若违约金不足以弥补因此给甲方造成的损失的，甲方有权追偿。</w:t>
      </w:r>
    </w:p>
    <w:p w14:paraId="1883DAD6">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4、乙方违反本合同约定的保密义务，甲方有权追究乙方的法律责任。同时，乙方每违反一次本合同约定的保密义务，须向甲方支付合同总</w:t>
      </w:r>
      <w:r>
        <w:rPr>
          <w:rFonts w:hint="eastAsia" w:asciiTheme="minorEastAsia" w:hAnsiTheme="minorEastAsia" w:eastAsiaTheme="minorEastAsia" w:cstheme="minorEastAsia"/>
          <w:color w:val="auto"/>
          <w:sz w:val="24"/>
          <w:highlight w:val="none"/>
          <w:lang w:val="en-US" w:eastAsia="zh-CN"/>
        </w:rPr>
        <w:t>金</w:t>
      </w:r>
      <w:r>
        <w:rPr>
          <w:rFonts w:hint="eastAsia" w:asciiTheme="minorEastAsia" w:hAnsiTheme="minorEastAsia" w:eastAsiaTheme="minorEastAsia" w:cstheme="minorEastAsia"/>
          <w:color w:val="auto"/>
          <w:sz w:val="24"/>
          <w:highlight w:val="none"/>
        </w:rPr>
        <w:t>额的20%违约金，若违约金不足以弥补因此给甲方造成的损失的，甲方有权追偿。</w:t>
      </w:r>
    </w:p>
    <w:p w14:paraId="6106EEC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5、如因甲方原因导致项目延期，本合同期限相应顺延。甲方</w:t>
      </w:r>
      <w:r>
        <w:rPr>
          <w:rFonts w:hint="eastAsia" w:asciiTheme="minorEastAsia" w:hAnsiTheme="minorEastAsia" w:eastAsiaTheme="minorEastAsia" w:cstheme="minorEastAsia"/>
          <w:color w:val="auto"/>
          <w:sz w:val="24"/>
          <w:highlight w:val="none"/>
          <w:lang w:val="en-US" w:eastAsia="zh-CN"/>
        </w:rPr>
        <w:t>应</w:t>
      </w:r>
      <w:r>
        <w:rPr>
          <w:rFonts w:hint="eastAsia" w:asciiTheme="minorEastAsia" w:hAnsiTheme="minorEastAsia" w:eastAsiaTheme="minorEastAsia" w:cstheme="minorEastAsia"/>
          <w:color w:val="auto"/>
          <w:sz w:val="24"/>
          <w:highlight w:val="none"/>
        </w:rPr>
        <w:t>尽最大努力避免此问题的发生。</w:t>
      </w:r>
    </w:p>
    <w:p w14:paraId="0D23BB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6、如甲方未如约支付项目费用，</w:t>
      </w:r>
      <w:r>
        <w:rPr>
          <w:rFonts w:hint="eastAsia" w:asciiTheme="minorEastAsia" w:hAnsiTheme="minorEastAsia" w:eastAsiaTheme="minorEastAsia" w:cstheme="minorEastAsia"/>
          <w:color w:val="auto"/>
          <w:sz w:val="24"/>
          <w:highlight w:val="none"/>
          <w:lang w:val="en-US" w:eastAsia="zh-CN"/>
        </w:rPr>
        <w:t>乙</w:t>
      </w:r>
      <w:r>
        <w:rPr>
          <w:rFonts w:hint="eastAsia" w:asciiTheme="minorEastAsia" w:hAnsiTheme="minorEastAsia" w:eastAsiaTheme="minorEastAsia" w:cstheme="minorEastAsia"/>
          <w:color w:val="auto"/>
          <w:sz w:val="24"/>
          <w:highlight w:val="none"/>
        </w:rPr>
        <w:t>方</w:t>
      </w:r>
      <w:r>
        <w:rPr>
          <w:rFonts w:hint="eastAsia" w:asciiTheme="minorEastAsia" w:hAnsiTheme="minorEastAsia" w:eastAsiaTheme="minorEastAsia" w:cstheme="minorEastAsia"/>
          <w:color w:val="auto"/>
          <w:sz w:val="24"/>
          <w:highlight w:val="none"/>
          <w:lang w:val="en-US" w:eastAsia="zh-CN"/>
        </w:rPr>
        <w:t>有权</w:t>
      </w:r>
      <w:r>
        <w:rPr>
          <w:rFonts w:hint="eastAsia" w:asciiTheme="minorEastAsia" w:hAnsiTheme="minorEastAsia" w:eastAsiaTheme="minorEastAsia" w:cstheme="minorEastAsia"/>
          <w:color w:val="auto"/>
          <w:sz w:val="24"/>
          <w:highlight w:val="none"/>
        </w:rPr>
        <w:t>要求</w:t>
      </w:r>
      <w:r>
        <w:rPr>
          <w:rFonts w:hint="eastAsia" w:asciiTheme="minorEastAsia" w:hAnsiTheme="minorEastAsia" w:eastAsiaTheme="minorEastAsia" w:cstheme="minorEastAsia"/>
          <w:color w:val="auto"/>
          <w:sz w:val="24"/>
          <w:highlight w:val="none"/>
          <w:lang w:val="en-US" w:eastAsia="zh-CN"/>
        </w:rPr>
        <w:t>甲</w:t>
      </w:r>
      <w:r>
        <w:rPr>
          <w:rFonts w:hint="eastAsia" w:asciiTheme="minorEastAsia" w:hAnsiTheme="minorEastAsia" w:eastAsiaTheme="minorEastAsia" w:cstheme="minorEastAsia"/>
          <w:color w:val="auto"/>
          <w:sz w:val="24"/>
          <w:highlight w:val="none"/>
        </w:rPr>
        <w:t>方支付违约金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每逾期</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lang w:val="en-US" w:eastAsia="zh-CN"/>
        </w:rPr>
        <w:t>应</w:t>
      </w:r>
      <w:r>
        <w:rPr>
          <w:rFonts w:hint="eastAsia" w:asciiTheme="minorEastAsia" w:hAnsiTheme="minorEastAsia" w:eastAsiaTheme="minorEastAsia" w:cstheme="minorEastAsia"/>
          <w:color w:val="auto"/>
          <w:sz w:val="24"/>
          <w:highlight w:val="none"/>
        </w:rPr>
        <w:t>按照应付而未付部分</w:t>
      </w:r>
      <w:r>
        <w:rPr>
          <w:rFonts w:hint="eastAsia" w:asciiTheme="minorEastAsia" w:hAnsiTheme="minorEastAsia" w:eastAsiaTheme="minorEastAsia" w:cstheme="minorEastAsia"/>
          <w:color w:val="auto"/>
          <w:sz w:val="24"/>
          <w:highlight w:val="none"/>
          <w:lang w:val="en-US" w:eastAsia="zh-CN"/>
        </w:rPr>
        <w:t>费用的</w:t>
      </w:r>
      <w:r>
        <w:rPr>
          <w:rFonts w:hint="eastAsia" w:asciiTheme="minorEastAsia" w:hAnsiTheme="minorEastAsia" w:eastAsiaTheme="minorEastAsia" w:cstheme="minorEastAsia"/>
          <w:color w:val="auto"/>
          <w:sz w:val="24"/>
          <w:highlight w:val="none"/>
        </w:rPr>
        <w:t>日万分之二向乙方支付违约金。</w:t>
      </w:r>
    </w:p>
    <w:p w14:paraId="18A8AC70">
      <w:pPr>
        <w:snapToGrid w:val="0"/>
        <w:spacing w:line="36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、如乙方因技术人员调整或流动、技术设施故障，或因注销、吊销、经营困难等原因，无法完成本合同项目时，甲方有权单方解除本合同，</w:t>
      </w:r>
      <w:r>
        <w:rPr>
          <w:rFonts w:hint="eastAsia" w:asciiTheme="minorEastAsia" w:hAnsiTheme="minorEastAsia" w:eastAsiaTheme="minorEastAsia" w:cstheme="minorEastAsia"/>
          <w:color w:val="auto"/>
          <w:sz w:val="24"/>
          <w:highlight w:val="none"/>
          <w:lang w:val="en-US" w:eastAsia="zh-CN"/>
        </w:rPr>
        <w:t>甲方解除合同的，</w:t>
      </w:r>
      <w:r>
        <w:rPr>
          <w:rFonts w:hint="eastAsia" w:asciiTheme="minorEastAsia" w:hAnsiTheme="minorEastAsia" w:eastAsiaTheme="minorEastAsia" w:cstheme="minorEastAsia"/>
          <w:color w:val="auto"/>
          <w:sz w:val="24"/>
          <w:highlight w:val="none"/>
        </w:rPr>
        <w:t>甲方无需再支付未付款项，</w:t>
      </w:r>
      <w:r>
        <w:rPr>
          <w:rFonts w:hint="eastAsia" w:asciiTheme="minorEastAsia" w:hAnsiTheme="minorEastAsia" w:eastAsiaTheme="minorEastAsia" w:cstheme="minorEastAsia"/>
          <w:color w:val="auto"/>
          <w:sz w:val="24"/>
          <w:highlight w:val="none"/>
          <w:lang w:val="en-US" w:eastAsia="zh-CN"/>
        </w:rPr>
        <w:t>且</w:t>
      </w: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lang w:val="en-US" w:eastAsia="zh-CN"/>
        </w:rPr>
        <w:t>应</w:t>
      </w:r>
      <w:r>
        <w:rPr>
          <w:rFonts w:hint="eastAsia" w:asciiTheme="minorEastAsia" w:hAnsiTheme="minorEastAsia" w:eastAsiaTheme="minorEastAsia" w:cstheme="minorEastAsia"/>
          <w:color w:val="auto"/>
          <w:sz w:val="24"/>
          <w:highlight w:val="none"/>
        </w:rPr>
        <w:t>退还甲方已支付的全部款项，并按合同总金额的</w:t>
      </w:r>
      <w:r>
        <w:rPr>
          <w:rFonts w:hint="eastAsia" w:asciiTheme="minorEastAsia" w:hAnsiTheme="minorEastAsia" w:eastAsiaTheme="minorEastAsia" w:cstheme="minorEastAsia"/>
          <w:color w:val="auto"/>
          <w:sz w:val="24"/>
          <w:highlight w:val="none"/>
          <w:lang w:val="en-US" w:eastAsia="zh-CN"/>
        </w:rPr>
        <w:t>20％</w:t>
      </w:r>
      <w:r>
        <w:rPr>
          <w:rFonts w:hint="eastAsia" w:asciiTheme="minorEastAsia" w:hAnsiTheme="minorEastAsia" w:eastAsiaTheme="minorEastAsia" w:cstheme="minorEastAsia"/>
          <w:color w:val="auto"/>
          <w:sz w:val="24"/>
          <w:highlight w:val="none"/>
        </w:rPr>
        <w:t>向甲方支付违约金</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若违约金不足以弥补因此给甲方造成的损失的，甲方有权追偿。</w:t>
      </w:r>
    </w:p>
    <w:p w14:paraId="6C3978B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rPr>
        <w:t>、乙方所提供的服务成果不符合投标文件</w:t>
      </w:r>
      <w:r>
        <w:rPr>
          <w:rFonts w:hint="eastAsia" w:asciiTheme="minorEastAsia" w:hAnsiTheme="minorEastAsia" w:eastAsiaTheme="minorEastAsia" w:cstheme="minorEastAsia"/>
          <w:color w:val="auto"/>
          <w:sz w:val="24"/>
          <w:highlight w:val="none"/>
          <w:lang w:val="en-US" w:eastAsia="zh-CN"/>
        </w:rPr>
        <w:t>和</w:t>
      </w:r>
      <w:r>
        <w:rPr>
          <w:rFonts w:hint="eastAsia" w:asciiTheme="minorEastAsia" w:hAnsiTheme="minorEastAsia" w:eastAsiaTheme="minorEastAsia" w:cstheme="minorEastAsia"/>
          <w:color w:val="auto"/>
          <w:sz w:val="24"/>
          <w:highlight w:val="none"/>
        </w:rPr>
        <w:t>本合同</w:t>
      </w:r>
      <w:r>
        <w:rPr>
          <w:rFonts w:hint="eastAsia" w:asciiTheme="minorEastAsia" w:hAnsiTheme="minorEastAsia" w:eastAsiaTheme="minorEastAsia" w:cstheme="minorEastAsia"/>
          <w:color w:val="auto"/>
          <w:sz w:val="24"/>
          <w:highlight w:val="none"/>
          <w:lang w:eastAsia="zh-CN"/>
        </w:rPr>
        <w:t>约定</w:t>
      </w:r>
      <w:r>
        <w:rPr>
          <w:rFonts w:hint="eastAsia" w:asciiTheme="minorEastAsia" w:hAnsiTheme="minorEastAsia" w:eastAsiaTheme="minorEastAsia" w:cstheme="minorEastAsia"/>
          <w:color w:val="auto"/>
          <w:sz w:val="24"/>
          <w:highlight w:val="none"/>
        </w:rPr>
        <w:t>的，应按照甲方要求修改和完善；乙方在甲方规定期限内无正当理由不能完成整改或拒绝整改或经整改后仍不符合投标文件</w:t>
      </w:r>
      <w:r>
        <w:rPr>
          <w:rFonts w:hint="eastAsia" w:asciiTheme="minorEastAsia" w:hAnsiTheme="minorEastAsia" w:eastAsiaTheme="minorEastAsia" w:cstheme="minorEastAsia"/>
          <w:color w:val="auto"/>
          <w:sz w:val="24"/>
          <w:highlight w:val="none"/>
          <w:lang w:val="en-US" w:eastAsia="zh-CN"/>
        </w:rPr>
        <w:t>和</w:t>
      </w:r>
      <w:r>
        <w:rPr>
          <w:rFonts w:hint="eastAsia" w:asciiTheme="minorEastAsia" w:hAnsiTheme="minorEastAsia" w:eastAsiaTheme="minorEastAsia" w:cstheme="minorEastAsia"/>
          <w:color w:val="auto"/>
          <w:sz w:val="24"/>
          <w:highlight w:val="none"/>
        </w:rPr>
        <w:t>本合同</w:t>
      </w:r>
      <w:r>
        <w:rPr>
          <w:rFonts w:hint="eastAsia" w:asciiTheme="minorEastAsia" w:hAnsiTheme="minorEastAsia" w:eastAsiaTheme="minorEastAsia" w:cstheme="minorEastAsia"/>
          <w:color w:val="auto"/>
          <w:sz w:val="24"/>
          <w:highlight w:val="none"/>
          <w:lang w:eastAsia="zh-CN"/>
        </w:rPr>
        <w:t>约定</w:t>
      </w:r>
      <w:r>
        <w:rPr>
          <w:rFonts w:hint="eastAsia" w:asciiTheme="minorEastAsia" w:hAnsiTheme="minorEastAsia" w:eastAsiaTheme="minorEastAsia" w:cstheme="minorEastAsia"/>
          <w:color w:val="auto"/>
          <w:sz w:val="24"/>
          <w:highlight w:val="none"/>
        </w:rPr>
        <w:t>的，甲方有权</w:t>
      </w:r>
      <w:r>
        <w:rPr>
          <w:rFonts w:hint="eastAsia" w:asciiTheme="minorEastAsia" w:hAnsiTheme="minorEastAsia" w:eastAsiaTheme="minorEastAsia" w:cstheme="minorEastAsia"/>
          <w:color w:val="auto"/>
          <w:sz w:val="24"/>
          <w:highlight w:val="none"/>
          <w:lang w:val="en-US" w:eastAsia="zh-CN"/>
        </w:rPr>
        <w:t>解除</w:t>
      </w:r>
      <w:r>
        <w:rPr>
          <w:rFonts w:hint="eastAsia" w:asciiTheme="minorEastAsia" w:hAnsiTheme="minorEastAsia" w:eastAsiaTheme="minorEastAsia" w:cstheme="minorEastAsia"/>
          <w:color w:val="auto"/>
          <w:sz w:val="24"/>
          <w:highlight w:val="none"/>
        </w:rPr>
        <w:t>合同，甲方解除合同的，甲方无需再支付未付款项，且乙方应退还甲方已支付的全部款项，并按合同总金额的20％向甲方支付违约金，若违约金不足以弥补因此给甲方造成的损失的，甲方有权追偿。</w:t>
      </w:r>
    </w:p>
    <w:p w14:paraId="0B55D5F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、甲方有权依据招标文件、投标文件及乙方的投标承诺对乙方的服务人员进行管理或要求更换，对于甲方要求更换服务人员的，乙方应无条件及时更换；乙方拒绝更换的，甲方有权</w:t>
      </w:r>
      <w:r>
        <w:rPr>
          <w:rFonts w:hint="eastAsia" w:asciiTheme="minorEastAsia" w:hAnsiTheme="minorEastAsia" w:eastAsiaTheme="minorEastAsia" w:cstheme="minorEastAsia"/>
          <w:color w:val="auto"/>
          <w:sz w:val="24"/>
          <w:highlight w:val="none"/>
          <w:lang w:val="en-US" w:eastAsia="zh-CN"/>
        </w:rPr>
        <w:t>解除</w:t>
      </w:r>
      <w:r>
        <w:rPr>
          <w:rFonts w:hint="eastAsia" w:asciiTheme="minorEastAsia" w:hAnsiTheme="minorEastAsia" w:eastAsiaTheme="minorEastAsia" w:cstheme="minorEastAsia"/>
          <w:color w:val="auto"/>
          <w:sz w:val="24"/>
          <w:highlight w:val="none"/>
        </w:rPr>
        <w:t>合同，甲方解除合同的，甲方无需再支付未付款项，且乙方应退还甲方已支付的全部款项，并按合同总金额的20％向甲方支付违约金，若违约金不足以弥补因此给甲方造成的损失的，甲方有权追偿。</w:t>
      </w:r>
    </w:p>
    <w:p w14:paraId="285BF8F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10</w:t>
      </w:r>
      <w:r>
        <w:rPr>
          <w:rFonts w:hint="eastAsia" w:asciiTheme="minorEastAsia" w:hAnsiTheme="minorEastAsia" w:eastAsiaTheme="minorEastAsia" w:cstheme="minorEastAsia"/>
          <w:color w:val="auto"/>
          <w:sz w:val="24"/>
          <w:highlight w:val="none"/>
        </w:rPr>
        <w:t>、除因甲方自身原因外，乙方操作造成甲方系统数据丢失、泄密的，应按</w:t>
      </w:r>
      <w:r>
        <w:rPr>
          <w:rFonts w:hint="eastAsia" w:asciiTheme="minorEastAsia" w:hAnsiTheme="minorEastAsia" w:eastAsiaTheme="minorEastAsia" w:cstheme="minorEastAsia"/>
          <w:color w:val="auto"/>
          <w:sz w:val="24"/>
          <w:highlight w:val="none"/>
          <w:lang w:eastAsia="zh-CN"/>
        </w:rPr>
        <w:t>合同总金额</w:t>
      </w:r>
      <w:r>
        <w:rPr>
          <w:rFonts w:hint="eastAsia" w:asciiTheme="minorEastAsia" w:hAnsiTheme="minorEastAsia" w:eastAsiaTheme="minorEastAsia" w:cstheme="minorEastAsia"/>
          <w:color w:val="auto"/>
          <w:sz w:val="24"/>
          <w:highlight w:val="none"/>
        </w:rPr>
        <w:t>的三倍支付违约金，违约金不足以弥补甲方损失的，还应支付赔偿金。</w:t>
      </w:r>
    </w:p>
    <w:p w14:paraId="73A1392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395" w:name="_Hlk83594315"/>
      <w:r>
        <w:rPr>
          <w:rFonts w:hint="eastAsia" w:asciiTheme="minorEastAsia" w:hAnsiTheme="minorEastAsia" w:eastAsiaTheme="minorEastAsia" w:cstheme="minorEastAsia"/>
          <w:color w:val="auto"/>
          <w:sz w:val="24"/>
          <w:highlight w:val="none"/>
          <w:lang w:val="en-US" w:eastAsia="zh-CN"/>
        </w:rPr>
        <w:t>1</w:t>
      </w:r>
      <w:bookmarkEnd w:id="395"/>
      <w:bookmarkStart w:id="396" w:name="_Hlk83594338"/>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、售后服务期内，超过投标文件</w:t>
      </w:r>
      <w:r>
        <w:rPr>
          <w:rFonts w:hint="eastAsia" w:asciiTheme="minorEastAsia" w:hAnsiTheme="minorEastAsia" w:eastAsiaTheme="minorEastAsia" w:cstheme="minorEastAsia"/>
          <w:color w:val="auto"/>
          <w:sz w:val="24"/>
          <w:highlight w:val="none"/>
          <w:lang w:val="en-US" w:eastAsia="zh-CN"/>
        </w:rPr>
        <w:t>和</w:t>
      </w:r>
      <w:r>
        <w:rPr>
          <w:rFonts w:hint="eastAsia" w:asciiTheme="minorEastAsia" w:hAnsiTheme="minorEastAsia" w:eastAsiaTheme="minorEastAsia" w:cstheme="minorEastAsia"/>
          <w:color w:val="auto"/>
          <w:sz w:val="24"/>
          <w:highlight w:val="none"/>
        </w:rPr>
        <w:t>本合同</w:t>
      </w:r>
      <w:r>
        <w:rPr>
          <w:rFonts w:hint="eastAsia" w:asciiTheme="minorEastAsia" w:hAnsiTheme="minorEastAsia" w:eastAsiaTheme="minorEastAsia" w:cstheme="minorEastAsia"/>
          <w:color w:val="auto"/>
          <w:sz w:val="24"/>
          <w:highlight w:val="none"/>
          <w:lang w:eastAsia="zh-CN"/>
        </w:rPr>
        <w:t>约定</w:t>
      </w:r>
      <w:r>
        <w:rPr>
          <w:rFonts w:hint="eastAsia" w:asciiTheme="minorEastAsia" w:hAnsiTheme="minorEastAsia" w:eastAsiaTheme="minorEastAsia" w:cstheme="minorEastAsia"/>
          <w:color w:val="auto"/>
          <w:sz w:val="24"/>
          <w:highlight w:val="none"/>
        </w:rPr>
        <w:t>响应时间或到场时间，乙方仍未响应或派员到场的，每出现一次，乙方应按本</w:t>
      </w:r>
      <w:r>
        <w:rPr>
          <w:rFonts w:hint="eastAsia" w:asciiTheme="minorEastAsia" w:hAnsiTheme="minorEastAsia" w:eastAsiaTheme="minorEastAsia" w:cstheme="minorEastAsia"/>
          <w:color w:val="auto"/>
          <w:sz w:val="24"/>
          <w:highlight w:val="none"/>
          <w:lang w:eastAsia="zh-CN"/>
        </w:rPr>
        <w:t>合同总金额</w:t>
      </w:r>
      <w:r>
        <w:rPr>
          <w:rFonts w:hint="eastAsia" w:asciiTheme="minorEastAsia" w:hAnsiTheme="minorEastAsia" w:eastAsiaTheme="minorEastAsia" w:cstheme="minorEastAsia"/>
          <w:color w:val="auto"/>
          <w:sz w:val="24"/>
          <w:highlight w:val="none"/>
        </w:rPr>
        <w:t>的1%向甲方支付违约金。甲方还有权另行委托第三方进行维护</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维修</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，由此产生的费用由乙方承担。</w:t>
      </w:r>
    </w:p>
    <w:bookmarkEnd w:id="396"/>
    <w:p w14:paraId="33011E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bookmarkStart w:id="397" w:name="_Hlk83594347"/>
      <w:r>
        <w:rPr>
          <w:rFonts w:hint="eastAsia" w:asciiTheme="minorEastAsia" w:hAnsiTheme="minorEastAsia" w:eastAsiaTheme="minorEastAsia" w:cstheme="minorEastAsia"/>
          <w:color w:val="auto"/>
          <w:sz w:val="24"/>
          <w:highlight w:val="none"/>
          <w:lang w:val="en-US" w:eastAsia="zh-CN"/>
        </w:rPr>
        <w:t>12</w:t>
      </w:r>
      <w:r>
        <w:rPr>
          <w:rFonts w:hint="eastAsia" w:asciiTheme="minorEastAsia" w:hAnsiTheme="minorEastAsia" w:eastAsiaTheme="minorEastAsia" w:cstheme="minorEastAsia"/>
          <w:color w:val="auto"/>
          <w:sz w:val="24"/>
          <w:highlight w:val="none"/>
        </w:rPr>
        <w:t>、乙方</w:t>
      </w:r>
      <w:r>
        <w:rPr>
          <w:rFonts w:hint="eastAsia" w:asciiTheme="minorEastAsia" w:hAnsiTheme="minorEastAsia" w:eastAsiaTheme="minorEastAsia" w:cstheme="minorEastAsia"/>
          <w:color w:val="auto"/>
          <w:sz w:val="24"/>
          <w:highlight w:val="none"/>
          <w:lang w:val="en-US" w:eastAsia="zh-CN"/>
        </w:rPr>
        <w:t>违反投标文件和本合同约定对</w:t>
      </w:r>
      <w:r>
        <w:rPr>
          <w:rFonts w:hint="eastAsia" w:asciiTheme="minorEastAsia" w:hAnsiTheme="minorEastAsia" w:eastAsiaTheme="minorEastAsia" w:cstheme="minorEastAsia"/>
          <w:color w:val="auto"/>
          <w:sz w:val="24"/>
          <w:highlight w:val="none"/>
        </w:rPr>
        <w:t>所中标的项目进行分包、转包</w:t>
      </w:r>
      <w:r>
        <w:rPr>
          <w:rFonts w:hint="eastAsia" w:asciiTheme="minorEastAsia" w:hAnsiTheme="minorEastAsia" w:eastAsiaTheme="minorEastAsia" w:cstheme="minorEastAsia"/>
          <w:color w:val="auto"/>
          <w:sz w:val="24"/>
          <w:highlight w:val="none"/>
          <w:lang w:val="en-US" w:eastAsia="zh-CN"/>
        </w:rPr>
        <w:t>的</w:t>
      </w:r>
      <w:r>
        <w:rPr>
          <w:rFonts w:hint="eastAsia" w:asciiTheme="minorEastAsia" w:hAnsiTheme="minorEastAsia" w:eastAsiaTheme="minorEastAsia" w:cstheme="minorEastAsia"/>
          <w:color w:val="auto"/>
          <w:sz w:val="24"/>
          <w:highlight w:val="none"/>
        </w:rPr>
        <w:t>，甲方有权解除合同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甲方解除合同的，甲方无需再支付未付款项，且乙方应退还甲方已支付的全部款项，并按合同总金额的20％向甲方支付违约金，若违约金不足以弥补因此给甲方造成的损失的，甲方有权追偿。</w:t>
      </w:r>
    </w:p>
    <w:bookmarkEnd w:id="397"/>
    <w:p w14:paraId="037716F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val="en-US" w:eastAsia="zh-CN"/>
        </w:rPr>
        <w:t>合同</w:t>
      </w:r>
      <w:r>
        <w:rPr>
          <w:rFonts w:hint="eastAsia" w:asciiTheme="minorEastAsia" w:hAnsiTheme="minorEastAsia" w:eastAsiaTheme="minorEastAsia" w:cstheme="minorEastAsia"/>
          <w:color w:val="auto"/>
          <w:sz w:val="24"/>
          <w:highlight w:val="none"/>
        </w:rPr>
        <w:t>所称损失是指一方因另一方违约而遭受的全部经济损失（包括但不限于直接损失、间接损失及实现债权的费用，如诉讼费、律师费、差旅费、调查费、</w:t>
      </w:r>
      <w:r>
        <w:rPr>
          <w:rFonts w:hint="eastAsia" w:asciiTheme="minorEastAsia" w:hAnsiTheme="minorEastAsia" w:eastAsiaTheme="minorEastAsia" w:cstheme="minorEastAsia"/>
          <w:color w:val="auto"/>
          <w:sz w:val="24"/>
          <w:highlight w:val="none"/>
          <w:lang w:val="en-US" w:eastAsia="zh-CN"/>
        </w:rPr>
        <w:t>公证费、</w:t>
      </w:r>
      <w:r>
        <w:rPr>
          <w:rFonts w:hint="eastAsia" w:asciiTheme="minorEastAsia" w:hAnsiTheme="minorEastAsia" w:eastAsiaTheme="minorEastAsia" w:cstheme="minorEastAsia"/>
          <w:color w:val="auto"/>
          <w:sz w:val="24"/>
          <w:highlight w:val="none"/>
        </w:rPr>
        <w:t>财产保全责任险保险费等）。</w:t>
      </w:r>
    </w:p>
    <w:p w14:paraId="4EA73A7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、甲方有权从未付价款、履约保证金中先行扣除乙方应支付的违约金、赔偿金，不足另补。</w:t>
      </w:r>
    </w:p>
    <w:p w14:paraId="5C088201">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二</w:t>
      </w:r>
      <w:r>
        <w:rPr>
          <w:rFonts w:hint="eastAsia" w:asciiTheme="minorEastAsia" w:hAnsiTheme="minorEastAsia" w:eastAsiaTheme="minorEastAsia" w:cstheme="minorEastAsia"/>
          <w:b/>
          <w:color w:val="auto"/>
          <w:sz w:val="24"/>
          <w:highlight w:val="none"/>
        </w:rPr>
        <w:t>条  不可抗力事件处理</w:t>
      </w:r>
    </w:p>
    <w:p w14:paraId="65FD817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1、在合同有效期内，任何一方因不可抗力事件导致不能履行合同，则合同履行期可延长，其延长期与不可抗力影响期相同。</w:t>
      </w:r>
    </w:p>
    <w:p w14:paraId="6809D52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2、不可抗力事件发生后，应立即通知对方，并寄送有关权威机构出具的证明。</w:t>
      </w:r>
    </w:p>
    <w:p w14:paraId="199448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3、不可抗力事件延续一百二十天以上，双方应通过友好协商，确定是否继续履行合同。</w:t>
      </w:r>
    </w:p>
    <w:p w14:paraId="01CF5B3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三</w:t>
      </w:r>
      <w:r>
        <w:rPr>
          <w:rFonts w:hint="eastAsia" w:asciiTheme="minorEastAsia" w:hAnsiTheme="minorEastAsia" w:eastAsiaTheme="minorEastAsia" w:cstheme="minorEastAsia"/>
          <w:b/>
          <w:color w:val="auto"/>
          <w:sz w:val="24"/>
          <w:highlight w:val="none"/>
        </w:rPr>
        <w:t>条  合同争议解决</w:t>
      </w:r>
    </w:p>
    <w:p w14:paraId="47B6D46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1、因服务质量问题发生争议的，应邀请国家认可的质量检测机构进行鉴定。服务符合标准的，鉴定费由甲方承担；服务不符合标准的，鉴定费由乙方承担。</w:t>
      </w:r>
    </w:p>
    <w:p w14:paraId="464C819B">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2、因履行本合同引起的或者与本合同有关的争议，甲乙双方应首先通过友好协商解决，如果协商不能解决，可向甲方住所地有管辖权人民法院提起诉讼。</w:t>
      </w:r>
    </w:p>
    <w:p w14:paraId="475B0E4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3、诉讼期间，本合同继续履行。</w:t>
      </w:r>
    </w:p>
    <w:p w14:paraId="1C566508">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四</w:t>
      </w:r>
      <w:r>
        <w:rPr>
          <w:rFonts w:hint="eastAsia" w:asciiTheme="minorEastAsia" w:hAnsiTheme="minorEastAsia" w:eastAsiaTheme="minorEastAsia" w:cstheme="minorEastAsia"/>
          <w:b/>
          <w:color w:val="auto"/>
          <w:sz w:val="24"/>
          <w:highlight w:val="none"/>
        </w:rPr>
        <w:t>条  通知和送达</w:t>
      </w:r>
    </w:p>
    <w:p w14:paraId="344B2C9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各方确认，本合同载明的各方地址为各方真实有效通讯地址，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知对方或受送达方拒绝签收等原因，导致文书未能被实际接收的，邮寄送达的，以文书退回之日视为送达之日。</w:t>
      </w:r>
    </w:p>
    <w:p w14:paraId="1C11749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14:paraId="330C4BD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3、上述送达地址和联系方式适用范围包括双方非诉时各类通知、合同等文件以及就合同发生纠纷时相关文件和法律文书的送达，同时包括在争议进入仲裁、民事诉讼程序后的一审、二审、再审和执行程序。</w:t>
      </w:r>
    </w:p>
    <w:p w14:paraId="4D5DFBC3">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五</w:t>
      </w:r>
      <w:r>
        <w:rPr>
          <w:rFonts w:hint="eastAsia" w:asciiTheme="minorEastAsia" w:hAnsiTheme="minorEastAsia" w:eastAsiaTheme="minorEastAsia" w:cstheme="minorEastAsia"/>
          <w:b/>
          <w:color w:val="auto"/>
          <w:sz w:val="24"/>
          <w:highlight w:val="none"/>
        </w:rPr>
        <w:t>条  合同生效及其它</w:t>
      </w:r>
    </w:p>
    <w:p w14:paraId="58D845B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1、合同经双方法定代表人或者授权代表签字并加盖单位公章后生效（委托代理人签字的需后附法定代表人授权委托书，格式自拟）。</w:t>
      </w:r>
    </w:p>
    <w:p w14:paraId="15DA8E3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2、合同执行中涉及采购资金和采购内容修改或者补充的，须经财政部门审批，并签书面补充协议报财政部门备案，方可作为主合同不可分割的一部分。</w:t>
      </w:r>
    </w:p>
    <w:p w14:paraId="09F9790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3、本合同未尽事宜，遵照《中华人民共和国民法典》有关条文执行。</w:t>
      </w:r>
    </w:p>
    <w:p w14:paraId="186A5276">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六</w:t>
      </w:r>
      <w:r>
        <w:rPr>
          <w:rFonts w:hint="eastAsia" w:asciiTheme="minorEastAsia" w:hAnsiTheme="minorEastAsia" w:eastAsiaTheme="minorEastAsia" w:cstheme="minorEastAsia"/>
          <w:b/>
          <w:color w:val="auto"/>
          <w:sz w:val="24"/>
          <w:highlight w:val="none"/>
        </w:rPr>
        <w:t>条　合同的变更、终止与转让</w:t>
      </w:r>
    </w:p>
    <w:p w14:paraId="0929FA0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1、除《中华人民共和国政府采购法》第五十条规定的情形外，本合同一经签订，甲乙双方不得擅自变更、中止或者终止。</w:t>
      </w:r>
    </w:p>
    <w:p w14:paraId="0C5732C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2、乙方不得擅自转让其应履行的合同义务。</w:t>
      </w:r>
    </w:p>
    <w:p w14:paraId="2155C952">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七</w:t>
      </w:r>
      <w:r>
        <w:rPr>
          <w:rFonts w:hint="eastAsia" w:asciiTheme="minorEastAsia" w:hAnsiTheme="minorEastAsia" w:eastAsiaTheme="minorEastAsia" w:cstheme="minorEastAsia"/>
          <w:b/>
          <w:color w:val="auto"/>
          <w:sz w:val="24"/>
          <w:highlight w:val="none"/>
        </w:rPr>
        <w:t>条　签订本合同依据</w:t>
      </w:r>
    </w:p>
    <w:p w14:paraId="378F110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kern w:val="2"/>
          <w:sz w:val="24"/>
          <w:highlight w:val="none"/>
          <w:lang w:val="en-US" w:eastAsia="zh-CN"/>
        </w:rPr>
      </w:pPr>
      <w:r>
        <w:rPr>
          <w:rFonts w:hint="eastAsia" w:asciiTheme="minorEastAsia" w:hAnsiTheme="minorEastAsia" w:eastAsiaTheme="minorEastAsia" w:cstheme="minorEastAsia"/>
          <w:color w:val="auto"/>
          <w:kern w:val="2"/>
          <w:sz w:val="24"/>
          <w:highlight w:val="none"/>
          <w:lang w:val="en-US" w:eastAsia="zh-CN"/>
        </w:rPr>
        <w:t>本合同书与下列文件一起构成合同文件</w:t>
      </w:r>
    </w:p>
    <w:p w14:paraId="0FA94A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1、中标通知书；</w:t>
      </w:r>
    </w:p>
    <w:p w14:paraId="1B33396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2、开标一览表；</w:t>
      </w:r>
    </w:p>
    <w:p w14:paraId="6317DB8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3、商务</w:t>
      </w:r>
      <w:r>
        <w:rPr>
          <w:rFonts w:hint="eastAsia" w:asciiTheme="minorEastAsia" w:hAnsiTheme="minorEastAsia" w:eastAsiaTheme="minorEastAsia" w:cstheme="minorEastAsia"/>
          <w:color w:val="auto"/>
          <w:sz w:val="24"/>
          <w:highlight w:val="none"/>
          <w:lang w:val="en-US" w:eastAsia="zh-CN"/>
        </w:rPr>
        <w:t>要求</w:t>
      </w:r>
      <w:r>
        <w:rPr>
          <w:rFonts w:hint="eastAsia" w:asciiTheme="minorEastAsia" w:hAnsiTheme="minorEastAsia" w:eastAsiaTheme="minorEastAsia" w:cstheme="minorEastAsia"/>
          <w:color w:val="auto"/>
          <w:sz w:val="24"/>
          <w:highlight w:val="none"/>
        </w:rPr>
        <w:t>偏离表和技术</w:t>
      </w:r>
      <w:r>
        <w:rPr>
          <w:rFonts w:hint="eastAsia" w:asciiTheme="minorEastAsia" w:hAnsiTheme="minorEastAsia" w:eastAsiaTheme="minorEastAsia" w:cstheme="minorEastAsia"/>
          <w:color w:val="auto"/>
          <w:sz w:val="24"/>
          <w:highlight w:val="none"/>
          <w:lang w:val="en-US" w:eastAsia="zh-CN"/>
        </w:rPr>
        <w:t>要求</w:t>
      </w:r>
      <w:r>
        <w:rPr>
          <w:rFonts w:hint="eastAsia" w:asciiTheme="minorEastAsia" w:hAnsiTheme="minorEastAsia" w:eastAsiaTheme="minorEastAsia" w:cstheme="minorEastAsia"/>
          <w:color w:val="auto"/>
          <w:sz w:val="24"/>
          <w:highlight w:val="none"/>
        </w:rPr>
        <w:t>偏离表；</w:t>
      </w:r>
    </w:p>
    <w:p w14:paraId="1C1AF8E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4、服务方案；</w:t>
      </w:r>
    </w:p>
    <w:p w14:paraId="35FFD3B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5、投标文件中的其他相关文件。</w:t>
      </w:r>
    </w:p>
    <w:p w14:paraId="5E8BCDC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6、上述合同文件互相补充和解释。如果合同文件之间存在矛盾或者不一致之处，以上述文件的排列顺序在先者为准。</w:t>
      </w:r>
    </w:p>
    <w:p w14:paraId="3AF4BE4A">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第十</w:t>
      </w:r>
      <w:r>
        <w:rPr>
          <w:rFonts w:hint="eastAsia" w:asciiTheme="minorEastAsia" w:hAnsiTheme="minorEastAsia" w:eastAsiaTheme="minorEastAsia" w:cstheme="minorEastAsia"/>
          <w:b/>
          <w:color w:val="auto"/>
          <w:sz w:val="24"/>
          <w:highlight w:val="none"/>
          <w:lang w:val="en-US" w:eastAsia="zh-CN"/>
        </w:rPr>
        <w:t>八</w:t>
      </w:r>
      <w:r>
        <w:rPr>
          <w:rFonts w:hint="eastAsia" w:asciiTheme="minorEastAsia" w:hAnsiTheme="minorEastAsia" w:eastAsiaTheme="minorEastAsia" w:cstheme="minorEastAsia"/>
          <w:b/>
          <w:color w:val="auto"/>
          <w:sz w:val="24"/>
          <w:highlight w:val="none"/>
        </w:rPr>
        <w:t>条　</w:t>
      </w:r>
      <w:r>
        <w:rPr>
          <w:rFonts w:hint="eastAsia" w:asciiTheme="minorEastAsia" w:hAnsiTheme="minorEastAsia" w:eastAsiaTheme="minorEastAsia" w:cstheme="minorEastAsia"/>
          <w:color w:val="auto"/>
          <w:sz w:val="24"/>
          <w:highlight w:val="none"/>
        </w:rPr>
        <w:t>本合同一式</w:t>
      </w:r>
      <w:r>
        <w:rPr>
          <w:rFonts w:hint="eastAsia" w:asciiTheme="minorEastAsia" w:hAnsiTheme="minorEastAsia" w:eastAsiaTheme="minorEastAsia" w:cstheme="minorEastAsia"/>
          <w:color w:val="auto"/>
          <w:sz w:val="24"/>
          <w:highlight w:val="none"/>
          <w:lang w:val="en-US" w:eastAsia="zh-CN"/>
        </w:rPr>
        <w:t>陆</w:t>
      </w:r>
      <w:r>
        <w:rPr>
          <w:rFonts w:hint="eastAsia" w:asciiTheme="minorEastAsia" w:hAnsiTheme="minorEastAsia" w:eastAsiaTheme="minorEastAsia" w:cstheme="minorEastAsia"/>
          <w:color w:val="auto"/>
          <w:sz w:val="24"/>
          <w:highlight w:val="none"/>
        </w:rPr>
        <w:t>份，具有同等法律效力，财政部门（政府采购监管部门）、采购代理机构各</w:t>
      </w:r>
      <w:r>
        <w:rPr>
          <w:rFonts w:hint="eastAsia" w:asciiTheme="minorEastAsia" w:hAnsiTheme="minorEastAsia" w:eastAsiaTheme="minorEastAsia" w:cstheme="minorEastAsia"/>
          <w:color w:val="auto"/>
          <w:sz w:val="24"/>
          <w:highlight w:val="none"/>
          <w:lang w:val="en-US" w:eastAsia="zh-CN"/>
        </w:rPr>
        <w:t>壹</w:t>
      </w:r>
      <w:r>
        <w:rPr>
          <w:rFonts w:hint="eastAsia" w:asciiTheme="minorEastAsia" w:hAnsiTheme="minorEastAsia" w:eastAsiaTheme="minorEastAsia" w:cstheme="minorEastAsia"/>
          <w:color w:val="auto"/>
          <w:sz w:val="24"/>
          <w:highlight w:val="none"/>
        </w:rPr>
        <w:t>份，甲乙双方各</w:t>
      </w:r>
      <w:r>
        <w:rPr>
          <w:rFonts w:hint="eastAsia" w:asciiTheme="minorEastAsia" w:hAnsiTheme="minorEastAsia" w:eastAsiaTheme="minorEastAsia" w:cstheme="minorEastAsia"/>
          <w:color w:val="auto"/>
          <w:sz w:val="24"/>
          <w:highlight w:val="none"/>
          <w:lang w:val="en-US" w:eastAsia="zh-CN"/>
        </w:rPr>
        <w:t>贰</w:t>
      </w:r>
      <w:r>
        <w:rPr>
          <w:rFonts w:hint="eastAsia" w:asciiTheme="minorEastAsia" w:hAnsiTheme="minorEastAsia" w:eastAsiaTheme="minorEastAsia" w:cstheme="minorEastAsia"/>
          <w:color w:val="auto"/>
          <w:sz w:val="24"/>
          <w:highlight w:val="none"/>
        </w:rPr>
        <w:t>份（可根据需要另增加）。</w:t>
      </w:r>
    </w:p>
    <w:p w14:paraId="5801EF0C">
      <w:pPr>
        <w:spacing w:line="360" w:lineRule="exact"/>
        <w:ind w:firstLine="480" w:firstLineChars="200"/>
        <w:rPr>
          <w:rFonts w:hint="eastAsia" w:asciiTheme="minorEastAsia" w:hAnsiTheme="minorEastAsia" w:eastAsiaTheme="minorEastAsia" w:cstheme="minorEastAsia"/>
          <w:color w:val="auto"/>
          <w:sz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E60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top"/>
          </w:tcPr>
          <w:p w14:paraId="5615CB9F">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甲方（章）      </w:t>
            </w:r>
          </w:p>
          <w:p w14:paraId="3E7451F1">
            <w:pPr>
              <w:spacing w:line="360" w:lineRule="exact"/>
              <w:rPr>
                <w:rFonts w:hint="eastAsia" w:asciiTheme="minorEastAsia" w:hAnsiTheme="minorEastAsia" w:eastAsiaTheme="minorEastAsia" w:cstheme="minorEastAsia"/>
                <w:color w:val="auto"/>
                <w:sz w:val="24"/>
                <w:highlight w:val="none"/>
              </w:rPr>
            </w:pPr>
          </w:p>
          <w:p w14:paraId="51FEE913">
            <w:pPr>
              <w:spacing w:line="360" w:lineRule="exact"/>
              <w:ind w:firstLine="2400" w:firstLineChars="10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tc>
        <w:tc>
          <w:tcPr>
            <w:tcW w:w="4517" w:type="dxa"/>
            <w:noWrap w:val="0"/>
            <w:vAlign w:val="center"/>
          </w:tcPr>
          <w:p w14:paraId="132E1BE9">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乙方（章）              </w:t>
            </w:r>
          </w:p>
          <w:p w14:paraId="423B7763">
            <w:pPr>
              <w:snapToGrid w:val="0"/>
              <w:spacing w:line="360" w:lineRule="exact"/>
              <w:rPr>
                <w:rFonts w:hint="eastAsia" w:asciiTheme="minorEastAsia" w:hAnsiTheme="minorEastAsia" w:eastAsiaTheme="minorEastAsia" w:cstheme="minorEastAsia"/>
                <w:color w:val="auto"/>
                <w:sz w:val="24"/>
                <w:highlight w:val="none"/>
              </w:rPr>
            </w:pPr>
          </w:p>
          <w:p w14:paraId="07391C8E">
            <w:pPr>
              <w:snapToGrid w:val="0"/>
              <w:spacing w:line="360" w:lineRule="exact"/>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tc>
      </w:tr>
      <w:tr w14:paraId="72B0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noWrap w:val="0"/>
            <w:vAlign w:val="top"/>
          </w:tcPr>
          <w:p w14:paraId="67FDD01C">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单位地址：</w:t>
            </w:r>
          </w:p>
        </w:tc>
        <w:tc>
          <w:tcPr>
            <w:tcW w:w="4517" w:type="dxa"/>
            <w:noWrap w:val="0"/>
            <w:vAlign w:val="center"/>
          </w:tcPr>
          <w:p w14:paraId="46D65AF5">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单位地址：</w:t>
            </w:r>
          </w:p>
        </w:tc>
      </w:tr>
      <w:tr w14:paraId="56F0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noWrap w:val="0"/>
            <w:vAlign w:val="top"/>
          </w:tcPr>
          <w:p w14:paraId="0B1EB831">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法定代表人或委托代理人：</w:t>
            </w:r>
          </w:p>
        </w:tc>
        <w:tc>
          <w:tcPr>
            <w:tcW w:w="4517" w:type="dxa"/>
            <w:noWrap w:val="0"/>
            <w:vAlign w:val="top"/>
          </w:tcPr>
          <w:p w14:paraId="180D64C4">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法定代表人或者委托代理人：</w:t>
            </w:r>
          </w:p>
        </w:tc>
      </w:tr>
      <w:tr w14:paraId="5F76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noWrap w:val="0"/>
            <w:vAlign w:val="top"/>
          </w:tcPr>
          <w:p w14:paraId="37ED5361">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tc>
        <w:tc>
          <w:tcPr>
            <w:tcW w:w="4517" w:type="dxa"/>
            <w:noWrap w:val="0"/>
            <w:vAlign w:val="center"/>
          </w:tcPr>
          <w:p w14:paraId="5AC85BC7">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电话：</w:t>
            </w:r>
          </w:p>
        </w:tc>
      </w:tr>
      <w:tr w14:paraId="0CCF4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noWrap w:val="0"/>
            <w:vAlign w:val="top"/>
          </w:tcPr>
          <w:p w14:paraId="717AC7A8">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电子邮箱：</w:t>
            </w:r>
          </w:p>
        </w:tc>
        <w:tc>
          <w:tcPr>
            <w:tcW w:w="4517" w:type="dxa"/>
            <w:noWrap w:val="0"/>
            <w:vAlign w:val="center"/>
          </w:tcPr>
          <w:p w14:paraId="5DF45207">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电子邮箱：</w:t>
            </w:r>
          </w:p>
        </w:tc>
      </w:tr>
      <w:tr w14:paraId="10B4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noWrap w:val="0"/>
            <w:vAlign w:val="top"/>
          </w:tcPr>
          <w:p w14:paraId="328DF607">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p>
        </w:tc>
        <w:tc>
          <w:tcPr>
            <w:tcW w:w="4517" w:type="dxa"/>
            <w:noWrap w:val="0"/>
            <w:vAlign w:val="center"/>
          </w:tcPr>
          <w:p w14:paraId="05C52A67">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w:t>
            </w:r>
          </w:p>
        </w:tc>
      </w:tr>
      <w:tr w14:paraId="58AC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noWrap w:val="0"/>
            <w:vAlign w:val="top"/>
          </w:tcPr>
          <w:p w14:paraId="45DD52B4">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账号：</w:t>
            </w:r>
          </w:p>
        </w:tc>
        <w:tc>
          <w:tcPr>
            <w:tcW w:w="4517" w:type="dxa"/>
            <w:noWrap w:val="0"/>
            <w:vAlign w:val="center"/>
          </w:tcPr>
          <w:p w14:paraId="1F0D5026">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账号：</w:t>
            </w:r>
          </w:p>
        </w:tc>
      </w:tr>
      <w:tr w14:paraId="4122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noWrap w:val="0"/>
            <w:vAlign w:val="center"/>
          </w:tcPr>
          <w:p w14:paraId="3158F983">
            <w:pPr>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tc>
        <w:tc>
          <w:tcPr>
            <w:tcW w:w="4517" w:type="dxa"/>
            <w:noWrap w:val="0"/>
            <w:vAlign w:val="center"/>
          </w:tcPr>
          <w:p w14:paraId="2A03C51D">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邮政编码：</w:t>
            </w:r>
          </w:p>
        </w:tc>
      </w:tr>
    </w:tbl>
    <w:p w14:paraId="6D6749F9">
      <w:pPr>
        <w:spacing w:line="240" w:lineRule="auto"/>
        <w:rPr>
          <w:rFonts w:hint="eastAsia" w:asciiTheme="minorEastAsia" w:hAnsiTheme="minorEastAsia" w:eastAsiaTheme="minorEastAsia" w:cstheme="minorEastAsia"/>
          <w:color w:val="auto"/>
          <w:sz w:val="21"/>
          <w:highlight w:val="none"/>
        </w:rPr>
      </w:pPr>
    </w:p>
    <w:p w14:paraId="1635D8FB">
      <w:pPr>
        <w:spacing w:line="360" w:lineRule="auto"/>
        <w:ind w:left="-420" w:leftChars="-200" w:right="-420" w:rightChars="-200" w:firstLine="480" w:firstLineChars="200"/>
        <w:jc w:val="center"/>
        <w:rPr>
          <w:rFonts w:ascii="宋体" w:hAnsi="宋体" w:cs="宋体"/>
          <w:color w:val="auto"/>
          <w:sz w:val="24"/>
          <w:highlight w:val="none"/>
        </w:rPr>
      </w:pPr>
    </w:p>
    <w:p w14:paraId="01C81883">
      <w:pPr>
        <w:rPr>
          <w:rFonts w:hint="eastAsia" w:ascii="宋体" w:hAnsi="宋体" w:cs="宋体"/>
          <w:b/>
          <w:color w:val="auto"/>
          <w:sz w:val="36"/>
          <w:szCs w:val="20"/>
          <w:highlight w:val="none"/>
        </w:rPr>
      </w:pPr>
      <w:bookmarkStart w:id="398" w:name="_Toc176368907"/>
      <w:bookmarkStart w:id="399" w:name="_Toc20755"/>
      <w:r>
        <w:rPr>
          <w:rFonts w:hint="eastAsia" w:ascii="宋体" w:hAnsi="宋体" w:cs="宋体"/>
          <w:b/>
          <w:color w:val="auto"/>
          <w:sz w:val="36"/>
          <w:szCs w:val="20"/>
          <w:highlight w:val="none"/>
        </w:rPr>
        <w:br w:type="page"/>
      </w:r>
    </w:p>
    <w:p w14:paraId="57E84937">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0"/>
      <w:r>
        <w:rPr>
          <w:rFonts w:hint="eastAsia" w:ascii="宋体" w:hAnsi="宋体" w:cs="宋体"/>
          <w:b/>
          <w:color w:val="auto"/>
          <w:sz w:val="36"/>
          <w:szCs w:val="20"/>
          <w:highlight w:val="none"/>
        </w:rPr>
        <w:t xml:space="preserve"> </w:t>
      </w:r>
      <w:bookmarkEnd w:id="391"/>
      <w:r>
        <w:rPr>
          <w:rFonts w:hint="eastAsia" w:ascii="宋体" w:hAnsi="宋体" w:cs="宋体"/>
          <w:b/>
          <w:color w:val="auto"/>
          <w:sz w:val="36"/>
          <w:szCs w:val="20"/>
          <w:highlight w:val="none"/>
        </w:rPr>
        <w:t>应提交的有关格式范例</w:t>
      </w:r>
      <w:bookmarkEnd w:id="398"/>
      <w:bookmarkEnd w:id="399"/>
    </w:p>
    <w:p w14:paraId="31089DA5">
      <w:pPr>
        <w:spacing w:line="360" w:lineRule="auto"/>
        <w:jc w:val="center"/>
        <w:rPr>
          <w:rFonts w:ascii="宋体" w:hAnsi="宋体" w:cs="宋体"/>
          <w:b/>
          <w:color w:val="auto"/>
          <w:kern w:val="0"/>
          <w:sz w:val="36"/>
          <w:szCs w:val="36"/>
          <w:highlight w:val="none"/>
        </w:rPr>
      </w:pPr>
    </w:p>
    <w:p w14:paraId="7EB88D8C">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49F1A3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40AC2D40">
      <w:pPr>
        <w:spacing w:line="360" w:lineRule="auto"/>
        <w:jc w:val="center"/>
        <w:rPr>
          <w:rFonts w:ascii="宋体" w:hAnsi="宋体" w:cs="宋体"/>
          <w:b/>
          <w:color w:val="auto"/>
          <w:kern w:val="0"/>
          <w:sz w:val="36"/>
          <w:szCs w:val="36"/>
          <w:highlight w:val="none"/>
        </w:rPr>
      </w:pPr>
    </w:p>
    <w:p w14:paraId="6CED4922">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（1）符合参加政府采购活动应当具备的一般条件的承诺函……………（页码）</w:t>
      </w:r>
    </w:p>
    <w:p w14:paraId="1B3B8C3D">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50EED8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44E4636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3389CA3C">
      <w:pPr>
        <w:snapToGrid w:val="0"/>
        <w:spacing w:line="360" w:lineRule="auto"/>
        <w:ind w:firstLine="480" w:firstLineChars="200"/>
        <w:rPr>
          <w:rFonts w:ascii="宋体" w:hAnsi="宋体" w:cs="宋体"/>
          <w:color w:val="auto"/>
          <w:sz w:val="24"/>
          <w:highlight w:val="none"/>
        </w:rPr>
      </w:pPr>
    </w:p>
    <w:p w14:paraId="0DB02642">
      <w:pPr>
        <w:spacing w:line="360" w:lineRule="auto"/>
        <w:ind w:firstLine="480" w:firstLineChars="200"/>
        <w:rPr>
          <w:rFonts w:ascii="宋体" w:hAnsi="宋体" w:cs="宋体"/>
          <w:color w:val="auto"/>
          <w:sz w:val="24"/>
          <w:highlight w:val="none"/>
        </w:rPr>
      </w:pPr>
    </w:p>
    <w:p w14:paraId="11E89C42">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一、符合参加政府采购活动应当具备的一般条件的承诺函</w:t>
      </w:r>
    </w:p>
    <w:p w14:paraId="44785B21">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322F4516">
      <w:pPr>
        <w:snapToGrid w:val="0"/>
        <w:spacing w:line="360" w:lineRule="auto"/>
        <w:rPr>
          <w:rFonts w:ascii="宋体" w:hAnsi="宋体" w:cs="宋体"/>
          <w:color w:val="auto"/>
          <w:sz w:val="24"/>
          <w:highlight w:val="none"/>
        </w:rPr>
      </w:pPr>
    </w:p>
    <w:p w14:paraId="5CC8F75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0053B4E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2C527424">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5049534E">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5D4713F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333EAFD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7E2F1923">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2BB18C15">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55B7036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698B2022">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1FBA8497">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025C98F9">
      <w:pPr>
        <w:snapToGrid w:val="0"/>
        <w:spacing w:line="360" w:lineRule="auto"/>
        <w:ind w:right="480"/>
        <w:rPr>
          <w:rFonts w:ascii="宋体" w:hAnsi="宋体" w:cs="宋体"/>
          <w:color w:val="auto"/>
          <w:sz w:val="24"/>
          <w:highlight w:val="none"/>
        </w:rPr>
      </w:pPr>
    </w:p>
    <w:p w14:paraId="6A854AFC">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1ECBC1B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553745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3E2C5A1">
      <w:pPr>
        <w:rPr>
          <w:rFonts w:ascii="宋体" w:hAnsi="宋体" w:cs="宋体"/>
          <w:color w:val="auto"/>
          <w:highlight w:val="none"/>
        </w:rPr>
      </w:pPr>
    </w:p>
    <w:p w14:paraId="42244FB9">
      <w:pPr>
        <w:keepNext w:val="0"/>
        <w:keepLines w:val="0"/>
        <w:pageBreakBefore w:val="0"/>
        <w:widowControl/>
        <w:kinsoku/>
        <w:wordWrap/>
        <w:overflowPunct/>
        <w:topLinePunct w:val="0"/>
        <w:autoSpaceDE/>
        <w:autoSpaceDN/>
        <w:bidi w:val="0"/>
        <w:adjustRightInd w:val="0"/>
        <w:snapToGrid/>
        <w:spacing w:line="360" w:lineRule="auto"/>
        <w:ind w:firstLine="0" w:firstLineChars="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3A8F18DF">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78894A58">
      <w:pPr>
        <w:snapToGrid w:val="0"/>
        <w:spacing w:line="360" w:lineRule="auto"/>
        <w:ind w:right="480"/>
        <w:jc w:val="both"/>
        <w:rPr>
          <w:rFonts w:ascii="宋体" w:hAnsi="宋体" w:cs="宋体"/>
          <w:b/>
          <w:color w:val="auto"/>
          <w:kern w:val="0"/>
          <w:sz w:val="32"/>
          <w:szCs w:val="32"/>
          <w:highlight w:val="none"/>
        </w:rPr>
      </w:pPr>
    </w:p>
    <w:p w14:paraId="0C4B61EC">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25F05D1A">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172DE973">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w:t>
      </w:r>
    </w:p>
    <w:p w14:paraId="5147834B">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238ED57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b/>
          <w:color w:val="auto"/>
          <w:sz w:val="24"/>
          <w:highlight w:val="none"/>
          <w:lang w:val="en-US" w:eastAsia="zh-CN"/>
        </w:rPr>
        <w:t>.</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12EC52BD">
      <w:pPr>
        <w:widowControl/>
        <w:spacing w:line="360" w:lineRule="auto"/>
        <w:ind w:left="150"/>
        <w:jc w:val="center"/>
        <w:rPr>
          <w:rFonts w:ascii="宋体" w:hAnsi="宋体" w:cs="宋体"/>
          <w:b/>
          <w:color w:val="auto"/>
          <w:kern w:val="0"/>
          <w:sz w:val="32"/>
          <w:szCs w:val="32"/>
          <w:highlight w:val="none"/>
        </w:rPr>
      </w:pPr>
    </w:p>
    <w:p w14:paraId="5D85E831">
      <w:pPr>
        <w:keepNext w:val="0"/>
        <w:keepLines w:val="0"/>
        <w:pageBreakBefore w:val="0"/>
        <w:widowControl/>
        <w:kinsoku/>
        <w:wordWrap/>
        <w:overflowPunct/>
        <w:topLinePunct w:val="0"/>
        <w:autoSpaceDE/>
        <w:autoSpaceDN/>
        <w:bidi w:val="0"/>
        <w:adjustRightInd w:val="0"/>
        <w:snapToGrid/>
        <w:spacing w:line="360" w:lineRule="auto"/>
        <w:ind w:left="0"/>
        <w:jc w:val="center"/>
        <w:textAlignment w:val="auto"/>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700FA79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56657AA3">
      <w:pPr>
        <w:rPr>
          <w:rFonts w:ascii="宋体" w:hAnsi="宋体" w:cs="宋体"/>
          <w:color w:val="auto"/>
          <w:highlight w:val="none"/>
        </w:rPr>
      </w:pPr>
    </w:p>
    <w:p w14:paraId="3E9D6BB1">
      <w:pPr>
        <w:snapToGrid w:val="0"/>
        <w:spacing w:line="360" w:lineRule="auto"/>
        <w:ind w:right="480"/>
        <w:jc w:val="both"/>
        <w:rPr>
          <w:rFonts w:ascii="宋体" w:hAnsi="宋体" w:cs="宋体"/>
          <w:b/>
          <w:color w:val="auto"/>
          <w:kern w:val="0"/>
          <w:sz w:val="32"/>
          <w:szCs w:val="32"/>
          <w:highlight w:val="none"/>
        </w:rPr>
      </w:pPr>
    </w:p>
    <w:p w14:paraId="3FADC831">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2D1B5C50">
      <w:pPr>
        <w:keepNext w:val="0"/>
        <w:keepLines w:val="0"/>
        <w:pageBreakBefore w:val="0"/>
        <w:widowControl w:val="0"/>
        <w:kinsoku/>
        <w:wordWrap/>
        <w:overflowPunct/>
        <w:topLinePunct w:val="0"/>
        <w:autoSpaceDE/>
        <w:autoSpaceDN/>
        <w:bidi w:val="0"/>
        <w:adjustRightInd w:val="0"/>
        <w:snapToGrid/>
        <w:spacing w:line="360" w:lineRule="auto"/>
        <w:ind w:right="0" w:firstLine="0" w:firstLineChars="0"/>
        <w:jc w:val="center"/>
        <w:textAlignment w:val="auto"/>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6D2A378D">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w:t>
      </w:r>
      <w:r>
        <w:rPr>
          <w:rFonts w:hint="eastAsia" w:ascii="宋体" w:hAnsi="宋体" w:cs="宋体"/>
          <w:b/>
          <w:color w:val="auto"/>
          <w:kern w:val="0"/>
          <w:sz w:val="28"/>
          <w:szCs w:val="28"/>
          <w:highlight w:val="none"/>
          <w:lang w:val="en-US" w:eastAsia="zh-CN"/>
        </w:rPr>
        <w:t xml:space="preserve">  </w:t>
      </w:r>
      <w:r>
        <w:rPr>
          <w:rFonts w:hint="eastAsia" w:ascii="宋体" w:hAnsi="宋体" w:cs="宋体"/>
          <w:b/>
          <w:color w:val="auto"/>
          <w:kern w:val="0"/>
          <w:sz w:val="28"/>
          <w:szCs w:val="28"/>
          <w:highlight w:val="none"/>
        </w:rPr>
        <w:t>录</w:t>
      </w:r>
    </w:p>
    <w:p w14:paraId="4A81A18C">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（1）投标函</w:t>
      </w:r>
      <w:r>
        <w:rPr>
          <w:rFonts w:hint="eastAsia" w:ascii="宋体" w:hAnsi="宋体" w:cs="宋体"/>
          <w:color w:val="auto"/>
          <w:highlight w:val="none"/>
        </w:rPr>
        <w:t>…………………………………………………………………………………（页码）</w:t>
      </w:r>
    </w:p>
    <w:p w14:paraId="225B7825">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254FDE47">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CFC0DD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32E13268">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……………………………………………………（页码）</w:t>
      </w:r>
    </w:p>
    <w:p w14:paraId="27B42964">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…………………………………………………………………………（页码）</w:t>
      </w:r>
    </w:p>
    <w:p w14:paraId="0203527F">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15E8E811">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175011E0">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Cs w:val="21"/>
          <w:highlight w:val="none"/>
        </w:rPr>
        <w:t>▲</w:t>
      </w:r>
      <w:r>
        <w:rPr>
          <w:rFonts w:hint="eastAsia" w:ascii="宋体" w:hAnsi="宋体" w:cs="宋体"/>
          <w:color w:val="auto"/>
          <w:sz w:val="24"/>
          <w:highlight w:val="none"/>
          <w:lang w:val="zh-CN"/>
        </w:rPr>
        <w:t>（</w:t>
      </w:r>
      <w:r>
        <w:rPr>
          <w:rFonts w:hint="eastAsia" w:ascii="宋体" w:hAnsi="宋体" w:cs="宋体"/>
          <w:color w:val="auto"/>
          <w:sz w:val="24"/>
          <w:highlight w:val="none"/>
        </w:rPr>
        <w:t>9</w:t>
      </w:r>
      <w:r>
        <w:rPr>
          <w:rFonts w:hint="eastAsia" w:ascii="宋体" w:hAnsi="宋体" w:cs="宋体"/>
          <w:color w:val="auto"/>
          <w:sz w:val="24"/>
          <w:highlight w:val="none"/>
          <w:lang w:val="zh-CN"/>
        </w:rPr>
        <w:t>）承诺函</w:t>
      </w:r>
      <w:r>
        <w:rPr>
          <w:rFonts w:hint="eastAsia" w:ascii="宋体" w:hAnsi="宋体" w:cs="宋体"/>
          <w:color w:val="auto"/>
          <w:highlight w:val="none"/>
        </w:rPr>
        <w:t>……………………………………………………………………………………（页码）</w:t>
      </w:r>
    </w:p>
    <w:p w14:paraId="55CD9E0A">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10</w:t>
      </w:r>
      <w:r>
        <w:rPr>
          <w:rFonts w:hint="eastAsia" w:ascii="宋体" w:hAnsi="宋体" w:cs="宋体"/>
          <w:color w:val="auto"/>
          <w:sz w:val="24"/>
          <w:highlight w:val="none"/>
          <w:lang w:val="zh-CN"/>
        </w:rPr>
        <w:t>）技术解决方案</w:t>
      </w:r>
      <w:r>
        <w:rPr>
          <w:rFonts w:hint="eastAsia" w:ascii="宋体" w:hAnsi="宋体" w:cs="宋体"/>
          <w:color w:val="auto"/>
          <w:highlight w:val="none"/>
        </w:rPr>
        <w:t>…………………………………………………………………………（页码）</w:t>
      </w:r>
    </w:p>
    <w:p w14:paraId="1CBCD94B">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w:t>
      </w:r>
      <w:r>
        <w:rPr>
          <w:rFonts w:hint="eastAsia" w:ascii="宋体" w:hAnsi="宋体" w:cs="宋体"/>
          <w:color w:val="auto"/>
          <w:sz w:val="24"/>
          <w:highlight w:val="none"/>
          <w:lang w:val="zh-CN"/>
        </w:rPr>
        <w:t>）组织实施方案</w:t>
      </w:r>
      <w:r>
        <w:rPr>
          <w:rFonts w:hint="eastAsia" w:ascii="宋体" w:hAnsi="宋体" w:cs="宋体"/>
          <w:color w:val="auto"/>
          <w:highlight w:val="none"/>
        </w:rPr>
        <w:t>…………………………………………………………………………（页码）</w:t>
      </w:r>
    </w:p>
    <w:p w14:paraId="469C03FA">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12</w:t>
      </w:r>
      <w:r>
        <w:rPr>
          <w:rFonts w:hint="eastAsia" w:ascii="宋体" w:hAnsi="宋体" w:cs="宋体"/>
          <w:color w:val="auto"/>
          <w:sz w:val="24"/>
          <w:highlight w:val="none"/>
          <w:lang w:val="zh-CN"/>
        </w:rPr>
        <w:t>）运维服务方案</w:t>
      </w:r>
      <w:r>
        <w:rPr>
          <w:rFonts w:hint="eastAsia" w:ascii="宋体" w:hAnsi="宋体" w:cs="宋体"/>
          <w:color w:val="auto"/>
          <w:highlight w:val="none"/>
        </w:rPr>
        <w:t>…………………………………………………………………………（页码）</w:t>
      </w:r>
    </w:p>
    <w:p w14:paraId="5AA3860C">
      <w:pPr>
        <w:snapToGrid w:val="0"/>
        <w:spacing w:line="360" w:lineRule="auto"/>
        <w:jc w:val="center"/>
        <w:rPr>
          <w:rFonts w:ascii="宋体" w:hAnsi="宋体" w:cs="宋体"/>
          <w:b/>
          <w:color w:val="auto"/>
          <w:kern w:val="0"/>
          <w:sz w:val="32"/>
          <w:szCs w:val="32"/>
          <w:highlight w:val="none"/>
          <w:lang w:val="zh-CN"/>
        </w:rPr>
      </w:pPr>
    </w:p>
    <w:p w14:paraId="58214ED3">
      <w:pPr>
        <w:snapToGrid w:val="0"/>
        <w:spacing w:line="360" w:lineRule="auto"/>
        <w:jc w:val="center"/>
        <w:rPr>
          <w:rFonts w:ascii="宋体" w:hAnsi="宋体" w:cs="宋体"/>
          <w:b/>
          <w:color w:val="auto"/>
          <w:kern w:val="0"/>
          <w:sz w:val="32"/>
          <w:szCs w:val="32"/>
          <w:highlight w:val="none"/>
          <w:lang w:val="zh-CN"/>
        </w:rPr>
      </w:pPr>
    </w:p>
    <w:p w14:paraId="51B7D62B">
      <w:pPr>
        <w:snapToGrid w:val="0"/>
        <w:spacing w:line="360" w:lineRule="auto"/>
        <w:jc w:val="center"/>
        <w:rPr>
          <w:rFonts w:ascii="宋体" w:hAnsi="宋体" w:cs="宋体"/>
          <w:b/>
          <w:color w:val="auto"/>
          <w:kern w:val="0"/>
          <w:sz w:val="32"/>
          <w:szCs w:val="32"/>
          <w:highlight w:val="none"/>
          <w:lang w:val="zh-CN"/>
        </w:rPr>
      </w:pPr>
    </w:p>
    <w:p w14:paraId="48A99A9A">
      <w:pPr>
        <w:snapToGrid w:val="0"/>
        <w:spacing w:line="360" w:lineRule="auto"/>
        <w:jc w:val="center"/>
        <w:rPr>
          <w:rFonts w:ascii="宋体" w:hAnsi="宋体" w:cs="宋体"/>
          <w:b/>
          <w:color w:val="auto"/>
          <w:kern w:val="0"/>
          <w:sz w:val="32"/>
          <w:szCs w:val="32"/>
          <w:highlight w:val="none"/>
          <w:lang w:val="zh-CN"/>
        </w:rPr>
      </w:pPr>
    </w:p>
    <w:p w14:paraId="147309EB">
      <w:pPr>
        <w:snapToGrid w:val="0"/>
        <w:spacing w:line="360" w:lineRule="auto"/>
        <w:jc w:val="center"/>
        <w:rPr>
          <w:rFonts w:ascii="宋体" w:hAnsi="宋体" w:cs="宋体"/>
          <w:b/>
          <w:color w:val="auto"/>
          <w:kern w:val="0"/>
          <w:sz w:val="32"/>
          <w:szCs w:val="32"/>
          <w:highlight w:val="none"/>
          <w:lang w:val="zh-CN"/>
        </w:rPr>
      </w:pPr>
    </w:p>
    <w:p w14:paraId="79FACD84">
      <w:pPr>
        <w:snapToGrid w:val="0"/>
        <w:spacing w:line="360" w:lineRule="auto"/>
        <w:jc w:val="center"/>
        <w:rPr>
          <w:rFonts w:ascii="宋体" w:hAnsi="宋体" w:cs="宋体"/>
          <w:b/>
          <w:color w:val="auto"/>
          <w:kern w:val="0"/>
          <w:sz w:val="32"/>
          <w:szCs w:val="32"/>
          <w:highlight w:val="none"/>
          <w:lang w:val="zh-CN"/>
        </w:rPr>
      </w:pPr>
    </w:p>
    <w:p w14:paraId="4E309E07">
      <w:pPr>
        <w:snapToGrid w:val="0"/>
        <w:spacing w:line="360" w:lineRule="auto"/>
        <w:jc w:val="center"/>
        <w:rPr>
          <w:rFonts w:ascii="宋体" w:hAnsi="宋体" w:cs="宋体"/>
          <w:b/>
          <w:color w:val="auto"/>
          <w:kern w:val="0"/>
          <w:sz w:val="32"/>
          <w:szCs w:val="32"/>
          <w:highlight w:val="none"/>
          <w:lang w:val="zh-CN"/>
        </w:rPr>
      </w:pPr>
    </w:p>
    <w:p w14:paraId="6A36B3C5">
      <w:pPr>
        <w:snapToGrid w:val="0"/>
        <w:spacing w:line="360" w:lineRule="auto"/>
        <w:jc w:val="center"/>
        <w:rPr>
          <w:rFonts w:ascii="宋体" w:hAnsi="宋体" w:cs="宋体"/>
          <w:b/>
          <w:color w:val="auto"/>
          <w:kern w:val="0"/>
          <w:sz w:val="32"/>
          <w:szCs w:val="32"/>
          <w:highlight w:val="none"/>
          <w:lang w:val="zh-CN"/>
        </w:rPr>
      </w:pPr>
    </w:p>
    <w:p w14:paraId="7C6C9D1D">
      <w:pPr>
        <w:snapToGrid w:val="0"/>
        <w:spacing w:line="360" w:lineRule="auto"/>
        <w:jc w:val="center"/>
        <w:rPr>
          <w:rFonts w:ascii="宋体" w:hAnsi="宋体" w:cs="宋体"/>
          <w:b/>
          <w:color w:val="auto"/>
          <w:kern w:val="0"/>
          <w:sz w:val="32"/>
          <w:szCs w:val="32"/>
          <w:highlight w:val="none"/>
          <w:lang w:val="zh-CN"/>
        </w:rPr>
      </w:pPr>
    </w:p>
    <w:p w14:paraId="4127D793">
      <w:pPr>
        <w:rPr>
          <w:rFonts w:ascii="宋体" w:hAnsi="宋体" w:cs="宋体"/>
          <w:b/>
          <w:color w:val="auto"/>
          <w:kern w:val="0"/>
          <w:sz w:val="32"/>
          <w:szCs w:val="32"/>
          <w:highlight w:val="none"/>
          <w:lang w:val="zh-CN"/>
        </w:rPr>
      </w:pPr>
    </w:p>
    <w:p w14:paraId="6C0FBD1F">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346A27C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8E0D49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497D80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6F582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天（不少于60天）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30E9BD3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4B23679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085852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537DDD6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400" w:name="_Hlk101257010"/>
      <w:r>
        <w:rPr>
          <w:rFonts w:hint="eastAsia" w:ascii="宋体" w:hAnsi="宋体" w:cs="宋体"/>
          <w:color w:val="auto"/>
          <w:sz w:val="24"/>
          <w:highlight w:val="none"/>
        </w:rPr>
        <w:t>（如果有)</w:t>
      </w:r>
      <w:bookmarkEnd w:id="400"/>
      <w:r>
        <w:rPr>
          <w:rFonts w:hint="eastAsia" w:ascii="宋体" w:hAnsi="宋体" w:cs="宋体"/>
          <w:snapToGrid w:val="0"/>
          <w:color w:val="auto"/>
          <w:kern w:val="28"/>
          <w:sz w:val="24"/>
          <w:szCs w:val="20"/>
          <w:highlight w:val="none"/>
        </w:rPr>
        <w:t>；</w:t>
      </w:r>
    </w:p>
    <w:p w14:paraId="27199A8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60451AF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27A8010D">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459448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5253C10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6D557BF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185E9F6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符合性审查资料（如果有）；</w:t>
      </w:r>
    </w:p>
    <w:p w14:paraId="53DE5F6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评标标准相应的商务技术资料（如果有）；</w:t>
      </w:r>
    </w:p>
    <w:p w14:paraId="336528F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投标标的清单（如果有）；</w:t>
      </w:r>
    </w:p>
    <w:p w14:paraId="5F1D563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0CDF20A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0D9651C">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9</w:t>
      </w:r>
      <w:r>
        <w:rPr>
          <w:rFonts w:hint="eastAsia" w:cs="宋体"/>
          <w:color w:val="auto"/>
          <w:highlight w:val="none"/>
          <w:lang w:val="zh-CN"/>
        </w:rPr>
        <w:t>承诺函；</w:t>
      </w:r>
    </w:p>
    <w:p w14:paraId="35BED56F">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10</w:t>
      </w:r>
      <w:r>
        <w:rPr>
          <w:rFonts w:hint="eastAsia" w:cs="宋体"/>
          <w:color w:val="auto"/>
          <w:highlight w:val="none"/>
          <w:lang w:val="zh-CN"/>
        </w:rPr>
        <w:t>技术解决方案</w:t>
      </w:r>
      <w:r>
        <w:rPr>
          <w:rFonts w:hint="eastAsia" w:cs="宋体"/>
          <w:snapToGrid w:val="0"/>
          <w:color w:val="auto"/>
          <w:kern w:val="28"/>
          <w:highlight w:val="none"/>
        </w:rPr>
        <w:t>（如果有）</w:t>
      </w:r>
      <w:r>
        <w:rPr>
          <w:rFonts w:hint="eastAsia" w:cs="宋体"/>
          <w:color w:val="auto"/>
          <w:highlight w:val="none"/>
          <w:lang w:val="zh-CN"/>
        </w:rPr>
        <w:t>；</w:t>
      </w:r>
    </w:p>
    <w:p w14:paraId="24E473CD">
      <w:pPr>
        <w:pStyle w:val="83"/>
        <w:ind w:left="420" w:leftChars="200" w:firstLine="480" w:firstLineChars="200"/>
        <w:rPr>
          <w:rFonts w:cs="宋体"/>
          <w:color w:val="auto"/>
          <w:highlight w:val="none"/>
          <w:lang w:val="zh-CN"/>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11</w:t>
      </w:r>
      <w:r>
        <w:rPr>
          <w:rFonts w:hint="eastAsia" w:cs="宋体"/>
          <w:color w:val="auto"/>
          <w:highlight w:val="none"/>
          <w:lang w:val="zh-CN"/>
        </w:rPr>
        <w:t>组织实施方案</w:t>
      </w:r>
      <w:r>
        <w:rPr>
          <w:rFonts w:hint="eastAsia" w:cs="宋体"/>
          <w:snapToGrid w:val="0"/>
          <w:color w:val="auto"/>
          <w:kern w:val="28"/>
          <w:highlight w:val="none"/>
        </w:rPr>
        <w:t>（如果有）</w:t>
      </w:r>
      <w:r>
        <w:rPr>
          <w:rFonts w:hint="eastAsia" w:cs="宋体"/>
          <w:color w:val="auto"/>
          <w:highlight w:val="none"/>
          <w:lang w:val="zh-CN"/>
        </w:rPr>
        <w:t>；</w:t>
      </w:r>
    </w:p>
    <w:p w14:paraId="0EF0159B">
      <w:pPr>
        <w:pStyle w:val="83"/>
        <w:ind w:left="420" w:leftChars="200" w:firstLine="480" w:firstLineChars="200"/>
        <w:rPr>
          <w:color w:val="auto"/>
          <w:highlight w:val="none"/>
        </w:rPr>
      </w:pPr>
      <w:r>
        <w:rPr>
          <w:rFonts w:hint="eastAsia" w:cs="宋体"/>
          <w:color w:val="auto"/>
          <w:highlight w:val="none"/>
        </w:rPr>
        <w:t>2</w:t>
      </w:r>
      <w:r>
        <w:rPr>
          <w:rFonts w:hint="eastAsia" w:cs="宋体"/>
          <w:color w:val="auto"/>
          <w:highlight w:val="none"/>
          <w:lang w:val="zh-CN"/>
        </w:rPr>
        <w:t>.</w:t>
      </w:r>
      <w:r>
        <w:rPr>
          <w:rFonts w:hint="eastAsia" w:cs="宋体"/>
          <w:color w:val="auto"/>
          <w:highlight w:val="none"/>
        </w:rPr>
        <w:t>2</w:t>
      </w:r>
      <w:r>
        <w:rPr>
          <w:rFonts w:hint="eastAsia" w:cs="宋体"/>
          <w:color w:val="auto"/>
          <w:highlight w:val="none"/>
          <w:lang w:val="zh-CN"/>
        </w:rPr>
        <w:t>.</w:t>
      </w:r>
      <w:r>
        <w:rPr>
          <w:rFonts w:hint="eastAsia" w:cs="宋体"/>
          <w:color w:val="auto"/>
          <w:highlight w:val="none"/>
        </w:rPr>
        <w:t>12运维服务</w:t>
      </w:r>
      <w:r>
        <w:rPr>
          <w:rFonts w:hint="eastAsia" w:cs="宋体"/>
          <w:color w:val="auto"/>
          <w:highlight w:val="none"/>
          <w:lang w:val="zh-CN"/>
        </w:rPr>
        <w:t>方案。</w:t>
      </w:r>
    </w:p>
    <w:p w14:paraId="000F0A4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6B006D62">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699444E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B84E8F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3、我方承诺除商务技术偏离表列出的偏离外，我方响应招标文件的全部要求。</w:t>
      </w:r>
    </w:p>
    <w:p w14:paraId="08195F2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18FF3332">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5C9A3B6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1865E4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325FA30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1F77B46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5、其他补充说明</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D4569E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577CEE0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0B662A9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DC06557">
      <w:pPr>
        <w:snapToGrid w:val="0"/>
        <w:spacing w:line="360" w:lineRule="auto"/>
        <w:ind w:left="420" w:leftChars="200" w:firstLine="4200" w:firstLineChars="1750"/>
        <w:rPr>
          <w:rFonts w:ascii="宋体" w:hAnsi="宋体" w:cs="宋体"/>
          <w:color w:val="auto"/>
          <w:kern w:val="0"/>
          <w:sz w:val="24"/>
          <w:highlight w:val="none"/>
          <w:u w:val="single"/>
        </w:rPr>
      </w:pPr>
    </w:p>
    <w:p w14:paraId="2BD4379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40E6755">
      <w:pPr>
        <w:jc w:val="center"/>
        <w:rPr>
          <w:rFonts w:ascii="宋体" w:hAnsi="宋体" w:cs="宋体"/>
          <w:b/>
          <w:color w:val="auto"/>
          <w:kern w:val="0"/>
          <w:sz w:val="32"/>
          <w:szCs w:val="32"/>
          <w:highlight w:val="none"/>
        </w:rPr>
      </w:pPr>
    </w:p>
    <w:p w14:paraId="0B372F1B">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54241CAC">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47D9505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color w:val="auto"/>
          <w:sz w:val="24"/>
          <w:highlight w:val="none"/>
        </w:rPr>
      </w:pPr>
    </w:p>
    <w:p w14:paraId="652F1DE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4D8AE58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C812C23">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3DA28D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FD533C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6C01436">
      <w:pPr>
        <w:spacing w:line="360" w:lineRule="auto"/>
        <w:ind w:left="4649" w:leftChars="2214" w:firstLine="3600" w:firstLineChars="1500"/>
        <w:rPr>
          <w:rFonts w:ascii="宋体" w:hAnsi="宋体" w:cs="宋体"/>
          <w:color w:val="auto"/>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sz w:val="24"/>
          <w:highlight w:val="none"/>
        </w:rPr>
        <w:t>投标人名称（公章）：</w:t>
      </w:r>
    </w:p>
    <w:p w14:paraId="40DC2E55">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4D2978BD">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4DC63DAB">
      <w:pPr>
        <w:adjustRightInd/>
        <w:spacing w:line="360" w:lineRule="auto"/>
        <w:rPr>
          <w:rFonts w:ascii="宋体" w:hAnsi="宋体"/>
          <w:color w:val="auto"/>
          <w:sz w:val="24"/>
          <w:szCs w:val="21"/>
          <w:highlight w:val="none"/>
        </w:rPr>
      </w:pPr>
    </w:p>
    <w:p w14:paraId="1D3239A7">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D0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C5868F7">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04230068">
            <w:pPr>
              <w:spacing w:line="360" w:lineRule="auto"/>
              <w:rPr>
                <w:rFonts w:ascii="宋体" w:hAnsi="宋体" w:cs="宋体"/>
                <w:bCs/>
                <w:color w:val="auto"/>
                <w:sz w:val="24"/>
                <w:szCs w:val="21"/>
                <w:highlight w:val="none"/>
              </w:rPr>
            </w:pPr>
          </w:p>
          <w:p w14:paraId="797096D1">
            <w:pPr>
              <w:spacing w:line="360" w:lineRule="auto"/>
              <w:rPr>
                <w:rFonts w:ascii="宋体" w:hAnsi="宋体" w:cs="宋体"/>
                <w:bCs/>
                <w:color w:val="auto"/>
                <w:sz w:val="24"/>
                <w:szCs w:val="21"/>
                <w:highlight w:val="none"/>
              </w:rPr>
            </w:pPr>
          </w:p>
          <w:p w14:paraId="70C5F1CF">
            <w:pPr>
              <w:spacing w:line="360" w:lineRule="auto"/>
              <w:rPr>
                <w:rFonts w:ascii="宋体" w:hAnsi="宋体" w:cs="宋体"/>
                <w:bCs/>
                <w:color w:val="auto"/>
                <w:sz w:val="24"/>
                <w:szCs w:val="21"/>
                <w:highlight w:val="none"/>
              </w:rPr>
            </w:pPr>
          </w:p>
          <w:p w14:paraId="6DBB23D6">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39A35048">
            <w:pPr>
              <w:spacing w:line="360" w:lineRule="auto"/>
              <w:rPr>
                <w:rFonts w:ascii="宋体" w:hAnsi="宋体" w:cs="宋体"/>
                <w:bCs/>
                <w:color w:val="auto"/>
                <w:sz w:val="24"/>
                <w:szCs w:val="21"/>
                <w:highlight w:val="none"/>
              </w:rPr>
            </w:pPr>
          </w:p>
        </w:tc>
      </w:tr>
    </w:tbl>
    <w:p w14:paraId="135CA2E6">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53CA98CD">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134" w:right="1134" w:bottom="1134" w:left="1134" w:header="851" w:footer="992" w:gutter="0"/>
          <w:pgNumType w:fmt="decimal"/>
          <w:cols w:space="720" w:num="1"/>
          <w:titlePg/>
          <w:docGrid w:linePitch="312" w:charSpace="0"/>
        </w:sectPr>
      </w:pPr>
    </w:p>
    <w:p w14:paraId="0E8185E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授权委托书（适用于联合体投标）</w:t>
      </w:r>
    </w:p>
    <w:p w14:paraId="00ECC3A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42EE139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415A071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7B0B82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0937F23A">
      <w:pPr>
        <w:jc w:val="center"/>
        <w:rPr>
          <w:rFonts w:ascii="宋体" w:hAnsi="宋体" w:cs="宋体"/>
          <w:b/>
          <w:color w:val="auto"/>
          <w:kern w:val="0"/>
          <w:sz w:val="32"/>
          <w:szCs w:val="32"/>
          <w:highlight w:val="none"/>
        </w:rPr>
      </w:pPr>
    </w:p>
    <w:p w14:paraId="1A7A6A85">
      <w:pPr>
        <w:jc w:val="center"/>
        <w:rPr>
          <w:rFonts w:ascii="宋体" w:hAnsi="宋体" w:cs="宋体"/>
          <w:b/>
          <w:color w:val="auto"/>
          <w:kern w:val="0"/>
          <w:sz w:val="32"/>
          <w:szCs w:val="32"/>
          <w:highlight w:val="none"/>
        </w:rPr>
      </w:pPr>
    </w:p>
    <w:p w14:paraId="7854D8EB">
      <w:pPr>
        <w:jc w:val="center"/>
        <w:rPr>
          <w:rFonts w:ascii="宋体" w:hAnsi="宋体" w:cs="宋体"/>
          <w:b/>
          <w:color w:val="auto"/>
          <w:kern w:val="0"/>
          <w:sz w:val="32"/>
          <w:szCs w:val="32"/>
          <w:highlight w:val="none"/>
        </w:rPr>
      </w:pPr>
    </w:p>
    <w:p w14:paraId="03189474">
      <w:pPr>
        <w:rPr>
          <w:rFonts w:ascii="宋体" w:hAnsi="宋体" w:cs="宋体"/>
          <w:color w:val="auto"/>
          <w:highlight w:val="none"/>
        </w:rPr>
      </w:pPr>
    </w:p>
    <w:p w14:paraId="78A3AB60">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34F23E82">
      <w:pPr>
        <w:snapToGrid w:val="0"/>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法定代表人（负责人） (签名)：</w:t>
      </w:r>
    </w:p>
    <w:p w14:paraId="53BC02D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olor w:val="auto"/>
          <w:sz w:val="24"/>
          <w:highlight w:val="none"/>
        </w:rPr>
        <w:t>联合体成</w:t>
      </w:r>
      <w:r>
        <w:rPr>
          <w:rFonts w:hint="eastAsia" w:ascii="宋体" w:hAnsi="宋体" w:cs="宋体"/>
          <w:color w:val="auto"/>
          <w:kern w:val="0"/>
          <w:sz w:val="24"/>
          <w:highlight w:val="none"/>
          <w:lang w:val="zh-CN"/>
        </w:rPr>
        <w:t>员名称(公章)：</w:t>
      </w:r>
    </w:p>
    <w:p w14:paraId="46BC67FF">
      <w:pPr>
        <w:snapToGrid w:val="0"/>
        <w:spacing w:line="360" w:lineRule="auto"/>
        <w:ind w:firstLine="5040" w:firstLineChars="2100"/>
        <w:jc w:val="left"/>
        <w:rPr>
          <w:rFonts w:ascii="宋体" w:hAnsi="宋体"/>
          <w:color w:val="auto"/>
          <w:kern w:val="0"/>
          <w:sz w:val="24"/>
          <w:szCs w:val="20"/>
          <w:highlight w:val="none"/>
        </w:rPr>
      </w:pPr>
      <w:r>
        <w:rPr>
          <w:rFonts w:hint="eastAsia" w:ascii="宋体" w:hAnsi="宋体"/>
          <w:color w:val="auto"/>
          <w:kern w:val="0"/>
          <w:sz w:val="24"/>
          <w:szCs w:val="20"/>
          <w:highlight w:val="none"/>
        </w:rPr>
        <w:t>法定代表人（负责人） (签名)：</w:t>
      </w:r>
    </w:p>
    <w:p w14:paraId="48A7A508">
      <w:pPr>
        <w:snapToGrid w:val="0"/>
        <w:spacing w:line="360" w:lineRule="auto"/>
        <w:ind w:firstLine="5040" w:firstLineChars="2100"/>
        <w:rPr>
          <w:rFonts w:ascii="宋体" w:hAnsi="宋体" w:cs="宋体"/>
          <w:color w:val="auto"/>
          <w:kern w:val="0"/>
          <w:sz w:val="24"/>
          <w:highlight w:val="none"/>
          <w:lang w:val="zh-CN"/>
        </w:rPr>
      </w:pPr>
    </w:p>
    <w:p w14:paraId="5932E117">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17261A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1B73E6B">
      <w:pPr>
        <w:adjustRightInd/>
        <w:spacing w:line="360" w:lineRule="auto"/>
        <w:rPr>
          <w:rFonts w:ascii="宋体" w:hAnsi="宋体"/>
          <w:color w:val="auto"/>
          <w:sz w:val="24"/>
          <w:szCs w:val="21"/>
          <w:highlight w:val="none"/>
        </w:rPr>
      </w:pPr>
    </w:p>
    <w:p w14:paraId="7A1C8591">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委托代理人和联合体牵头单位法定代表人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AAE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88DBF3D">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1F734581">
            <w:pPr>
              <w:spacing w:line="360" w:lineRule="auto"/>
              <w:rPr>
                <w:rFonts w:ascii="宋体" w:hAnsi="宋体" w:cs="宋体"/>
                <w:bCs/>
                <w:color w:val="auto"/>
                <w:sz w:val="24"/>
                <w:szCs w:val="21"/>
                <w:highlight w:val="none"/>
              </w:rPr>
            </w:pPr>
          </w:p>
          <w:p w14:paraId="0CAFACA1">
            <w:pPr>
              <w:spacing w:line="360" w:lineRule="auto"/>
              <w:rPr>
                <w:rFonts w:ascii="宋体" w:hAnsi="宋体" w:cs="宋体"/>
                <w:bCs/>
                <w:color w:val="auto"/>
                <w:sz w:val="24"/>
                <w:szCs w:val="21"/>
                <w:highlight w:val="none"/>
              </w:rPr>
            </w:pPr>
          </w:p>
          <w:p w14:paraId="66B593DD">
            <w:pPr>
              <w:spacing w:line="360" w:lineRule="auto"/>
              <w:rPr>
                <w:rFonts w:ascii="宋体" w:hAnsi="宋体" w:cs="宋体"/>
                <w:bCs/>
                <w:color w:val="auto"/>
                <w:sz w:val="24"/>
                <w:szCs w:val="21"/>
                <w:highlight w:val="none"/>
              </w:rPr>
            </w:pPr>
          </w:p>
          <w:p w14:paraId="5C34B027">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2DD48D2B">
            <w:pPr>
              <w:spacing w:line="360" w:lineRule="auto"/>
              <w:rPr>
                <w:rFonts w:ascii="宋体" w:hAnsi="宋体" w:cs="宋体"/>
                <w:bCs/>
                <w:color w:val="auto"/>
                <w:sz w:val="24"/>
                <w:szCs w:val="21"/>
                <w:highlight w:val="none"/>
              </w:rPr>
            </w:pPr>
          </w:p>
        </w:tc>
      </w:tr>
    </w:tbl>
    <w:p w14:paraId="4C3222A5">
      <w:pPr>
        <w:snapToGrid w:val="0"/>
        <w:spacing w:line="360" w:lineRule="auto"/>
        <w:ind w:firstLine="576"/>
        <w:jc w:val="center"/>
        <w:rPr>
          <w:rFonts w:ascii="宋体" w:hAnsi="宋体" w:cs="宋体"/>
          <w:color w:val="auto"/>
          <w:kern w:val="0"/>
          <w:sz w:val="24"/>
          <w:highlight w:val="none"/>
        </w:rPr>
      </w:pPr>
      <w:r>
        <w:rPr>
          <w:rFonts w:hint="eastAsia" w:ascii="宋体" w:hAnsi="宋体" w:cs="宋体"/>
          <w:color w:val="auto"/>
          <w:kern w:val="0"/>
          <w:sz w:val="24"/>
          <w:highlight w:val="none"/>
        </w:rPr>
        <w:t xml:space="preserve">                 </w:t>
      </w:r>
    </w:p>
    <w:p w14:paraId="645585FE">
      <w:pPr>
        <w:snapToGrid w:val="0"/>
        <w:spacing w:line="360" w:lineRule="auto"/>
        <w:ind w:right="480"/>
        <w:rPr>
          <w:rFonts w:ascii="宋体" w:hAnsi="宋体" w:cs="宋体"/>
          <w:b/>
          <w:color w:val="auto"/>
          <w:kern w:val="0"/>
          <w:sz w:val="32"/>
          <w:szCs w:val="32"/>
          <w:highlight w:val="none"/>
        </w:rPr>
        <w:sectPr>
          <w:headerReference r:id="rId13" w:type="first"/>
          <w:footerReference r:id="rId15" w:type="first"/>
          <w:headerReference r:id="rId12" w:type="default"/>
          <w:footerReference r:id="rId14" w:type="default"/>
          <w:pgSz w:w="11906" w:h="16838"/>
          <w:pgMar w:top="1134" w:right="1134" w:bottom="1134" w:left="1134" w:header="851" w:footer="992" w:gutter="0"/>
          <w:pgNumType w:fmt="decimal"/>
          <w:cols w:space="720" w:num="1"/>
          <w:titlePg/>
          <w:docGrid w:linePitch="312" w:charSpace="0"/>
        </w:sectPr>
      </w:pPr>
    </w:p>
    <w:p w14:paraId="43E3029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法定代表人、单位负责人或自然人本人的身份证明（适用于法定代表人、单位负责人或者自然人本人代表投标人参加投标）</w:t>
      </w:r>
    </w:p>
    <w:p w14:paraId="348C8066">
      <w:pPr>
        <w:adjustRightInd/>
        <w:spacing w:line="360" w:lineRule="auto"/>
        <w:rPr>
          <w:rFonts w:ascii="宋体" w:hAnsi="宋体" w:cs="宋体"/>
          <w:bCs/>
          <w:color w:val="auto"/>
          <w:sz w:val="24"/>
          <w:szCs w:val="21"/>
          <w:highlight w:val="none"/>
        </w:rPr>
      </w:pPr>
    </w:p>
    <w:p w14:paraId="2B36887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法定代表人、单位负责人或自然人身份证明书</w:t>
      </w:r>
    </w:p>
    <w:p w14:paraId="1AB0ED6C">
      <w:pPr>
        <w:snapToGrid w:val="0"/>
        <w:spacing w:line="276" w:lineRule="auto"/>
        <w:ind w:firstLine="960" w:firstLineChars="400"/>
        <w:rPr>
          <w:rFonts w:ascii="宋体" w:hAnsi="宋体"/>
          <w:color w:val="auto"/>
          <w:sz w:val="24"/>
          <w:highlight w:val="none"/>
          <w:u w:val="single"/>
        </w:rPr>
      </w:pPr>
    </w:p>
    <w:p w14:paraId="298494F2">
      <w:pPr>
        <w:snapToGrid w:val="0"/>
        <w:spacing w:line="720" w:lineRule="exact"/>
        <w:ind w:firstLine="960" w:firstLineChars="400"/>
        <w:rPr>
          <w:rFonts w:ascii="宋体" w:hAnsi="宋体"/>
          <w:color w:val="auto"/>
          <w:sz w:val="24"/>
          <w:highlight w:val="none"/>
        </w:rPr>
      </w:pP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w:t>
      </w:r>
      <w:r>
        <w:rPr>
          <w:rFonts w:hint="eastAsia" w:ascii="宋体" w:hAnsi="宋体"/>
          <w:color w:val="auto"/>
          <w:sz w:val="24"/>
          <w:highlight w:val="none"/>
        </w:rPr>
        <w:t>在我公司（单位）任</w:t>
      </w:r>
      <w:r>
        <w:rPr>
          <w:rFonts w:hint="eastAsia" w:ascii="宋体" w:hAnsi="宋体"/>
          <w:color w:val="auto"/>
          <w:sz w:val="24"/>
          <w:highlight w:val="none"/>
          <w:u w:val="single"/>
        </w:rPr>
        <w:t xml:space="preserve">          </w:t>
      </w:r>
      <w:r>
        <w:rPr>
          <w:rFonts w:hint="eastAsia" w:ascii="宋体" w:hAnsi="宋体"/>
          <w:color w:val="auto"/>
          <w:sz w:val="24"/>
          <w:highlight w:val="none"/>
        </w:rPr>
        <w:t>职务，是我公司（单位）</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w:t>
      </w:r>
      <w:r>
        <w:rPr>
          <w:rFonts w:hint="eastAsia" w:ascii="宋体" w:hAnsi="宋体" w:cs="宋体"/>
          <w:color w:val="auto"/>
          <w:kern w:val="0"/>
          <w:sz w:val="24"/>
          <w:highlight w:val="none"/>
        </w:rPr>
        <w:t>（负责人）</w:t>
      </w:r>
      <w:r>
        <w:rPr>
          <w:rFonts w:hint="eastAsia" w:ascii="宋体" w:hAnsi="宋体"/>
          <w:color w:val="auto"/>
          <w:sz w:val="24"/>
          <w:highlight w:val="none"/>
        </w:rPr>
        <w:t>。</w:t>
      </w:r>
    </w:p>
    <w:p w14:paraId="50213010">
      <w:pPr>
        <w:snapToGrid w:val="0"/>
        <w:spacing w:line="720" w:lineRule="exact"/>
        <w:ind w:firstLine="840" w:firstLineChars="350"/>
        <w:rPr>
          <w:rFonts w:ascii="宋体" w:hAnsi="宋体"/>
          <w:color w:val="auto"/>
          <w:sz w:val="24"/>
          <w:highlight w:val="none"/>
        </w:rPr>
      </w:pPr>
      <w:r>
        <w:rPr>
          <w:rFonts w:hint="eastAsia" w:ascii="宋体" w:hAnsi="宋体"/>
          <w:color w:val="auto"/>
          <w:sz w:val="24"/>
          <w:highlight w:val="none"/>
        </w:rPr>
        <w:t>特此证明。</w:t>
      </w:r>
    </w:p>
    <w:p w14:paraId="5144E5F2">
      <w:pPr>
        <w:snapToGrid w:val="0"/>
        <w:spacing w:line="276" w:lineRule="auto"/>
        <w:rPr>
          <w:rFonts w:ascii="宋体" w:hAnsi="宋体"/>
          <w:color w:val="auto"/>
          <w:sz w:val="24"/>
          <w:highlight w:val="none"/>
        </w:rPr>
      </w:pPr>
    </w:p>
    <w:p w14:paraId="08D024A3">
      <w:pPr>
        <w:snapToGrid w:val="0"/>
        <w:spacing w:line="276" w:lineRule="auto"/>
        <w:rPr>
          <w:rFonts w:ascii="宋体" w:hAnsi="宋体"/>
          <w:color w:val="auto"/>
          <w:sz w:val="24"/>
          <w:highlight w:val="none"/>
        </w:rPr>
      </w:pPr>
      <w:r>
        <w:rPr>
          <w:rFonts w:hint="eastAsia" w:ascii="宋体" w:hAnsi="宋体"/>
          <w:color w:val="auto"/>
          <w:sz w:val="24"/>
          <w:highlight w:val="none"/>
        </w:rPr>
        <w:t xml:space="preserve">                        </w:t>
      </w:r>
    </w:p>
    <w:p w14:paraId="28EFC47E">
      <w:pPr>
        <w:snapToGrid w:val="0"/>
        <w:spacing w:line="276" w:lineRule="auto"/>
        <w:rPr>
          <w:rFonts w:ascii="宋体" w:hAnsi="宋体"/>
          <w:color w:val="auto"/>
          <w:sz w:val="24"/>
          <w:highlight w:val="none"/>
        </w:rPr>
      </w:pPr>
    </w:p>
    <w:p w14:paraId="54F6D13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投标人名称(公章)：                              </w:t>
      </w:r>
    </w:p>
    <w:p w14:paraId="4197089A">
      <w:pPr>
        <w:adjustRightInd/>
        <w:spacing w:line="360" w:lineRule="auto"/>
        <w:rPr>
          <w:rFonts w:ascii="宋体" w:hAnsi="宋体" w:cs="宋体"/>
          <w:bCs/>
          <w:color w:val="auto"/>
          <w:sz w:val="24"/>
          <w:szCs w:val="21"/>
          <w:highlight w:val="none"/>
        </w:rPr>
      </w:pPr>
      <w:r>
        <w:rPr>
          <w:rFonts w:hint="eastAsia" w:ascii="宋体" w:hAnsi="宋体" w:cs="宋体"/>
          <w:color w:val="auto"/>
          <w:kern w:val="0"/>
          <w:sz w:val="24"/>
          <w:szCs w:val="21"/>
          <w:highlight w:val="none"/>
          <w:lang w:val="zh-CN"/>
        </w:rPr>
        <w:t xml:space="preserve">                               日期：  年  月  日</w:t>
      </w:r>
    </w:p>
    <w:p w14:paraId="441E204A">
      <w:pPr>
        <w:adjustRightInd/>
        <w:spacing w:line="360" w:lineRule="auto"/>
        <w:rPr>
          <w:rFonts w:ascii="宋体" w:hAnsi="宋体" w:cs="宋体"/>
          <w:bCs/>
          <w:color w:val="auto"/>
          <w:sz w:val="24"/>
          <w:szCs w:val="21"/>
          <w:highlight w:val="none"/>
        </w:rPr>
      </w:pPr>
    </w:p>
    <w:p w14:paraId="137C67F6">
      <w:pPr>
        <w:adjustRightInd/>
        <w:spacing w:line="360" w:lineRule="auto"/>
        <w:rPr>
          <w:rFonts w:ascii="宋体" w:hAnsi="宋体" w:cs="宋体"/>
          <w:bCs/>
          <w:color w:val="auto"/>
          <w:sz w:val="24"/>
          <w:szCs w:val="21"/>
          <w:highlight w:val="none"/>
        </w:rPr>
      </w:pPr>
      <w:r>
        <w:rPr>
          <w:rFonts w:hint="eastAsia" w:ascii="宋体" w:hAnsi="宋体"/>
          <w:color w:val="auto"/>
          <w:sz w:val="24"/>
          <w:szCs w:val="21"/>
          <w:highlight w:val="none"/>
        </w:rPr>
        <w:t>法定代表人</w:t>
      </w:r>
      <w:r>
        <w:rPr>
          <w:rFonts w:hint="eastAsia" w:ascii="宋体" w:hAnsi="宋体" w:cs="宋体"/>
          <w:color w:val="auto"/>
          <w:kern w:val="0"/>
          <w:sz w:val="24"/>
          <w:szCs w:val="21"/>
          <w:highlight w:val="none"/>
        </w:rPr>
        <w:t>（负责人）</w:t>
      </w:r>
      <w:r>
        <w:rPr>
          <w:rFonts w:hint="eastAsia" w:ascii="宋体" w:hAnsi="宋体" w:cs="宋体"/>
          <w:bCs/>
          <w:color w:val="auto"/>
          <w:sz w:val="24"/>
          <w:szCs w:val="21"/>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1C5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71C419B">
            <w:pPr>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正面：                                 反面：</w:t>
            </w:r>
          </w:p>
          <w:p w14:paraId="6ED01528">
            <w:pPr>
              <w:spacing w:line="360" w:lineRule="auto"/>
              <w:rPr>
                <w:rFonts w:ascii="宋体" w:hAnsi="宋体" w:cs="宋体"/>
                <w:bCs/>
                <w:color w:val="auto"/>
                <w:sz w:val="24"/>
                <w:szCs w:val="21"/>
                <w:highlight w:val="none"/>
              </w:rPr>
            </w:pPr>
          </w:p>
        </w:tc>
      </w:tr>
    </w:tbl>
    <w:p w14:paraId="58A9E9CA">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4546A8C">
      <w:pPr>
        <w:snapToGrid w:val="0"/>
        <w:spacing w:line="360" w:lineRule="auto"/>
        <w:ind w:right="480"/>
        <w:rPr>
          <w:rFonts w:ascii="宋体" w:hAnsi="宋体" w:cs="宋体"/>
          <w:b/>
          <w:color w:val="auto"/>
          <w:kern w:val="0"/>
          <w:sz w:val="32"/>
          <w:szCs w:val="32"/>
          <w:highlight w:val="none"/>
        </w:rPr>
        <w:sectPr>
          <w:headerReference r:id="rId17" w:type="first"/>
          <w:footerReference r:id="rId19" w:type="first"/>
          <w:headerReference r:id="rId16" w:type="default"/>
          <w:footerReference r:id="rId18" w:type="default"/>
          <w:pgSz w:w="11906" w:h="16838"/>
          <w:pgMar w:top="1134" w:right="1134" w:bottom="1134" w:left="1134" w:header="851" w:footer="992" w:gutter="0"/>
          <w:pgNumType w:fmt="decimal"/>
          <w:cols w:space="720" w:num="1"/>
          <w:titlePg/>
          <w:docGrid w:linePitch="312" w:charSpace="0"/>
        </w:sectPr>
      </w:pPr>
    </w:p>
    <w:p w14:paraId="510BA197">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三、分包意向协议（如果有）</w:t>
      </w:r>
    </w:p>
    <w:p w14:paraId="40E15768">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81D68FF">
      <w:pPr>
        <w:snapToGrid w:val="0"/>
        <w:spacing w:line="360" w:lineRule="auto"/>
        <w:rPr>
          <w:rFonts w:ascii="宋体" w:hAnsi="宋体" w:cs="宋体"/>
          <w:color w:val="auto"/>
          <w:kern w:val="0"/>
          <w:sz w:val="24"/>
          <w:highlight w:val="none"/>
        </w:rPr>
      </w:pPr>
    </w:p>
    <w:p w14:paraId="76829A6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p>
    <w:p w14:paraId="66538B51">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四、符合性审查资料</w:t>
      </w: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E9F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8A1B60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25A391A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4075B5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13CF4BF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16978C2B">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548D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1CF8A9C">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5885914A">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43116902">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center"/>
          </w:tcPr>
          <w:p w14:paraId="1E362541">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18D0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F4AF51">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66996D86">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188797B9">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center"/>
          </w:tcPr>
          <w:p w14:paraId="264D83F1">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876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904B0A">
            <w:pPr>
              <w:jc w:val="center"/>
              <w:rPr>
                <w:rFonts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06DD9E43">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投标文件满足招标文件的其它实质性要求。</w:t>
            </w:r>
          </w:p>
        </w:tc>
        <w:tc>
          <w:tcPr>
            <w:tcW w:w="2551" w:type="dxa"/>
            <w:vAlign w:val="center"/>
          </w:tcPr>
          <w:p w14:paraId="1DC89671">
            <w:pPr>
              <w:rPr>
                <w:rFonts w:ascii="宋体" w:hAnsi="宋体" w:cs="宋体"/>
                <w:color w:val="auto"/>
                <w:sz w:val="24"/>
                <w:highlight w:val="none"/>
              </w:rPr>
            </w:pPr>
            <w:r>
              <w:rPr>
                <w:rFonts w:hint="eastAsia" w:ascii="宋体" w:hAnsi="宋体" w:cs="宋体"/>
                <w:color w:val="auto"/>
                <w:kern w:val="0"/>
                <w:sz w:val="24"/>
                <w:highlight w:val="none"/>
              </w:rPr>
              <w:t>招标文件其它实质性要求相应的材料（“▲” 系指实质性要求条款，招标文件无其它实质性要求的，无需提供）</w:t>
            </w:r>
          </w:p>
        </w:tc>
        <w:tc>
          <w:tcPr>
            <w:tcW w:w="1418" w:type="dxa"/>
            <w:vAlign w:val="center"/>
          </w:tcPr>
          <w:p w14:paraId="6601E3A6">
            <w:pPr>
              <w:jc w:val="both"/>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772B8C1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E66D7EB">
      <w:pPr>
        <w:jc w:val="center"/>
        <w:rPr>
          <w:rFonts w:ascii="宋体" w:hAnsi="宋体" w:cs="宋体"/>
          <w:b/>
          <w:color w:val="auto"/>
          <w:kern w:val="0"/>
          <w:sz w:val="32"/>
          <w:szCs w:val="32"/>
          <w:highlight w:val="none"/>
        </w:rPr>
      </w:pPr>
    </w:p>
    <w:p w14:paraId="471E608F">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0B31A83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013B54C2">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p w14:paraId="180CA930">
      <w:pPr>
        <w:jc w:val="center"/>
        <w:rPr>
          <w:rFonts w:ascii="宋体" w:hAnsi="宋体" w:cs="宋体"/>
          <w:b/>
          <w:color w:val="auto"/>
          <w:kern w:val="0"/>
          <w:sz w:val="32"/>
          <w:szCs w:val="32"/>
          <w:highlight w:val="none"/>
        </w:rPr>
      </w:pPr>
    </w:p>
    <w:p w14:paraId="2DE06B7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6B84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B6F95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0C10B2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60DA8A18">
            <w:pPr>
              <w:spacing w:line="360" w:lineRule="auto"/>
              <w:jc w:val="center"/>
              <w:rPr>
                <w:rFonts w:ascii="宋体" w:hAnsi="宋体" w:cs="宋体"/>
                <w:b/>
                <w:color w:val="auto"/>
                <w:sz w:val="24"/>
                <w:highlight w:val="none"/>
              </w:rPr>
            </w:pPr>
          </w:p>
          <w:p w14:paraId="7FD01F0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05602F2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1B69E117">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671B6E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6F7148A7">
            <w:pPr>
              <w:spacing w:line="360" w:lineRule="auto"/>
              <w:jc w:val="center"/>
              <w:rPr>
                <w:rFonts w:ascii="宋体" w:hAnsi="宋体" w:cs="宋体"/>
                <w:b/>
                <w:color w:val="auto"/>
                <w:sz w:val="24"/>
                <w:highlight w:val="none"/>
              </w:rPr>
            </w:pPr>
          </w:p>
          <w:p w14:paraId="2D59DE4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CD906DA">
            <w:pPr>
              <w:spacing w:line="360" w:lineRule="auto"/>
              <w:jc w:val="center"/>
              <w:rPr>
                <w:rFonts w:ascii="宋体" w:hAnsi="宋体" w:cs="宋体"/>
                <w:b/>
                <w:color w:val="auto"/>
                <w:sz w:val="24"/>
                <w:highlight w:val="none"/>
              </w:rPr>
            </w:pPr>
          </w:p>
        </w:tc>
      </w:tr>
      <w:tr w14:paraId="6CA7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D82BC7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2916D860">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5C4791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F3C1ECE">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96F9CC1">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8CD6B6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D83533C">
            <w:pPr>
              <w:spacing w:line="360" w:lineRule="auto"/>
              <w:jc w:val="center"/>
              <w:rPr>
                <w:rFonts w:ascii="宋体" w:hAnsi="宋体" w:cs="宋体"/>
                <w:color w:val="auto"/>
                <w:sz w:val="24"/>
                <w:highlight w:val="none"/>
              </w:rPr>
            </w:pPr>
          </w:p>
        </w:tc>
      </w:tr>
      <w:tr w14:paraId="3C0D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C45F5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D189EE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0A2FFC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378B2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C1D825E">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4F66F6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3AEDCC2E">
            <w:pPr>
              <w:spacing w:line="360" w:lineRule="auto"/>
              <w:jc w:val="center"/>
              <w:rPr>
                <w:rFonts w:ascii="宋体" w:hAnsi="宋体" w:cs="宋体"/>
                <w:color w:val="auto"/>
                <w:sz w:val="24"/>
                <w:highlight w:val="none"/>
              </w:rPr>
            </w:pPr>
          </w:p>
        </w:tc>
      </w:tr>
      <w:tr w14:paraId="1D8E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C41CD4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A2E9953">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8613234">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A3FBC8F">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A4C7004">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F40E37E">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0FEB7A37">
            <w:pPr>
              <w:spacing w:line="360" w:lineRule="auto"/>
              <w:jc w:val="center"/>
              <w:rPr>
                <w:rFonts w:ascii="宋体" w:hAnsi="宋体" w:cs="宋体"/>
                <w:color w:val="auto"/>
                <w:sz w:val="24"/>
                <w:highlight w:val="none"/>
              </w:rPr>
            </w:pPr>
          </w:p>
        </w:tc>
      </w:tr>
    </w:tbl>
    <w:p w14:paraId="4D45814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D91D9D1">
      <w:pPr>
        <w:jc w:val="center"/>
        <w:rPr>
          <w:rFonts w:ascii="宋体" w:hAnsi="宋体" w:cs="宋体"/>
          <w:b/>
          <w:color w:val="auto"/>
          <w:kern w:val="0"/>
          <w:sz w:val="32"/>
          <w:szCs w:val="32"/>
          <w:highlight w:val="none"/>
        </w:rPr>
      </w:pPr>
    </w:p>
    <w:p w14:paraId="617B7BF0">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4F6F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FCE66CC">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73A04727">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546" w:type="dxa"/>
          </w:tcPr>
          <w:p w14:paraId="2157D8E6">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76" w:type="dxa"/>
          </w:tcPr>
          <w:p w14:paraId="25D652F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74B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789FE6">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4EE5223A">
            <w:pPr>
              <w:jc w:val="center"/>
              <w:rPr>
                <w:rFonts w:ascii="宋体" w:hAnsi="宋体" w:cs="宋体"/>
                <w:b/>
                <w:color w:val="auto"/>
                <w:kern w:val="0"/>
                <w:sz w:val="32"/>
                <w:szCs w:val="32"/>
                <w:highlight w:val="none"/>
              </w:rPr>
            </w:pPr>
          </w:p>
        </w:tc>
        <w:tc>
          <w:tcPr>
            <w:tcW w:w="3546" w:type="dxa"/>
          </w:tcPr>
          <w:p w14:paraId="20C2F6C9">
            <w:pPr>
              <w:jc w:val="center"/>
              <w:rPr>
                <w:rFonts w:ascii="宋体" w:hAnsi="宋体" w:cs="宋体"/>
                <w:b/>
                <w:color w:val="auto"/>
                <w:kern w:val="0"/>
                <w:sz w:val="32"/>
                <w:szCs w:val="32"/>
                <w:highlight w:val="none"/>
              </w:rPr>
            </w:pPr>
          </w:p>
        </w:tc>
        <w:tc>
          <w:tcPr>
            <w:tcW w:w="1276" w:type="dxa"/>
          </w:tcPr>
          <w:p w14:paraId="2E637131">
            <w:pPr>
              <w:jc w:val="center"/>
              <w:rPr>
                <w:rFonts w:ascii="宋体" w:hAnsi="宋体" w:cs="宋体"/>
                <w:b/>
                <w:color w:val="auto"/>
                <w:kern w:val="0"/>
                <w:sz w:val="32"/>
                <w:szCs w:val="32"/>
                <w:highlight w:val="none"/>
              </w:rPr>
            </w:pPr>
          </w:p>
        </w:tc>
      </w:tr>
      <w:tr w14:paraId="506B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AD57E8">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25FA013F">
            <w:pPr>
              <w:jc w:val="center"/>
              <w:rPr>
                <w:rFonts w:ascii="宋体" w:hAnsi="宋体" w:cs="宋体"/>
                <w:b/>
                <w:color w:val="auto"/>
                <w:kern w:val="0"/>
                <w:sz w:val="32"/>
                <w:szCs w:val="32"/>
                <w:highlight w:val="none"/>
              </w:rPr>
            </w:pPr>
          </w:p>
        </w:tc>
        <w:tc>
          <w:tcPr>
            <w:tcW w:w="3546" w:type="dxa"/>
          </w:tcPr>
          <w:p w14:paraId="2F30B843">
            <w:pPr>
              <w:jc w:val="center"/>
              <w:rPr>
                <w:rFonts w:ascii="宋体" w:hAnsi="宋体" w:cs="宋体"/>
                <w:b/>
                <w:color w:val="auto"/>
                <w:kern w:val="0"/>
                <w:sz w:val="32"/>
                <w:szCs w:val="32"/>
                <w:highlight w:val="none"/>
              </w:rPr>
            </w:pPr>
          </w:p>
        </w:tc>
        <w:tc>
          <w:tcPr>
            <w:tcW w:w="1276" w:type="dxa"/>
          </w:tcPr>
          <w:p w14:paraId="5A1C4AF1">
            <w:pPr>
              <w:jc w:val="center"/>
              <w:rPr>
                <w:rFonts w:ascii="宋体" w:hAnsi="宋体" w:cs="宋体"/>
                <w:b/>
                <w:color w:val="auto"/>
                <w:kern w:val="0"/>
                <w:sz w:val="32"/>
                <w:szCs w:val="32"/>
                <w:highlight w:val="none"/>
              </w:rPr>
            </w:pPr>
          </w:p>
        </w:tc>
      </w:tr>
      <w:tr w14:paraId="32DF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78908F">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26580511">
            <w:pPr>
              <w:jc w:val="center"/>
              <w:rPr>
                <w:rFonts w:ascii="宋体" w:hAnsi="宋体" w:cs="宋体"/>
                <w:b/>
                <w:color w:val="auto"/>
                <w:kern w:val="0"/>
                <w:sz w:val="32"/>
                <w:szCs w:val="32"/>
                <w:highlight w:val="none"/>
              </w:rPr>
            </w:pPr>
          </w:p>
        </w:tc>
        <w:tc>
          <w:tcPr>
            <w:tcW w:w="3546" w:type="dxa"/>
          </w:tcPr>
          <w:p w14:paraId="20D781F5">
            <w:pPr>
              <w:jc w:val="center"/>
              <w:rPr>
                <w:rFonts w:ascii="宋体" w:hAnsi="宋体" w:cs="宋体"/>
                <w:b/>
                <w:color w:val="auto"/>
                <w:kern w:val="0"/>
                <w:sz w:val="32"/>
                <w:szCs w:val="32"/>
                <w:highlight w:val="none"/>
              </w:rPr>
            </w:pPr>
          </w:p>
        </w:tc>
        <w:tc>
          <w:tcPr>
            <w:tcW w:w="1276" w:type="dxa"/>
          </w:tcPr>
          <w:p w14:paraId="12C77F92">
            <w:pPr>
              <w:jc w:val="center"/>
              <w:rPr>
                <w:rFonts w:ascii="宋体" w:hAnsi="宋体" w:cs="宋体"/>
                <w:b/>
                <w:color w:val="auto"/>
                <w:kern w:val="0"/>
                <w:sz w:val="32"/>
                <w:szCs w:val="32"/>
                <w:highlight w:val="none"/>
              </w:rPr>
            </w:pPr>
          </w:p>
        </w:tc>
      </w:tr>
    </w:tbl>
    <w:p w14:paraId="073C4929">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7A142894">
      <w:pPr>
        <w:spacing w:line="360" w:lineRule="auto"/>
        <w:ind w:firstLine="3600" w:firstLineChars="1500"/>
        <w:rPr>
          <w:rFonts w:ascii="宋体" w:hAnsi="宋体" w:cs="宋体"/>
          <w:color w:val="auto"/>
          <w:sz w:val="24"/>
          <w:highlight w:val="none"/>
        </w:rPr>
      </w:pPr>
    </w:p>
    <w:p w14:paraId="3721B58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AEB2C2B">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226DA9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3F298B2">
      <w:pPr>
        <w:jc w:val="center"/>
        <w:rPr>
          <w:rFonts w:ascii="宋体" w:hAnsi="宋体" w:cs="宋体"/>
          <w:b/>
          <w:color w:val="auto"/>
          <w:kern w:val="0"/>
          <w:sz w:val="32"/>
          <w:szCs w:val="32"/>
          <w:highlight w:val="none"/>
        </w:rPr>
      </w:pPr>
    </w:p>
    <w:p w14:paraId="4A7EE97B">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4368635">
      <w:pPr>
        <w:ind w:firstLine="1911" w:firstLineChars="595"/>
        <w:rPr>
          <w:rFonts w:ascii="宋体" w:hAnsi="宋体" w:cs="宋体"/>
          <w:b/>
          <w:bCs/>
          <w:color w:val="auto"/>
          <w:sz w:val="32"/>
          <w:szCs w:val="32"/>
          <w:highlight w:val="none"/>
        </w:rPr>
      </w:pPr>
    </w:p>
    <w:p w14:paraId="122A9172">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5FE3B81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八、</w:t>
      </w:r>
      <w:r>
        <w:rPr>
          <w:rFonts w:hint="eastAsia" w:ascii="宋体" w:hAnsi="宋体" w:cs="宋体"/>
          <w:b/>
          <w:color w:val="auto"/>
          <w:kern w:val="0"/>
          <w:sz w:val="32"/>
          <w:szCs w:val="32"/>
          <w:highlight w:val="none"/>
          <w:lang w:val="zh-CN"/>
        </w:rPr>
        <w:t>政府采购供应商廉洁自律承诺书</w:t>
      </w:r>
    </w:p>
    <w:p w14:paraId="7EEAFCC1">
      <w:pPr>
        <w:snapToGrid w:val="0"/>
        <w:spacing w:line="360" w:lineRule="auto"/>
        <w:rPr>
          <w:rFonts w:ascii="宋体" w:hAnsi="宋体" w:cs="宋体"/>
          <w:color w:val="auto"/>
          <w:sz w:val="24"/>
          <w:highlight w:val="none"/>
        </w:rPr>
      </w:pPr>
    </w:p>
    <w:p w14:paraId="0BE42E4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B656204">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29C8075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E2D55C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4CCC601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742951E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5976326">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70C310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6F16A48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56BFF304">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54669FDD">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551033FC">
      <w:pPr>
        <w:autoSpaceDE w:val="0"/>
        <w:autoSpaceDN w:val="0"/>
        <w:spacing w:line="360" w:lineRule="auto"/>
        <w:ind w:left="2"/>
        <w:jc w:val="left"/>
        <w:rPr>
          <w:rFonts w:ascii="宋体" w:hAnsi="宋体" w:cs="宋体"/>
          <w:color w:val="auto"/>
          <w:kern w:val="0"/>
          <w:sz w:val="24"/>
          <w:highlight w:val="none"/>
          <w:lang w:val="zh-CN"/>
        </w:rPr>
      </w:pPr>
    </w:p>
    <w:p w14:paraId="392BAB18">
      <w:pPr>
        <w:autoSpaceDE w:val="0"/>
        <w:autoSpaceDN w:val="0"/>
        <w:spacing w:line="360" w:lineRule="auto"/>
        <w:ind w:left="2"/>
        <w:jc w:val="left"/>
        <w:rPr>
          <w:rFonts w:ascii="宋体" w:hAnsi="宋体" w:cs="宋体"/>
          <w:color w:val="auto"/>
          <w:kern w:val="0"/>
          <w:sz w:val="24"/>
          <w:highlight w:val="none"/>
          <w:lang w:val="zh-CN"/>
        </w:rPr>
      </w:pPr>
    </w:p>
    <w:p w14:paraId="68EE19BF">
      <w:pPr>
        <w:autoSpaceDE w:val="0"/>
        <w:autoSpaceDN w:val="0"/>
        <w:spacing w:line="360" w:lineRule="auto"/>
        <w:ind w:left="2"/>
        <w:jc w:val="left"/>
        <w:rPr>
          <w:rFonts w:ascii="宋体" w:hAnsi="宋体" w:cs="宋体"/>
          <w:color w:val="auto"/>
          <w:kern w:val="0"/>
          <w:sz w:val="24"/>
          <w:highlight w:val="none"/>
          <w:lang w:val="zh-CN"/>
        </w:rPr>
      </w:pPr>
    </w:p>
    <w:p w14:paraId="2DB31AC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33F96142">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84D31D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68BE073">
      <w:pPr>
        <w:spacing w:line="360" w:lineRule="auto"/>
        <w:ind w:left="4620" w:leftChars="2200"/>
        <w:rPr>
          <w:rFonts w:ascii="宋体" w:hAnsi="宋体" w:cs="宋体"/>
          <w:color w:val="auto"/>
          <w:sz w:val="24"/>
          <w:highlight w:val="none"/>
        </w:rPr>
      </w:pPr>
    </w:p>
    <w:p w14:paraId="7043776B">
      <w:pPr>
        <w:spacing w:line="360" w:lineRule="auto"/>
        <w:jc w:val="center"/>
        <w:rPr>
          <w:rFonts w:ascii="宋体" w:hAnsi="宋体" w:cs="宋体"/>
          <w:b/>
          <w:bCs/>
          <w:color w:val="auto"/>
          <w:sz w:val="24"/>
          <w:highlight w:val="none"/>
        </w:rPr>
      </w:pPr>
    </w:p>
    <w:p w14:paraId="75A19F0D">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C8EA2C">
      <w:pPr>
        <w:pStyle w:val="83"/>
        <w:rPr>
          <w:color w:val="auto"/>
          <w:highlight w:val="none"/>
        </w:rPr>
      </w:pPr>
    </w:p>
    <w:p w14:paraId="39186E69">
      <w:pPr>
        <w:rPr>
          <w:color w:val="auto"/>
          <w:highlight w:val="none"/>
        </w:rPr>
      </w:pPr>
      <w:r>
        <w:rPr>
          <w:color w:val="auto"/>
          <w:highlight w:val="none"/>
        </w:rPr>
        <w:br w:type="page"/>
      </w:r>
    </w:p>
    <w:p w14:paraId="140F8BC7">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九、承诺函</w:t>
      </w:r>
    </w:p>
    <w:p w14:paraId="6F93608A">
      <w:pPr>
        <w:widowControl/>
        <w:adjustRightInd/>
        <w:ind w:firstLine="640" w:firstLineChars="200"/>
        <w:jc w:val="left"/>
        <w:rPr>
          <w:rFonts w:ascii="宋体" w:hAnsi="宋体" w:cs="宋体"/>
          <w:color w:val="auto"/>
          <w:kern w:val="0"/>
          <w:sz w:val="32"/>
          <w:szCs w:val="21"/>
          <w:highlight w:val="none"/>
        </w:rPr>
      </w:pPr>
    </w:p>
    <w:p w14:paraId="1D976E8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755ADAD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我方作为本次采购项目的投标人，根据招标文件要求，现郑重承诺如下：</w:t>
      </w:r>
    </w:p>
    <w:p w14:paraId="0180770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14:paraId="5AB7191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二、参加本次招标采购活动，不存在与单位负责人为同一人或者存在直接控股、管理关系的其他供应商参与同一合同项下的政府采购活动的行为。</w:t>
      </w:r>
    </w:p>
    <w:p w14:paraId="55B1CD96">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1C04B16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四、参加本次招标采购活动，不存在和其他供应商在同一合同项下的采购项目中，同时委托同一个自然人、同一家庭的人员、同一单位的人员作为代理人的行为。</w:t>
      </w:r>
    </w:p>
    <w:p w14:paraId="293A8E2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五、投标文件中提供的能够给予我方带来优惠、好处的任何材料资料和技术、服务、商务、响应产品等响应承诺情况都是真实的、有效的、合法的。</w:t>
      </w:r>
    </w:p>
    <w:p w14:paraId="06861C3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14:paraId="6CA8A25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70AE8EC9">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八、参加本次招标采购活动，我方完全同意招标文件第二部分关于“投标费用”、“合同分包”、“合同转包”、“履约保证金”的实质性要求，并承诺严格按照招标文件要求履行。</w:t>
      </w:r>
    </w:p>
    <w:p w14:paraId="1EDA67C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14:paraId="1F01C7C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我方对上述承诺的内容事项真实性负责。如经查实上述承诺的内容事项存在虚假，我方愿意接受以提供虚假材料谋取中标追究法律责任。</w:t>
      </w:r>
    </w:p>
    <w:p w14:paraId="1354BEC2">
      <w:pPr>
        <w:widowControl/>
        <w:adjustRightInd/>
        <w:spacing w:line="360" w:lineRule="auto"/>
        <w:ind w:firstLine="480" w:firstLineChars="200"/>
        <w:jc w:val="left"/>
        <w:rPr>
          <w:rFonts w:ascii="宋体" w:hAnsi="宋体" w:cs="宋体"/>
          <w:color w:val="auto"/>
          <w:kern w:val="0"/>
          <w:sz w:val="24"/>
          <w:highlight w:val="none"/>
        </w:rPr>
      </w:pPr>
    </w:p>
    <w:p w14:paraId="37D3AF26">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投标人名称（公章）：</w:t>
      </w:r>
    </w:p>
    <w:p w14:paraId="476DAB6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4F83D8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05F02D5">
      <w:pPr>
        <w:spacing w:line="360" w:lineRule="auto"/>
        <w:jc w:val="both"/>
        <w:rPr>
          <w:rFonts w:ascii="宋体" w:hAnsi="宋体" w:cs="宋体"/>
          <w:b/>
          <w:bCs/>
          <w:color w:val="auto"/>
          <w:sz w:val="24"/>
          <w:highlight w:val="none"/>
        </w:rPr>
      </w:pPr>
    </w:p>
    <w:p w14:paraId="160DF62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43A62C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p>
    <w:p w14:paraId="60CF2F2B">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十、技术解决方案</w:t>
      </w:r>
    </w:p>
    <w:p w14:paraId="2AC2AFBE">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5AE3702C">
      <w:pPr>
        <w:spacing w:line="360" w:lineRule="auto"/>
        <w:jc w:val="center"/>
        <w:rPr>
          <w:rFonts w:cs="仿宋_GB2312" w:asciiTheme="minorEastAsia" w:hAnsiTheme="minorEastAsia" w:eastAsiaTheme="minorEastAsia"/>
          <w:color w:val="auto"/>
          <w:sz w:val="24"/>
          <w:highlight w:val="none"/>
        </w:rPr>
      </w:pPr>
    </w:p>
    <w:p w14:paraId="438743D0">
      <w:pPr>
        <w:autoSpaceDE w:val="0"/>
        <w:autoSpaceDN w:val="0"/>
        <w:spacing w:line="360" w:lineRule="auto"/>
        <w:rPr>
          <w:rFonts w:cs="仿宋_GB2312" w:asciiTheme="minorEastAsia" w:hAnsiTheme="minorEastAsia" w:eastAsiaTheme="minorEastAsia"/>
          <w:color w:val="auto"/>
          <w:kern w:val="0"/>
          <w:sz w:val="24"/>
          <w:highlight w:val="none"/>
        </w:rPr>
      </w:pPr>
    </w:p>
    <w:p w14:paraId="491DF5B1">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1324C2A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1D65D46D">
      <w:pPr>
        <w:spacing w:line="360" w:lineRule="auto"/>
        <w:jc w:val="center"/>
        <w:rPr>
          <w:rFonts w:cs="仿宋_GB2312" w:asciiTheme="minorEastAsia" w:hAnsiTheme="minorEastAsia" w:eastAsiaTheme="minorEastAsia"/>
          <w:b/>
          <w:bCs/>
          <w:color w:val="auto"/>
          <w:sz w:val="32"/>
          <w:szCs w:val="32"/>
          <w:highlight w:val="none"/>
        </w:rPr>
      </w:pPr>
    </w:p>
    <w:p w14:paraId="79D45AF6">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十一、组织实施方案</w:t>
      </w:r>
    </w:p>
    <w:p w14:paraId="0D00AC1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31EFB83C">
      <w:pPr>
        <w:spacing w:line="360" w:lineRule="auto"/>
        <w:jc w:val="center"/>
        <w:rPr>
          <w:rFonts w:cs="仿宋_GB2312" w:asciiTheme="minorEastAsia" w:hAnsiTheme="minorEastAsia" w:eastAsiaTheme="minorEastAsia"/>
          <w:color w:val="auto"/>
          <w:sz w:val="24"/>
          <w:highlight w:val="none"/>
        </w:rPr>
      </w:pPr>
    </w:p>
    <w:p w14:paraId="75443178">
      <w:pPr>
        <w:autoSpaceDE w:val="0"/>
        <w:autoSpaceDN w:val="0"/>
        <w:spacing w:line="360" w:lineRule="auto"/>
        <w:rPr>
          <w:rFonts w:cs="仿宋_GB2312" w:asciiTheme="minorEastAsia" w:hAnsiTheme="minorEastAsia" w:eastAsiaTheme="minorEastAsia"/>
          <w:color w:val="auto"/>
          <w:kern w:val="0"/>
          <w:sz w:val="24"/>
          <w:highlight w:val="none"/>
        </w:rPr>
      </w:pPr>
    </w:p>
    <w:p w14:paraId="5695F00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066615C9">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454DD94B">
      <w:pPr>
        <w:spacing w:line="360" w:lineRule="auto"/>
        <w:jc w:val="center"/>
        <w:rPr>
          <w:rFonts w:cs="仿宋_GB2312" w:asciiTheme="minorEastAsia" w:hAnsiTheme="minorEastAsia" w:eastAsiaTheme="minorEastAsia"/>
          <w:b/>
          <w:bCs/>
          <w:color w:val="auto"/>
          <w:sz w:val="32"/>
          <w:szCs w:val="32"/>
          <w:highlight w:val="none"/>
        </w:rPr>
      </w:pPr>
    </w:p>
    <w:p w14:paraId="4B7E4A7D">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十二、运维服务方案</w:t>
      </w:r>
    </w:p>
    <w:p w14:paraId="561B4D45">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（由供应商根据采购需求及招标文件要求编制）</w:t>
      </w:r>
    </w:p>
    <w:p w14:paraId="4C653FA5">
      <w:pPr>
        <w:spacing w:line="360" w:lineRule="auto"/>
        <w:jc w:val="center"/>
        <w:rPr>
          <w:rFonts w:cs="仿宋_GB2312" w:asciiTheme="minorEastAsia" w:hAnsiTheme="minorEastAsia" w:eastAsiaTheme="minorEastAsia"/>
          <w:color w:val="auto"/>
          <w:sz w:val="24"/>
          <w:highlight w:val="none"/>
        </w:rPr>
      </w:pPr>
    </w:p>
    <w:p w14:paraId="27F0075B">
      <w:pPr>
        <w:autoSpaceDE w:val="0"/>
        <w:autoSpaceDN w:val="0"/>
        <w:spacing w:line="360" w:lineRule="auto"/>
        <w:rPr>
          <w:rFonts w:cs="仿宋_GB2312" w:asciiTheme="minorEastAsia" w:hAnsiTheme="minorEastAsia" w:eastAsiaTheme="minorEastAsia"/>
          <w:color w:val="auto"/>
          <w:kern w:val="0"/>
          <w:sz w:val="24"/>
          <w:highlight w:val="none"/>
        </w:rPr>
      </w:pPr>
    </w:p>
    <w:p w14:paraId="452D013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zh-CN"/>
        </w:rPr>
        <w:t>投标人名称（公章）：</w:t>
      </w:r>
      <w:r>
        <w:rPr>
          <w:rFonts w:hint="eastAsia" w:cs="仿宋_GB2312" w:asciiTheme="minorEastAsia" w:hAnsiTheme="minorEastAsia" w:eastAsiaTheme="minorEastAsia"/>
          <w:color w:val="auto"/>
          <w:kern w:val="0"/>
          <w:sz w:val="24"/>
          <w:highlight w:val="none"/>
        </w:rPr>
        <w:t xml:space="preserve">                       </w:t>
      </w:r>
    </w:p>
    <w:p w14:paraId="3667A834">
      <w:pPr>
        <w:spacing w:line="360" w:lineRule="auto"/>
        <w:rPr>
          <w:rFonts w:ascii="宋体" w:hAnsi="宋体" w:cs="宋体"/>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36E8DC4">
      <w:pPr>
        <w:spacing w:line="360" w:lineRule="auto"/>
        <w:jc w:val="center"/>
        <w:rPr>
          <w:rFonts w:ascii="宋体" w:hAnsi="宋体" w:cs="宋体"/>
          <w:b/>
          <w:bCs/>
          <w:color w:val="auto"/>
          <w:sz w:val="24"/>
          <w:highlight w:val="none"/>
        </w:rPr>
        <w:sectPr>
          <w:headerReference r:id="rId21" w:type="first"/>
          <w:footerReference r:id="rId23" w:type="first"/>
          <w:headerReference r:id="rId20" w:type="default"/>
          <w:footerReference r:id="rId22" w:type="default"/>
          <w:pgSz w:w="11906" w:h="16838"/>
          <w:pgMar w:top="1134" w:right="1134" w:bottom="1134" w:left="1134" w:header="680" w:footer="850" w:gutter="0"/>
          <w:pgNumType w:fmt="decimal"/>
          <w:cols w:space="720" w:num="1"/>
          <w:titlePg/>
          <w:docGrid w:linePitch="312" w:charSpace="0"/>
        </w:sectPr>
      </w:pPr>
    </w:p>
    <w:p w14:paraId="1DC203E3">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3607E7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w:t>
      </w:r>
      <w:r>
        <w:rPr>
          <w:rFonts w:hint="eastAsia" w:ascii="宋体" w:hAnsi="宋体" w:cs="宋体"/>
          <w:b/>
          <w:color w:val="auto"/>
          <w:kern w:val="0"/>
          <w:sz w:val="36"/>
          <w:szCs w:val="36"/>
          <w:highlight w:val="none"/>
          <w:lang w:val="en-US" w:eastAsia="zh-CN"/>
        </w:rPr>
        <w:t xml:space="preserve">  </w:t>
      </w:r>
      <w:r>
        <w:rPr>
          <w:rFonts w:hint="eastAsia" w:ascii="宋体" w:hAnsi="宋体" w:cs="宋体"/>
          <w:b/>
          <w:color w:val="auto"/>
          <w:kern w:val="0"/>
          <w:sz w:val="36"/>
          <w:szCs w:val="36"/>
          <w:highlight w:val="none"/>
        </w:rPr>
        <w:t>录</w:t>
      </w:r>
    </w:p>
    <w:p w14:paraId="73F197F0">
      <w:pPr>
        <w:spacing w:line="360" w:lineRule="auto"/>
        <w:jc w:val="center"/>
        <w:rPr>
          <w:rFonts w:ascii="宋体" w:hAnsi="宋体" w:cs="宋体"/>
          <w:b/>
          <w:color w:val="auto"/>
          <w:kern w:val="0"/>
          <w:sz w:val="36"/>
          <w:szCs w:val="36"/>
          <w:highlight w:val="none"/>
        </w:rPr>
      </w:pPr>
    </w:p>
    <w:p w14:paraId="39B03D9D">
      <w:pPr>
        <w:snapToGrid w:val="0"/>
        <w:spacing w:line="360" w:lineRule="auto"/>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（1）开标一览表（报价表）………………………………………………………（页码）</w:t>
      </w:r>
    </w:p>
    <w:p w14:paraId="59BEDA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（2）中小企业声明函………………………………………………………………（页码）</w:t>
      </w:r>
    </w:p>
    <w:p w14:paraId="02370C04">
      <w:pPr>
        <w:snapToGrid w:val="0"/>
        <w:spacing w:line="360" w:lineRule="auto"/>
        <w:ind w:right="480"/>
        <w:jc w:val="center"/>
        <w:rPr>
          <w:rFonts w:ascii="宋体" w:hAnsi="宋体" w:cs="宋体"/>
          <w:b/>
          <w:color w:val="auto"/>
          <w:kern w:val="0"/>
          <w:sz w:val="32"/>
          <w:szCs w:val="32"/>
          <w:highlight w:val="none"/>
        </w:rPr>
      </w:pPr>
    </w:p>
    <w:p w14:paraId="06B85286">
      <w:pPr>
        <w:snapToGrid w:val="0"/>
        <w:spacing w:line="360" w:lineRule="auto"/>
        <w:ind w:right="480"/>
        <w:jc w:val="center"/>
        <w:rPr>
          <w:rFonts w:ascii="宋体" w:hAnsi="宋体" w:cs="宋体"/>
          <w:b/>
          <w:color w:val="auto"/>
          <w:kern w:val="0"/>
          <w:sz w:val="32"/>
          <w:szCs w:val="32"/>
          <w:highlight w:val="none"/>
        </w:rPr>
      </w:pPr>
    </w:p>
    <w:p w14:paraId="5CDA8D4A">
      <w:pPr>
        <w:snapToGrid w:val="0"/>
        <w:spacing w:line="360" w:lineRule="auto"/>
        <w:ind w:right="480"/>
        <w:jc w:val="center"/>
        <w:rPr>
          <w:rFonts w:ascii="宋体" w:hAnsi="宋体" w:cs="宋体"/>
          <w:b/>
          <w:color w:val="auto"/>
          <w:kern w:val="0"/>
          <w:sz w:val="32"/>
          <w:szCs w:val="32"/>
          <w:highlight w:val="none"/>
        </w:rPr>
      </w:pPr>
    </w:p>
    <w:p w14:paraId="6863A363">
      <w:pPr>
        <w:snapToGrid w:val="0"/>
        <w:spacing w:line="360" w:lineRule="auto"/>
        <w:ind w:right="480"/>
        <w:jc w:val="center"/>
        <w:rPr>
          <w:rFonts w:ascii="宋体" w:hAnsi="宋体" w:cs="宋体"/>
          <w:b/>
          <w:color w:val="auto"/>
          <w:kern w:val="0"/>
          <w:sz w:val="32"/>
          <w:szCs w:val="32"/>
          <w:highlight w:val="none"/>
        </w:rPr>
      </w:pPr>
    </w:p>
    <w:p w14:paraId="6BA38B3F">
      <w:pPr>
        <w:snapToGrid w:val="0"/>
        <w:spacing w:line="360" w:lineRule="auto"/>
        <w:ind w:right="480"/>
        <w:jc w:val="center"/>
        <w:rPr>
          <w:rFonts w:ascii="宋体" w:hAnsi="宋体" w:cs="宋体"/>
          <w:b/>
          <w:color w:val="auto"/>
          <w:kern w:val="0"/>
          <w:sz w:val="32"/>
          <w:szCs w:val="32"/>
          <w:highlight w:val="none"/>
        </w:rPr>
      </w:pPr>
    </w:p>
    <w:p w14:paraId="79CEE825">
      <w:pPr>
        <w:snapToGrid w:val="0"/>
        <w:spacing w:line="360" w:lineRule="auto"/>
        <w:ind w:right="480"/>
        <w:jc w:val="center"/>
        <w:rPr>
          <w:rFonts w:ascii="宋体" w:hAnsi="宋体" w:cs="宋体"/>
          <w:b/>
          <w:color w:val="auto"/>
          <w:kern w:val="0"/>
          <w:sz w:val="32"/>
          <w:szCs w:val="32"/>
          <w:highlight w:val="none"/>
        </w:rPr>
      </w:pPr>
    </w:p>
    <w:p w14:paraId="1F957793">
      <w:pPr>
        <w:snapToGrid w:val="0"/>
        <w:spacing w:line="360" w:lineRule="auto"/>
        <w:ind w:right="480"/>
        <w:jc w:val="center"/>
        <w:rPr>
          <w:rFonts w:ascii="宋体" w:hAnsi="宋体" w:cs="宋体"/>
          <w:b/>
          <w:color w:val="auto"/>
          <w:kern w:val="0"/>
          <w:sz w:val="32"/>
          <w:szCs w:val="32"/>
          <w:highlight w:val="none"/>
        </w:rPr>
      </w:pPr>
    </w:p>
    <w:p w14:paraId="37FC9933">
      <w:pPr>
        <w:snapToGrid w:val="0"/>
        <w:spacing w:line="360" w:lineRule="auto"/>
        <w:ind w:right="480"/>
        <w:jc w:val="center"/>
        <w:rPr>
          <w:rFonts w:ascii="宋体" w:hAnsi="宋体" w:cs="宋体"/>
          <w:b/>
          <w:color w:val="auto"/>
          <w:kern w:val="0"/>
          <w:sz w:val="32"/>
          <w:szCs w:val="32"/>
          <w:highlight w:val="none"/>
        </w:rPr>
      </w:pPr>
    </w:p>
    <w:p w14:paraId="0DFA79FA">
      <w:pPr>
        <w:snapToGrid w:val="0"/>
        <w:spacing w:line="360" w:lineRule="auto"/>
        <w:ind w:right="480"/>
        <w:jc w:val="center"/>
        <w:rPr>
          <w:rFonts w:ascii="宋体" w:hAnsi="宋体" w:cs="宋体"/>
          <w:b/>
          <w:color w:val="auto"/>
          <w:kern w:val="0"/>
          <w:sz w:val="32"/>
          <w:szCs w:val="32"/>
          <w:highlight w:val="none"/>
        </w:rPr>
      </w:pPr>
    </w:p>
    <w:p w14:paraId="4630F414">
      <w:pPr>
        <w:snapToGrid w:val="0"/>
        <w:spacing w:line="360" w:lineRule="auto"/>
        <w:ind w:right="480"/>
        <w:jc w:val="center"/>
        <w:rPr>
          <w:rFonts w:ascii="宋体" w:hAnsi="宋体" w:cs="宋体"/>
          <w:b/>
          <w:color w:val="auto"/>
          <w:kern w:val="0"/>
          <w:sz w:val="32"/>
          <w:szCs w:val="32"/>
          <w:highlight w:val="none"/>
        </w:rPr>
      </w:pPr>
    </w:p>
    <w:p w14:paraId="2ACFD7F1">
      <w:pPr>
        <w:snapToGrid w:val="0"/>
        <w:spacing w:line="360" w:lineRule="auto"/>
        <w:ind w:right="480"/>
        <w:jc w:val="center"/>
        <w:rPr>
          <w:rFonts w:ascii="宋体" w:hAnsi="宋体" w:cs="宋体"/>
          <w:b/>
          <w:color w:val="auto"/>
          <w:kern w:val="0"/>
          <w:sz w:val="32"/>
          <w:szCs w:val="32"/>
          <w:highlight w:val="none"/>
        </w:rPr>
      </w:pPr>
    </w:p>
    <w:p w14:paraId="455A62C6">
      <w:pPr>
        <w:snapToGrid w:val="0"/>
        <w:spacing w:line="360" w:lineRule="auto"/>
        <w:ind w:right="480"/>
        <w:jc w:val="center"/>
        <w:rPr>
          <w:rFonts w:ascii="宋体" w:hAnsi="宋体" w:cs="宋体"/>
          <w:b/>
          <w:color w:val="auto"/>
          <w:kern w:val="0"/>
          <w:sz w:val="32"/>
          <w:szCs w:val="32"/>
          <w:highlight w:val="none"/>
        </w:rPr>
      </w:pPr>
    </w:p>
    <w:p w14:paraId="29F9E25A">
      <w:pPr>
        <w:snapToGrid w:val="0"/>
        <w:spacing w:line="360" w:lineRule="auto"/>
        <w:ind w:right="480"/>
        <w:jc w:val="center"/>
        <w:rPr>
          <w:rFonts w:ascii="宋体" w:hAnsi="宋体" w:cs="宋体"/>
          <w:b/>
          <w:color w:val="auto"/>
          <w:kern w:val="0"/>
          <w:sz w:val="32"/>
          <w:szCs w:val="32"/>
          <w:highlight w:val="none"/>
        </w:rPr>
      </w:pPr>
    </w:p>
    <w:p w14:paraId="17830504">
      <w:pPr>
        <w:snapToGrid w:val="0"/>
        <w:spacing w:line="360" w:lineRule="auto"/>
        <w:ind w:right="480"/>
        <w:jc w:val="center"/>
        <w:rPr>
          <w:rFonts w:ascii="宋体" w:hAnsi="宋体" w:cs="宋体"/>
          <w:b/>
          <w:color w:val="auto"/>
          <w:kern w:val="0"/>
          <w:sz w:val="32"/>
          <w:szCs w:val="32"/>
          <w:highlight w:val="none"/>
        </w:rPr>
      </w:pPr>
    </w:p>
    <w:p w14:paraId="45F26A3E">
      <w:pPr>
        <w:snapToGrid w:val="0"/>
        <w:spacing w:line="360" w:lineRule="auto"/>
        <w:ind w:right="480"/>
        <w:jc w:val="center"/>
        <w:rPr>
          <w:rFonts w:ascii="宋体" w:hAnsi="宋体" w:cs="宋体"/>
          <w:b/>
          <w:color w:val="auto"/>
          <w:kern w:val="0"/>
          <w:sz w:val="32"/>
          <w:szCs w:val="32"/>
          <w:highlight w:val="none"/>
        </w:rPr>
      </w:pPr>
    </w:p>
    <w:p w14:paraId="5CA862B4">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25" w:type="first"/>
          <w:footerReference r:id="rId27" w:type="first"/>
          <w:headerReference r:id="rId24" w:type="default"/>
          <w:footerReference r:id="rId26" w:type="default"/>
          <w:pgSz w:w="11906" w:h="16838"/>
          <w:pgMar w:top="1134" w:right="1134" w:bottom="1134" w:left="1134" w:header="851" w:footer="992" w:gutter="0"/>
          <w:pgNumType w:fmt="decimal"/>
          <w:cols w:space="720" w:num="1"/>
          <w:titlePg/>
          <w:docGrid w:linePitch="312" w:charSpace="0"/>
        </w:sectPr>
      </w:pPr>
    </w:p>
    <w:p w14:paraId="4A8314A0">
      <w:pPr>
        <w:pStyle w:val="83"/>
        <w:jc w:val="center"/>
        <w:rPr>
          <w:b/>
          <w:color w:val="auto"/>
          <w:sz w:val="32"/>
          <w:szCs w:val="32"/>
          <w:highlight w:val="none"/>
        </w:rPr>
      </w:pPr>
      <w:r>
        <w:rPr>
          <w:rFonts w:hint="eastAsia"/>
          <w:b/>
          <w:color w:val="auto"/>
          <w:sz w:val="32"/>
          <w:szCs w:val="32"/>
          <w:highlight w:val="none"/>
        </w:rPr>
        <w:t>一、开标一览表（报价表）</w:t>
      </w:r>
    </w:p>
    <w:p w14:paraId="46C6C67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ED08EC0">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69FBDC33">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4802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008D505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65E7864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6B697387">
            <w:pPr>
              <w:spacing w:line="360" w:lineRule="auto"/>
              <w:jc w:val="center"/>
              <w:rPr>
                <w:rFonts w:ascii="宋体" w:hAnsi="宋体" w:cs="宋体"/>
                <w:b/>
                <w:color w:val="auto"/>
                <w:sz w:val="24"/>
                <w:highlight w:val="none"/>
              </w:rPr>
            </w:pPr>
          </w:p>
          <w:p w14:paraId="2555F91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13C4E53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77EE77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79F8CC6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7AFE9485">
            <w:pPr>
              <w:spacing w:line="360" w:lineRule="auto"/>
              <w:jc w:val="center"/>
              <w:rPr>
                <w:rFonts w:ascii="宋体" w:hAnsi="宋体" w:cs="宋体"/>
                <w:b/>
                <w:color w:val="auto"/>
                <w:sz w:val="24"/>
                <w:highlight w:val="none"/>
              </w:rPr>
            </w:pPr>
          </w:p>
          <w:p w14:paraId="506E465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2080E799">
            <w:pPr>
              <w:spacing w:line="360" w:lineRule="auto"/>
              <w:jc w:val="center"/>
              <w:rPr>
                <w:rFonts w:ascii="宋体" w:hAnsi="宋体" w:cs="宋体"/>
                <w:b/>
                <w:color w:val="auto"/>
                <w:sz w:val="24"/>
                <w:highlight w:val="none"/>
              </w:rPr>
            </w:pPr>
          </w:p>
          <w:p w14:paraId="02D4AF8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53AA75B8">
            <w:pPr>
              <w:spacing w:line="360" w:lineRule="auto"/>
              <w:jc w:val="center"/>
              <w:rPr>
                <w:rFonts w:ascii="宋体" w:hAnsi="宋体" w:cs="宋体"/>
                <w:b/>
                <w:color w:val="auto"/>
                <w:sz w:val="24"/>
                <w:highlight w:val="none"/>
              </w:rPr>
            </w:pPr>
          </w:p>
        </w:tc>
      </w:tr>
      <w:tr w14:paraId="02B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926336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223FEF5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0E74EED5">
            <w:pPr>
              <w:snapToGrid w:val="0"/>
              <w:spacing w:line="360" w:lineRule="auto"/>
              <w:jc w:val="center"/>
              <w:rPr>
                <w:rFonts w:ascii="宋体" w:hAnsi="宋体" w:cs="宋体"/>
                <w:color w:val="auto"/>
                <w:sz w:val="24"/>
                <w:highlight w:val="none"/>
              </w:rPr>
            </w:pPr>
          </w:p>
        </w:tc>
        <w:tc>
          <w:tcPr>
            <w:tcW w:w="2410" w:type="dxa"/>
            <w:vAlign w:val="center"/>
          </w:tcPr>
          <w:p w14:paraId="3D6ED34D">
            <w:pPr>
              <w:snapToGrid w:val="0"/>
              <w:spacing w:line="360" w:lineRule="auto"/>
              <w:jc w:val="center"/>
              <w:rPr>
                <w:rFonts w:ascii="宋体" w:hAnsi="宋体" w:cs="宋体"/>
                <w:color w:val="auto"/>
                <w:sz w:val="24"/>
                <w:highlight w:val="none"/>
              </w:rPr>
            </w:pPr>
          </w:p>
        </w:tc>
        <w:tc>
          <w:tcPr>
            <w:tcW w:w="2268" w:type="dxa"/>
            <w:vAlign w:val="center"/>
          </w:tcPr>
          <w:p w14:paraId="04B1025F">
            <w:pPr>
              <w:snapToGrid w:val="0"/>
              <w:spacing w:line="360" w:lineRule="auto"/>
              <w:jc w:val="center"/>
              <w:rPr>
                <w:rFonts w:ascii="宋体" w:hAnsi="宋体" w:cs="宋体"/>
                <w:color w:val="auto"/>
                <w:sz w:val="24"/>
                <w:highlight w:val="none"/>
              </w:rPr>
            </w:pPr>
          </w:p>
        </w:tc>
        <w:tc>
          <w:tcPr>
            <w:tcW w:w="2126" w:type="dxa"/>
            <w:vAlign w:val="center"/>
          </w:tcPr>
          <w:p w14:paraId="6D74C984">
            <w:pPr>
              <w:spacing w:line="360" w:lineRule="auto"/>
              <w:jc w:val="center"/>
              <w:rPr>
                <w:rFonts w:ascii="宋体" w:hAnsi="宋体" w:cs="宋体"/>
                <w:color w:val="auto"/>
                <w:sz w:val="24"/>
                <w:highlight w:val="none"/>
              </w:rPr>
            </w:pPr>
          </w:p>
        </w:tc>
        <w:tc>
          <w:tcPr>
            <w:tcW w:w="2127" w:type="dxa"/>
          </w:tcPr>
          <w:p w14:paraId="7220819F">
            <w:pPr>
              <w:spacing w:line="360" w:lineRule="auto"/>
              <w:jc w:val="center"/>
              <w:rPr>
                <w:rFonts w:ascii="宋体" w:hAnsi="宋体" w:cs="宋体"/>
                <w:color w:val="auto"/>
                <w:sz w:val="24"/>
                <w:highlight w:val="none"/>
              </w:rPr>
            </w:pPr>
          </w:p>
        </w:tc>
        <w:tc>
          <w:tcPr>
            <w:tcW w:w="2126" w:type="dxa"/>
            <w:vAlign w:val="center"/>
          </w:tcPr>
          <w:p w14:paraId="6CB23D34">
            <w:pPr>
              <w:spacing w:line="360" w:lineRule="auto"/>
              <w:jc w:val="center"/>
              <w:rPr>
                <w:rFonts w:ascii="宋体" w:hAnsi="宋体" w:cs="宋体"/>
                <w:color w:val="auto"/>
                <w:sz w:val="24"/>
                <w:highlight w:val="none"/>
              </w:rPr>
            </w:pPr>
          </w:p>
        </w:tc>
      </w:tr>
      <w:tr w14:paraId="3FB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CE25DF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358B60B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16887DC4">
            <w:pPr>
              <w:snapToGrid w:val="0"/>
              <w:spacing w:line="360" w:lineRule="auto"/>
              <w:jc w:val="center"/>
              <w:rPr>
                <w:rFonts w:ascii="宋体" w:hAnsi="宋体" w:cs="宋体"/>
                <w:color w:val="auto"/>
                <w:sz w:val="24"/>
                <w:highlight w:val="none"/>
              </w:rPr>
            </w:pPr>
          </w:p>
        </w:tc>
        <w:tc>
          <w:tcPr>
            <w:tcW w:w="2410" w:type="dxa"/>
            <w:vAlign w:val="center"/>
          </w:tcPr>
          <w:p w14:paraId="7F4B13AD">
            <w:pPr>
              <w:snapToGrid w:val="0"/>
              <w:spacing w:line="360" w:lineRule="auto"/>
              <w:jc w:val="center"/>
              <w:rPr>
                <w:rFonts w:ascii="宋体" w:hAnsi="宋体" w:cs="宋体"/>
                <w:color w:val="auto"/>
                <w:sz w:val="24"/>
                <w:highlight w:val="none"/>
              </w:rPr>
            </w:pPr>
          </w:p>
        </w:tc>
        <w:tc>
          <w:tcPr>
            <w:tcW w:w="2268" w:type="dxa"/>
            <w:vAlign w:val="center"/>
          </w:tcPr>
          <w:p w14:paraId="6C829550">
            <w:pPr>
              <w:snapToGrid w:val="0"/>
              <w:spacing w:line="360" w:lineRule="auto"/>
              <w:jc w:val="center"/>
              <w:rPr>
                <w:rFonts w:ascii="宋体" w:hAnsi="宋体" w:cs="宋体"/>
                <w:color w:val="auto"/>
                <w:sz w:val="24"/>
                <w:highlight w:val="none"/>
              </w:rPr>
            </w:pPr>
          </w:p>
        </w:tc>
        <w:tc>
          <w:tcPr>
            <w:tcW w:w="2126" w:type="dxa"/>
            <w:vAlign w:val="center"/>
          </w:tcPr>
          <w:p w14:paraId="15EE9354">
            <w:pPr>
              <w:spacing w:line="360" w:lineRule="auto"/>
              <w:jc w:val="center"/>
              <w:rPr>
                <w:rFonts w:ascii="宋体" w:hAnsi="宋体" w:cs="宋体"/>
                <w:color w:val="auto"/>
                <w:sz w:val="24"/>
                <w:highlight w:val="none"/>
              </w:rPr>
            </w:pPr>
          </w:p>
        </w:tc>
        <w:tc>
          <w:tcPr>
            <w:tcW w:w="2127" w:type="dxa"/>
          </w:tcPr>
          <w:p w14:paraId="25C66069">
            <w:pPr>
              <w:spacing w:line="360" w:lineRule="auto"/>
              <w:jc w:val="center"/>
              <w:rPr>
                <w:rFonts w:ascii="宋体" w:hAnsi="宋体" w:cs="宋体"/>
                <w:color w:val="auto"/>
                <w:sz w:val="24"/>
                <w:highlight w:val="none"/>
              </w:rPr>
            </w:pPr>
          </w:p>
        </w:tc>
        <w:tc>
          <w:tcPr>
            <w:tcW w:w="2126" w:type="dxa"/>
            <w:vAlign w:val="center"/>
          </w:tcPr>
          <w:p w14:paraId="660E59B8">
            <w:pPr>
              <w:spacing w:line="360" w:lineRule="auto"/>
              <w:jc w:val="center"/>
              <w:rPr>
                <w:rFonts w:ascii="宋体" w:hAnsi="宋体" w:cs="宋体"/>
                <w:color w:val="auto"/>
                <w:sz w:val="24"/>
                <w:highlight w:val="none"/>
              </w:rPr>
            </w:pPr>
          </w:p>
        </w:tc>
      </w:tr>
      <w:tr w14:paraId="3CD88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66461E1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1D2463BB">
            <w:pPr>
              <w:snapToGrid w:val="0"/>
              <w:spacing w:line="360" w:lineRule="auto"/>
              <w:jc w:val="center"/>
              <w:rPr>
                <w:rFonts w:ascii="宋体" w:hAnsi="宋体" w:cs="宋体"/>
                <w:color w:val="auto"/>
                <w:sz w:val="24"/>
                <w:highlight w:val="none"/>
              </w:rPr>
            </w:pPr>
          </w:p>
        </w:tc>
        <w:tc>
          <w:tcPr>
            <w:tcW w:w="2268" w:type="dxa"/>
            <w:vAlign w:val="center"/>
          </w:tcPr>
          <w:p w14:paraId="73CA4835">
            <w:pPr>
              <w:snapToGrid w:val="0"/>
              <w:spacing w:line="360" w:lineRule="auto"/>
              <w:jc w:val="center"/>
              <w:rPr>
                <w:rFonts w:ascii="宋体" w:hAnsi="宋体" w:cs="宋体"/>
                <w:color w:val="auto"/>
                <w:sz w:val="24"/>
                <w:highlight w:val="none"/>
              </w:rPr>
            </w:pPr>
          </w:p>
        </w:tc>
        <w:tc>
          <w:tcPr>
            <w:tcW w:w="2410" w:type="dxa"/>
            <w:vAlign w:val="center"/>
          </w:tcPr>
          <w:p w14:paraId="067D0C6E">
            <w:pPr>
              <w:snapToGrid w:val="0"/>
              <w:spacing w:line="360" w:lineRule="auto"/>
              <w:jc w:val="center"/>
              <w:rPr>
                <w:rFonts w:ascii="宋体" w:hAnsi="宋体" w:cs="宋体"/>
                <w:color w:val="auto"/>
                <w:sz w:val="24"/>
                <w:highlight w:val="none"/>
              </w:rPr>
            </w:pPr>
          </w:p>
        </w:tc>
        <w:tc>
          <w:tcPr>
            <w:tcW w:w="2268" w:type="dxa"/>
            <w:vAlign w:val="center"/>
          </w:tcPr>
          <w:p w14:paraId="6F438EB9">
            <w:pPr>
              <w:snapToGrid w:val="0"/>
              <w:spacing w:line="360" w:lineRule="auto"/>
              <w:jc w:val="center"/>
              <w:rPr>
                <w:rFonts w:ascii="宋体" w:hAnsi="宋体" w:cs="宋体"/>
                <w:color w:val="auto"/>
                <w:sz w:val="24"/>
                <w:highlight w:val="none"/>
              </w:rPr>
            </w:pPr>
          </w:p>
        </w:tc>
        <w:tc>
          <w:tcPr>
            <w:tcW w:w="2126" w:type="dxa"/>
            <w:vAlign w:val="center"/>
          </w:tcPr>
          <w:p w14:paraId="6B306B47">
            <w:pPr>
              <w:spacing w:line="360" w:lineRule="auto"/>
              <w:jc w:val="center"/>
              <w:rPr>
                <w:rFonts w:ascii="宋体" w:hAnsi="宋体" w:cs="宋体"/>
                <w:color w:val="auto"/>
                <w:sz w:val="24"/>
                <w:highlight w:val="none"/>
              </w:rPr>
            </w:pPr>
          </w:p>
        </w:tc>
        <w:tc>
          <w:tcPr>
            <w:tcW w:w="2127" w:type="dxa"/>
          </w:tcPr>
          <w:p w14:paraId="627D7780">
            <w:pPr>
              <w:spacing w:line="360" w:lineRule="auto"/>
              <w:jc w:val="center"/>
              <w:rPr>
                <w:rFonts w:ascii="宋体" w:hAnsi="宋体" w:cs="宋体"/>
                <w:color w:val="auto"/>
                <w:sz w:val="24"/>
                <w:highlight w:val="none"/>
              </w:rPr>
            </w:pPr>
          </w:p>
        </w:tc>
        <w:tc>
          <w:tcPr>
            <w:tcW w:w="2126" w:type="dxa"/>
            <w:vAlign w:val="center"/>
          </w:tcPr>
          <w:p w14:paraId="2AE0BF2C">
            <w:pPr>
              <w:spacing w:line="360" w:lineRule="auto"/>
              <w:jc w:val="center"/>
              <w:rPr>
                <w:rFonts w:ascii="宋体" w:hAnsi="宋体" w:cs="宋体"/>
                <w:color w:val="auto"/>
                <w:sz w:val="24"/>
                <w:highlight w:val="none"/>
              </w:rPr>
            </w:pPr>
          </w:p>
        </w:tc>
      </w:tr>
      <w:tr w14:paraId="68FF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71BE3DEE">
            <w:pPr>
              <w:spacing w:line="360" w:lineRule="auto"/>
              <w:jc w:val="center"/>
              <w:rPr>
                <w:rFonts w:ascii="宋体" w:hAnsi="宋体" w:cs="宋体"/>
                <w:color w:val="auto"/>
                <w:sz w:val="24"/>
                <w:highlight w:val="none"/>
              </w:rPr>
            </w:pPr>
          </w:p>
        </w:tc>
        <w:tc>
          <w:tcPr>
            <w:tcW w:w="992" w:type="dxa"/>
            <w:vAlign w:val="center"/>
          </w:tcPr>
          <w:p w14:paraId="4DC9DCAC">
            <w:pPr>
              <w:snapToGrid w:val="0"/>
              <w:spacing w:line="360" w:lineRule="auto"/>
              <w:jc w:val="center"/>
              <w:rPr>
                <w:rFonts w:ascii="宋体" w:hAnsi="宋体" w:cs="宋体"/>
                <w:color w:val="auto"/>
                <w:sz w:val="24"/>
                <w:highlight w:val="none"/>
              </w:rPr>
            </w:pPr>
          </w:p>
        </w:tc>
        <w:tc>
          <w:tcPr>
            <w:tcW w:w="2268" w:type="dxa"/>
            <w:vAlign w:val="center"/>
          </w:tcPr>
          <w:p w14:paraId="3285F19C">
            <w:pPr>
              <w:snapToGrid w:val="0"/>
              <w:spacing w:line="360" w:lineRule="auto"/>
              <w:jc w:val="center"/>
              <w:rPr>
                <w:rFonts w:ascii="宋体" w:hAnsi="宋体" w:cs="宋体"/>
                <w:color w:val="auto"/>
                <w:sz w:val="24"/>
                <w:highlight w:val="none"/>
              </w:rPr>
            </w:pPr>
          </w:p>
        </w:tc>
        <w:tc>
          <w:tcPr>
            <w:tcW w:w="2410" w:type="dxa"/>
            <w:vAlign w:val="center"/>
          </w:tcPr>
          <w:p w14:paraId="1A9EBB25">
            <w:pPr>
              <w:snapToGrid w:val="0"/>
              <w:spacing w:line="360" w:lineRule="auto"/>
              <w:jc w:val="center"/>
              <w:rPr>
                <w:rFonts w:ascii="宋体" w:hAnsi="宋体" w:cs="宋体"/>
                <w:color w:val="auto"/>
                <w:sz w:val="24"/>
                <w:highlight w:val="none"/>
              </w:rPr>
            </w:pPr>
          </w:p>
        </w:tc>
        <w:tc>
          <w:tcPr>
            <w:tcW w:w="2268" w:type="dxa"/>
            <w:vAlign w:val="center"/>
          </w:tcPr>
          <w:p w14:paraId="1AD26939">
            <w:pPr>
              <w:snapToGrid w:val="0"/>
              <w:spacing w:line="360" w:lineRule="auto"/>
              <w:jc w:val="center"/>
              <w:rPr>
                <w:rFonts w:ascii="宋体" w:hAnsi="宋体" w:cs="宋体"/>
                <w:color w:val="auto"/>
                <w:sz w:val="24"/>
                <w:highlight w:val="none"/>
              </w:rPr>
            </w:pPr>
          </w:p>
        </w:tc>
        <w:tc>
          <w:tcPr>
            <w:tcW w:w="2126" w:type="dxa"/>
            <w:vAlign w:val="center"/>
          </w:tcPr>
          <w:p w14:paraId="51F0BE2C">
            <w:pPr>
              <w:spacing w:line="360" w:lineRule="auto"/>
              <w:jc w:val="center"/>
              <w:rPr>
                <w:rFonts w:ascii="宋体" w:hAnsi="宋体" w:cs="宋体"/>
                <w:color w:val="auto"/>
                <w:sz w:val="24"/>
                <w:highlight w:val="none"/>
              </w:rPr>
            </w:pPr>
          </w:p>
        </w:tc>
        <w:tc>
          <w:tcPr>
            <w:tcW w:w="2127" w:type="dxa"/>
          </w:tcPr>
          <w:p w14:paraId="48BBE846">
            <w:pPr>
              <w:spacing w:line="360" w:lineRule="auto"/>
              <w:jc w:val="center"/>
              <w:rPr>
                <w:rFonts w:ascii="宋体" w:hAnsi="宋体" w:cs="宋体"/>
                <w:color w:val="auto"/>
                <w:sz w:val="24"/>
                <w:highlight w:val="none"/>
              </w:rPr>
            </w:pPr>
          </w:p>
        </w:tc>
        <w:tc>
          <w:tcPr>
            <w:tcW w:w="2126" w:type="dxa"/>
            <w:vAlign w:val="center"/>
          </w:tcPr>
          <w:p w14:paraId="27A5A383">
            <w:pPr>
              <w:spacing w:line="360" w:lineRule="auto"/>
              <w:jc w:val="center"/>
              <w:rPr>
                <w:rFonts w:ascii="宋体" w:hAnsi="宋体" w:cs="宋体"/>
                <w:color w:val="auto"/>
                <w:sz w:val="24"/>
                <w:highlight w:val="none"/>
              </w:rPr>
            </w:pPr>
          </w:p>
        </w:tc>
      </w:tr>
      <w:tr w14:paraId="5246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E86A39F">
            <w:pPr>
              <w:spacing w:line="360" w:lineRule="auto"/>
              <w:jc w:val="center"/>
              <w:rPr>
                <w:rFonts w:ascii="宋体" w:hAnsi="宋体" w:cs="宋体"/>
                <w:color w:val="auto"/>
                <w:sz w:val="24"/>
                <w:highlight w:val="none"/>
              </w:rPr>
            </w:pPr>
          </w:p>
        </w:tc>
        <w:tc>
          <w:tcPr>
            <w:tcW w:w="992" w:type="dxa"/>
            <w:vAlign w:val="center"/>
          </w:tcPr>
          <w:p w14:paraId="30C26152">
            <w:pPr>
              <w:snapToGrid w:val="0"/>
              <w:spacing w:line="360" w:lineRule="auto"/>
              <w:jc w:val="center"/>
              <w:rPr>
                <w:rFonts w:ascii="宋体" w:hAnsi="宋体" w:cs="宋体"/>
                <w:color w:val="auto"/>
                <w:sz w:val="24"/>
                <w:highlight w:val="none"/>
              </w:rPr>
            </w:pPr>
          </w:p>
        </w:tc>
        <w:tc>
          <w:tcPr>
            <w:tcW w:w="2268" w:type="dxa"/>
            <w:vAlign w:val="center"/>
          </w:tcPr>
          <w:p w14:paraId="0640234E">
            <w:pPr>
              <w:snapToGrid w:val="0"/>
              <w:spacing w:line="360" w:lineRule="auto"/>
              <w:jc w:val="center"/>
              <w:rPr>
                <w:rFonts w:ascii="宋体" w:hAnsi="宋体" w:cs="宋体"/>
                <w:color w:val="auto"/>
                <w:sz w:val="24"/>
                <w:highlight w:val="none"/>
              </w:rPr>
            </w:pPr>
          </w:p>
        </w:tc>
        <w:tc>
          <w:tcPr>
            <w:tcW w:w="2410" w:type="dxa"/>
            <w:vAlign w:val="center"/>
          </w:tcPr>
          <w:p w14:paraId="1967A943">
            <w:pPr>
              <w:snapToGrid w:val="0"/>
              <w:spacing w:line="360" w:lineRule="auto"/>
              <w:jc w:val="center"/>
              <w:rPr>
                <w:rFonts w:ascii="宋体" w:hAnsi="宋体" w:cs="宋体"/>
                <w:color w:val="auto"/>
                <w:sz w:val="24"/>
                <w:highlight w:val="none"/>
              </w:rPr>
            </w:pPr>
          </w:p>
        </w:tc>
        <w:tc>
          <w:tcPr>
            <w:tcW w:w="2268" w:type="dxa"/>
            <w:vAlign w:val="center"/>
          </w:tcPr>
          <w:p w14:paraId="057BD954">
            <w:pPr>
              <w:snapToGrid w:val="0"/>
              <w:spacing w:line="360" w:lineRule="auto"/>
              <w:jc w:val="center"/>
              <w:rPr>
                <w:rFonts w:ascii="宋体" w:hAnsi="宋体" w:cs="宋体"/>
                <w:color w:val="auto"/>
                <w:sz w:val="24"/>
                <w:highlight w:val="none"/>
              </w:rPr>
            </w:pPr>
          </w:p>
        </w:tc>
        <w:tc>
          <w:tcPr>
            <w:tcW w:w="2126" w:type="dxa"/>
            <w:vAlign w:val="center"/>
          </w:tcPr>
          <w:p w14:paraId="0280108A">
            <w:pPr>
              <w:spacing w:line="360" w:lineRule="auto"/>
              <w:jc w:val="center"/>
              <w:rPr>
                <w:rFonts w:ascii="宋体" w:hAnsi="宋体" w:cs="宋体"/>
                <w:color w:val="auto"/>
                <w:sz w:val="24"/>
                <w:highlight w:val="none"/>
              </w:rPr>
            </w:pPr>
          </w:p>
        </w:tc>
        <w:tc>
          <w:tcPr>
            <w:tcW w:w="2127" w:type="dxa"/>
          </w:tcPr>
          <w:p w14:paraId="679D0DF5">
            <w:pPr>
              <w:spacing w:line="360" w:lineRule="auto"/>
              <w:jc w:val="center"/>
              <w:rPr>
                <w:rFonts w:ascii="宋体" w:hAnsi="宋体" w:cs="宋体"/>
                <w:color w:val="auto"/>
                <w:sz w:val="24"/>
                <w:highlight w:val="none"/>
              </w:rPr>
            </w:pPr>
          </w:p>
        </w:tc>
        <w:tc>
          <w:tcPr>
            <w:tcW w:w="2126" w:type="dxa"/>
            <w:vAlign w:val="center"/>
          </w:tcPr>
          <w:p w14:paraId="0BE8E62C">
            <w:pPr>
              <w:spacing w:line="360" w:lineRule="auto"/>
              <w:jc w:val="center"/>
              <w:rPr>
                <w:rFonts w:ascii="宋体" w:hAnsi="宋体" w:cs="宋体"/>
                <w:color w:val="auto"/>
                <w:sz w:val="24"/>
                <w:highlight w:val="none"/>
              </w:rPr>
            </w:pPr>
          </w:p>
        </w:tc>
      </w:tr>
      <w:tr w14:paraId="0448F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FB04E6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68AA6CF3">
            <w:pPr>
              <w:spacing w:line="360" w:lineRule="auto"/>
              <w:jc w:val="center"/>
              <w:rPr>
                <w:rFonts w:ascii="宋体" w:hAnsi="宋体" w:cs="宋体"/>
                <w:color w:val="auto"/>
                <w:sz w:val="24"/>
                <w:highlight w:val="none"/>
              </w:rPr>
            </w:pPr>
          </w:p>
        </w:tc>
      </w:tr>
      <w:tr w14:paraId="5CBF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7B287F7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54BCCF31">
            <w:pPr>
              <w:spacing w:line="360" w:lineRule="auto"/>
              <w:jc w:val="center"/>
              <w:rPr>
                <w:rFonts w:ascii="宋体" w:hAnsi="宋体" w:cs="宋体"/>
                <w:color w:val="auto"/>
                <w:sz w:val="24"/>
                <w:highlight w:val="none"/>
              </w:rPr>
            </w:pPr>
          </w:p>
        </w:tc>
      </w:tr>
    </w:tbl>
    <w:p w14:paraId="2F55C217">
      <w:pPr>
        <w:snapToGrid w:val="0"/>
        <w:spacing w:line="360" w:lineRule="auto"/>
        <w:ind w:left="480"/>
        <w:rPr>
          <w:rFonts w:hint="eastAsia" w:ascii="宋体" w:hAnsi="宋体" w:cs="宋体"/>
          <w:b/>
          <w:color w:val="auto"/>
          <w:kern w:val="0"/>
          <w:sz w:val="24"/>
          <w:highlight w:val="none"/>
          <w:lang w:val="zh-CN"/>
        </w:rPr>
      </w:pPr>
    </w:p>
    <w:p w14:paraId="4D20BC65">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4E66F643">
      <w:pPr>
        <w:spacing w:line="360" w:lineRule="auto"/>
        <w:ind w:left="-2" w:leftChars="-1" w:firstLine="480" w:firstLineChars="200"/>
        <w:rPr>
          <w:rFonts w:hint="eastAsia" w:ascii="宋体" w:hAnsi="宋体" w:eastAsia="宋体" w:cs="宋体"/>
          <w:color w:val="auto"/>
          <w:kern w:val="0"/>
          <w:sz w:val="24"/>
          <w:highlight w:val="none"/>
          <w:lang w:val="zh-CN" w:eastAsia="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sz w:val="24"/>
          <w:highlight w:val="none"/>
          <w:lang w:eastAsia="zh-CN"/>
        </w:rPr>
        <w:t>。</w:t>
      </w:r>
    </w:p>
    <w:p w14:paraId="01294B7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1BA3E3B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3C0260E1">
      <w:pPr>
        <w:snapToGrid w:val="0"/>
        <w:spacing w:line="360" w:lineRule="auto"/>
        <w:ind w:firstLine="480" w:firstLineChars="200"/>
        <w:jc w:val="left"/>
        <w:rPr>
          <w:rFonts w:ascii="宋体" w:hAnsi="宋体" w:cs="宋体"/>
          <w:color w:val="auto"/>
          <w:kern w:val="0"/>
          <w:sz w:val="24"/>
          <w:szCs w:val="22"/>
          <w:highlight w:val="none"/>
          <w:lang w:val="zh-CN"/>
        </w:rPr>
      </w:pPr>
      <w:r>
        <w:rPr>
          <w:rFonts w:ascii="宋体" w:hAnsi="宋体" w:cs="宋体"/>
          <w:color w:val="auto"/>
          <w:kern w:val="0"/>
          <w:sz w:val="24"/>
          <w:szCs w:val="22"/>
          <w:highlight w:val="none"/>
          <w:lang w:val="zh-CN"/>
        </w:rPr>
        <w:t>4</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4B56217">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5</w:t>
      </w:r>
      <w:r>
        <w:rPr>
          <w:rFonts w:hint="eastAsia" w:ascii="宋体" w:hAnsi="宋体" w:cs="宋体"/>
          <w:color w:val="auto"/>
          <w:kern w:val="0"/>
          <w:sz w:val="24"/>
          <w:szCs w:val="22"/>
          <w:highlight w:val="none"/>
          <w:lang w:val="zh-CN"/>
        </w:rPr>
        <w:t>、根据《北海市财政局关于开展推动解决政府采购异常低价问题试点工作的通知》北财采〔2025〕25号的规定，</w:t>
      </w:r>
      <w:r>
        <w:rPr>
          <w:rFonts w:hint="eastAsia" w:ascii="宋体" w:hAnsi="宋体" w:cs="宋体"/>
          <w:color w:val="auto"/>
          <w:kern w:val="0"/>
          <w:sz w:val="24"/>
          <w:highlight w:val="none"/>
          <w:lang w:val="zh-CN"/>
        </w:rPr>
        <w:t>本项目为北海市推动解决政府采购异常低价试点项目，若供应商投标报价属于采购文件规定的异常低价情况情形之一的，应按采购文件及评审小组要求在规定时间内提供书面证明及必要的证明材料，否则</w:t>
      </w:r>
      <w:r>
        <w:rPr>
          <w:rFonts w:hint="eastAsia" w:ascii="宋体" w:hAnsi="宋体" w:cs="宋体"/>
          <w:color w:val="auto"/>
          <w:kern w:val="0"/>
          <w:sz w:val="24"/>
          <w:highlight w:val="none"/>
          <w:lang w:val="zh-CN" w:eastAsia="zh-CN"/>
        </w:rPr>
        <w:t>投标</w:t>
      </w:r>
      <w:r>
        <w:rPr>
          <w:rFonts w:hint="eastAsia" w:ascii="宋体" w:hAnsi="宋体" w:cs="宋体"/>
          <w:color w:val="auto"/>
          <w:kern w:val="0"/>
          <w:sz w:val="24"/>
          <w:highlight w:val="none"/>
          <w:lang w:val="zh-CN"/>
        </w:rPr>
        <w:t>无效。</w:t>
      </w:r>
    </w:p>
    <w:p w14:paraId="17CAFC91">
      <w:pPr>
        <w:autoSpaceDE w:val="0"/>
        <w:autoSpaceDN w:val="0"/>
        <w:spacing w:line="360" w:lineRule="auto"/>
        <w:ind w:left="4620" w:leftChars="2200" w:right="1119" w:rightChars="533" w:firstLine="4560" w:firstLineChars="1900"/>
        <w:jc w:val="left"/>
        <w:rPr>
          <w:rFonts w:ascii="宋体" w:hAnsi="宋体" w:cs="宋体"/>
          <w:color w:val="auto"/>
          <w:kern w:val="0"/>
          <w:sz w:val="24"/>
          <w:highlight w:val="none"/>
          <w:lang w:val="zh-CN"/>
        </w:rPr>
      </w:pPr>
    </w:p>
    <w:p w14:paraId="3E9B11B0">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投标人名称（公章）：</w:t>
      </w:r>
    </w:p>
    <w:p w14:paraId="1E2EFCFF">
      <w:pPr>
        <w:spacing w:line="360" w:lineRule="auto"/>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3D60C78D">
      <w:pPr>
        <w:spacing w:line="360" w:lineRule="auto"/>
        <w:jc w:val="center"/>
        <w:rPr>
          <w:rFonts w:ascii="宋体" w:hAnsi="宋体" w:eastAsia="宋体" w:cs="宋体"/>
          <w:color w:val="auto"/>
          <w:kern w:val="2"/>
          <w:sz w:val="32"/>
          <w:szCs w:val="32"/>
          <w:highlight w:val="none"/>
        </w:rPr>
      </w:pPr>
      <w:r>
        <w:rPr>
          <w:rFonts w:hint="eastAsia" w:ascii="宋体" w:hAnsi="宋体" w:cs="宋体"/>
          <w:color w:val="auto"/>
          <w:sz w:val="24"/>
          <w:highlight w:val="none"/>
        </w:rPr>
        <w:t xml:space="preserve">     日期：  年   月   日</w:t>
      </w:r>
    </w:p>
    <w:p w14:paraId="10194938">
      <w:pPr>
        <w:pStyle w:val="690"/>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134" w:right="1134" w:bottom="1134" w:left="1134" w:header="851" w:footer="992" w:gutter="0"/>
          <w:pgNumType w:fmt="decimal"/>
          <w:cols w:space="720" w:num="1"/>
          <w:titlePg/>
          <w:docGrid w:linePitch="312" w:charSpace="0"/>
        </w:sectPr>
      </w:pPr>
    </w:p>
    <w:p w14:paraId="4FBDBCA2">
      <w:pPr>
        <w:pStyle w:val="83"/>
        <w:jc w:val="center"/>
        <w:rPr>
          <w:b/>
          <w:color w:val="auto"/>
          <w:sz w:val="32"/>
          <w:szCs w:val="32"/>
          <w:highlight w:val="none"/>
        </w:rPr>
      </w:pPr>
      <w:r>
        <w:rPr>
          <w:rFonts w:hint="eastAsia"/>
          <w:b/>
          <w:color w:val="auto"/>
          <w:kern w:val="2"/>
          <w:sz w:val="32"/>
          <w:szCs w:val="32"/>
          <w:highlight w:val="none"/>
        </w:rPr>
        <w:t>二、</w:t>
      </w:r>
      <w:r>
        <w:rPr>
          <w:rFonts w:hint="eastAsia"/>
          <w:b/>
          <w:color w:val="auto"/>
          <w:sz w:val="32"/>
          <w:szCs w:val="32"/>
          <w:highlight w:val="none"/>
        </w:rPr>
        <w:t>中小企业声明函（如果有）</w:t>
      </w:r>
    </w:p>
    <w:p w14:paraId="189452CE">
      <w:pPr>
        <w:widowControl/>
        <w:spacing w:line="360" w:lineRule="auto"/>
        <w:ind w:firstLine="120" w:firstLineChars="50"/>
        <w:jc w:val="left"/>
        <w:rPr>
          <w:rFonts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68299992">
      <w:pPr>
        <w:pStyle w:val="690"/>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7C1762CA">
      <w:pPr>
        <w:spacing w:line="360" w:lineRule="auto"/>
        <w:ind w:right="420" w:firstLine="3614" w:firstLineChars="1000"/>
        <w:rPr>
          <w:rFonts w:ascii="宋体" w:hAnsi="宋体" w:cs="宋体"/>
          <w:b/>
          <w:color w:val="auto"/>
          <w:kern w:val="0"/>
          <w:sz w:val="36"/>
          <w:szCs w:val="36"/>
          <w:highlight w:val="none"/>
        </w:rPr>
      </w:pPr>
    </w:p>
    <w:p w14:paraId="61D11CA5">
      <w:pPr>
        <w:spacing w:line="360" w:lineRule="auto"/>
        <w:ind w:right="420" w:firstLine="3614" w:firstLineChars="1000"/>
        <w:rPr>
          <w:rFonts w:ascii="宋体" w:hAnsi="宋体" w:cs="宋体"/>
          <w:b/>
          <w:color w:val="auto"/>
          <w:kern w:val="0"/>
          <w:sz w:val="36"/>
          <w:szCs w:val="36"/>
          <w:highlight w:val="none"/>
        </w:rPr>
      </w:pPr>
    </w:p>
    <w:p w14:paraId="25205BC1">
      <w:pPr>
        <w:spacing w:line="360" w:lineRule="auto"/>
        <w:ind w:right="420" w:firstLine="3614" w:firstLineChars="1000"/>
        <w:rPr>
          <w:rFonts w:ascii="宋体" w:hAnsi="宋体" w:cs="宋体"/>
          <w:b/>
          <w:color w:val="auto"/>
          <w:kern w:val="0"/>
          <w:sz w:val="36"/>
          <w:szCs w:val="36"/>
          <w:highlight w:val="none"/>
        </w:rPr>
      </w:pPr>
    </w:p>
    <w:p w14:paraId="0A2AED8F">
      <w:pPr>
        <w:spacing w:line="360" w:lineRule="auto"/>
        <w:ind w:right="420" w:firstLine="3614" w:firstLineChars="1000"/>
        <w:rPr>
          <w:rFonts w:ascii="宋体" w:hAnsi="宋体" w:cs="宋体"/>
          <w:b/>
          <w:color w:val="auto"/>
          <w:kern w:val="0"/>
          <w:sz w:val="36"/>
          <w:szCs w:val="36"/>
          <w:highlight w:val="none"/>
        </w:rPr>
      </w:pPr>
    </w:p>
    <w:p w14:paraId="2262DF56">
      <w:pPr>
        <w:spacing w:line="360" w:lineRule="auto"/>
        <w:ind w:right="420" w:firstLine="3614" w:firstLineChars="1000"/>
        <w:rPr>
          <w:rFonts w:ascii="宋体" w:hAnsi="宋体" w:cs="宋体"/>
          <w:b/>
          <w:color w:val="auto"/>
          <w:kern w:val="0"/>
          <w:sz w:val="36"/>
          <w:szCs w:val="36"/>
          <w:highlight w:val="none"/>
        </w:rPr>
      </w:pPr>
    </w:p>
    <w:p w14:paraId="5ADD7A15">
      <w:pPr>
        <w:spacing w:line="360" w:lineRule="auto"/>
        <w:ind w:right="420" w:firstLine="3614" w:firstLineChars="1000"/>
        <w:rPr>
          <w:rFonts w:ascii="宋体" w:hAnsi="宋体" w:cs="宋体"/>
          <w:b/>
          <w:color w:val="auto"/>
          <w:kern w:val="0"/>
          <w:sz w:val="36"/>
          <w:szCs w:val="36"/>
          <w:highlight w:val="none"/>
        </w:rPr>
      </w:pPr>
    </w:p>
    <w:p w14:paraId="49C15549">
      <w:pPr>
        <w:spacing w:line="360" w:lineRule="auto"/>
        <w:ind w:right="420" w:firstLine="3614" w:firstLineChars="1000"/>
        <w:rPr>
          <w:rFonts w:ascii="宋体" w:hAnsi="宋体" w:cs="宋体"/>
          <w:b/>
          <w:color w:val="auto"/>
          <w:kern w:val="0"/>
          <w:sz w:val="36"/>
          <w:szCs w:val="36"/>
          <w:highlight w:val="none"/>
        </w:rPr>
      </w:pPr>
    </w:p>
    <w:p w14:paraId="52900D30">
      <w:pPr>
        <w:spacing w:line="360" w:lineRule="auto"/>
        <w:ind w:right="420" w:firstLine="3614" w:firstLineChars="1000"/>
        <w:rPr>
          <w:rFonts w:ascii="宋体" w:hAnsi="宋体" w:cs="宋体"/>
          <w:b/>
          <w:color w:val="auto"/>
          <w:kern w:val="0"/>
          <w:sz w:val="36"/>
          <w:szCs w:val="36"/>
          <w:highlight w:val="none"/>
        </w:rPr>
      </w:pPr>
    </w:p>
    <w:p w14:paraId="5F130091">
      <w:pPr>
        <w:spacing w:line="360" w:lineRule="auto"/>
        <w:ind w:right="420" w:firstLine="3614" w:firstLineChars="1000"/>
        <w:rPr>
          <w:rFonts w:ascii="宋体" w:hAnsi="宋体" w:cs="宋体"/>
          <w:b/>
          <w:color w:val="auto"/>
          <w:kern w:val="0"/>
          <w:sz w:val="36"/>
          <w:szCs w:val="36"/>
          <w:highlight w:val="none"/>
        </w:rPr>
      </w:pPr>
    </w:p>
    <w:p w14:paraId="49F78450">
      <w:pPr>
        <w:spacing w:line="360" w:lineRule="auto"/>
        <w:ind w:right="420" w:firstLine="3614" w:firstLineChars="1000"/>
        <w:rPr>
          <w:rFonts w:ascii="宋体" w:hAnsi="宋体" w:cs="宋体"/>
          <w:b/>
          <w:color w:val="auto"/>
          <w:kern w:val="0"/>
          <w:sz w:val="36"/>
          <w:szCs w:val="36"/>
          <w:highlight w:val="none"/>
        </w:rPr>
      </w:pPr>
    </w:p>
    <w:p w14:paraId="05F1182C">
      <w:pPr>
        <w:spacing w:line="360" w:lineRule="auto"/>
        <w:ind w:right="420" w:firstLine="3614" w:firstLineChars="1000"/>
        <w:rPr>
          <w:rFonts w:ascii="宋体" w:hAnsi="宋体" w:cs="宋体"/>
          <w:b/>
          <w:color w:val="auto"/>
          <w:kern w:val="0"/>
          <w:sz w:val="36"/>
          <w:szCs w:val="36"/>
          <w:highlight w:val="none"/>
        </w:rPr>
      </w:pPr>
    </w:p>
    <w:p w14:paraId="30F60871">
      <w:pPr>
        <w:spacing w:line="360" w:lineRule="auto"/>
        <w:ind w:right="420" w:firstLine="3614" w:firstLineChars="1000"/>
        <w:rPr>
          <w:rFonts w:ascii="宋体" w:hAnsi="宋体" w:cs="宋体"/>
          <w:b/>
          <w:color w:val="auto"/>
          <w:kern w:val="0"/>
          <w:sz w:val="36"/>
          <w:szCs w:val="36"/>
          <w:highlight w:val="none"/>
        </w:rPr>
      </w:pPr>
    </w:p>
    <w:p w14:paraId="525E9567">
      <w:pPr>
        <w:spacing w:line="360" w:lineRule="auto"/>
        <w:ind w:right="420" w:firstLine="3614" w:firstLineChars="1000"/>
        <w:rPr>
          <w:rFonts w:ascii="宋体" w:hAnsi="宋体" w:cs="宋体"/>
          <w:b/>
          <w:color w:val="auto"/>
          <w:kern w:val="0"/>
          <w:sz w:val="36"/>
          <w:szCs w:val="36"/>
          <w:highlight w:val="none"/>
        </w:rPr>
      </w:pPr>
    </w:p>
    <w:p w14:paraId="25BE320A">
      <w:pPr>
        <w:spacing w:line="360" w:lineRule="auto"/>
        <w:ind w:right="420" w:firstLine="3614" w:firstLineChars="1000"/>
        <w:rPr>
          <w:rFonts w:ascii="宋体" w:hAnsi="宋体" w:cs="宋体"/>
          <w:b/>
          <w:color w:val="auto"/>
          <w:kern w:val="0"/>
          <w:sz w:val="36"/>
          <w:szCs w:val="36"/>
          <w:highlight w:val="none"/>
        </w:rPr>
      </w:pPr>
    </w:p>
    <w:p w14:paraId="33D0ED66">
      <w:pPr>
        <w:spacing w:line="360" w:lineRule="auto"/>
        <w:ind w:right="420" w:firstLine="3614" w:firstLineChars="1000"/>
        <w:rPr>
          <w:rFonts w:ascii="宋体" w:hAnsi="宋体" w:cs="宋体"/>
          <w:b/>
          <w:color w:val="auto"/>
          <w:kern w:val="0"/>
          <w:sz w:val="36"/>
          <w:szCs w:val="36"/>
          <w:highlight w:val="none"/>
        </w:rPr>
      </w:pPr>
    </w:p>
    <w:p w14:paraId="7529AE0B">
      <w:pPr>
        <w:spacing w:line="360" w:lineRule="auto"/>
        <w:ind w:right="420" w:firstLine="3614" w:firstLineChars="1000"/>
        <w:rPr>
          <w:rFonts w:ascii="宋体" w:hAnsi="宋体" w:cs="宋体"/>
          <w:b/>
          <w:color w:val="auto"/>
          <w:kern w:val="0"/>
          <w:sz w:val="36"/>
          <w:szCs w:val="36"/>
          <w:highlight w:val="none"/>
        </w:rPr>
      </w:pPr>
    </w:p>
    <w:p w14:paraId="7AF2725D">
      <w:pPr>
        <w:pStyle w:val="83"/>
        <w:rPr>
          <w:color w:val="auto"/>
          <w:highlight w:val="none"/>
        </w:rPr>
      </w:pPr>
    </w:p>
    <w:p w14:paraId="3484122D">
      <w:pPr>
        <w:pStyle w:val="83"/>
        <w:jc w:val="center"/>
        <w:rPr>
          <w:b/>
          <w:color w:val="auto"/>
          <w:sz w:val="36"/>
          <w:szCs w:val="36"/>
          <w:highlight w:val="none"/>
        </w:rPr>
      </w:pPr>
      <w:r>
        <w:rPr>
          <w:rFonts w:hint="eastAsia"/>
          <w:b/>
          <w:color w:val="auto"/>
          <w:sz w:val="36"/>
          <w:szCs w:val="36"/>
          <w:highlight w:val="none"/>
        </w:rPr>
        <w:t>附件</w:t>
      </w:r>
    </w:p>
    <w:p w14:paraId="70819AFA">
      <w:pPr>
        <w:pStyle w:val="83"/>
        <w:rPr>
          <w:color w:val="auto"/>
          <w:highlight w:val="none"/>
        </w:rPr>
      </w:pPr>
    </w:p>
    <w:p w14:paraId="7F1A7158">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33296B07">
      <w:pPr>
        <w:spacing w:line="360" w:lineRule="auto"/>
        <w:jc w:val="center"/>
        <w:rPr>
          <w:rFonts w:ascii="宋体" w:hAnsi="宋体" w:cs="宋体"/>
          <w:b/>
          <w:color w:val="auto"/>
          <w:spacing w:val="6"/>
          <w:sz w:val="32"/>
          <w:szCs w:val="32"/>
          <w:highlight w:val="none"/>
        </w:rPr>
      </w:pPr>
      <w:bookmarkStart w:id="401" w:name="OLE_LINK14"/>
      <w:bookmarkStart w:id="402" w:name="OLE_LINK13"/>
      <w:r>
        <w:rPr>
          <w:rFonts w:hint="eastAsia" w:ascii="宋体" w:hAnsi="宋体" w:cs="宋体"/>
          <w:b/>
          <w:color w:val="auto"/>
          <w:spacing w:val="6"/>
          <w:sz w:val="32"/>
          <w:szCs w:val="32"/>
          <w:highlight w:val="none"/>
        </w:rPr>
        <w:t>残疾人福利性单位声明函</w:t>
      </w:r>
    </w:p>
    <w:bookmarkEnd w:id="401"/>
    <w:bookmarkEnd w:id="402"/>
    <w:p w14:paraId="5AA9952B">
      <w:pPr>
        <w:spacing w:line="360" w:lineRule="auto"/>
        <w:rPr>
          <w:rFonts w:ascii="宋体" w:hAnsi="宋体" w:cs="宋体"/>
          <w:b/>
          <w:color w:val="auto"/>
          <w:spacing w:val="6"/>
          <w:sz w:val="30"/>
          <w:szCs w:val="30"/>
          <w:highlight w:val="none"/>
        </w:rPr>
      </w:pPr>
    </w:p>
    <w:p w14:paraId="546CF21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19676C8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F9257DA">
      <w:pPr>
        <w:spacing w:line="360" w:lineRule="auto"/>
        <w:ind w:firstLine="480" w:firstLineChars="200"/>
        <w:rPr>
          <w:rFonts w:ascii="宋体" w:hAnsi="宋体" w:cs="宋体"/>
          <w:color w:val="auto"/>
          <w:sz w:val="24"/>
          <w:highlight w:val="none"/>
        </w:rPr>
      </w:pPr>
    </w:p>
    <w:p w14:paraId="45632430">
      <w:pPr>
        <w:spacing w:line="360" w:lineRule="auto"/>
        <w:ind w:firstLine="480" w:firstLineChars="200"/>
        <w:rPr>
          <w:rFonts w:ascii="宋体" w:hAnsi="宋体" w:cs="宋体"/>
          <w:color w:val="auto"/>
          <w:sz w:val="24"/>
          <w:highlight w:val="none"/>
        </w:rPr>
      </w:pPr>
    </w:p>
    <w:p w14:paraId="5BDAA643">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公章</w:t>
      </w:r>
      <w:r>
        <w:rPr>
          <w:rFonts w:hint="eastAsia" w:ascii="宋体" w:hAnsi="宋体" w:cs="宋体"/>
          <w:color w:val="auto"/>
          <w:kern w:val="0"/>
          <w:sz w:val="24"/>
          <w:highlight w:val="none"/>
          <w:lang w:val="zh-CN"/>
        </w:rPr>
        <w:t>）</w:t>
      </w:r>
      <w:r>
        <w:rPr>
          <w:rFonts w:hint="eastAsia" w:ascii="宋体" w:hAnsi="宋体" w:cs="宋体"/>
          <w:color w:val="auto"/>
          <w:sz w:val="24"/>
          <w:highlight w:val="none"/>
        </w:rPr>
        <w:t>：</w:t>
      </w:r>
    </w:p>
    <w:p w14:paraId="379165E4">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AD4002B">
      <w:pPr>
        <w:spacing w:line="360" w:lineRule="auto"/>
        <w:ind w:firstLine="480" w:firstLineChars="200"/>
        <w:rPr>
          <w:rFonts w:ascii="宋体" w:hAnsi="宋体" w:cs="宋体"/>
          <w:color w:val="auto"/>
          <w:sz w:val="24"/>
          <w:highlight w:val="none"/>
        </w:rPr>
      </w:pPr>
    </w:p>
    <w:p w14:paraId="6EC38247">
      <w:pPr>
        <w:tabs>
          <w:tab w:val="left" w:pos="4860"/>
        </w:tabs>
        <w:spacing w:line="360" w:lineRule="auto"/>
        <w:ind w:right="1560" w:firstLine="480" w:firstLineChars="200"/>
        <w:jc w:val="center"/>
        <w:rPr>
          <w:rFonts w:ascii="宋体" w:hAnsi="宋体" w:cs="宋体"/>
          <w:color w:val="auto"/>
          <w:sz w:val="24"/>
          <w:highlight w:val="none"/>
        </w:rPr>
      </w:pPr>
    </w:p>
    <w:p w14:paraId="25759400">
      <w:pPr>
        <w:spacing w:line="360" w:lineRule="auto"/>
        <w:ind w:firstLine="420" w:firstLineChars="200"/>
        <w:rPr>
          <w:rFonts w:ascii="宋体" w:hAnsi="宋体" w:cs="宋体"/>
          <w:color w:val="auto"/>
          <w:highlight w:val="none"/>
        </w:rPr>
      </w:pPr>
    </w:p>
    <w:p w14:paraId="73529D6D">
      <w:pPr>
        <w:spacing w:line="360" w:lineRule="auto"/>
        <w:ind w:firstLine="420" w:firstLineChars="200"/>
        <w:rPr>
          <w:rFonts w:ascii="宋体" w:hAnsi="宋体" w:cs="宋体"/>
          <w:color w:val="auto"/>
          <w:highlight w:val="none"/>
        </w:rPr>
      </w:pPr>
    </w:p>
    <w:p w14:paraId="7C766482">
      <w:pPr>
        <w:spacing w:line="360" w:lineRule="auto"/>
        <w:ind w:firstLine="420" w:firstLineChars="200"/>
        <w:rPr>
          <w:rFonts w:ascii="宋体" w:hAnsi="宋体" w:cs="宋体"/>
          <w:color w:val="auto"/>
          <w:highlight w:val="none"/>
        </w:rPr>
      </w:pPr>
    </w:p>
    <w:p w14:paraId="617BD785">
      <w:pPr>
        <w:spacing w:line="360" w:lineRule="auto"/>
        <w:ind w:firstLine="420" w:firstLineChars="200"/>
        <w:rPr>
          <w:rFonts w:ascii="宋体" w:hAnsi="宋体" w:cs="宋体"/>
          <w:color w:val="auto"/>
          <w:highlight w:val="none"/>
        </w:rPr>
      </w:pPr>
    </w:p>
    <w:p w14:paraId="29A34779">
      <w:pPr>
        <w:spacing w:line="360" w:lineRule="auto"/>
        <w:rPr>
          <w:rFonts w:ascii="宋体" w:hAnsi="宋体" w:cs="宋体"/>
          <w:b/>
          <w:color w:val="auto"/>
          <w:sz w:val="24"/>
          <w:highlight w:val="none"/>
        </w:rPr>
      </w:pPr>
    </w:p>
    <w:p w14:paraId="1E983DBF">
      <w:pPr>
        <w:spacing w:line="360" w:lineRule="auto"/>
        <w:rPr>
          <w:rFonts w:ascii="宋体" w:hAnsi="宋体" w:cs="宋体"/>
          <w:b/>
          <w:color w:val="auto"/>
          <w:sz w:val="24"/>
          <w:highlight w:val="none"/>
        </w:rPr>
      </w:pPr>
    </w:p>
    <w:p w14:paraId="64DAE343">
      <w:pPr>
        <w:spacing w:line="360" w:lineRule="auto"/>
        <w:rPr>
          <w:rFonts w:ascii="宋体" w:hAnsi="宋体" w:cs="宋体"/>
          <w:b/>
          <w:color w:val="auto"/>
          <w:sz w:val="24"/>
          <w:highlight w:val="none"/>
        </w:rPr>
      </w:pPr>
    </w:p>
    <w:p w14:paraId="43995368">
      <w:pPr>
        <w:spacing w:line="360" w:lineRule="auto"/>
        <w:rPr>
          <w:rFonts w:ascii="宋体" w:hAnsi="宋体" w:cs="宋体"/>
          <w:b/>
          <w:color w:val="auto"/>
          <w:sz w:val="24"/>
          <w:highlight w:val="none"/>
        </w:rPr>
      </w:pPr>
    </w:p>
    <w:p w14:paraId="43A8125E">
      <w:pPr>
        <w:spacing w:line="360" w:lineRule="auto"/>
        <w:rPr>
          <w:rFonts w:ascii="宋体" w:hAnsi="宋体" w:cs="宋体"/>
          <w:b/>
          <w:color w:val="auto"/>
          <w:sz w:val="24"/>
          <w:highlight w:val="none"/>
        </w:rPr>
      </w:pPr>
    </w:p>
    <w:p w14:paraId="2D696F55">
      <w:pPr>
        <w:spacing w:line="360" w:lineRule="auto"/>
        <w:rPr>
          <w:rFonts w:ascii="宋体" w:hAnsi="宋体" w:cs="宋体"/>
          <w:b/>
          <w:color w:val="auto"/>
          <w:sz w:val="24"/>
          <w:highlight w:val="none"/>
        </w:rPr>
      </w:pPr>
    </w:p>
    <w:p w14:paraId="676A12F6">
      <w:pPr>
        <w:spacing w:line="360" w:lineRule="auto"/>
        <w:rPr>
          <w:rFonts w:ascii="宋体" w:hAnsi="宋体" w:cs="宋体"/>
          <w:b/>
          <w:color w:val="auto"/>
          <w:sz w:val="24"/>
          <w:highlight w:val="none"/>
        </w:rPr>
      </w:pPr>
    </w:p>
    <w:p w14:paraId="75800980">
      <w:pPr>
        <w:spacing w:line="360" w:lineRule="auto"/>
        <w:rPr>
          <w:rFonts w:ascii="宋体" w:hAnsi="宋体" w:cs="宋体"/>
          <w:b/>
          <w:color w:val="auto"/>
          <w:sz w:val="24"/>
          <w:highlight w:val="none"/>
        </w:rPr>
      </w:pPr>
    </w:p>
    <w:p w14:paraId="5E2020CD">
      <w:pPr>
        <w:spacing w:line="360" w:lineRule="auto"/>
        <w:rPr>
          <w:rFonts w:ascii="宋体" w:hAnsi="宋体" w:cs="宋体"/>
          <w:b/>
          <w:color w:val="auto"/>
          <w:sz w:val="24"/>
          <w:highlight w:val="none"/>
        </w:rPr>
      </w:pPr>
    </w:p>
    <w:p w14:paraId="6EB4A3D0">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09BE42D3">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2ABE084B">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975375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2F39D0C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1C93F0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74ED35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8DC67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1C9F06D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9455FD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388CBD1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AC8213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FFAB91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A2D88C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09B80C8B">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8C028C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098BCB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E95481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A9F9B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498D2B7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2C3769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1712FA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6B28D04">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CBBBA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465D28B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3C0B3C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5A0EF532">
      <w:pPr>
        <w:spacing w:line="360" w:lineRule="auto"/>
        <w:jc w:val="center"/>
        <w:rPr>
          <w:rFonts w:ascii="宋体" w:hAnsi="宋体" w:cs="宋体"/>
          <w:b/>
          <w:bCs/>
          <w:color w:val="auto"/>
          <w:sz w:val="24"/>
          <w:highlight w:val="none"/>
        </w:rPr>
      </w:pPr>
    </w:p>
    <w:p w14:paraId="3A16904A">
      <w:pPr>
        <w:spacing w:line="360" w:lineRule="auto"/>
        <w:rPr>
          <w:rFonts w:ascii="宋体" w:hAnsi="宋体" w:cs="宋体"/>
          <w:b/>
          <w:color w:val="auto"/>
          <w:sz w:val="24"/>
          <w:highlight w:val="none"/>
        </w:rPr>
      </w:pPr>
    </w:p>
    <w:p w14:paraId="71B6A143">
      <w:pPr>
        <w:spacing w:line="360" w:lineRule="auto"/>
        <w:rPr>
          <w:rFonts w:ascii="宋体" w:hAnsi="宋体" w:cs="宋体"/>
          <w:b/>
          <w:color w:val="auto"/>
          <w:sz w:val="24"/>
          <w:highlight w:val="none"/>
        </w:rPr>
      </w:pPr>
    </w:p>
    <w:p w14:paraId="61C576DC">
      <w:pPr>
        <w:spacing w:line="360" w:lineRule="auto"/>
        <w:rPr>
          <w:rFonts w:ascii="宋体" w:hAnsi="宋体" w:cs="宋体"/>
          <w:b/>
          <w:color w:val="auto"/>
          <w:sz w:val="24"/>
          <w:highlight w:val="none"/>
        </w:rPr>
      </w:pPr>
    </w:p>
    <w:p w14:paraId="7A52A81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6D260A5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2FA7D9B">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D7DB2E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2F9B2C7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55515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7A545D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09BC990E">
      <w:pPr>
        <w:widowControl/>
        <w:spacing w:line="360" w:lineRule="auto"/>
        <w:ind w:firstLine="600" w:firstLineChars="200"/>
        <w:jc w:val="left"/>
        <w:rPr>
          <w:rFonts w:ascii="宋体" w:hAnsi="宋体" w:cs="宋体"/>
          <w:color w:val="auto"/>
          <w:sz w:val="30"/>
          <w:szCs w:val="30"/>
          <w:highlight w:val="none"/>
        </w:rPr>
      </w:pPr>
    </w:p>
    <w:p w14:paraId="2AAF0AAA">
      <w:pPr>
        <w:spacing w:line="360" w:lineRule="auto"/>
        <w:jc w:val="center"/>
        <w:rPr>
          <w:rFonts w:ascii="宋体" w:hAnsi="宋体" w:cs="宋体"/>
          <w:b/>
          <w:color w:val="auto"/>
          <w:spacing w:val="6"/>
          <w:sz w:val="32"/>
          <w:szCs w:val="32"/>
          <w:highlight w:val="none"/>
        </w:rPr>
      </w:pPr>
    </w:p>
    <w:p w14:paraId="61EF9D9B">
      <w:pPr>
        <w:spacing w:line="360" w:lineRule="auto"/>
        <w:jc w:val="center"/>
        <w:rPr>
          <w:rFonts w:ascii="宋体" w:hAnsi="宋体" w:cs="宋体"/>
          <w:b/>
          <w:color w:val="auto"/>
          <w:spacing w:val="6"/>
          <w:sz w:val="32"/>
          <w:szCs w:val="32"/>
          <w:highlight w:val="none"/>
        </w:rPr>
      </w:pPr>
    </w:p>
    <w:p w14:paraId="5520A367">
      <w:pPr>
        <w:spacing w:line="360" w:lineRule="auto"/>
        <w:jc w:val="center"/>
        <w:rPr>
          <w:rFonts w:ascii="宋体" w:hAnsi="宋体" w:cs="宋体"/>
          <w:b/>
          <w:color w:val="auto"/>
          <w:spacing w:val="6"/>
          <w:sz w:val="32"/>
          <w:szCs w:val="32"/>
          <w:highlight w:val="none"/>
        </w:rPr>
      </w:pPr>
    </w:p>
    <w:p w14:paraId="22E20D82">
      <w:pPr>
        <w:spacing w:line="360" w:lineRule="auto"/>
        <w:jc w:val="center"/>
        <w:rPr>
          <w:rFonts w:ascii="宋体" w:hAnsi="宋体" w:cs="宋体"/>
          <w:b/>
          <w:color w:val="auto"/>
          <w:spacing w:val="6"/>
          <w:sz w:val="32"/>
          <w:szCs w:val="32"/>
          <w:highlight w:val="none"/>
        </w:rPr>
      </w:pPr>
    </w:p>
    <w:p w14:paraId="26C2CB54">
      <w:pPr>
        <w:spacing w:line="360" w:lineRule="auto"/>
        <w:jc w:val="center"/>
        <w:rPr>
          <w:rFonts w:ascii="宋体" w:hAnsi="宋体" w:cs="宋体"/>
          <w:b/>
          <w:color w:val="auto"/>
          <w:spacing w:val="6"/>
          <w:sz w:val="32"/>
          <w:szCs w:val="32"/>
          <w:highlight w:val="none"/>
        </w:rPr>
      </w:pPr>
    </w:p>
    <w:p w14:paraId="16039D5A">
      <w:pPr>
        <w:spacing w:line="360" w:lineRule="auto"/>
        <w:jc w:val="center"/>
        <w:rPr>
          <w:rFonts w:ascii="宋体" w:hAnsi="宋体" w:cs="宋体"/>
          <w:b/>
          <w:color w:val="auto"/>
          <w:spacing w:val="6"/>
          <w:sz w:val="32"/>
          <w:szCs w:val="32"/>
          <w:highlight w:val="none"/>
        </w:rPr>
      </w:pPr>
    </w:p>
    <w:p w14:paraId="1651298D">
      <w:pPr>
        <w:spacing w:line="360" w:lineRule="auto"/>
        <w:jc w:val="center"/>
        <w:rPr>
          <w:rFonts w:ascii="宋体" w:hAnsi="宋体" w:cs="宋体"/>
          <w:b/>
          <w:color w:val="auto"/>
          <w:spacing w:val="6"/>
          <w:sz w:val="32"/>
          <w:szCs w:val="32"/>
          <w:highlight w:val="none"/>
        </w:rPr>
      </w:pPr>
    </w:p>
    <w:p w14:paraId="59540142">
      <w:pPr>
        <w:spacing w:line="360" w:lineRule="auto"/>
        <w:jc w:val="center"/>
        <w:rPr>
          <w:rFonts w:ascii="宋体" w:hAnsi="宋体" w:cs="宋体"/>
          <w:b/>
          <w:color w:val="auto"/>
          <w:spacing w:val="6"/>
          <w:sz w:val="32"/>
          <w:szCs w:val="32"/>
          <w:highlight w:val="none"/>
        </w:rPr>
      </w:pPr>
    </w:p>
    <w:p w14:paraId="2BF560F3">
      <w:pPr>
        <w:spacing w:line="360" w:lineRule="auto"/>
        <w:jc w:val="center"/>
        <w:rPr>
          <w:rFonts w:ascii="宋体" w:hAnsi="宋体" w:cs="宋体"/>
          <w:b/>
          <w:color w:val="auto"/>
          <w:spacing w:val="6"/>
          <w:sz w:val="32"/>
          <w:szCs w:val="32"/>
          <w:highlight w:val="none"/>
        </w:rPr>
      </w:pPr>
    </w:p>
    <w:p w14:paraId="20345304">
      <w:pPr>
        <w:spacing w:line="360" w:lineRule="auto"/>
        <w:jc w:val="center"/>
        <w:rPr>
          <w:rFonts w:ascii="宋体" w:hAnsi="宋体" w:cs="宋体"/>
          <w:b/>
          <w:color w:val="auto"/>
          <w:spacing w:val="6"/>
          <w:sz w:val="32"/>
          <w:szCs w:val="32"/>
          <w:highlight w:val="none"/>
        </w:rPr>
      </w:pPr>
    </w:p>
    <w:p w14:paraId="08A7FB76">
      <w:pPr>
        <w:spacing w:line="360" w:lineRule="auto"/>
        <w:jc w:val="center"/>
        <w:rPr>
          <w:rFonts w:ascii="宋体" w:hAnsi="宋体" w:cs="宋体"/>
          <w:b/>
          <w:color w:val="auto"/>
          <w:spacing w:val="6"/>
          <w:sz w:val="32"/>
          <w:szCs w:val="32"/>
          <w:highlight w:val="none"/>
        </w:rPr>
      </w:pPr>
    </w:p>
    <w:p w14:paraId="0AA1EF62">
      <w:pPr>
        <w:spacing w:line="360" w:lineRule="auto"/>
        <w:jc w:val="center"/>
        <w:rPr>
          <w:rFonts w:ascii="宋体" w:hAnsi="宋体" w:cs="宋体"/>
          <w:b/>
          <w:color w:val="auto"/>
          <w:spacing w:val="6"/>
          <w:sz w:val="32"/>
          <w:szCs w:val="32"/>
          <w:highlight w:val="none"/>
        </w:rPr>
      </w:pPr>
    </w:p>
    <w:p w14:paraId="5FCEEF26">
      <w:pPr>
        <w:spacing w:line="360" w:lineRule="auto"/>
        <w:jc w:val="left"/>
        <w:rPr>
          <w:rFonts w:ascii="宋体" w:hAnsi="宋体" w:cs="宋体"/>
          <w:b/>
          <w:color w:val="auto"/>
          <w:spacing w:val="6"/>
          <w:sz w:val="32"/>
          <w:szCs w:val="32"/>
          <w:highlight w:val="none"/>
        </w:rPr>
      </w:pPr>
    </w:p>
    <w:p w14:paraId="3743F2A9">
      <w:pPr>
        <w:spacing w:line="360" w:lineRule="auto"/>
        <w:jc w:val="left"/>
        <w:rPr>
          <w:rFonts w:ascii="宋体" w:hAnsi="宋体" w:cs="宋体"/>
          <w:b/>
          <w:color w:val="auto"/>
          <w:spacing w:val="6"/>
          <w:sz w:val="32"/>
          <w:szCs w:val="32"/>
          <w:highlight w:val="none"/>
        </w:rPr>
      </w:pPr>
    </w:p>
    <w:p w14:paraId="6FA988C0">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EEAEA84">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0F3123E4">
      <w:pPr>
        <w:spacing w:line="360" w:lineRule="auto"/>
        <w:jc w:val="center"/>
        <w:rPr>
          <w:rFonts w:ascii="宋体" w:hAnsi="宋体" w:cs="宋体"/>
          <w:b/>
          <w:color w:val="auto"/>
          <w:sz w:val="24"/>
          <w:highlight w:val="none"/>
        </w:rPr>
      </w:pPr>
    </w:p>
    <w:p w14:paraId="61CA34A5">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0732FC9">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06E124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C155BF9">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CDCE0BB">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A0F5684">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053990A">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1EF7A93">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656067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36DC3B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2B22E57">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6C2FFC7">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EB83BBA">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6BD6999">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22A93C4">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BA3E0D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FD2054E">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260AD317">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574154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353747D6">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6BA913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1BB1596B">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F4EEA6B">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lang w:eastAsia="zh-CN"/>
        </w:rPr>
        <w:t>：</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04D3398B">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7E611724">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401300D">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6DBBEEA">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143A557">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642F69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5F9529F5">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9CCEC4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083EF2D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90A6FAB">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BA2CB58">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19C2D70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B60C2BC">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73918D14">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464A61F">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093A4BD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A003C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748AE95">
      <w:pPr>
        <w:spacing w:line="360" w:lineRule="auto"/>
        <w:rPr>
          <w:rFonts w:ascii="宋体" w:hAnsi="宋体" w:cs="宋体"/>
          <w:b/>
          <w:color w:val="auto"/>
          <w:sz w:val="24"/>
          <w:highlight w:val="none"/>
        </w:rPr>
      </w:pPr>
    </w:p>
    <w:p w14:paraId="16FB2846">
      <w:pPr>
        <w:spacing w:line="360" w:lineRule="auto"/>
        <w:rPr>
          <w:rFonts w:ascii="宋体" w:hAnsi="宋体" w:cs="宋体"/>
          <w:b/>
          <w:color w:val="auto"/>
          <w:sz w:val="24"/>
          <w:highlight w:val="none"/>
        </w:rPr>
      </w:pPr>
    </w:p>
    <w:p w14:paraId="521E2C1B">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585BD19">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66345505">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758BB14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EA52CE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2BBD72D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7B897F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6FA4351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AAB2A8D">
      <w:pPr>
        <w:spacing w:line="360" w:lineRule="auto"/>
        <w:rPr>
          <w:rFonts w:ascii="宋体" w:hAnsi="宋体" w:cs="宋体"/>
          <w:b/>
          <w:color w:val="auto"/>
          <w:sz w:val="24"/>
          <w:highlight w:val="none"/>
        </w:rPr>
      </w:pPr>
    </w:p>
    <w:p w14:paraId="110D35D7">
      <w:pPr>
        <w:autoSpaceDE w:val="0"/>
        <w:autoSpaceDN w:val="0"/>
        <w:jc w:val="center"/>
        <w:rPr>
          <w:rFonts w:ascii="宋体" w:hAnsi="宋体" w:cs="宋体"/>
          <w:b/>
          <w:color w:val="auto"/>
          <w:spacing w:val="6"/>
          <w:sz w:val="32"/>
          <w:szCs w:val="32"/>
          <w:highlight w:val="none"/>
        </w:rPr>
      </w:pPr>
    </w:p>
    <w:p w14:paraId="12AF7F05">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6E63AC41">
      <w:pPr>
        <w:autoSpaceDE w:val="0"/>
        <w:autoSpaceDN w:val="0"/>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64FE69C7">
      <w:pPr>
        <w:spacing w:line="360" w:lineRule="auto"/>
        <w:rPr>
          <w:rFonts w:ascii="宋体" w:hAnsi="宋体" w:cs="宋体"/>
          <w:color w:val="auto"/>
          <w:sz w:val="24"/>
          <w:highlight w:val="none"/>
          <w:u w:val="single"/>
        </w:rPr>
      </w:pPr>
    </w:p>
    <w:p w14:paraId="1D09A61E">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771F81C1">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223A8B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682E041C">
      <w:pPr>
        <w:spacing w:line="360" w:lineRule="auto"/>
        <w:ind w:firstLine="494"/>
        <w:rPr>
          <w:rFonts w:ascii="宋体" w:hAnsi="宋体" w:cs="宋体"/>
          <w:color w:val="auto"/>
          <w:sz w:val="24"/>
          <w:highlight w:val="none"/>
        </w:rPr>
      </w:pPr>
    </w:p>
    <w:p w14:paraId="11BF2E4F">
      <w:pPr>
        <w:spacing w:line="360" w:lineRule="auto"/>
        <w:ind w:firstLine="494"/>
        <w:rPr>
          <w:rFonts w:ascii="宋体" w:hAnsi="宋体" w:cs="宋体"/>
          <w:color w:val="auto"/>
          <w:sz w:val="24"/>
          <w:highlight w:val="none"/>
        </w:rPr>
      </w:pPr>
    </w:p>
    <w:p w14:paraId="017C4C53">
      <w:pPr>
        <w:spacing w:line="360" w:lineRule="auto"/>
        <w:ind w:firstLine="494"/>
        <w:rPr>
          <w:rFonts w:ascii="宋体" w:hAnsi="宋体" w:cs="宋体"/>
          <w:color w:val="auto"/>
          <w:sz w:val="24"/>
          <w:highlight w:val="none"/>
        </w:rPr>
      </w:pPr>
    </w:p>
    <w:p w14:paraId="5F6A4C6A">
      <w:pPr>
        <w:spacing w:line="360" w:lineRule="auto"/>
        <w:ind w:firstLine="494"/>
        <w:rPr>
          <w:rFonts w:ascii="宋体" w:hAnsi="宋体" w:cs="宋体"/>
          <w:color w:val="auto"/>
          <w:sz w:val="24"/>
          <w:highlight w:val="none"/>
        </w:rPr>
      </w:pPr>
    </w:p>
    <w:p w14:paraId="0E307FFC">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2B387C3">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4D8FB00F">
      <w:pPr>
        <w:rPr>
          <w:rFonts w:ascii="宋体" w:hAnsi="宋体" w:cs="宋体"/>
          <w:color w:val="auto"/>
          <w:sz w:val="24"/>
          <w:highlight w:val="none"/>
        </w:rPr>
      </w:pPr>
      <w:r>
        <w:rPr>
          <w:rFonts w:hint="eastAsia" w:ascii="宋体" w:hAnsi="宋体" w:cs="宋体"/>
          <w:b/>
          <w:bCs/>
          <w:color w:val="auto"/>
          <w:sz w:val="24"/>
          <w:highlight w:val="none"/>
        </w:rPr>
        <w:t>附：</w:t>
      </w:r>
    </w:p>
    <w:p w14:paraId="284B6DD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1ECFEDA8">
      <w:pPr>
        <w:autoSpaceDE w:val="0"/>
        <w:autoSpaceDN w:val="0"/>
        <w:jc w:val="center"/>
        <w:rPr>
          <w:rFonts w:ascii="宋体" w:hAnsi="宋体" w:cs="宋体"/>
          <w:b/>
          <w:color w:val="auto"/>
          <w:spacing w:val="6"/>
          <w:sz w:val="32"/>
          <w:szCs w:val="32"/>
          <w:highlight w:val="none"/>
        </w:rPr>
      </w:pPr>
    </w:p>
    <w:p w14:paraId="3C829597">
      <w:pPr>
        <w:autoSpaceDE w:val="0"/>
        <w:autoSpaceDN w:val="0"/>
        <w:jc w:val="center"/>
        <w:rPr>
          <w:rFonts w:ascii="宋体" w:hAnsi="宋体" w:cs="宋体"/>
          <w:b/>
          <w:color w:val="auto"/>
          <w:spacing w:val="6"/>
          <w:sz w:val="32"/>
          <w:szCs w:val="32"/>
          <w:highlight w:val="none"/>
        </w:rPr>
      </w:pPr>
    </w:p>
    <w:p w14:paraId="11CB14A3">
      <w:pPr>
        <w:autoSpaceDE w:val="0"/>
        <w:autoSpaceDN w:val="0"/>
        <w:jc w:val="center"/>
        <w:rPr>
          <w:rFonts w:ascii="宋体" w:hAnsi="宋体" w:cs="宋体"/>
          <w:b/>
          <w:color w:val="auto"/>
          <w:spacing w:val="6"/>
          <w:sz w:val="32"/>
          <w:szCs w:val="32"/>
          <w:highlight w:val="none"/>
        </w:rPr>
      </w:pPr>
    </w:p>
    <w:p w14:paraId="41C3FF35">
      <w:pPr>
        <w:autoSpaceDE w:val="0"/>
        <w:autoSpaceDN w:val="0"/>
        <w:jc w:val="center"/>
        <w:rPr>
          <w:rFonts w:ascii="宋体" w:hAnsi="宋体" w:cs="宋体"/>
          <w:b/>
          <w:color w:val="auto"/>
          <w:spacing w:val="6"/>
          <w:sz w:val="32"/>
          <w:szCs w:val="32"/>
          <w:highlight w:val="none"/>
        </w:rPr>
      </w:pPr>
    </w:p>
    <w:p w14:paraId="521E9E04">
      <w:pPr>
        <w:autoSpaceDE w:val="0"/>
        <w:autoSpaceDN w:val="0"/>
        <w:jc w:val="center"/>
        <w:rPr>
          <w:rFonts w:ascii="宋体" w:hAnsi="宋体" w:cs="宋体"/>
          <w:b/>
          <w:color w:val="auto"/>
          <w:spacing w:val="6"/>
          <w:sz w:val="32"/>
          <w:szCs w:val="32"/>
          <w:highlight w:val="none"/>
        </w:rPr>
      </w:pPr>
    </w:p>
    <w:p w14:paraId="219A43E1">
      <w:pPr>
        <w:autoSpaceDE w:val="0"/>
        <w:autoSpaceDN w:val="0"/>
        <w:jc w:val="center"/>
        <w:rPr>
          <w:rFonts w:ascii="宋体" w:hAnsi="宋体" w:cs="宋体"/>
          <w:b/>
          <w:color w:val="auto"/>
          <w:spacing w:val="6"/>
          <w:sz w:val="32"/>
          <w:szCs w:val="32"/>
          <w:highlight w:val="none"/>
        </w:rPr>
      </w:pPr>
    </w:p>
    <w:p w14:paraId="3EC2EA9F">
      <w:pPr>
        <w:autoSpaceDE w:val="0"/>
        <w:autoSpaceDN w:val="0"/>
        <w:jc w:val="center"/>
        <w:rPr>
          <w:rFonts w:ascii="宋体" w:hAnsi="宋体" w:cs="宋体"/>
          <w:b/>
          <w:color w:val="auto"/>
          <w:spacing w:val="6"/>
          <w:sz w:val="32"/>
          <w:szCs w:val="32"/>
          <w:highlight w:val="none"/>
        </w:rPr>
      </w:pPr>
    </w:p>
    <w:p w14:paraId="4D88AD8D">
      <w:pPr>
        <w:autoSpaceDE w:val="0"/>
        <w:autoSpaceDN w:val="0"/>
        <w:jc w:val="center"/>
        <w:rPr>
          <w:rFonts w:ascii="宋体" w:hAnsi="宋体" w:cs="宋体"/>
          <w:b/>
          <w:color w:val="auto"/>
          <w:spacing w:val="6"/>
          <w:sz w:val="32"/>
          <w:szCs w:val="32"/>
          <w:highlight w:val="none"/>
        </w:rPr>
      </w:pPr>
    </w:p>
    <w:p w14:paraId="28EB7CEA">
      <w:pPr>
        <w:autoSpaceDE w:val="0"/>
        <w:autoSpaceDN w:val="0"/>
        <w:jc w:val="center"/>
        <w:rPr>
          <w:rFonts w:ascii="宋体" w:hAnsi="宋体" w:cs="宋体"/>
          <w:b/>
          <w:color w:val="auto"/>
          <w:spacing w:val="6"/>
          <w:sz w:val="32"/>
          <w:szCs w:val="32"/>
          <w:highlight w:val="none"/>
        </w:rPr>
      </w:pPr>
    </w:p>
    <w:p w14:paraId="3E4683F3">
      <w:pPr>
        <w:autoSpaceDE w:val="0"/>
        <w:autoSpaceDN w:val="0"/>
        <w:jc w:val="center"/>
        <w:rPr>
          <w:rFonts w:ascii="宋体" w:hAnsi="宋体" w:cs="宋体"/>
          <w:b/>
          <w:color w:val="auto"/>
          <w:spacing w:val="6"/>
          <w:sz w:val="32"/>
          <w:szCs w:val="32"/>
          <w:highlight w:val="none"/>
        </w:rPr>
      </w:pPr>
    </w:p>
    <w:p w14:paraId="59535F0B">
      <w:pPr>
        <w:autoSpaceDE w:val="0"/>
        <w:autoSpaceDN w:val="0"/>
        <w:jc w:val="center"/>
        <w:rPr>
          <w:rFonts w:ascii="宋体" w:hAnsi="宋体" w:cs="宋体"/>
          <w:b/>
          <w:color w:val="auto"/>
          <w:spacing w:val="6"/>
          <w:sz w:val="32"/>
          <w:szCs w:val="32"/>
          <w:highlight w:val="none"/>
        </w:rPr>
      </w:pPr>
    </w:p>
    <w:p w14:paraId="39E81DC8">
      <w:pPr>
        <w:autoSpaceDE w:val="0"/>
        <w:autoSpaceDN w:val="0"/>
        <w:jc w:val="center"/>
        <w:rPr>
          <w:rFonts w:ascii="宋体" w:hAnsi="宋体" w:cs="宋体"/>
          <w:b/>
          <w:color w:val="auto"/>
          <w:spacing w:val="6"/>
          <w:sz w:val="32"/>
          <w:szCs w:val="32"/>
          <w:highlight w:val="none"/>
        </w:rPr>
      </w:pPr>
    </w:p>
    <w:p w14:paraId="5DB5495A">
      <w:pPr>
        <w:autoSpaceDE w:val="0"/>
        <w:autoSpaceDN w:val="0"/>
        <w:jc w:val="center"/>
        <w:rPr>
          <w:rFonts w:ascii="宋体" w:hAnsi="宋体" w:cs="宋体"/>
          <w:b/>
          <w:color w:val="auto"/>
          <w:spacing w:val="6"/>
          <w:sz w:val="32"/>
          <w:szCs w:val="32"/>
          <w:highlight w:val="none"/>
        </w:rPr>
      </w:pPr>
    </w:p>
    <w:p w14:paraId="3C57DD35">
      <w:pPr>
        <w:autoSpaceDE w:val="0"/>
        <w:autoSpaceDN w:val="0"/>
        <w:jc w:val="center"/>
        <w:rPr>
          <w:rFonts w:ascii="宋体" w:hAnsi="宋体" w:cs="宋体"/>
          <w:b/>
          <w:color w:val="auto"/>
          <w:spacing w:val="6"/>
          <w:sz w:val="32"/>
          <w:szCs w:val="32"/>
          <w:highlight w:val="none"/>
        </w:rPr>
      </w:pPr>
    </w:p>
    <w:p w14:paraId="7A524547">
      <w:pPr>
        <w:autoSpaceDE w:val="0"/>
        <w:autoSpaceDN w:val="0"/>
        <w:jc w:val="center"/>
        <w:rPr>
          <w:rFonts w:ascii="宋体" w:hAnsi="宋体" w:cs="宋体"/>
          <w:b/>
          <w:color w:val="auto"/>
          <w:spacing w:val="6"/>
          <w:sz w:val="32"/>
          <w:szCs w:val="32"/>
          <w:highlight w:val="none"/>
        </w:rPr>
      </w:pPr>
    </w:p>
    <w:p w14:paraId="0A79B150">
      <w:pPr>
        <w:autoSpaceDE w:val="0"/>
        <w:autoSpaceDN w:val="0"/>
        <w:jc w:val="center"/>
        <w:rPr>
          <w:rFonts w:ascii="宋体" w:hAnsi="宋体" w:cs="宋体"/>
          <w:b/>
          <w:color w:val="auto"/>
          <w:spacing w:val="6"/>
          <w:sz w:val="32"/>
          <w:szCs w:val="32"/>
          <w:highlight w:val="none"/>
        </w:rPr>
      </w:pPr>
    </w:p>
    <w:p w14:paraId="18130A86">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CFCC60C">
      <w:pPr>
        <w:autoSpaceDE w:val="0"/>
        <w:autoSpaceDN w:val="0"/>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173A5427">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4A6FDC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5AB0DC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4DB972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6658792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2269EA6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CD3F2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964242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11A64B4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5A946B3C">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40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40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40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404"/>
      <w:r>
        <w:rPr>
          <w:rFonts w:hint="eastAsia" w:ascii="宋体" w:hAnsi="宋体" w:cs="宋体"/>
          <w:b/>
          <w:color w:val="auto"/>
          <w:kern w:val="0"/>
          <w:sz w:val="24"/>
          <w:highlight w:val="none"/>
          <w:lang w:val="zh-CN"/>
        </w:rPr>
        <w:t>）</w:t>
      </w:r>
    </w:p>
    <w:p w14:paraId="1831BF1A">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40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405"/>
    </w:p>
    <w:p w14:paraId="518EF9C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19326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5AF8E4A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07CAB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50BF78C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3CEB4D8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18230B2F">
      <w:pPr>
        <w:snapToGrid w:val="0"/>
        <w:spacing w:line="360" w:lineRule="auto"/>
        <w:ind w:firstLine="5040" w:firstLineChars="2100"/>
        <w:rPr>
          <w:rStyle w:val="82"/>
          <w:color w:val="auto"/>
          <w:highlight w:val="none"/>
        </w:rPr>
      </w:pPr>
      <w:r>
        <w:rPr>
          <w:rStyle w:val="82"/>
          <w:rFonts w:hint="eastAsia"/>
          <w:color w:val="auto"/>
          <w:highlight w:val="none"/>
        </w:rPr>
        <w:t>法定代表人（负责人） (签名)：</w:t>
      </w:r>
    </w:p>
    <w:p w14:paraId="40AFC9F9">
      <w:pPr>
        <w:snapToGrid w:val="0"/>
        <w:spacing w:line="360" w:lineRule="auto"/>
        <w:ind w:firstLine="5040" w:firstLineChars="2100"/>
        <w:rPr>
          <w:rFonts w:ascii="宋体" w:hAnsi="宋体" w:cs="宋体"/>
          <w:color w:val="auto"/>
          <w:kern w:val="0"/>
          <w:sz w:val="24"/>
          <w:highlight w:val="none"/>
          <w:lang w:val="zh-CN"/>
        </w:rPr>
      </w:pPr>
      <w:r>
        <w:rPr>
          <w:rStyle w:val="82"/>
          <w:rFonts w:hint="eastAsia"/>
          <w:color w:val="auto"/>
          <w:highlight w:val="none"/>
        </w:rPr>
        <w:t>联合体成</w:t>
      </w:r>
      <w:r>
        <w:rPr>
          <w:rFonts w:hint="eastAsia" w:ascii="宋体" w:hAnsi="宋体" w:cs="宋体"/>
          <w:color w:val="auto"/>
          <w:kern w:val="0"/>
          <w:sz w:val="24"/>
          <w:highlight w:val="none"/>
          <w:lang w:val="zh-CN"/>
        </w:rPr>
        <w:t>员名称(公章)：</w:t>
      </w:r>
    </w:p>
    <w:p w14:paraId="42E2BDFF">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法定代表人（负责人） (签名)：</w:t>
      </w:r>
    </w:p>
    <w:p w14:paraId="605B20C3">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460B72C">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B82FC2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57715E08">
      <w:pPr>
        <w:autoSpaceDE w:val="0"/>
        <w:autoSpaceDN w:val="0"/>
        <w:jc w:val="center"/>
        <w:rPr>
          <w:rFonts w:ascii="宋体" w:hAnsi="宋体" w:cs="宋体"/>
          <w:b/>
          <w:color w:val="auto"/>
          <w:spacing w:val="6"/>
          <w:sz w:val="32"/>
          <w:szCs w:val="32"/>
          <w:highlight w:val="none"/>
        </w:rPr>
      </w:pPr>
    </w:p>
    <w:p w14:paraId="47C7A2D9">
      <w:pPr>
        <w:autoSpaceDE w:val="0"/>
        <w:autoSpaceDN w:val="0"/>
        <w:jc w:val="center"/>
        <w:rPr>
          <w:rFonts w:ascii="宋体" w:hAnsi="宋体" w:cs="宋体"/>
          <w:b/>
          <w:color w:val="auto"/>
          <w:spacing w:val="6"/>
          <w:sz w:val="32"/>
          <w:szCs w:val="32"/>
          <w:highlight w:val="none"/>
        </w:rPr>
      </w:pPr>
    </w:p>
    <w:p w14:paraId="1074BD8A">
      <w:pPr>
        <w:autoSpaceDE w:val="0"/>
        <w:autoSpaceDN w:val="0"/>
        <w:jc w:val="center"/>
        <w:rPr>
          <w:rFonts w:ascii="宋体" w:hAnsi="宋体" w:cs="宋体"/>
          <w:b/>
          <w:color w:val="auto"/>
          <w:spacing w:val="6"/>
          <w:sz w:val="32"/>
          <w:szCs w:val="32"/>
          <w:highlight w:val="none"/>
        </w:rPr>
      </w:pPr>
    </w:p>
    <w:p w14:paraId="58CF650B">
      <w:pPr>
        <w:autoSpaceDE w:val="0"/>
        <w:autoSpaceDN w:val="0"/>
        <w:jc w:val="center"/>
        <w:rPr>
          <w:rFonts w:ascii="宋体" w:hAnsi="宋体" w:cs="宋体"/>
          <w:b/>
          <w:color w:val="auto"/>
          <w:spacing w:val="6"/>
          <w:sz w:val="32"/>
          <w:szCs w:val="32"/>
          <w:highlight w:val="none"/>
        </w:rPr>
      </w:pPr>
    </w:p>
    <w:p w14:paraId="08FBA5C0">
      <w:pPr>
        <w:autoSpaceDE w:val="0"/>
        <w:autoSpaceDN w:val="0"/>
        <w:jc w:val="center"/>
        <w:rPr>
          <w:rFonts w:ascii="宋体" w:hAnsi="宋体" w:cs="宋体"/>
          <w:b/>
          <w:color w:val="auto"/>
          <w:spacing w:val="6"/>
          <w:sz w:val="32"/>
          <w:szCs w:val="32"/>
          <w:highlight w:val="none"/>
        </w:rPr>
      </w:pPr>
    </w:p>
    <w:p w14:paraId="071A09C2">
      <w:pPr>
        <w:autoSpaceDE w:val="0"/>
        <w:autoSpaceDN w:val="0"/>
        <w:jc w:val="center"/>
        <w:rPr>
          <w:rFonts w:ascii="宋体" w:hAnsi="宋体" w:cs="宋体"/>
          <w:b/>
          <w:color w:val="auto"/>
          <w:spacing w:val="6"/>
          <w:sz w:val="32"/>
          <w:szCs w:val="32"/>
          <w:highlight w:val="none"/>
        </w:rPr>
      </w:pPr>
    </w:p>
    <w:p w14:paraId="238D7CA6">
      <w:pPr>
        <w:autoSpaceDE w:val="0"/>
        <w:autoSpaceDN w:val="0"/>
        <w:jc w:val="center"/>
        <w:rPr>
          <w:rFonts w:ascii="宋体" w:hAnsi="宋体" w:cs="宋体"/>
          <w:b/>
          <w:color w:val="auto"/>
          <w:spacing w:val="6"/>
          <w:sz w:val="32"/>
          <w:szCs w:val="32"/>
          <w:highlight w:val="none"/>
        </w:rPr>
      </w:pPr>
    </w:p>
    <w:p w14:paraId="42E5EA23">
      <w:pPr>
        <w:autoSpaceDE w:val="0"/>
        <w:autoSpaceDN w:val="0"/>
        <w:jc w:val="center"/>
        <w:rPr>
          <w:rFonts w:ascii="宋体" w:hAnsi="宋体" w:cs="宋体"/>
          <w:b/>
          <w:color w:val="auto"/>
          <w:spacing w:val="6"/>
          <w:sz w:val="32"/>
          <w:szCs w:val="32"/>
          <w:highlight w:val="none"/>
        </w:rPr>
      </w:pPr>
    </w:p>
    <w:p w14:paraId="5D6DDA2F">
      <w:pPr>
        <w:autoSpaceDE w:val="0"/>
        <w:autoSpaceDN w:val="0"/>
        <w:jc w:val="center"/>
        <w:rPr>
          <w:rFonts w:ascii="宋体" w:hAnsi="宋体" w:cs="宋体"/>
          <w:b/>
          <w:color w:val="auto"/>
          <w:spacing w:val="6"/>
          <w:sz w:val="32"/>
          <w:szCs w:val="32"/>
          <w:highlight w:val="none"/>
        </w:rPr>
      </w:pPr>
    </w:p>
    <w:p w14:paraId="499E7C09">
      <w:pPr>
        <w:autoSpaceDE w:val="0"/>
        <w:autoSpaceDN w:val="0"/>
        <w:jc w:val="center"/>
        <w:rPr>
          <w:rFonts w:ascii="宋体" w:hAnsi="宋体" w:cs="宋体"/>
          <w:b/>
          <w:color w:val="auto"/>
          <w:spacing w:val="6"/>
          <w:sz w:val="32"/>
          <w:szCs w:val="32"/>
          <w:highlight w:val="none"/>
        </w:rPr>
      </w:pPr>
    </w:p>
    <w:p w14:paraId="4085DFA8">
      <w:pPr>
        <w:autoSpaceDE w:val="0"/>
        <w:autoSpaceDN w:val="0"/>
        <w:jc w:val="center"/>
        <w:rPr>
          <w:rFonts w:ascii="宋体" w:hAnsi="宋体" w:cs="宋体"/>
          <w:b/>
          <w:color w:val="auto"/>
          <w:spacing w:val="6"/>
          <w:sz w:val="32"/>
          <w:szCs w:val="32"/>
          <w:highlight w:val="none"/>
        </w:rPr>
      </w:pPr>
    </w:p>
    <w:p w14:paraId="1A98CBC9">
      <w:pPr>
        <w:autoSpaceDE w:val="0"/>
        <w:autoSpaceDN w:val="0"/>
        <w:jc w:val="center"/>
        <w:rPr>
          <w:rFonts w:ascii="宋体" w:hAnsi="宋体" w:cs="宋体"/>
          <w:b/>
          <w:color w:val="auto"/>
          <w:spacing w:val="6"/>
          <w:sz w:val="32"/>
          <w:szCs w:val="32"/>
          <w:highlight w:val="none"/>
        </w:rPr>
      </w:pPr>
    </w:p>
    <w:p w14:paraId="1E093370">
      <w:pPr>
        <w:autoSpaceDE w:val="0"/>
        <w:autoSpaceDN w:val="0"/>
        <w:jc w:val="center"/>
        <w:rPr>
          <w:rFonts w:ascii="宋体" w:hAnsi="宋体" w:cs="宋体"/>
          <w:b/>
          <w:color w:val="auto"/>
          <w:spacing w:val="6"/>
          <w:sz w:val="32"/>
          <w:szCs w:val="32"/>
          <w:highlight w:val="none"/>
        </w:rPr>
      </w:pPr>
    </w:p>
    <w:p w14:paraId="74206719">
      <w:pPr>
        <w:autoSpaceDE w:val="0"/>
        <w:autoSpaceDN w:val="0"/>
        <w:jc w:val="center"/>
        <w:rPr>
          <w:rFonts w:ascii="宋体" w:hAnsi="宋体" w:cs="宋体"/>
          <w:b/>
          <w:color w:val="auto"/>
          <w:spacing w:val="6"/>
          <w:sz w:val="32"/>
          <w:szCs w:val="32"/>
          <w:highlight w:val="none"/>
        </w:rPr>
      </w:pPr>
    </w:p>
    <w:p w14:paraId="79DAD461">
      <w:pPr>
        <w:autoSpaceDE w:val="0"/>
        <w:autoSpaceDN w:val="0"/>
        <w:jc w:val="center"/>
        <w:rPr>
          <w:rFonts w:ascii="宋体" w:hAnsi="宋体" w:cs="宋体"/>
          <w:b/>
          <w:color w:val="auto"/>
          <w:spacing w:val="6"/>
          <w:sz w:val="32"/>
          <w:szCs w:val="32"/>
          <w:highlight w:val="none"/>
        </w:rPr>
      </w:pPr>
    </w:p>
    <w:p w14:paraId="0994AAFC">
      <w:pPr>
        <w:autoSpaceDE w:val="0"/>
        <w:autoSpaceDN w:val="0"/>
        <w:jc w:val="center"/>
        <w:rPr>
          <w:rFonts w:ascii="宋体" w:hAnsi="宋体" w:cs="宋体"/>
          <w:b/>
          <w:color w:val="auto"/>
          <w:spacing w:val="6"/>
          <w:sz w:val="32"/>
          <w:szCs w:val="32"/>
          <w:highlight w:val="none"/>
        </w:rPr>
      </w:pPr>
    </w:p>
    <w:p w14:paraId="2BC4CDF9">
      <w:pPr>
        <w:autoSpaceDE w:val="0"/>
        <w:autoSpaceDN w:val="0"/>
        <w:jc w:val="center"/>
        <w:rPr>
          <w:rFonts w:ascii="宋体" w:hAnsi="宋体" w:cs="宋体"/>
          <w:b/>
          <w:color w:val="auto"/>
          <w:spacing w:val="6"/>
          <w:sz w:val="32"/>
          <w:szCs w:val="32"/>
          <w:highlight w:val="none"/>
        </w:rPr>
      </w:pPr>
    </w:p>
    <w:p w14:paraId="0743DA6F">
      <w:pPr>
        <w:autoSpaceDE w:val="0"/>
        <w:autoSpaceDN w:val="0"/>
        <w:jc w:val="center"/>
        <w:rPr>
          <w:rFonts w:ascii="宋体" w:hAnsi="宋体" w:cs="宋体"/>
          <w:b/>
          <w:color w:val="auto"/>
          <w:spacing w:val="6"/>
          <w:sz w:val="32"/>
          <w:szCs w:val="32"/>
          <w:highlight w:val="none"/>
        </w:rPr>
      </w:pPr>
    </w:p>
    <w:p w14:paraId="7AFBBB87">
      <w:pPr>
        <w:autoSpaceDE w:val="0"/>
        <w:autoSpaceDN w:val="0"/>
        <w:jc w:val="center"/>
        <w:rPr>
          <w:rFonts w:ascii="宋体" w:hAnsi="宋体" w:cs="宋体"/>
          <w:b/>
          <w:color w:val="auto"/>
          <w:spacing w:val="6"/>
          <w:sz w:val="32"/>
          <w:szCs w:val="32"/>
          <w:highlight w:val="none"/>
        </w:rPr>
      </w:pPr>
    </w:p>
    <w:p w14:paraId="1D66B6DC">
      <w:pPr>
        <w:autoSpaceDE w:val="0"/>
        <w:autoSpaceDN w:val="0"/>
        <w:jc w:val="center"/>
        <w:rPr>
          <w:rFonts w:ascii="宋体" w:hAnsi="宋体" w:cs="宋体"/>
          <w:b/>
          <w:color w:val="auto"/>
          <w:spacing w:val="6"/>
          <w:sz w:val="32"/>
          <w:szCs w:val="32"/>
          <w:highlight w:val="none"/>
        </w:rPr>
      </w:pPr>
    </w:p>
    <w:p w14:paraId="0E7C03D4">
      <w:pPr>
        <w:autoSpaceDE w:val="0"/>
        <w:autoSpaceDN w:val="0"/>
        <w:jc w:val="center"/>
        <w:rPr>
          <w:rFonts w:ascii="宋体" w:hAnsi="宋体" w:cs="宋体"/>
          <w:b/>
          <w:color w:val="auto"/>
          <w:spacing w:val="6"/>
          <w:sz w:val="32"/>
          <w:szCs w:val="32"/>
          <w:highlight w:val="none"/>
        </w:rPr>
      </w:pPr>
    </w:p>
    <w:p w14:paraId="6219F68B">
      <w:pPr>
        <w:autoSpaceDE w:val="0"/>
        <w:autoSpaceDN w:val="0"/>
        <w:jc w:val="center"/>
        <w:rPr>
          <w:rFonts w:ascii="宋体" w:hAnsi="宋体" w:cs="宋体"/>
          <w:b/>
          <w:color w:val="auto"/>
          <w:spacing w:val="6"/>
          <w:sz w:val="32"/>
          <w:szCs w:val="32"/>
          <w:highlight w:val="none"/>
        </w:rPr>
      </w:pPr>
    </w:p>
    <w:p w14:paraId="337718A7">
      <w:pPr>
        <w:autoSpaceDE w:val="0"/>
        <w:autoSpaceDN w:val="0"/>
        <w:jc w:val="center"/>
        <w:rPr>
          <w:rFonts w:ascii="宋体" w:hAnsi="宋体" w:cs="宋体"/>
          <w:b/>
          <w:color w:val="auto"/>
          <w:spacing w:val="6"/>
          <w:sz w:val="32"/>
          <w:szCs w:val="32"/>
          <w:highlight w:val="none"/>
        </w:rPr>
      </w:pPr>
    </w:p>
    <w:p w14:paraId="113A06D7">
      <w:pPr>
        <w:widowControl/>
        <w:adjustRightInd/>
        <w:jc w:val="left"/>
        <w:rPr>
          <w:rFonts w:ascii="宋体" w:hAnsi="宋体" w:cs="宋体"/>
          <w:b/>
          <w:color w:val="auto"/>
          <w:spacing w:val="6"/>
          <w:sz w:val="32"/>
          <w:szCs w:val="32"/>
          <w:highlight w:val="none"/>
        </w:rPr>
      </w:pPr>
    </w:p>
    <w:p w14:paraId="74A282DC">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4CC79173">
      <w:pPr>
        <w:snapToGrid w:val="0"/>
        <w:spacing w:line="360" w:lineRule="auto"/>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3EC22027">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861411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714DBE5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50D5B3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22A6325D">
      <w:pPr>
        <w:pStyle w:val="83"/>
        <w:rPr>
          <w:color w:val="auto"/>
          <w:highlight w:val="none"/>
        </w:rPr>
      </w:pPr>
      <w:r>
        <w:rPr>
          <w:rFonts w:hint="eastAsia"/>
          <w:color w:val="auto"/>
          <w:highlight w:val="none"/>
        </w:rPr>
        <w:t>……</w:t>
      </w:r>
    </w:p>
    <w:p w14:paraId="2D1CB6F2">
      <w:pPr>
        <w:rPr>
          <w:color w:val="auto"/>
          <w:highlight w:val="none"/>
        </w:rPr>
      </w:pPr>
      <w:r>
        <w:rPr>
          <w:rFonts w:hint="eastAsia"/>
          <w:color w:val="auto"/>
          <w:highlight w:val="none"/>
          <w:lang w:val="zh-CN"/>
        </w:rPr>
        <w:t xml:space="preserve"> </w:t>
      </w:r>
    </w:p>
    <w:p w14:paraId="4B89F6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2A4F313">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6117481B">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614F210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6F0954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B6CD3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471D29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25987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BBB0EC2">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F2B3F6E">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1B453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E55CF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74BF93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80C5C0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39B84287">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投标人名称(公章)：</w:t>
      </w:r>
    </w:p>
    <w:p w14:paraId="5E5BE0FB">
      <w:pPr>
        <w:snapToGrid w:val="0"/>
        <w:spacing w:line="360" w:lineRule="auto"/>
        <w:ind w:left="5758" w:leftChars="2742"/>
        <w:rPr>
          <w:rFonts w:ascii="宋体" w:hAnsi="宋体" w:cs="宋体"/>
          <w:color w:val="auto"/>
          <w:kern w:val="0"/>
          <w:sz w:val="24"/>
          <w:highlight w:val="none"/>
          <w:lang w:val="zh-CN"/>
        </w:rPr>
      </w:pPr>
      <w:r>
        <w:rPr>
          <w:rStyle w:val="82"/>
          <w:rFonts w:hint="eastAsia"/>
          <w:color w:val="auto"/>
          <w:highlight w:val="none"/>
        </w:rPr>
        <w:t>法定代表人（负责人） (签名)：</w:t>
      </w:r>
      <w:r>
        <w:rPr>
          <w:rFonts w:hint="eastAsia" w:ascii="宋体" w:hAnsi="宋体" w:cs="宋体"/>
          <w:color w:val="auto"/>
          <w:kern w:val="0"/>
          <w:sz w:val="24"/>
          <w:highlight w:val="none"/>
          <w:lang w:val="zh-CN"/>
        </w:rPr>
        <w:t>分包供应商名称(公章)：</w:t>
      </w:r>
    </w:p>
    <w:p w14:paraId="6078079F">
      <w:pPr>
        <w:pStyle w:val="83"/>
        <w:ind w:firstLine="5760" w:firstLineChars="2400"/>
        <w:rPr>
          <w:color w:val="auto"/>
          <w:highlight w:val="none"/>
        </w:rPr>
      </w:pPr>
      <w:r>
        <w:rPr>
          <w:rStyle w:val="82"/>
          <w:rFonts w:hint="eastAsia"/>
          <w:color w:val="auto"/>
          <w:highlight w:val="none"/>
        </w:rPr>
        <w:t>法定代表人（负责人） (签名)：</w:t>
      </w:r>
    </w:p>
    <w:p w14:paraId="187AF837">
      <w:pPr>
        <w:snapToGrid w:val="0"/>
        <w:spacing w:line="360" w:lineRule="auto"/>
        <w:jc w:val="right"/>
        <w:rPr>
          <w:rFonts w:ascii="宋体" w:hAnsi="宋体" w:cs="宋体"/>
          <w:color w:val="auto"/>
          <w:kern w:val="0"/>
          <w:sz w:val="24"/>
          <w:highlight w:val="none"/>
          <w:lang w:val="zh-CN"/>
        </w:rPr>
      </w:pPr>
    </w:p>
    <w:p w14:paraId="3EF9299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74A1D95">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1B1EAD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8F44210">
      <w:pPr>
        <w:autoSpaceDE w:val="0"/>
        <w:autoSpaceDN w:val="0"/>
        <w:jc w:val="center"/>
        <w:rPr>
          <w:rFonts w:ascii="宋体" w:hAnsi="宋体" w:cs="宋体"/>
          <w:b/>
          <w:color w:val="auto"/>
          <w:spacing w:val="6"/>
          <w:sz w:val="32"/>
          <w:szCs w:val="32"/>
          <w:highlight w:val="none"/>
        </w:rPr>
      </w:pPr>
    </w:p>
    <w:p w14:paraId="56A77846">
      <w:pPr>
        <w:autoSpaceDE w:val="0"/>
        <w:autoSpaceDN w:val="0"/>
        <w:jc w:val="center"/>
        <w:rPr>
          <w:rFonts w:ascii="宋体" w:hAnsi="宋体" w:cs="宋体"/>
          <w:b/>
          <w:color w:val="auto"/>
          <w:spacing w:val="6"/>
          <w:sz w:val="32"/>
          <w:szCs w:val="32"/>
          <w:highlight w:val="none"/>
        </w:rPr>
      </w:pPr>
    </w:p>
    <w:p w14:paraId="5BD4F662">
      <w:pPr>
        <w:autoSpaceDE w:val="0"/>
        <w:autoSpaceDN w:val="0"/>
        <w:jc w:val="center"/>
        <w:rPr>
          <w:rFonts w:ascii="宋体" w:hAnsi="宋体" w:cs="宋体"/>
          <w:b/>
          <w:color w:val="auto"/>
          <w:spacing w:val="6"/>
          <w:sz w:val="32"/>
          <w:szCs w:val="32"/>
          <w:highlight w:val="none"/>
        </w:rPr>
      </w:pPr>
    </w:p>
    <w:p w14:paraId="6F4E57F5">
      <w:pPr>
        <w:autoSpaceDE w:val="0"/>
        <w:autoSpaceDN w:val="0"/>
        <w:jc w:val="center"/>
        <w:rPr>
          <w:rFonts w:ascii="宋体" w:hAnsi="宋体" w:cs="宋体"/>
          <w:b/>
          <w:color w:val="auto"/>
          <w:spacing w:val="6"/>
          <w:sz w:val="32"/>
          <w:szCs w:val="32"/>
          <w:highlight w:val="none"/>
        </w:rPr>
      </w:pPr>
    </w:p>
    <w:p w14:paraId="17005F44">
      <w:pPr>
        <w:autoSpaceDE w:val="0"/>
        <w:autoSpaceDN w:val="0"/>
        <w:jc w:val="center"/>
        <w:rPr>
          <w:rFonts w:ascii="宋体" w:hAnsi="宋体" w:cs="宋体"/>
          <w:b/>
          <w:color w:val="auto"/>
          <w:spacing w:val="6"/>
          <w:sz w:val="32"/>
          <w:szCs w:val="32"/>
          <w:highlight w:val="none"/>
        </w:rPr>
      </w:pPr>
    </w:p>
    <w:p w14:paraId="5E552BCA">
      <w:pPr>
        <w:autoSpaceDE w:val="0"/>
        <w:autoSpaceDN w:val="0"/>
        <w:jc w:val="center"/>
        <w:rPr>
          <w:rFonts w:ascii="宋体" w:hAnsi="宋体" w:cs="宋体"/>
          <w:b/>
          <w:color w:val="auto"/>
          <w:spacing w:val="6"/>
          <w:sz w:val="32"/>
          <w:szCs w:val="32"/>
          <w:highlight w:val="none"/>
        </w:rPr>
      </w:pPr>
    </w:p>
    <w:p w14:paraId="582DCC0A">
      <w:pPr>
        <w:autoSpaceDE w:val="0"/>
        <w:autoSpaceDN w:val="0"/>
        <w:jc w:val="center"/>
        <w:rPr>
          <w:rFonts w:ascii="宋体" w:hAnsi="宋体" w:cs="宋体"/>
          <w:b/>
          <w:color w:val="auto"/>
          <w:spacing w:val="6"/>
          <w:sz w:val="32"/>
          <w:szCs w:val="32"/>
          <w:highlight w:val="none"/>
        </w:rPr>
      </w:pPr>
    </w:p>
    <w:p w14:paraId="04546BB2">
      <w:pPr>
        <w:autoSpaceDE w:val="0"/>
        <w:autoSpaceDN w:val="0"/>
        <w:jc w:val="center"/>
        <w:rPr>
          <w:rFonts w:ascii="宋体" w:hAnsi="宋体" w:cs="宋体"/>
          <w:b/>
          <w:color w:val="auto"/>
          <w:spacing w:val="6"/>
          <w:sz w:val="32"/>
          <w:szCs w:val="32"/>
          <w:highlight w:val="none"/>
        </w:rPr>
      </w:pPr>
    </w:p>
    <w:p w14:paraId="3C38B983">
      <w:pPr>
        <w:autoSpaceDE w:val="0"/>
        <w:autoSpaceDN w:val="0"/>
        <w:jc w:val="center"/>
        <w:rPr>
          <w:rFonts w:ascii="宋体" w:hAnsi="宋体" w:cs="宋体"/>
          <w:b/>
          <w:color w:val="auto"/>
          <w:spacing w:val="6"/>
          <w:sz w:val="32"/>
          <w:szCs w:val="32"/>
          <w:highlight w:val="none"/>
        </w:rPr>
      </w:pPr>
    </w:p>
    <w:p w14:paraId="72477DAD">
      <w:pPr>
        <w:autoSpaceDE w:val="0"/>
        <w:autoSpaceDN w:val="0"/>
        <w:jc w:val="center"/>
        <w:rPr>
          <w:rFonts w:ascii="宋体" w:hAnsi="宋体" w:cs="宋体"/>
          <w:b/>
          <w:color w:val="auto"/>
          <w:spacing w:val="6"/>
          <w:sz w:val="32"/>
          <w:szCs w:val="32"/>
          <w:highlight w:val="none"/>
        </w:rPr>
      </w:pPr>
    </w:p>
    <w:p w14:paraId="365B8786">
      <w:pPr>
        <w:autoSpaceDE w:val="0"/>
        <w:autoSpaceDN w:val="0"/>
        <w:jc w:val="center"/>
        <w:rPr>
          <w:rFonts w:ascii="宋体" w:hAnsi="宋体" w:cs="宋体"/>
          <w:b/>
          <w:color w:val="auto"/>
          <w:spacing w:val="6"/>
          <w:sz w:val="32"/>
          <w:szCs w:val="32"/>
          <w:highlight w:val="none"/>
        </w:rPr>
      </w:pPr>
    </w:p>
    <w:p w14:paraId="6446AB89">
      <w:pPr>
        <w:autoSpaceDE w:val="0"/>
        <w:autoSpaceDN w:val="0"/>
        <w:jc w:val="center"/>
        <w:rPr>
          <w:rFonts w:ascii="宋体" w:hAnsi="宋体" w:cs="宋体"/>
          <w:b/>
          <w:color w:val="auto"/>
          <w:spacing w:val="6"/>
          <w:sz w:val="32"/>
          <w:szCs w:val="32"/>
          <w:highlight w:val="none"/>
        </w:rPr>
      </w:pPr>
    </w:p>
    <w:p w14:paraId="445E49CB">
      <w:pPr>
        <w:autoSpaceDE w:val="0"/>
        <w:autoSpaceDN w:val="0"/>
        <w:jc w:val="center"/>
        <w:rPr>
          <w:rFonts w:ascii="宋体" w:hAnsi="宋体" w:cs="宋体"/>
          <w:b/>
          <w:color w:val="auto"/>
          <w:spacing w:val="6"/>
          <w:sz w:val="32"/>
          <w:szCs w:val="32"/>
          <w:highlight w:val="none"/>
        </w:rPr>
      </w:pPr>
    </w:p>
    <w:p w14:paraId="44119433">
      <w:pPr>
        <w:autoSpaceDE w:val="0"/>
        <w:autoSpaceDN w:val="0"/>
        <w:jc w:val="center"/>
        <w:rPr>
          <w:rFonts w:ascii="宋体" w:hAnsi="宋体" w:cs="宋体"/>
          <w:b/>
          <w:color w:val="auto"/>
          <w:spacing w:val="6"/>
          <w:sz w:val="32"/>
          <w:szCs w:val="32"/>
          <w:highlight w:val="none"/>
        </w:rPr>
      </w:pPr>
    </w:p>
    <w:p w14:paraId="74D5F140">
      <w:pPr>
        <w:autoSpaceDE w:val="0"/>
        <w:autoSpaceDN w:val="0"/>
        <w:jc w:val="center"/>
        <w:rPr>
          <w:rFonts w:ascii="宋体" w:hAnsi="宋体" w:cs="宋体"/>
          <w:b/>
          <w:color w:val="auto"/>
          <w:spacing w:val="6"/>
          <w:sz w:val="32"/>
          <w:szCs w:val="32"/>
          <w:highlight w:val="none"/>
        </w:rPr>
      </w:pPr>
    </w:p>
    <w:p w14:paraId="62D44F84">
      <w:pPr>
        <w:autoSpaceDE w:val="0"/>
        <w:autoSpaceDN w:val="0"/>
        <w:jc w:val="center"/>
        <w:rPr>
          <w:rFonts w:ascii="宋体" w:hAnsi="宋体" w:cs="宋体"/>
          <w:b/>
          <w:color w:val="auto"/>
          <w:spacing w:val="6"/>
          <w:sz w:val="32"/>
          <w:szCs w:val="32"/>
          <w:highlight w:val="none"/>
        </w:rPr>
      </w:pPr>
    </w:p>
    <w:p w14:paraId="69CB5A4F">
      <w:pPr>
        <w:autoSpaceDE w:val="0"/>
        <w:autoSpaceDN w:val="0"/>
        <w:jc w:val="center"/>
        <w:rPr>
          <w:rFonts w:ascii="宋体" w:hAnsi="宋体" w:cs="宋体"/>
          <w:b/>
          <w:color w:val="auto"/>
          <w:spacing w:val="6"/>
          <w:sz w:val="32"/>
          <w:szCs w:val="32"/>
          <w:highlight w:val="none"/>
        </w:rPr>
      </w:pPr>
    </w:p>
    <w:p w14:paraId="4125CD35">
      <w:pPr>
        <w:autoSpaceDE w:val="0"/>
        <w:autoSpaceDN w:val="0"/>
        <w:jc w:val="center"/>
        <w:rPr>
          <w:rFonts w:ascii="宋体" w:hAnsi="宋体" w:cs="宋体"/>
          <w:b/>
          <w:color w:val="auto"/>
          <w:spacing w:val="6"/>
          <w:sz w:val="32"/>
          <w:szCs w:val="32"/>
          <w:highlight w:val="none"/>
        </w:rPr>
      </w:pPr>
    </w:p>
    <w:p w14:paraId="49CABE6C">
      <w:pPr>
        <w:autoSpaceDE w:val="0"/>
        <w:autoSpaceDN w:val="0"/>
        <w:jc w:val="center"/>
        <w:rPr>
          <w:rFonts w:ascii="宋体" w:hAnsi="宋体" w:cs="宋体"/>
          <w:b/>
          <w:color w:val="auto"/>
          <w:spacing w:val="6"/>
          <w:sz w:val="32"/>
          <w:szCs w:val="32"/>
          <w:highlight w:val="none"/>
        </w:rPr>
      </w:pPr>
    </w:p>
    <w:p w14:paraId="3CA6FDEF">
      <w:pPr>
        <w:autoSpaceDE w:val="0"/>
        <w:autoSpaceDN w:val="0"/>
        <w:jc w:val="center"/>
        <w:rPr>
          <w:rFonts w:ascii="宋体" w:hAnsi="宋体" w:cs="宋体"/>
          <w:b/>
          <w:color w:val="auto"/>
          <w:spacing w:val="6"/>
          <w:sz w:val="32"/>
          <w:szCs w:val="32"/>
          <w:highlight w:val="none"/>
        </w:rPr>
      </w:pPr>
    </w:p>
    <w:p w14:paraId="11402962">
      <w:pPr>
        <w:autoSpaceDE w:val="0"/>
        <w:autoSpaceDN w:val="0"/>
        <w:jc w:val="center"/>
        <w:rPr>
          <w:rFonts w:ascii="宋体" w:hAnsi="宋体" w:cs="宋体"/>
          <w:b/>
          <w:color w:val="auto"/>
          <w:spacing w:val="6"/>
          <w:sz w:val="32"/>
          <w:szCs w:val="32"/>
          <w:highlight w:val="none"/>
        </w:rPr>
      </w:pPr>
    </w:p>
    <w:p w14:paraId="0FE9C91D">
      <w:pPr>
        <w:autoSpaceDE w:val="0"/>
        <w:autoSpaceDN w:val="0"/>
        <w:jc w:val="center"/>
        <w:rPr>
          <w:rFonts w:ascii="宋体" w:hAnsi="宋体" w:cs="宋体"/>
          <w:b/>
          <w:color w:val="auto"/>
          <w:spacing w:val="6"/>
          <w:sz w:val="32"/>
          <w:szCs w:val="32"/>
          <w:highlight w:val="none"/>
        </w:rPr>
      </w:pPr>
    </w:p>
    <w:p w14:paraId="06829159">
      <w:pPr>
        <w:autoSpaceDE w:val="0"/>
        <w:autoSpaceDN w:val="0"/>
        <w:jc w:val="center"/>
        <w:rPr>
          <w:rFonts w:ascii="宋体" w:hAnsi="宋体" w:cs="宋体"/>
          <w:b/>
          <w:color w:val="auto"/>
          <w:spacing w:val="6"/>
          <w:sz w:val="32"/>
          <w:szCs w:val="32"/>
          <w:highlight w:val="none"/>
        </w:rPr>
      </w:pPr>
    </w:p>
    <w:p w14:paraId="74C98199">
      <w:pPr>
        <w:autoSpaceDE w:val="0"/>
        <w:autoSpaceDN w:val="0"/>
        <w:jc w:val="center"/>
        <w:rPr>
          <w:rFonts w:ascii="宋体" w:hAnsi="宋体" w:cs="宋体"/>
          <w:b/>
          <w:color w:val="auto"/>
          <w:spacing w:val="6"/>
          <w:sz w:val="32"/>
          <w:szCs w:val="32"/>
          <w:highlight w:val="none"/>
        </w:rPr>
      </w:pPr>
    </w:p>
    <w:p w14:paraId="48A70AFD">
      <w:pPr>
        <w:autoSpaceDE w:val="0"/>
        <w:autoSpaceDN w:val="0"/>
        <w:jc w:val="center"/>
        <w:rPr>
          <w:rFonts w:ascii="宋体" w:hAnsi="宋体" w:cs="宋体"/>
          <w:b/>
          <w:color w:val="auto"/>
          <w:spacing w:val="6"/>
          <w:sz w:val="32"/>
          <w:szCs w:val="32"/>
          <w:highlight w:val="none"/>
        </w:rPr>
      </w:pPr>
    </w:p>
    <w:p w14:paraId="25A24348">
      <w:pPr>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附件</w:t>
      </w:r>
      <w:r>
        <w:rPr>
          <w:rFonts w:ascii="宋体" w:hAnsi="宋体" w:cs="宋体"/>
          <w:b/>
          <w:color w:val="auto"/>
          <w:sz w:val="32"/>
          <w:szCs w:val="32"/>
          <w:highlight w:val="none"/>
        </w:rPr>
        <w:t>7</w:t>
      </w:r>
      <w:r>
        <w:rPr>
          <w:rFonts w:hint="eastAsia" w:ascii="宋体" w:hAnsi="宋体" w:cs="宋体"/>
          <w:b/>
          <w:color w:val="auto"/>
          <w:sz w:val="32"/>
          <w:szCs w:val="32"/>
          <w:highlight w:val="none"/>
        </w:rPr>
        <w:t>：中小企业声明函</w:t>
      </w:r>
    </w:p>
    <w:p w14:paraId="286B035D">
      <w:pPr>
        <w:spacing w:line="360" w:lineRule="auto"/>
        <w:jc w:val="center"/>
        <w:rPr>
          <w:rFonts w:ascii="宋体" w:hAnsi="宋体" w:cs="宋体"/>
          <w:color w:val="auto"/>
          <w:sz w:val="24"/>
          <w:highlight w:val="none"/>
          <w:u w:val="single"/>
        </w:rPr>
      </w:pPr>
    </w:p>
    <w:p w14:paraId="5050B5D9">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2EA336C6">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65E823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3D3B2C5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538AD39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2606989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4C0802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610004C">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投标人名称(公章)：</w:t>
      </w:r>
    </w:p>
    <w:p w14:paraId="05BEDBEF">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79AB196">
      <w:pPr>
        <w:spacing w:line="360" w:lineRule="auto"/>
        <w:ind w:right="420"/>
        <w:rPr>
          <w:rFonts w:ascii="宋体" w:hAnsi="宋体" w:cs="宋体"/>
          <w:color w:val="auto"/>
          <w:sz w:val="24"/>
          <w:highlight w:val="none"/>
        </w:rPr>
      </w:pPr>
    </w:p>
    <w:p w14:paraId="637CFB0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5885C926">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14:paraId="12AD3A60">
      <w:pPr>
        <w:spacing w:line="360" w:lineRule="auto"/>
        <w:ind w:right="420" w:firstLine="720" w:firstLineChars="300"/>
        <w:rPr>
          <w:rFonts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4A976FE4">
      <w:pPr>
        <w:pStyle w:val="83"/>
        <w:rPr>
          <w:color w:val="auto"/>
          <w:highlight w:val="none"/>
        </w:rPr>
      </w:pPr>
    </w:p>
    <w:p w14:paraId="05757C57">
      <w:pPr>
        <w:spacing w:line="360" w:lineRule="auto"/>
        <w:ind w:right="420"/>
        <w:rPr>
          <w:rFonts w:ascii="宋体" w:hAnsi="宋体" w:cs="宋体"/>
          <w:color w:val="auto"/>
          <w:highlight w:val="none"/>
        </w:rPr>
      </w:pPr>
    </w:p>
    <w:p w14:paraId="187D0045">
      <w:pPr>
        <w:spacing w:line="360" w:lineRule="auto"/>
        <w:rPr>
          <w:rFonts w:ascii="宋体" w:hAnsi="宋体" w:cs="宋体"/>
          <w:bCs/>
          <w:color w:val="auto"/>
          <w:sz w:val="24"/>
          <w:highlight w:val="none"/>
        </w:rPr>
      </w:pPr>
    </w:p>
    <w:sectPr>
      <w:headerReference r:id="rId29" w:type="first"/>
      <w:footerReference r:id="rId32" w:type="first"/>
      <w:headerReference r:id="rId28" w:type="default"/>
      <w:footerReference r:id="rId30" w:type="default"/>
      <w:footerReference r:id="rId31" w:type="even"/>
      <w:pgSz w:w="11906" w:h="16838"/>
      <w:pgMar w:top="1134" w:right="1134" w:bottom="1134" w:left="1134"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等线">
    <w:altName w:val="Arial Unicode MS"/>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15278">
    <w:pPr>
      <w:pStyle w:val="39"/>
      <w:framePr w:wrap="around" w:vAnchor="text" w:hAnchor="margin" w:xAlign="right" w:y="1"/>
      <w:rPr>
        <w:rStyle w:val="72"/>
      </w:rPr>
    </w:pPr>
    <w:r>
      <w:fldChar w:fldCharType="begin"/>
    </w:r>
    <w:r>
      <w:rPr>
        <w:rStyle w:val="72"/>
      </w:rPr>
      <w:instrText xml:space="preserve">PAGE  </w:instrText>
    </w:r>
    <w:r>
      <w:fldChar w:fldCharType="end"/>
    </w:r>
  </w:p>
  <w:p w14:paraId="6F4CA48E">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A09AF">
    <w:pPr>
      <w:rPr>
        <w:rFonts w:ascii="仿宋_GB2312" w:eastAsia="仿宋_GB2312"/>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5B09F">
                          <w:pPr>
                            <w:pStyle w:val="39"/>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3A5B09F">
                    <w:pPr>
                      <w:pStyle w:val="39"/>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CDFB4">
    <w:pPr>
      <w:rPr>
        <w:rFonts w:ascii="仿宋_GB2312" w:eastAsia="仿宋_GB2312"/>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15CB9">
                          <w:pPr>
                            <w:pStyle w:val="39"/>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E415CB9">
                    <w:pPr>
                      <w:pStyle w:val="39"/>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2695B">
    <w:pPr>
      <w:rPr>
        <w:rFonts w:ascii="仿宋_GB2312" w:eastAsia="仿宋_GB2312"/>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75A27">
                          <w:pPr>
                            <w:pStyle w:val="39"/>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8775A27">
                    <w:pPr>
                      <w:pStyle w:val="39"/>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734BA">
    <w:pPr>
      <w:rPr>
        <w:rFonts w:ascii="仿宋_GB2312" w:eastAsia="仿宋_GB2312"/>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912A3D">
                          <w:pPr>
                            <w:pStyle w:val="3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9912A3D">
                    <w:pPr>
                      <w:pStyle w:val="39"/>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AA1C3">
    <w:pPr>
      <w:pStyle w:val="39"/>
      <w:rPr>
        <w:rFonts w:ascii="仿宋_GB2312" w:eastAsia="仿宋_GB2312"/>
        <w:sz w:val="21"/>
        <w:szCs w:val="21"/>
      </w:rP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B786">
                          <w:pPr>
                            <w:pStyle w:val="39"/>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2A22B786">
                    <w:pPr>
                      <w:pStyle w:val="39"/>
                    </w:pPr>
                    <w:r>
                      <w:t xml:space="preserve">第 </w:t>
                    </w:r>
                    <w:r>
                      <w:fldChar w:fldCharType="begin"/>
                    </w:r>
                    <w:r>
                      <w:instrText xml:space="preserve"> PAGE  \* MERGEFORMAT </w:instrText>
                    </w:r>
                    <w:r>
                      <w:fldChar w:fldCharType="separate"/>
                    </w:r>
                    <w:r>
                      <w:t>84</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BA0E6">
    <w:pPr>
      <w:pStyle w:val="39"/>
      <w:framePr w:wrap="around" w:vAnchor="text" w:hAnchor="margin" w:xAlign="right" w:y="1"/>
      <w:rPr>
        <w:rStyle w:val="72"/>
      </w:rPr>
    </w:pPr>
    <w:r>
      <w:fldChar w:fldCharType="begin"/>
    </w:r>
    <w:r>
      <w:rPr>
        <w:rStyle w:val="72"/>
      </w:rPr>
      <w:instrText xml:space="preserve">PAGE  </w:instrText>
    </w:r>
    <w:r>
      <w:fldChar w:fldCharType="end"/>
    </w:r>
  </w:p>
  <w:p w14:paraId="6EFDB853">
    <w:pPr>
      <w:pStyle w:val="39"/>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ADB7B">
    <w:pPr>
      <w:pStyle w:val="39"/>
      <w:rPr>
        <w:rFonts w:ascii="仿宋_GB2312" w:eastAsia="仿宋_GB2312"/>
        <w:sz w:val="21"/>
        <w:szCs w:val="21"/>
      </w:rP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1ADBA">
                          <w:pPr>
                            <w:pStyle w:val="39"/>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001ADBA">
                    <w:pPr>
                      <w:pStyle w:val="39"/>
                    </w:pPr>
                    <w:r>
                      <w:t xml:space="preserve">第 </w:t>
                    </w:r>
                    <w:r>
                      <w:fldChar w:fldCharType="begin"/>
                    </w:r>
                    <w:r>
                      <w:instrText xml:space="preserve"> PAGE  \* MERGEFORMAT </w:instrText>
                    </w:r>
                    <w:r>
                      <w:fldChar w:fldCharType="separate"/>
                    </w:r>
                    <w:r>
                      <w:t>83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F16C9">
    <w:pPr>
      <w:pStyle w:val="39"/>
      <w:rPr>
        <w:rFonts w:ascii="仿宋_GB2312" w:eastAsia="仿宋_GB2312"/>
        <w:sz w:val="21"/>
        <w:szCs w:val="21"/>
      </w:rP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62608">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6C62608">
                    <w:pPr>
                      <w:pStyle w:val="3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AC0E">
    <w:pPr>
      <w:pStyle w:val="39"/>
      <w:rPr>
        <w:rFonts w:ascii="仿宋_GB2312" w:eastAsia="仿宋_GB2312"/>
        <w:sz w:val="21"/>
        <w:szCs w:val="21"/>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21D8">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DC21D8">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616F6">
    <w:pPr>
      <w:rPr>
        <w:rFonts w:ascii="仿宋_GB2312" w:eastAsia="仿宋_GB2312"/>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019B3">
                          <w:pPr>
                            <w:pStyle w:val="3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E5019B3">
                    <w:pPr>
                      <w:pStyle w:val="39"/>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13DB1">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7B077">
                          <w:pPr>
                            <w:pStyle w:val="3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407B077">
                    <w:pPr>
                      <w:pStyle w:val="39"/>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1FF6">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8D150">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A88D150">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EE37B">
    <w:pPr>
      <w:rPr>
        <w:rFonts w:ascii="仿宋_GB2312" w:eastAsia="仿宋_GB2312"/>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C1DD6">
                          <w:pPr>
                            <w:pStyle w:val="39"/>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E6C1DD6">
                    <w:pPr>
                      <w:pStyle w:val="39"/>
                    </w:pPr>
                    <w:r>
                      <w:t xml:space="preserve">第 </w:t>
                    </w:r>
                    <w:r>
                      <w:fldChar w:fldCharType="begin"/>
                    </w:r>
                    <w:r>
                      <w:instrText xml:space="preserve"> PAGE  \* MERGEFORMAT </w:instrText>
                    </w:r>
                    <w:r>
                      <w:fldChar w:fldCharType="separate"/>
                    </w:r>
                    <w:r>
                      <w:t>72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45FC">
    <w:pPr>
      <w:rPr>
        <w:rFonts w:ascii="仿宋_GB2312" w:eastAsia="仿宋_GB2312"/>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4033AD">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84033AD">
                    <w:pPr>
                      <w:pStyle w:val="3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28D3">
    <w:pPr>
      <w:rPr>
        <w:rFonts w:ascii="仿宋_GB2312" w:eastAsia="仿宋_GB2312"/>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51D2D">
                          <w:pPr>
                            <w:pStyle w:val="3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7351D2D">
                    <w:pPr>
                      <w:pStyle w:val="3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160BD">
    <w:pPr>
      <w:pStyle w:val="58"/>
      <w:pBdr>
        <w:bottom w:val="none" w:color="auto" w:sz="0" w:space="0"/>
      </w:pBdr>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9223D">
    <w:pPr>
      <w:pStyle w:val="40"/>
      <w:pBdr>
        <w:bottom w:val="none" w:color="auto" w:sz="0" w:space="1"/>
      </w:pBdr>
      <w:jc w:val="right"/>
    </w:pPr>
    <w:r>
      <w:t></w:t>
    </w:r>
    <w:r>
      <w:rPr>
        <w:rFonts w:hint="eastAsia"/>
      </w:rPr>
      <w:t xml:space="preserve">                 </w:t>
    </w: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838A">
    <w:pPr>
      <w:pStyle w:val="40"/>
      <w:pBdr>
        <w:bottom w:val="none" w:color="auto" w:sz="0" w:space="1"/>
      </w:pBdr>
      <w:jc w:val="right"/>
      <w:rPr>
        <w:rFonts w:ascii="仿宋_GB2312" w:eastAsia="仿宋_GB2312"/>
        <w:b/>
        <w:i/>
        <w:sz w:val="21"/>
        <w:szCs w:val="21"/>
        <w:u w:val="single"/>
      </w:rPr>
    </w:pPr>
    <w:r>
      <w:rPr>
        <w:rFonts w:hint="eastAsia"/>
      </w:rPr>
      <w:t xml:space="preserve">                       </w:t>
    </w:r>
  </w:p>
  <w:p w14:paraId="5BD4A0CC">
    <w:pPr>
      <w:pBdr>
        <w:bottom w:val="none" w:color="auto" w:sz="0" w:space="0"/>
      </w:pBd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AD8E">
    <w:pPr>
      <w:pStyle w:val="40"/>
      <w:pBdr>
        <w:bottom w:val="none" w:color="auto" w:sz="0" w:space="1"/>
      </w:pBdr>
      <w:jc w:val="both"/>
      <w:rPr>
        <w:sz w:val="21"/>
        <w:szCs w:val="21"/>
      </w:rPr>
    </w:pPr>
    <w:r>
      <w:rPr>
        <w:rFonts w:hint="eastAsia"/>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3B7D">
    <w:pPr>
      <w:pStyle w:val="40"/>
      <w:pBdr>
        <w:bottom w:val="none" w:color="auto" w:sz="0" w:space="1"/>
      </w:pBdr>
      <w:jc w:val="both"/>
      <w:rPr>
        <w:rFonts w:ascii="仿宋_GB2312" w:eastAsia="仿宋_GB2312"/>
        <w:b/>
        <w:i/>
        <w:iCs/>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38C5">
    <w:pPr>
      <w:pStyle w:val="4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275F8">
    <w:pPr>
      <w:pStyle w:val="40"/>
      <w:pBdr>
        <w:bottom w:val="none" w:color="auto" w:sz="0" w:space="0"/>
      </w:pBdr>
      <w:tabs>
        <w:tab w:val="center" w:pos="4535"/>
        <w:tab w:val="right" w:pos="9070"/>
        <w:tab w:val="clear" w:pos="4153"/>
        <w:tab w:val="clear" w:pos="8306"/>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CD8E9">
    <w:pPr>
      <w:pStyle w:val="40"/>
      <w:pBdr>
        <w:bottom w:val="none" w:color="auto" w:sz="0" w:space="1"/>
      </w:pBdr>
      <w:jc w:val="both"/>
      <w:rPr>
        <w:rFonts w:ascii="仿宋_GB2312" w:eastAsia="仿宋_GB2312"/>
        <w:b/>
        <w:i/>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51A04">
    <w:pPr>
      <w:pStyle w:val="40"/>
      <w:pBdr>
        <w:bottom w:val="none" w:color="auto" w:sz="0" w:space="1"/>
      </w:pBdr>
      <w:jc w:val="both"/>
      <w:rPr>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E64B">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47010">
    <w:pPr>
      <w:pStyle w:val="40"/>
      <w:pBdr>
        <w:bottom w:val="none" w:color="auto" w:sz="0" w:space="1"/>
      </w:pBdr>
      <w:jc w:val="both"/>
      <w:rPr>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A1266">
    <w:pPr>
      <w:pStyle w:val="4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82EC8">
    <w:pPr>
      <w:pStyle w:val="40"/>
      <w:pBdr>
        <w:bottom w:val="none" w:color="auto" w:sz="0" w:space="1"/>
      </w:pBdr>
      <w:jc w:val="both"/>
      <w:rPr>
        <w:sz w:val="21"/>
        <w:szCs w:val="21"/>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FA19">
    <w:pPr>
      <w:pStyle w:val="40"/>
      <w:pBdr>
        <w:bottom w:val="none" w:color="auto" w:sz="0" w:space="1"/>
      </w:pBdr>
      <w:rPr>
        <w:rFonts w:ascii="仿宋_GB2312" w:eastAsia="仿宋_GB2312"/>
        <w:b/>
        <w:i/>
        <w:u w:val="single"/>
      </w:rPr>
    </w:pPr>
    <w:r>
      <w:t></w:t>
    </w:r>
  </w:p>
  <w:p w14:paraId="5C3AFF0B">
    <w:pPr>
      <w:pBdr>
        <w:bottom w:val="none" w:color="auto" w:sz="0" w:space="0"/>
      </w:pBdr>
      <w:rPr>
        <w:rFonts w:ascii="仿宋_GB2312" w:eastAsia="仿宋_GB2312"/>
        <w:b/>
        <w:i/>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676"/>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27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AF5"/>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233D"/>
    <w:rsid w:val="001433BC"/>
    <w:rsid w:val="00143872"/>
    <w:rsid w:val="00143A85"/>
    <w:rsid w:val="00144649"/>
    <w:rsid w:val="00145022"/>
    <w:rsid w:val="0014521A"/>
    <w:rsid w:val="00145662"/>
    <w:rsid w:val="00145C6D"/>
    <w:rsid w:val="001460FC"/>
    <w:rsid w:val="00146151"/>
    <w:rsid w:val="00146326"/>
    <w:rsid w:val="0014648C"/>
    <w:rsid w:val="00146EA3"/>
    <w:rsid w:val="00147032"/>
    <w:rsid w:val="00147EA7"/>
    <w:rsid w:val="00151820"/>
    <w:rsid w:val="00151B2F"/>
    <w:rsid w:val="001524DC"/>
    <w:rsid w:val="001525E5"/>
    <w:rsid w:val="00153859"/>
    <w:rsid w:val="00153915"/>
    <w:rsid w:val="001539F0"/>
    <w:rsid w:val="00154BBA"/>
    <w:rsid w:val="00155B95"/>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2F7"/>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EF0"/>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693F"/>
    <w:rsid w:val="001E7F81"/>
    <w:rsid w:val="001F0FD1"/>
    <w:rsid w:val="001F125D"/>
    <w:rsid w:val="001F1526"/>
    <w:rsid w:val="001F19D1"/>
    <w:rsid w:val="001F1CB9"/>
    <w:rsid w:val="001F1F18"/>
    <w:rsid w:val="001F2F92"/>
    <w:rsid w:val="001F456F"/>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3CE7"/>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5B80"/>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38A5"/>
    <w:rsid w:val="00AC4094"/>
    <w:rsid w:val="00AC42B6"/>
    <w:rsid w:val="00AC4AB7"/>
    <w:rsid w:val="00AC51E0"/>
    <w:rsid w:val="00AC6D24"/>
    <w:rsid w:val="00AC6E18"/>
    <w:rsid w:val="00AC7F64"/>
    <w:rsid w:val="00AD0DD3"/>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27AD1"/>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2BA"/>
    <w:rsid w:val="00DF6FD2"/>
    <w:rsid w:val="00DF72EF"/>
    <w:rsid w:val="00DF743D"/>
    <w:rsid w:val="00DF7724"/>
    <w:rsid w:val="00E000D8"/>
    <w:rsid w:val="00E00C1E"/>
    <w:rsid w:val="00E00F5F"/>
    <w:rsid w:val="00E010E6"/>
    <w:rsid w:val="00E01377"/>
    <w:rsid w:val="00E014E7"/>
    <w:rsid w:val="00E0232F"/>
    <w:rsid w:val="00E026A9"/>
    <w:rsid w:val="00E03063"/>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2F9D"/>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8B1"/>
    <w:rsid w:val="00ED1ADE"/>
    <w:rsid w:val="00ED3692"/>
    <w:rsid w:val="00ED4A77"/>
    <w:rsid w:val="00ED4B6E"/>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4EF"/>
    <w:rsid w:val="00EF4B87"/>
    <w:rsid w:val="00EF4DB4"/>
    <w:rsid w:val="00EF50D5"/>
    <w:rsid w:val="00EF5234"/>
    <w:rsid w:val="00EF55E9"/>
    <w:rsid w:val="00EF5B41"/>
    <w:rsid w:val="00EF611C"/>
    <w:rsid w:val="00EF625F"/>
    <w:rsid w:val="00EF62C0"/>
    <w:rsid w:val="00EF6D5A"/>
    <w:rsid w:val="00EF71E6"/>
    <w:rsid w:val="00EF7A94"/>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89C"/>
    <w:rsid w:val="00F27E44"/>
    <w:rsid w:val="00F30313"/>
    <w:rsid w:val="00F303BC"/>
    <w:rsid w:val="00F30472"/>
    <w:rsid w:val="00F30961"/>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7F3EF0"/>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3C33BD"/>
    <w:rsid w:val="048F763B"/>
    <w:rsid w:val="049F330E"/>
    <w:rsid w:val="04AA775C"/>
    <w:rsid w:val="04AF1889"/>
    <w:rsid w:val="04F66F48"/>
    <w:rsid w:val="05251E14"/>
    <w:rsid w:val="052968CF"/>
    <w:rsid w:val="05A16594"/>
    <w:rsid w:val="05A7762D"/>
    <w:rsid w:val="060A352A"/>
    <w:rsid w:val="060E5941"/>
    <w:rsid w:val="06110FAF"/>
    <w:rsid w:val="064426CF"/>
    <w:rsid w:val="06493CA7"/>
    <w:rsid w:val="065A6178"/>
    <w:rsid w:val="066F1CF3"/>
    <w:rsid w:val="06930BB8"/>
    <w:rsid w:val="07245D42"/>
    <w:rsid w:val="07264C62"/>
    <w:rsid w:val="0779354C"/>
    <w:rsid w:val="08061376"/>
    <w:rsid w:val="08452D77"/>
    <w:rsid w:val="085311F9"/>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AD9364E"/>
    <w:rsid w:val="0B30404E"/>
    <w:rsid w:val="0B4C6C14"/>
    <w:rsid w:val="0B547599"/>
    <w:rsid w:val="0B564445"/>
    <w:rsid w:val="0B631A88"/>
    <w:rsid w:val="0B683D45"/>
    <w:rsid w:val="0B7F3F11"/>
    <w:rsid w:val="0B884417"/>
    <w:rsid w:val="0BF6188C"/>
    <w:rsid w:val="0BF73C91"/>
    <w:rsid w:val="0C170175"/>
    <w:rsid w:val="0C571A41"/>
    <w:rsid w:val="0C5C1171"/>
    <w:rsid w:val="0C5E1CBC"/>
    <w:rsid w:val="0C615B50"/>
    <w:rsid w:val="0C7959A8"/>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E31171"/>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9210D1"/>
    <w:rsid w:val="10C26171"/>
    <w:rsid w:val="10F33360"/>
    <w:rsid w:val="10FC16EA"/>
    <w:rsid w:val="110F1D40"/>
    <w:rsid w:val="11266F33"/>
    <w:rsid w:val="114D2931"/>
    <w:rsid w:val="118963A1"/>
    <w:rsid w:val="11C6522A"/>
    <w:rsid w:val="11E104CC"/>
    <w:rsid w:val="11E20309"/>
    <w:rsid w:val="11FE2301"/>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7A575C"/>
    <w:rsid w:val="19932372"/>
    <w:rsid w:val="19962C07"/>
    <w:rsid w:val="19A20DD5"/>
    <w:rsid w:val="19AE03F1"/>
    <w:rsid w:val="1A071A03"/>
    <w:rsid w:val="1A1F16AE"/>
    <w:rsid w:val="1A3B5C77"/>
    <w:rsid w:val="1A984BAD"/>
    <w:rsid w:val="1AB8220E"/>
    <w:rsid w:val="1AE4166C"/>
    <w:rsid w:val="1AF06CFB"/>
    <w:rsid w:val="1AF11B8D"/>
    <w:rsid w:val="1B033DA8"/>
    <w:rsid w:val="1B11359C"/>
    <w:rsid w:val="1B2A271F"/>
    <w:rsid w:val="1B530544"/>
    <w:rsid w:val="1B713184"/>
    <w:rsid w:val="1BA209CF"/>
    <w:rsid w:val="1BA6006E"/>
    <w:rsid w:val="1BB4777D"/>
    <w:rsid w:val="1BD75AB8"/>
    <w:rsid w:val="1C0459C2"/>
    <w:rsid w:val="1C1B3B4A"/>
    <w:rsid w:val="1C272047"/>
    <w:rsid w:val="1C88086E"/>
    <w:rsid w:val="1D266CE1"/>
    <w:rsid w:val="1D3963AF"/>
    <w:rsid w:val="1D6A673C"/>
    <w:rsid w:val="1D9247AE"/>
    <w:rsid w:val="1DB567EC"/>
    <w:rsid w:val="1DF51A98"/>
    <w:rsid w:val="1E3D060F"/>
    <w:rsid w:val="1E3F7D2E"/>
    <w:rsid w:val="1E4134E4"/>
    <w:rsid w:val="1E5062B3"/>
    <w:rsid w:val="1E523514"/>
    <w:rsid w:val="1E714A66"/>
    <w:rsid w:val="1E802593"/>
    <w:rsid w:val="1E8B6156"/>
    <w:rsid w:val="1EA703CC"/>
    <w:rsid w:val="1EB7330C"/>
    <w:rsid w:val="1EFC175F"/>
    <w:rsid w:val="1F0A0FF3"/>
    <w:rsid w:val="1F1C5897"/>
    <w:rsid w:val="1F5771FF"/>
    <w:rsid w:val="1F7076AA"/>
    <w:rsid w:val="1FD52DD5"/>
    <w:rsid w:val="1FE868A9"/>
    <w:rsid w:val="20034907"/>
    <w:rsid w:val="20173E4B"/>
    <w:rsid w:val="204E48BC"/>
    <w:rsid w:val="2065312F"/>
    <w:rsid w:val="208921B3"/>
    <w:rsid w:val="20973DEB"/>
    <w:rsid w:val="20B26522"/>
    <w:rsid w:val="20B44310"/>
    <w:rsid w:val="211116EB"/>
    <w:rsid w:val="216133FC"/>
    <w:rsid w:val="217514F5"/>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915C39"/>
    <w:rsid w:val="24B22173"/>
    <w:rsid w:val="24B95AD9"/>
    <w:rsid w:val="24BE24DA"/>
    <w:rsid w:val="24CF5825"/>
    <w:rsid w:val="24D663E6"/>
    <w:rsid w:val="24D77F2B"/>
    <w:rsid w:val="24ED5C77"/>
    <w:rsid w:val="258B00E2"/>
    <w:rsid w:val="25A917A6"/>
    <w:rsid w:val="25BE27CC"/>
    <w:rsid w:val="25E26E94"/>
    <w:rsid w:val="25F74A5C"/>
    <w:rsid w:val="26031625"/>
    <w:rsid w:val="260B24AA"/>
    <w:rsid w:val="2628662C"/>
    <w:rsid w:val="262D45DE"/>
    <w:rsid w:val="26480C27"/>
    <w:rsid w:val="26871DC8"/>
    <w:rsid w:val="26A53EF9"/>
    <w:rsid w:val="26A94201"/>
    <w:rsid w:val="26AC274F"/>
    <w:rsid w:val="27044A29"/>
    <w:rsid w:val="271D34C8"/>
    <w:rsid w:val="276142BF"/>
    <w:rsid w:val="27783712"/>
    <w:rsid w:val="27907362"/>
    <w:rsid w:val="28333E1D"/>
    <w:rsid w:val="28454BD6"/>
    <w:rsid w:val="28455253"/>
    <w:rsid w:val="28551971"/>
    <w:rsid w:val="285B1C53"/>
    <w:rsid w:val="285E14B9"/>
    <w:rsid w:val="289B049E"/>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7E1E12"/>
    <w:rsid w:val="2B437463"/>
    <w:rsid w:val="2B7807EE"/>
    <w:rsid w:val="2BA50BF7"/>
    <w:rsid w:val="2BA8442D"/>
    <w:rsid w:val="2BBF00EC"/>
    <w:rsid w:val="2BC37CFD"/>
    <w:rsid w:val="2BD5237F"/>
    <w:rsid w:val="2BE536CE"/>
    <w:rsid w:val="2BE758D9"/>
    <w:rsid w:val="2C09049E"/>
    <w:rsid w:val="2C0A653C"/>
    <w:rsid w:val="2C191F85"/>
    <w:rsid w:val="2C6F08B0"/>
    <w:rsid w:val="2CE82D6F"/>
    <w:rsid w:val="2D343236"/>
    <w:rsid w:val="2DD15014"/>
    <w:rsid w:val="2DF72DE4"/>
    <w:rsid w:val="2E0220AF"/>
    <w:rsid w:val="2E4B082A"/>
    <w:rsid w:val="2E5D4E86"/>
    <w:rsid w:val="2E5D790B"/>
    <w:rsid w:val="2E9A3C18"/>
    <w:rsid w:val="2EBB0FEE"/>
    <w:rsid w:val="2EC63002"/>
    <w:rsid w:val="2F0A6B38"/>
    <w:rsid w:val="2F3B6390"/>
    <w:rsid w:val="2F946CCB"/>
    <w:rsid w:val="2FD25781"/>
    <w:rsid w:val="2FDC745C"/>
    <w:rsid w:val="2FFD7934"/>
    <w:rsid w:val="30201025"/>
    <w:rsid w:val="30733ACD"/>
    <w:rsid w:val="308C3862"/>
    <w:rsid w:val="309379D8"/>
    <w:rsid w:val="30A270F7"/>
    <w:rsid w:val="30DF1478"/>
    <w:rsid w:val="30EC586F"/>
    <w:rsid w:val="312945E0"/>
    <w:rsid w:val="314550B7"/>
    <w:rsid w:val="319C6071"/>
    <w:rsid w:val="31AC537E"/>
    <w:rsid w:val="31E3679B"/>
    <w:rsid w:val="31E732FD"/>
    <w:rsid w:val="32517576"/>
    <w:rsid w:val="329C3D04"/>
    <w:rsid w:val="32BE5C2C"/>
    <w:rsid w:val="32E42A9F"/>
    <w:rsid w:val="32FB6478"/>
    <w:rsid w:val="33263B3F"/>
    <w:rsid w:val="336963EB"/>
    <w:rsid w:val="33816EEB"/>
    <w:rsid w:val="33EB55CD"/>
    <w:rsid w:val="33EC4C02"/>
    <w:rsid w:val="34087CD3"/>
    <w:rsid w:val="340D2360"/>
    <w:rsid w:val="3410665D"/>
    <w:rsid w:val="34211214"/>
    <w:rsid w:val="342E63AB"/>
    <w:rsid w:val="348B1274"/>
    <w:rsid w:val="34950E68"/>
    <w:rsid w:val="34985BC4"/>
    <w:rsid w:val="34986E94"/>
    <w:rsid w:val="34AF62C9"/>
    <w:rsid w:val="34CB4388"/>
    <w:rsid w:val="34FA6E12"/>
    <w:rsid w:val="354D7158"/>
    <w:rsid w:val="358D5588"/>
    <w:rsid w:val="35E84393"/>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7C156F"/>
    <w:rsid w:val="39A86F0F"/>
    <w:rsid w:val="39B417A9"/>
    <w:rsid w:val="39FC5695"/>
    <w:rsid w:val="3A006D8E"/>
    <w:rsid w:val="3A3651E5"/>
    <w:rsid w:val="3A744481"/>
    <w:rsid w:val="3A8C7BEF"/>
    <w:rsid w:val="3A906246"/>
    <w:rsid w:val="3B2349B7"/>
    <w:rsid w:val="3B616CFF"/>
    <w:rsid w:val="3B6259F6"/>
    <w:rsid w:val="3B976654"/>
    <w:rsid w:val="3BBF7944"/>
    <w:rsid w:val="3BC01EFC"/>
    <w:rsid w:val="3BCA786A"/>
    <w:rsid w:val="3BD31E2F"/>
    <w:rsid w:val="3BF15831"/>
    <w:rsid w:val="3C105946"/>
    <w:rsid w:val="3C471448"/>
    <w:rsid w:val="3C5E30AF"/>
    <w:rsid w:val="3C5F759A"/>
    <w:rsid w:val="3C6C525A"/>
    <w:rsid w:val="3CCE23CB"/>
    <w:rsid w:val="3CD17D17"/>
    <w:rsid w:val="3D3C7F39"/>
    <w:rsid w:val="3D440F09"/>
    <w:rsid w:val="3D4504A0"/>
    <w:rsid w:val="3D8734BB"/>
    <w:rsid w:val="3D9A11D4"/>
    <w:rsid w:val="3DA16D89"/>
    <w:rsid w:val="3DA364BE"/>
    <w:rsid w:val="3DE041CB"/>
    <w:rsid w:val="3DE47EA4"/>
    <w:rsid w:val="3E0D48F6"/>
    <w:rsid w:val="3E1868B4"/>
    <w:rsid w:val="3E377251"/>
    <w:rsid w:val="3E42664B"/>
    <w:rsid w:val="3E5A7334"/>
    <w:rsid w:val="3E7B5D6B"/>
    <w:rsid w:val="3E843E66"/>
    <w:rsid w:val="3E8F51FE"/>
    <w:rsid w:val="3E926F87"/>
    <w:rsid w:val="3E9A59DE"/>
    <w:rsid w:val="3EAF4836"/>
    <w:rsid w:val="3EC33DFA"/>
    <w:rsid w:val="3ED2699D"/>
    <w:rsid w:val="3F060E16"/>
    <w:rsid w:val="3F1D1096"/>
    <w:rsid w:val="3F2F0234"/>
    <w:rsid w:val="3F6363FE"/>
    <w:rsid w:val="3F756B8F"/>
    <w:rsid w:val="3F95482B"/>
    <w:rsid w:val="40077B0C"/>
    <w:rsid w:val="4019356B"/>
    <w:rsid w:val="40592157"/>
    <w:rsid w:val="406E1CAE"/>
    <w:rsid w:val="40A0133A"/>
    <w:rsid w:val="40C31A53"/>
    <w:rsid w:val="40FF545D"/>
    <w:rsid w:val="410067C8"/>
    <w:rsid w:val="413463C5"/>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34746B"/>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4922F0"/>
    <w:rsid w:val="4CB6685F"/>
    <w:rsid w:val="4CC367FE"/>
    <w:rsid w:val="4D077F3C"/>
    <w:rsid w:val="4D123355"/>
    <w:rsid w:val="4D2A3B31"/>
    <w:rsid w:val="4D312C52"/>
    <w:rsid w:val="4D905305"/>
    <w:rsid w:val="4D964A72"/>
    <w:rsid w:val="4D9C1254"/>
    <w:rsid w:val="4DB97FE8"/>
    <w:rsid w:val="4E751478"/>
    <w:rsid w:val="4E793892"/>
    <w:rsid w:val="4E800872"/>
    <w:rsid w:val="4EC569ED"/>
    <w:rsid w:val="4ED50EA1"/>
    <w:rsid w:val="4EEC050C"/>
    <w:rsid w:val="4F104EC3"/>
    <w:rsid w:val="4F47354A"/>
    <w:rsid w:val="4F911C54"/>
    <w:rsid w:val="4FE625E0"/>
    <w:rsid w:val="500428FC"/>
    <w:rsid w:val="5021480F"/>
    <w:rsid w:val="50962ECB"/>
    <w:rsid w:val="50A42E38"/>
    <w:rsid w:val="50A4577F"/>
    <w:rsid w:val="50B73D1F"/>
    <w:rsid w:val="50BD5BC9"/>
    <w:rsid w:val="50C11EEE"/>
    <w:rsid w:val="50E97CFC"/>
    <w:rsid w:val="50FA4028"/>
    <w:rsid w:val="510D65B7"/>
    <w:rsid w:val="511157AB"/>
    <w:rsid w:val="5142540C"/>
    <w:rsid w:val="518832C8"/>
    <w:rsid w:val="518F48C6"/>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3C37E9A"/>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C73B6D"/>
    <w:rsid w:val="55DC29B6"/>
    <w:rsid w:val="55DD4241"/>
    <w:rsid w:val="55F846EE"/>
    <w:rsid w:val="566B6D1E"/>
    <w:rsid w:val="56F72230"/>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5F7E57"/>
    <w:rsid w:val="58917D2F"/>
    <w:rsid w:val="5894085C"/>
    <w:rsid w:val="58AE4F0C"/>
    <w:rsid w:val="58B85899"/>
    <w:rsid w:val="58E363A9"/>
    <w:rsid w:val="595E1678"/>
    <w:rsid w:val="596D5BD4"/>
    <w:rsid w:val="597E3DD8"/>
    <w:rsid w:val="59F80043"/>
    <w:rsid w:val="5A09252F"/>
    <w:rsid w:val="5A0B2778"/>
    <w:rsid w:val="5A2A7C7B"/>
    <w:rsid w:val="5A3E2560"/>
    <w:rsid w:val="5A4062D9"/>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242442"/>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F4B15"/>
    <w:rsid w:val="691664E5"/>
    <w:rsid w:val="693E15D3"/>
    <w:rsid w:val="69627681"/>
    <w:rsid w:val="69677F00"/>
    <w:rsid w:val="6977531D"/>
    <w:rsid w:val="69CC2BFF"/>
    <w:rsid w:val="69FD55B8"/>
    <w:rsid w:val="6A0B1C62"/>
    <w:rsid w:val="6A2406C8"/>
    <w:rsid w:val="6AC87D14"/>
    <w:rsid w:val="6ADE0BD1"/>
    <w:rsid w:val="6AE96859"/>
    <w:rsid w:val="6B147746"/>
    <w:rsid w:val="6B24787C"/>
    <w:rsid w:val="6B573233"/>
    <w:rsid w:val="6B5B6274"/>
    <w:rsid w:val="6B935D53"/>
    <w:rsid w:val="6C196F71"/>
    <w:rsid w:val="6C226FCB"/>
    <w:rsid w:val="6C31226F"/>
    <w:rsid w:val="6C552F0B"/>
    <w:rsid w:val="6C8C67B7"/>
    <w:rsid w:val="6C9D744C"/>
    <w:rsid w:val="6CD06CF5"/>
    <w:rsid w:val="6CDD229B"/>
    <w:rsid w:val="6D167928"/>
    <w:rsid w:val="6D26299B"/>
    <w:rsid w:val="6D4772EC"/>
    <w:rsid w:val="6D9078AF"/>
    <w:rsid w:val="6DAA3FEF"/>
    <w:rsid w:val="6DC0172B"/>
    <w:rsid w:val="6DCB690C"/>
    <w:rsid w:val="6DD41A5B"/>
    <w:rsid w:val="6DF43C2E"/>
    <w:rsid w:val="6DF51CA3"/>
    <w:rsid w:val="6E4050A7"/>
    <w:rsid w:val="6E8335BD"/>
    <w:rsid w:val="6E8E12EF"/>
    <w:rsid w:val="6E972936"/>
    <w:rsid w:val="6ED446C5"/>
    <w:rsid w:val="6F2A7D94"/>
    <w:rsid w:val="6F8331F1"/>
    <w:rsid w:val="6FAE1A09"/>
    <w:rsid w:val="6FD54AE6"/>
    <w:rsid w:val="6FD75BF8"/>
    <w:rsid w:val="704B4683"/>
    <w:rsid w:val="707723D0"/>
    <w:rsid w:val="70F5661B"/>
    <w:rsid w:val="71360107"/>
    <w:rsid w:val="713B688E"/>
    <w:rsid w:val="71D43752"/>
    <w:rsid w:val="71F1796A"/>
    <w:rsid w:val="71F80007"/>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5D7FE5"/>
    <w:rsid w:val="75600BE5"/>
    <w:rsid w:val="7564475C"/>
    <w:rsid w:val="7583797F"/>
    <w:rsid w:val="75D20F1D"/>
    <w:rsid w:val="75D34833"/>
    <w:rsid w:val="75DA2C18"/>
    <w:rsid w:val="75F54412"/>
    <w:rsid w:val="761D08E0"/>
    <w:rsid w:val="765D347C"/>
    <w:rsid w:val="76826699"/>
    <w:rsid w:val="76C87133"/>
    <w:rsid w:val="76CC0B8C"/>
    <w:rsid w:val="76CD08D5"/>
    <w:rsid w:val="76DB4B92"/>
    <w:rsid w:val="76FD013A"/>
    <w:rsid w:val="77052AA4"/>
    <w:rsid w:val="77136511"/>
    <w:rsid w:val="77340A39"/>
    <w:rsid w:val="77351FD0"/>
    <w:rsid w:val="77472422"/>
    <w:rsid w:val="775C313C"/>
    <w:rsid w:val="775D00BB"/>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1F7358"/>
    <w:rsid w:val="7B257FFD"/>
    <w:rsid w:val="7B273D20"/>
    <w:rsid w:val="7B343476"/>
    <w:rsid w:val="7B5A2978"/>
    <w:rsid w:val="7B5A7E4C"/>
    <w:rsid w:val="7B667AF9"/>
    <w:rsid w:val="7B7468F8"/>
    <w:rsid w:val="7BEE0103"/>
    <w:rsid w:val="7BF817F1"/>
    <w:rsid w:val="7BFD3F31"/>
    <w:rsid w:val="7C0A0FE4"/>
    <w:rsid w:val="7C254906"/>
    <w:rsid w:val="7C590818"/>
    <w:rsid w:val="7C7C10F6"/>
    <w:rsid w:val="7C853BEA"/>
    <w:rsid w:val="7C881368"/>
    <w:rsid w:val="7CE27788"/>
    <w:rsid w:val="7CE569C2"/>
    <w:rsid w:val="7D0C32F1"/>
    <w:rsid w:val="7D0F408D"/>
    <w:rsid w:val="7D321907"/>
    <w:rsid w:val="7D491C6C"/>
    <w:rsid w:val="7D5429C0"/>
    <w:rsid w:val="7D6E6D43"/>
    <w:rsid w:val="7DB57A34"/>
    <w:rsid w:val="7DE60973"/>
    <w:rsid w:val="7DEF0916"/>
    <w:rsid w:val="7E1C7D03"/>
    <w:rsid w:val="7E1E5218"/>
    <w:rsid w:val="7E8D4C59"/>
    <w:rsid w:val="7E9A4E1F"/>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1"/>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5"/>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5"/>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6"/>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0"/>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1"/>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7"/>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0"/>
    <w:qFormat/>
    <w:uiPriority w:val="0"/>
    <w:pPr>
      <w:shd w:val="clear" w:color="auto" w:fill="000080"/>
    </w:pPr>
  </w:style>
  <w:style w:type="paragraph" w:styleId="19">
    <w:name w:val="annotation text"/>
    <w:basedOn w:val="1"/>
    <w:link w:val="342"/>
    <w:qFormat/>
    <w:uiPriority w:val="99"/>
    <w:pPr>
      <w:jc w:val="left"/>
    </w:pPr>
  </w:style>
  <w:style w:type="paragraph" w:styleId="20">
    <w:name w:val="Salutation"/>
    <w:basedOn w:val="1"/>
    <w:next w:val="1"/>
    <w:link w:val="296"/>
    <w:qFormat/>
    <w:uiPriority w:val="0"/>
    <w:rPr>
      <w:rFonts w:ascii="仿宋_GB2312" w:eastAsia="仿宋_GB2312"/>
      <w:sz w:val="28"/>
      <w:szCs w:val="20"/>
    </w:rPr>
  </w:style>
  <w:style w:type="paragraph" w:styleId="21">
    <w:name w:val="Body Text 3"/>
    <w:basedOn w:val="1"/>
    <w:link w:val="328"/>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28"/>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link w:val="263"/>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7"/>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next w:val="6"/>
    <w:link w:val="123"/>
    <w:qFormat/>
    <w:uiPriority w:val="0"/>
    <w:rPr>
      <w:rFonts w:ascii="宋体" w:hAnsi="Courier New" w:cs="Arial"/>
      <w:snapToGrid w:val="0"/>
      <w:szCs w:val="21"/>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179"/>
    <w:qFormat/>
    <w:uiPriority w:val="0"/>
    <w:pPr>
      <w:ind w:left="100" w:leftChars="2500"/>
    </w:pPr>
    <w:rPr>
      <w:rFonts w:ascii="宋体"/>
      <w:sz w:val="24"/>
      <w:szCs w:val="21"/>
      <w:lang w:val="zh-CN"/>
    </w:rPr>
  </w:style>
  <w:style w:type="paragraph" w:styleId="36">
    <w:name w:val="Body Text Indent 2"/>
    <w:basedOn w:val="1"/>
    <w:link w:val="306"/>
    <w:qFormat/>
    <w:uiPriority w:val="0"/>
    <w:pPr>
      <w:spacing w:line="360" w:lineRule="auto"/>
      <w:ind w:firstLine="601"/>
      <w:textAlignment w:val="baseline"/>
    </w:pPr>
    <w:rPr>
      <w:rFonts w:ascii="宋体"/>
      <w:kern w:val="0"/>
      <w:sz w:val="28"/>
      <w:szCs w:val="20"/>
    </w:rPr>
  </w:style>
  <w:style w:type="paragraph" w:styleId="37">
    <w:name w:val="endnote text"/>
    <w:basedOn w:val="1"/>
    <w:link w:val="929"/>
    <w:qFormat/>
    <w:uiPriority w:val="0"/>
    <w:rPr>
      <w:lang w:val="zh-CN"/>
    </w:rPr>
  </w:style>
  <w:style w:type="paragraph" w:styleId="38">
    <w:name w:val="Balloon Text"/>
    <w:basedOn w:val="1"/>
    <w:link w:val="186"/>
    <w:qFormat/>
    <w:uiPriority w:val="0"/>
    <w:rPr>
      <w:sz w:val="18"/>
      <w:szCs w:val="18"/>
    </w:rPr>
  </w:style>
  <w:style w:type="paragraph" w:styleId="39">
    <w:name w:val="footer"/>
    <w:basedOn w:val="1"/>
    <w:link w:val="381"/>
    <w:qFormat/>
    <w:uiPriority w:val="99"/>
    <w:pPr>
      <w:tabs>
        <w:tab w:val="center" w:pos="4153"/>
        <w:tab w:val="right" w:pos="8306"/>
      </w:tabs>
      <w:snapToGrid w:val="0"/>
      <w:jc w:val="left"/>
    </w:pPr>
    <w:rPr>
      <w:sz w:val="18"/>
      <w:szCs w:val="18"/>
    </w:rPr>
  </w:style>
  <w:style w:type="paragraph" w:styleId="40">
    <w:name w:val="header"/>
    <w:basedOn w:val="1"/>
    <w:link w:val="390"/>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3"/>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13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5"/>
    <w:link w:val="308"/>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373"/>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link w:val="300"/>
    <w:qFormat/>
    <w:uiPriority w:val="0"/>
    <w:pPr>
      <w:spacing w:after="120" w:line="480" w:lineRule="auto"/>
    </w:pPr>
  </w:style>
  <w:style w:type="paragraph" w:styleId="56">
    <w:name w:val="HTML Preformatted"/>
    <w:basedOn w:val="1"/>
    <w:link w:val="2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4"/>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94"/>
    <w:qFormat/>
    <w:uiPriority w:val="0"/>
    <w:rPr>
      <w:b/>
      <w:bCs/>
    </w:rPr>
  </w:style>
  <w:style w:type="paragraph" w:styleId="60">
    <w:name w:val="Body Text First Indent"/>
    <w:basedOn w:val="23"/>
    <w:link w:val="319"/>
    <w:qFormat/>
    <w:uiPriority w:val="0"/>
    <w:pPr>
      <w:ind w:firstLine="420"/>
    </w:pPr>
    <w:rPr>
      <w:rFonts w:hAnsi="Calibri" w:cs="Times New Roman"/>
      <w:snapToGrid/>
      <w:szCs w:val="20"/>
    </w:rPr>
  </w:style>
  <w:style w:type="paragraph" w:styleId="61">
    <w:name w:val="Body Text First Indent 2"/>
    <w:basedOn w:val="24"/>
    <w:link w:val="119"/>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表格文字"/>
    <w:basedOn w:val="1"/>
    <w:qFormat/>
    <w:uiPriority w:val="0"/>
    <w:pPr>
      <w:adjustRightInd/>
      <w:ind w:firstLine="200" w:firstLineChars="200"/>
    </w:pPr>
    <w:rPr>
      <w:rFonts w:ascii="Arial" w:hAnsi="Arial"/>
      <w:spacing w:val="-5"/>
      <w:kern w:val="0"/>
      <w:sz w:val="24"/>
      <w:szCs w:val="20"/>
    </w:rPr>
  </w:style>
  <w:style w:type="character" w:customStyle="1" w:styleId="80">
    <w:name w:val="表格非标题文字 Char"/>
    <w:link w:val="81"/>
    <w:qFormat/>
    <w:uiPriority w:val="0"/>
    <w:rPr>
      <w:rFonts w:ascii="Futura Bk" w:hAnsi="Futura Bk"/>
      <w:kern w:val="2"/>
      <w:sz w:val="18"/>
      <w:szCs w:val="21"/>
      <w:lang w:val="en-US" w:eastAsia="zh-CN" w:bidi="ar-SA"/>
    </w:rPr>
  </w:style>
  <w:style w:type="paragraph" w:customStyle="1" w:styleId="81">
    <w:name w:val="表格非标题文字"/>
    <w:link w:val="80"/>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2">
    <w:name w:val="*正文 Char"/>
    <w:link w:val="83"/>
    <w:qFormat/>
    <w:locked/>
    <w:uiPriority w:val="0"/>
    <w:rPr>
      <w:rFonts w:ascii="宋体" w:hAnsi="宋体"/>
      <w:sz w:val="24"/>
    </w:rPr>
  </w:style>
  <w:style w:type="paragraph" w:customStyle="1" w:styleId="83">
    <w:name w:val="*正文"/>
    <w:basedOn w:val="1"/>
    <w:link w:val="82"/>
    <w:qFormat/>
    <w:uiPriority w:val="0"/>
    <w:pPr>
      <w:snapToGrid w:val="0"/>
      <w:spacing w:line="360" w:lineRule="auto"/>
      <w:ind w:firstLine="482"/>
      <w:jc w:val="left"/>
    </w:pPr>
    <w:rPr>
      <w:rFonts w:ascii="宋体" w:hAnsi="宋体"/>
      <w:kern w:val="0"/>
      <w:sz w:val="24"/>
      <w:szCs w:val="20"/>
    </w:rPr>
  </w:style>
  <w:style w:type="character" w:customStyle="1" w:styleId="84">
    <w:name w:val="Char Char71"/>
    <w:semiHidden/>
    <w:qFormat/>
    <w:uiPriority w:val="0"/>
    <w:rPr>
      <w:rFonts w:eastAsia="宋体"/>
      <w:kern w:val="2"/>
      <w:sz w:val="21"/>
      <w:szCs w:val="24"/>
      <w:lang w:val="en-US" w:eastAsia="zh-CN" w:bidi="ar-SA"/>
    </w:rPr>
  </w:style>
  <w:style w:type="character" w:customStyle="1" w:styleId="85">
    <w:name w:val="Char Char6"/>
    <w:qFormat/>
    <w:uiPriority w:val="0"/>
    <w:rPr>
      <w:rFonts w:eastAsia="宋体"/>
      <w:kern w:val="2"/>
      <w:sz w:val="21"/>
      <w:szCs w:val="24"/>
      <w:lang w:val="en-US" w:eastAsia="zh-CN" w:bidi="ar-SA"/>
    </w:rPr>
  </w:style>
  <w:style w:type="character" w:customStyle="1" w:styleId="86">
    <w:name w:val="正文缩进 Char"/>
    <w:qFormat/>
    <w:uiPriority w:val="0"/>
    <w:rPr>
      <w:rFonts w:eastAsia="宋体"/>
      <w:kern w:val="2"/>
      <w:sz w:val="21"/>
      <w:lang w:val="en-US" w:eastAsia="zh-CN"/>
    </w:rPr>
  </w:style>
  <w:style w:type="character" w:customStyle="1" w:styleId="87">
    <w:name w:val="正文首行缩进 Char1"/>
    <w:qFormat/>
    <w:uiPriority w:val="0"/>
    <w:rPr>
      <w:rFonts w:ascii="宋体" w:hAnsi="Times New Roman" w:eastAsia="宋体" w:cs="Times New Roman"/>
      <w:snapToGrid w:val="0"/>
      <w:kern w:val="2"/>
      <w:sz w:val="24"/>
      <w:szCs w:val="21"/>
      <w:lang w:val="zh-CN"/>
    </w:rPr>
  </w:style>
  <w:style w:type="character" w:customStyle="1" w:styleId="88">
    <w:name w:val="Char Char28"/>
    <w:qFormat/>
    <w:uiPriority w:val="6"/>
    <w:rPr>
      <w:rFonts w:ascii="仿宋_GB2312" w:hAnsi="仿宋_GB2312" w:eastAsia="仿宋_GB2312"/>
      <w:kern w:val="1"/>
      <w:sz w:val="28"/>
    </w:rPr>
  </w:style>
  <w:style w:type="character" w:customStyle="1" w:styleId="89">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0">
    <w:name w:val="Heading 1 Char"/>
    <w:qFormat/>
    <w:uiPriority w:val="6"/>
    <w:rPr>
      <w:rFonts w:ascii="Times New Roman" w:hAnsi="Times New Roman" w:eastAsia="黑体" w:cs="Times New Roman"/>
      <w:b/>
      <w:kern w:val="0"/>
      <w:sz w:val="24"/>
      <w:szCs w:val="24"/>
    </w:rPr>
  </w:style>
  <w:style w:type="character" w:customStyle="1" w:styleId="91">
    <w:name w:val="U_正文 Char"/>
    <w:link w:val="92"/>
    <w:qFormat/>
    <w:uiPriority w:val="0"/>
    <w:rPr>
      <w:sz w:val="24"/>
      <w:szCs w:val="24"/>
    </w:rPr>
  </w:style>
  <w:style w:type="paragraph" w:customStyle="1" w:styleId="92">
    <w:name w:val="U_正文"/>
    <w:basedOn w:val="1"/>
    <w:link w:val="91"/>
    <w:qFormat/>
    <w:uiPriority w:val="0"/>
    <w:pPr>
      <w:adjustRightInd/>
      <w:spacing w:beforeLines="20" w:afterLines="20" w:line="300" w:lineRule="auto"/>
      <w:ind w:firstLine="200" w:firstLineChars="200"/>
    </w:pPr>
    <w:rPr>
      <w:kern w:val="0"/>
      <w:sz w:val="24"/>
    </w:rPr>
  </w:style>
  <w:style w:type="character" w:customStyle="1" w:styleId="93">
    <w:name w:val="HTML 地址 Char1"/>
    <w:qFormat/>
    <w:uiPriority w:val="0"/>
    <w:rPr>
      <w:rFonts w:ascii="Times New Roman" w:hAnsi="Times New Roman" w:eastAsia="宋体" w:cs="Times New Roman"/>
      <w:i/>
      <w:iCs/>
      <w:szCs w:val="24"/>
    </w:rPr>
  </w:style>
  <w:style w:type="character" w:customStyle="1" w:styleId="94">
    <w:name w:val="批注主题 Char1"/>
    <w:link w:val="59"/>
    <w:qFormat/>
    <w:uiPriority w:val="0"/>
    <w:rPr>
      <w:b/>
      <w:bCs/>
      <w:kern w:val="2"/>
      <w:sz w:val="21"/>
      <w:szCs w:val="24"/>
    </w:rPr>
  </w:style>
  <w:style w:type="character" w:customStyle="1" w:styleId="95">
    <w:name w:val="Char Char51"/>
    <w:qFormat/>
    <w:uiPriority w:val="0"/>
    <w:rPr>
      <w:rFonts w:ascii="宋体" w:hAnsi="Courier New" w:eastAsia="宋体"/>
      <w:kern w:val="2"/>
      <w:sz w:val="21"/>
      <w:lang w:val="en-US" w:eastAsia="zh-CN"/>
    </w:rPr>
  </w:style>
  <w:style w:type="character" w:customStyle="1" w:styleId="96">
    <w:name w:val="表正文 Char"/>
    <w:qFormat/>
    <w:uiPriority w:val="0"/>
    <w:rPr>
      <w:rFonts w:ascii="宋体" w:eastAsia="宋体"/>
      <w:snapToGrid w:val="0"/>
      <w:color w:val="000000"/>
      <w:kern w:val="28"/>
      <w:sz w:val="28"/>
      <w:lang w:val="en-US" w:eastAsia="zh-CN" w:bidi="ar-SA"/>
    </w:rPr>
  </w:style>
  <w:style w:type="character" w:customStyle="1" w:styleId="97">
    <w:name w:val="Char Char34"/>
    <w:qFormat/>
    <w:uiPriority w:val="6"/>
    <w:rPr>
      <w:b/>
      <w:kern w:val="1"/>
      <w:sz w:val="28"/>
      <w:szCs w:val="28"/>
    </w:rPr>
  </w:style>
  <w:style w:type="character" w:customStyle="1" w:styleId="98">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99">
    <w:name w:val="哈哈正文 Char"/>
    <w:link w:val="100"/>
    <w:qFormat/>
    <w:uiPriority w:val="0"/>
    <w:rPr>
      <w:rFonts w:ascii="宋体" w:hAnsi="宋体" w:eastAsia="宋体"/>
      <w:kern w:val="2"/>
      <w:sz w:val="24"/>
      <w:lang w:bidi="ar-SA"/>
    </w:rPr>
  </w:style>
  <w:style w:type="paragraph" w:customStyle="1" w:styleId="100">
    <w:name w:val="哈哈正文"/>
    <w:basedOn w:val="1"/>
    <w:link w:val="99"/>
    <w:qFormat/>
    <w:uiPriority w:val="0"/>
    <w:pPr>
      <w:adjustRightInd/>
      <w:spacing w:line="360" w:lineRule="auto"/>
      <w:ind w:firstLine="200" w:firstLineChars="200"/>
    </w:pPr>
    <w:rPr>
      <w:rFonts w:ascii="宋体" w:hAnsi="宋体"/>
      <w:sz w:val="24"/>
      <w:szCs w:val="20"/>
    </w:rPr>
  </w:style>
  <w:style w:type="character" w:customStyle="1" w:styleId="101">
    <w:name w:val="未处理的提及1"/>
    <w:qFormat/>
    <w:uiPriority w:val="0"/>
    <w:rPr>
      <w:color w:val="808080"/>
      <w:shd w:val="clear" w:color="auto" w:fill="E6E6E6"/>
    </w:rPr>
  </w:style>
  <w:style w:type="character" w:customStyle="1" w:styleId="102">
    <w:name w:val="txt"/>
    <w:qFormat/>
    <w:uiPriority w:val="0"/>
    <w:rPr>
      <w:rFonts w:ascii="仿宋_GB2312" w:eastAsia="微软雅黑"/>
      <w:b/>
      <w:kern w:val="2"/>
      <w:sz w:val="32"/>
      <w:szCs w:val="32"/>
      <w:lang w:val="en-US" w:eastAsia="zh-CN" w:bidi="ar-SA"/>
    </w:rPr>
  </w:style>
  <w:style w:type="character" w:customStyle="1" w:styleId="103">
    <w:name w:val="二级标题 Char Char"/>
    <w:qFormat/>
    <w:uiPriority w:val="0"/>
    <w:rPr>
      <w:rFonts w:ascii="宋体" w:hAnsi="宋体" w:eastAsia="宋体"/>
      <w:b/>
      <w:snapToGrid w:val="0"/>
      <w:kern w:val="2"/>
      <w:sz w:val="24"/>
      <w:szCs w:val="24"/>
      <w:lang w:val="en-US" w:eastAsia="zh-CN" w:bidi="ar-SA"/>
    </w:rPr>
  </w:style>
  <w:style w:type="character" w:customStyle="1" w:styleId="104">
    <w:name w:val="Char Char32"/>
    <w:qFormat/>
    <w:uiPriority w:val="6"/>
    <w:rPr>
      <w:b/>
      <w:kern w:val="1"/>
      <w:sz w:val="24"/>
      <w:szCs w:val="24"/>
    </w:rPr>
  </w:style>
  <w:style w:type="character" w:customStyle="1" w:styleId="105">
    <w:name w:val="PI Char1"/>
    <w:qFormat/>
    <w:uiPriority w:val="0"/>
    <w:rPr>
      <w:rFonts w:ascii="宋体" w:hAnsi="宋体"/>
      <w:kern w:val="2"/>
      <w:sz w:val="24"/>
      <w:szCs w:val="24"/>
    </w:rPr>
  </w:style>
  <w:style w:type="character" w:customStyle="1" w:styleId="106">
    <w:name w:val="tw4winTerm"/>
    <w:qFormat/>
    <w:uiPriority w:val="0"/>
    <w:rPr>
      <w:color w:val="0000FF"/>
    </w:rPr>
  </w:style>
  <w:style w:type="character" w:customStyle="1" w:styleId="107">
    <w:name w:val="Footer Char"/>
    <w:qFormat/>
    <w:locked/>
    <w:uiPriority w:val="0"/>
    <w:rPr>
      <w:rFonts w:eastAsia="宋体"/>
      <w:kern w:val="2"/>
      <w:sz w:val="18"/>
      <w:lang w:val="en-US" w:eastAsia="zh-CN" w:bidi="ar-SA"/>
    </w:rPr>
  </w:style>
  <w:style w:type="character" w:customStyle="1" w:styleId="108">
    <w:name w:val="普通文字 Char Char1"/>
    <w:qFormat/>
    <w:uiPriority w:val="0"/>
    <w:rPr>
      <w:rFonts w:ascii="宋体" w:hAnsi="Courier New"/>
      <w:kern w:val="2"/>
      <w:sz w:val="21"/>
    </w:rPr>
  </w:style>
  <w:style w:type="character" w:customStyle="1" w:styleId="109">
    <w:name w:val="Char Char101"/>
    <w:qFormat/>
    <w:uiPriority w:val="6"/>
    <w:rPr>
      <w:rFonts w:ascii="宋体" w:hAnsi="宋体"/>
      <w:kern w:val="2"/>
      <w:sz w:val="21"/>
      <w:szCs w:val="24"/>
      <w:lang w:val="en-US" w:eastAsia="zh-CN"/>
    </w:rPr>
  </w:style>
  <w:style w:type="character" w:customStyle="1" w:styleId="110">
    <w:name w:val="标题 4 Char"/>
    <w:qFormat/>
    <w:uiPriority w:val="0"/>
    <w:rPr>
      <w:rFonts w:ascii="Arial" w:hAnsi="Arial" w:eastAsia="黑体"/>
      <w:b/>
      <w:kern w:val="2"/>
      <w:sz w:val="28"/>
    </w:rPr>
  </w:style>
  <w:style w:type="character" w:customStyle="1" w:styleId="111">
    <w:name w:val="链接"/>
    <w:qFormat/>
    <w:uiPriority w:val="0"/>
    <w:rPr>
      <w:color w:val="0000FF"/>
      <w:sz w:val="21"/>
      <w:szCs w:val="21"/>
      <w:u w:val="single"/>
    </w:rPr>
  </w:style>
  <w:style w:type="character" w:customStyle="1" w:styleId="112">
    <w:name w:val="h4 Char"/>
    <w:qFormat/>
    <w:uiPriority w:val="0"/>
    <w:rPr>
      <w:rFonts w:ascii="Arial" w:hAnsi="Arial" w:eastAsia="黑体"/>
      <w:b/>
      <w:bCs/>
      <w:kern w:val="2"/>
      <w:sz w:val="28"/>
      <w:szCs w:val="28"/>
      <w:lang w:val="zh-CN" w:eastAsia="zh-CN" w:bidi="ar-SA"/>
    </w:rPr>
  </w:style>
  <w:style w:type="character" w:customStyle="1" w:styleId="113">
    <w:name w:val="5正文 Char"/>
    <w:link w:val="114"/>
    <w:qFormat/>
    <w:uiPriority w:val="0"/>
    <w:rPr>
      <w:rFonts w:ascii="仿宋_GB2312" w:hAnsi="微软雅黑" w:eastAsia="仿宋_GB2312"/>
      <w:sz w:val="28"/>
      <w:szCs w:val="21"/>
    </w:rPr>
  </w:style>
  <w:style w:type="paragraph" w:customStyle="1" w:styleId="114">
    <w:name w:val="5正文"/>
    <w:basedOn w:val="1"/>
    <w:link w:val="113"/>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5">
    <w:name w:val="标题 3 字符"/>
    <w:qFormat/>
    <w:uiPriority w:val="9"/>
    <w:rPr>
      <w:b/>
      <w:bCs/>
      <w:kern w:val="2"/>
      <w:sz w:val="32"/>
      <w:szCs w:val="32"/>
    </w:rPr>
  </w:style>
  <w:style w:type="character" w:customStyle="1" w:styleId="116">
    <w:name w:val="样式6 Char"/>
    <w:qFormat/>
    <w:uiPriority w:val="0"/>
    <w:rPr>
      <w:rFonts w:ascii="仿宋_GB2312" w:hAnsi="宋体" w:eastAsia="仿宋_GB2312"/>
      <w:b/>
      <w:bCs/>
      <w:kern w:val="2"/>
      <w:sz w:val="24"/>
      <w:szCs w:val="24"/>
      <w:lang w:val="en-US" w:eastAsia="zh-CN" w:bidi="ar-SA"/>
    </w:rPr>
  </w:style>
  <w:style w:type="character" w:customStyle="1" w:styleId="117">
    <w:name w:val="Char Char14"/>
    <w:qFormat/>
    <w:uiPriority w:val="6"/>
    <w:rPr>
      <w:rFonts w:ascii="黑体" w:hAnsi="黑体" w:eastAsia="黑体"/>
    </w:rPr>
  </w:style>
  <w:style w:type="character" w:customStyle="1" w:styleId="118">
    <w:name w:val="Heading 2 Hidden Char"/>
    <w:qFormat/>
    <w:uiPriority w:val="0"/>
    <w:rPr>
      <w:rFonts w:ascii="仿宋_GB2312" w:eastAsia="仿宋_GB2312"/>
      <w:b/>
      <w:bCs/>
      <w:kern w:val="2"/>
      <w:sz w:val="24"/>
      <w:szCs w:val="24"/>
      <w:lang w:val="zh-CN" w:eastAsia="zh-CN" w:bidi="ar-SA"/>
    </w:rPr>
  </w:style>
  <w:style w:type="character" w:customStyle="1" w:styleId="119">
    <w:name w:val="正文首行缩进 2 Char"/>
    <w:link w:val="61"/>
    <w:qFormat/>
    <w:uiPriority w:val="0"/>
    <w:rPr>
      <w:rFonts w:ascii="宋体" w:hAnsi="宋体"/>
      <w:kern w:val="2"/>
      <w:sz w:val="21"/>
      <w:szCs w:val="24"/>
    </w:rPr>
  </w:style>
  <w:style w:type="character" w:customStyle="1" w:styleId="120">
    <w:name w:val="font11"/>
    <w:qFormat/>
    <w:uiPriority w:val="0"/>
    <w:rPr>
      <w:rFonts w:hint="default" w:ascii="Times New Roman" w:hAnsi="Times New Roman" w:cs="Times New Roman"/>
      <w:color w:val="000000"/>
      <w:sz w:val="22"/>
      <w:szCs w:val="22"/>
      <w:u w:val="none"/>
    </w:rPr>
  </w:style>
  <w:style w:type="character" w:customStyle="1" w:styleId="121">
    <w:name w:val="表正文 Char1"/>
    <w:qFormat/>
    <w:uiPriority w:val="0"/>
    <w:rPr>
      <w:rFonts w:ascii="宋体" w:eastAsia="宋体"/>
      <w:snapToGrid w:val="0"/>
      <w:color w:val="000000"/>
      <w:kern w:val="28"/>
      <w:sz w:val="28"/>
    </w:rPr>
  </w:style>
  <w:style w:type="character" w:customStyle="1" w:styleId="122">
    <w:name w:val="blue1"/>
    <w:basedOn w:val="69"/>
    <w:qFormat/>
    <w:uiPriority w:val="0"/>
    <w:rPr>
      <w:rFonts w:ascii="Arial" w:hAnsi="Arial" w:eastAsia="黑体" w:cs="Arial"/>
      <w:snapToGrid w:val="0"/>
      <w:kern w:val="0"/>
      <w:szCs w:val="21"/>
    </w:rPr>
  </w:style>
  <w:style w:type="character" w:customStyle="1" w:styleId="123">
    <w:name w:val="纯文本 Char"/>
    <w:link w:val="32"/>
    <w:qFormat/>
    <w:uiPriority w:val="0"/>
    <w:rPr>
      <w:rFonts w:ascii="宋体" w:hAnsi="Courier New" w:eastAsia="宋体" w:cs="Arial"/>
      <w:snapToGrid w:val="0"/>
      <w:kern w:val="2"/>
      <w:sz w:val="21"/>
      <w:szCs w:val="21"/>
      <w:lang w:val="en-US" w:eastAsia="zh-CN" w:bidi="ar-SA"/>
    </w:rPr>
  </w:style>
  <w:style w:type="character" w:customStyle="1" w:styleId="124">
    <w:name w:val="标书1 Char"/>
    <w:qFormat/>
    <w:uiPriority w:val="0"/>
    <w:rPr>
      <w:rFonts w:eastAsia="宋体"/>
      <w:b/>
      <w:bCs/>
      <w:kern w:val="44"/>
      <w:sz w:val="44"/>
      <w:szCs w:val="44"/>
      <w:lang w:val="en-US" w:eastAsia="zh-CN" w:bidi="ar-SA"/>
    </w:rPr>
  </w:style>
  <w:style w:type="character" w:customStyle="1" w:styleId="125">
    <w:name w:val="样式5 Char"/>
    <w:qFormat/>
    <w:uiPriority w:val="0"/>
    <w:rPr>
      <w:rFonts w:ascii="仿宋_GB2312" w:hAnsi="仿宋" w:eastAsia="仿宋_GB2312"/>
      <w:kern w:val="2"/>
      <w:sz w:val="24"/>
      <w:szCs w:val="24"/>
    </w:rPr>
  </w:style>
  <w:style w:type="character" w:customStyle="1" w:styleId="126">
    <w:name w:val="样式4 Char"/>
    <w:qFormat/>
    <w:uiPriority w:val="0"/>
    <w:rPr>
      <w:rFonts w:ascii="仿宋_GB2312" w:hAnsi="仿宋" w:eastAsia="仿宋_GB2312"/>
      <w:b/>
      <w:kern w:val="2"/>
      <w:sz w:val="32"/>
      <w:szCs w:val="32"/>
      <w:lang w:bidi="ar-SA"/>
    </w:rPr>
  </w:style>
  <w:style w:type="character" w:customStyle="1" w:styleId="127">
    <w:name w:val="插图说明 Char"/>
    <w:qFormat/>
    <w:uiPriority w:val="0"/>
    <w:rPr>
      <w:rFonts w:eastAsia="黑体"/>
      <w:sz w:val="24"/>
      <w:lang w:val="en-US" w:eastAsia="zh-CN"/>
    </w:rPr>
  </w:style>
  <w:style w:type="character" w:customStyle="1" w:styleId="128">
    <w:name w:val="正文2 Char Char"/>
    <w:link w:val="129"/>
    <w:qFormat/>
    <w:uiPriority w:val="0"/>
    <w:rPr>
      <w:rFonts w:eastAsia="宋体"/>
      <w:kern w:val="2"/>
      <w:sz w:val="24"/>
      <w:lang w:val="en-US" w:eastAsia="zh-CN" w:bidi="ar-SA"/>
    </w:rPr>
  </w:style>
  <w:style w:type="paragraph" w:customStyle="1" w:styleId="129">
    <w:name w:val="正文2"/>
    <w:basedOn w:val="1"/>
    <w:link w:val="128"/>
    <w:qFormat/>
    <w:uiPriority w:val="0"/>
    <w:pPr>
      <w:spacing w:before="156" w:line="360" w:lineRule="auto"/>
      <w:ind w:firstLine="510" w:firstLineChars="200"/>
    </w:pPr>
    <w:rPr>
      <w:sz w:val="24"/>
      <w:szCs w:val="20"/>
    </w:rPr>
  </w:style>
  <w:style w:type="character" w:customStyle="1" w:styleId="130">
    <w:name w:val="Char Char24"/>
    <w:qFormat/>
    <w:uiPriority w:val="6"/>
    <w:rPr>
      <w:kern w:val="1"/>
      <w:sz w:val="21"/>
    </w:rPr>
  </w:style>
  <w:style w:type="character" w:customStyle="1" w:styleId="131">
    <w:name w:val="副标题 Char"/>
    <w:link w:val="46"/>
    <w:qFormat/>
    <w:uiPriority w:val="0"/>
    <w:rPr>
      <w:rFonts w:ascii="Arial" w:hAnsi="Arial" w:eastAsia="隶书"/>
      <w:b/>
      <w:bCs/>
      <w:kern w:val="28"/>
      <w:sz w:val="44"/>
      <w:szCs w:val="32"/>
      <w:lang w:val="en-US" w:eastAsia="zh-CN" w:bidi="ar-SA"/>
    </w:rPr>
  </w:style>
  <w:style w:type="character" w:customStyle="1" w:styleId="132">
    <w:name w:val="普通文字 Char1 Char"/>
    <w:qFormat/>
    <w:uiPriority w:val="0"/>
    <w:rPr>
      <w:rFonts w:ascii="宋体" w:hAnsi="Courier New" w:eastAsia="宋体"/>
      <w:kern w:val="2"/>
      <w:sz w:val="21"/>
      <w:szCs w:val="24"/>
      <w:lang w:val="en-US" w:eastAsia="zh-CN" w:bidi="ar-SA"/>
    </w:rPr>
  </w:style>
  <w:style w:type="character" w:customStyle="1" w:styleId="133">
    <w:name w:val="h3 Char1"/>
    <w:qFormat/>
    <w:uiPriority w:val="0"/>
    <w:rPr>
      <w:rFonts w:eastAsia="宋体"/>
      <w:b/>
      <w:bCs/>
      <w:kern w:val="2"/>
      <w:sz w:val="32"/>
      <w:szCs w:val="32"/>
      <w:lang w:bidi="ar-SA"/>
    </w:rPr>
  </w:style>
  <w:style w:type="character" w:customStyle="1" w:styleId="134">
    <w:name w:val="标题 Char1"/>
    <w:qFormat/>
    <w:uiPriority w:val="0"/>
    <w:rPr>
      <w:rFonts w:ascii="Cambria" w:hAnsi="Cambria" w:eastAsia="宋体" w:cs="Times New Roman"/>
      <w:b/>
      <w:bCs/>
      <w:sz w:val="32"/>
      <w:szCs w:val="32"/>
      <w:lang w:bidi="ar-SA"/>
    </w:rPr>
  </w:style>
  <w:style w:type="character" w:customStyle="1" w:styleId="135">
    <w:name w:val="gf正文1 Char"/>
    <w:qFormat/>
    <w:uiPriority w:val="0"/>
    <w:rPr>
      <w:rFonts w:ascii="宋体" w:hAnsi="宋体" w:eastAsia="宋体" w:cs="宋体"/>
      <w:kern w:val="2"/>
      <w:sz w:val="24"/>
      <w:szCs w:val="24"/>
      <w:lang w:val="en-US" w:eastAsia="zh-CN" w:bidi="ar-SA"/>
    </w:rPr>
  </w:style>
  <w:style w:type="character" w:customStyle="1" w:styleId="136">
    <w:name w:val="正文文本缩进 Char1"/>
    <w:qFormat/>
    <w:uiPriority w:val="0"/>
    <w:rPr>
      <w:rFonts w:ascii="Calibri" w:hAnsi="Calibri"/>
      <w:sz w:val="28"/>
    </w:rPr>
  </w:style>
  <w:style w:type="character" w:customStyle="1" w:styleId="137">
    <w:name w:val="No Spacing Char"/>
    <w:link w:val="138"/>
    <w:qFormat/>
    <w:uiPriority w:val="1"/>
    <w:rPr>
      <w:sz w:val="22"/>
      <w:szCs w:val="22"/>
      <w:lang w:val="en-US" w:eastAsia="zh-CN" w:bidi="ar-SA"/>
    </w:rPr>
  </w:style>
  <w:style w:type="paragraph" w:customStyle="1" w:styleId="138">
    <w:name w:val="无间隔1"/>
    <w:link w:val="137"/>
    <w:qFormat/>
    <w:uiPriority w:val="1"/>
    <w:rPr>
      <w:rFonts w:ascii="Times New Roman" w:hAnsi="Times New Roman" w:eastAsia="宋体" w:cs="Times New Roman"/>
      <w:sz w:val="22"/>
      <w:szCs w:val="22"/>
      <w:lang w:val="en-US" w:eastAsia="zh-CN" w:bidi="ar-SA"/>
    </w:rPr>
  </w:style>
  <w:style w:type="character" w:customStyle="1" w:styleId="139">
    <w:name w:val="样式7 Char"/>
    <w:qFormat/>
    <w:uiPriority w:val="0"/>
    <w:rPr>
      <w:rFonts w:ascii="仿宋_GB2312" w:hAnsi="仿宋" w:eastAsia="仿宋_GB2312"/>
      <w:b/>
      <w:kern w:val="2"/>
      <w:sz w:val="24"/>
      <w:szCs w:val="24"/>
    </w:rPr>
  </w:style>
  <w:style w:type="character" w:customStyle="1" w:styleId="140">
    <w:name w:val="font12gray1"/>
    <w:qFormat/>
    <w:uiPriority w:val="0"/>
    <w:rPr>
      <w:rFonts w:ascii="仿宋_GB2312" w:eastAsia="微软雅黑"/>
      <w:b/>
      <w:spacing w:val="300"/>
      <w:kern w:val="2"/>
      <w:sz w:val="18"/>
      <w:szCs w:val="18"/>
      <w:lang w:val="en-US" w:eastAsia="zh-CN" w:bidi="ar-SA"/>
    </w:rPr>
  </w:style>
  <w:style w:type="character" w:customStyle="1" w:styleId="141">
    <w:name w:val="Char Char7"/>
    <w:semiHidden/>
    <w:qFormat/>
    <w:uiPriority w:val="0"/>
    <w:rPr>
      <w:rFonts w:eastAsia="宋体"/>
      <w:kern w:val="2"/>
      <w:sz w:val="21"/>
      <w:szCs w:val="24"/>
      <w:lang w:val="en-US" w:eastAsia="zh-CN" w:bidi="ar-SA"/>
    </w:rPr>
  </w:style>
  <w:style w:type="character" w:customStyle="1" w:styleId="142">
    <w:name w:val="表名 Char"/>
    <w:qFormat/>
    <w:uiPriority w:val="0"/>
    <w:rPr>
      <w:rFonts w:eastAsia="宋体"/>
      <w:b/>
      <w:bCs/>
      <w:kern w:val="2"/>
      <w:sz w:val="24"/>
      <w:szCs w:val="24"/>
      <w:lang w:val="en-US" w:eastAsia="zh-CN" w:bidi="ar-SA"/>
    </w:rPr>
  </w:style>
  <w:style w:type="character" w:customStyle="1" w:styleId="143">
    <w:name w:val="Document Map Char"/>
    <w:qFormat/>
    <w:locked/>
    <w:uiPriority w:val="0"/>
    <w:rPr>
      <w:rFonts w:eastAsia="宋体"/>
      <w:kern w:val="2"/>
      <w:sz w:val="21"/>
      <w:szCs w:val="24"/>
      <w:lang w:val="en-US" w:eastAsia="zh-CN" w:bidi="ar-SA"/>
    </w:rPr>
  </w:style>
  <w:style w:type="character" w:customStyle="1" w:styleId="144">
    <w:name w:val="font41"/>
    <w:qFormat/>
    <w:uiPriority w:val="0"/>
    <w:rPr>
      <w:rFonts w:hint="eastAsia" w:ascii="仿宋_GB2312" w:eastAsia="仿宋_GB2312" w:cs="仿宋_GB2312"/>
      <w:color w:val="000000"/>
      <w:sz w:val="22"/>
      <w:szCs w:val="22"/>
      <w:u w:val="none"/>
    </w:rPr>
  </w:style>
  <w:style w:type="character" w:customStyle="1" w:styleId="145">
    <w:name w:val="标题 6 Char"/>
    <w:link w:val="8"/>
    <w:qFormat/>
    <w:uiPriority w:val="0"/>
    <w:rPr>
      <w:rFonts w:ascii="Arial" w:hAnsi="Arial" w:eastAsia="黑体"/>
      <w:b/>
      <w:bCs/>
      <w:kern w:val="2"/>
      <w:sz w:val="24"/>
      <w:szCs w:val="24"/>
    </w:rPr>
  </w:style>
  <w:style w:type="character" w:customStyle="1" w:styleId="146">
    <w:name w:val="纯文本 Char_0"/>
    <w:link w:val="147"/>
    <w:qFormat/>
    <w:uiPriority w:val="0"/>
    <w:rPr>
      <w:rFonts w:ascii="宋体" w:hAnsi="Courier New"/>
      <w:kern w:val="2"/>
      <w:sz w:val="21"/>
      <w:szCs w:val="21"/>
      <w:lang w:val="en-US" w:eastAsia="zh-CN"/>
    </w:rPr>
  </w:style>
  <w:style w:type="paragraph" w:customStyle="1" w:styleId="147">
    <w:name w:val="纯文本_0_0"/>
    <w:basedOn w:val="148"/>
    <w:link w:val="146"/>
    <w:qFormat/>
    <w:uiPriority w:val="0"/>
    <w:rPr>
      <w:rFonts w:ascii="宋体" w:hAnsi="Courier New"/>
      <w:szCs w:val="21"/>
    </w:rPr>
  </w:style>
  <w:style w:type="paragraph" w:customStyle="1" w:styleId="14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Balloon Text Char"/>
    <w:qFormat/>
    <w:locked/>
    <w:uiPriority w:val="0"/>
    <w:rPr>
      <w:rFonts w:eastAsia="宋体"/>
      <w:kern w:val="2"/>
      <w:sz w:val="18"/>
      <w:szCs w:val="18"/>
      <w:lang w:val="en-US" w:eastAsia="zh-CN" w:bidi="ar-SA"/>
    </w:rPr>
  </w:style>
  <w:style w:type="character" w:customStyle="1" w:styleId="150">
    <w:name w:val="正文 项目2 Char"/>
    <w:basedOn w:val="151"/>
    <w:qFormat/>
    <w:uiPriority w:val="0"/>
    <w:rPr>
      <w:rFonts w:ascii="仿宋_GB2312" w:hAnsi="仿宋_GB2312" w:eastAsia="仿宋_GB2312"/>
      <w:kern w:val="2"/>
      <w:sz w:val="24"/>
      <w:lang w:bidi="ar-SA"/>
    </w:rPr>
  </w:style>
  <w:style w:type="character" w:customStyle="1" w:styleId="151">
    <w:name w:val="正文 项目 Char"/>
    <w:qFormat/>
    <w:uiPriority w:val="0"/>
    <w:rPr>
      <w:rFonts w:ascii="仿宋_GB2312" w:hAnsi="仿宋_GB2312" w:eastAsia="仿宋_GB2312"/>
      <w:kern w:val="2"/>
      <w:sz w:val="24"/>
      <w:lang w:bidi="ar-SA"/>
    </w:rPr>
  </w:style>
  <w:style w:type="character" w:customStyle="1" w:styleId="152">
    <w:name w:val="h Char Char1"/>
    <w:qFormat/>
    <w:uiPriority w:val="0"/>
    <w:rPr>
      <w:rFonts w:eastAsia="宋体"/>
      <w:kern w:val="2"/>
      <w:sz w:val="18"/>
      <w:szCs w:val="18"/>
      <w:lang w:val="en-US" w:eastAsia="zh-CN" w:bidi="ar-SA"/>
    </w:rPr>
  </w:style>
  <w:style w:type="character" w:customStyle="1" w:styleId="153">
    <w:name w:val="Char Char27"/>
    <w:qFormat/>
    <w:uiPriority w:val="6"/>
    <w:rPr>
      <w:rFonts w:ascii="宋体" w:hAnsi="宋体" w:eastAsia="宋体"/>
      <w:color w:val="000000"/>
      <w:kern w:val="1"/>
      <w:sz w:val="28"/>
      <w:lang w:val="en-US" w:eastAsia="zh-CN" w:bidi="ar-SA"/>
    </w:rPr>
  </w:style>
  <w:style w:type="character" w:customStyle="1" w:styleId="154">
    <w:name w:val="px14"/>
    <w:qFormat/>
    <w:uiPriority w:val="0"/>
    <w:rPr>
      <w:rFonts w:ascii="仿宋_GB2312" w:eastAsia="微软雅黑" w:cs="Times New Roman"/>
      <w:b/>
      <w:kern w:val="2"/>
      <w:sz w:val="32"/>
      <w:szCs w:val="32"/>
      <w:lang w:val="en-US" w:eastAsia="zh-CN" w:bidi="ar-SA"/>
    </w:rPr>
  </w:style>
  <w:style w:type="character" w:customStyle="1" w:styleId="155">
    <w:name w:val="HTML 预设格式 Char1"/>
    <w:qFormat/>
    <w:uiPriority w:val="0"/>
    <w:rPr>
      <w:rFonts w:ascii="Courier New" w:hAnsi="Courier New" w:eastAsia="宋体" w:cs="Courier New"/>
      <w:sz w:val="20"/>
      <w:szCs w:val="20"/>
    </w:rPr>
  </w:style>
  <w:style w:type="character" w:customStyle="1" w:styleId="156">
    <w:name w:val="普通文字 Char1"/>
    <w:qFormat/>
    <w:uiPriority w:val="0"/>
    <w:rPr>
      <w:rFonts w:ascii="宋体" w:hAnsi="Courier New" w:eastAsia="宋体"/>
      <w:kern w:val="2"/>
      <w:sz w:val="21"/>
      <w:lang w:val="en-US" w:eastAsia="zh-CN"/>
    </w:rPr>
  </w:style>
  <w:style w:type="character" w:customStyle="1" w:styleId="157">
    <w:name w:val="hei16b1"/>
    <w:qFormat/>
    <w:uiPriority w:val="0"/>
    <w:rPr>
      <w:rFonts w:hint="default" w:ascii="Arial" w:hAnsi="Arial" w:cs="Arial"/>
      <w:b/>
      <w:bCs/>
      <w:color w:val="000000"/>
      <w:sz w:val="24"/>
      <w:szCs w:val="24"/>
    </w:rPr>
  </w:style>
  <w:style w:type="character" w:customStyle="1" w:styleId="158">
    <w:name w:val="正文（绿盟科技） Char"/>
    <w:link w:val="159"/>
    <w:qFormat/>
    <w:uiPriority w:val="0"/>
    <w:rPr>
      <w:rFonts w:ascii="Arial" w:hAnsi="Arial"/>
      <w:sz w:val="21"/>
      <w:szCs w:val="21"/>
    </w:rPr>
  </w:style>
  <w:style w:type="paragraph" w:customStyle="1" w:styleId="159">
    <w:name w:val="正文（绿盟科技）"/>
    <w:link w:val="158"/>
    <w:qFormat/>
    <w:uiPriority w:val="0"/>
    <w:pPr>
      <w:spacing w:line="300" w:lineRule="auto"/>
    </w:pPr>
    <w:rPr>
      <w:rFonts w:ascii="Arial" w:hAnsi="Arial" w:eastAsia="宋体" w:cs="Times New Roman"/>
      <w:sz w:val="21"/>
      <w:szCs w:val="21"/>
      <w:lang w:val="en-US" w:eastAsia="zh-CN" w:bidi="ar-SA"/>
    </w:rPr>
  </w:style>
  <w:style w:type="character" w:customStyle="1" w:styleId="160">
    <w:name w:val="Char Char19"/>
    <w:qFormat/>
    <w:uiPriority w:val="6"/>
    <w:rPr>
      <w:rFonts w:ascii="宋体" w:hAnsi="宋体"/>
      <w:i/>
      <w:sz w:val="24"/>
      <w:szCs w:val="24"/>
    </w:rPr>
  </w:style>
  <w:style w:type="character" w:customStyle="1" w:styleId="161">
    <w:name w:val="页脚 Char"/>
    <w:qFormat/>
    <w:uiPriority w:val="0"/>
    <w:rPr>
      <w:rFonts w:eastAsia="仿宋_GB2312"/>
      <w:kern w:val="2"/>
      <w:sz w:val="18"/>
      <w:lang w:val="en-US" w:eastAsia="zh-CN"/>
    </w:rPr>
  </w:style>
  <w:style w:type="character" w:customStyle="1" w:styleId="162">
    <w:name w:val="批注主题 Char"/>
    <w:qFormat/>
    <w:uiPriority w:val="0"/>
    <w:rPr>
      <w:rFonts w:eastAsia="宋体"/>
      <w:b/>
      <w:bCs/>
      <w:kern w:val="2"/>
      <w:sz w:val="21"/>
      <w:szCs w:val="24"/>
      <w:lang w:val="en-US" w:eastAsia="zh-CN" w:bidi="ar-SA"/>
    </w:rPr>
  </w:style>
  <w:style w:type="character" w:customStyle="1" w:styleId="163">
    <w:name w:val="Comment Text Char"/>
    <w:qFormat/>
    <w:locked/>
    <w:uiPriority w:val="0"/>
    <w:rPr>
      <w:rFonts w:ascii="宋体" w:hAnsi="宋体" w:eastAsia="宋体"/>
      <w:kern w:val="2"/>
      <w:sz w:val="24"/>
      <w:lang w:val="en-US" w:eastAsia="zh-CN" w:bidi="ar-SA"/>
    </w:rPr>
  </w:style>
  <w:style w:type="character" w:customStyle="1" w:styleId="164">
    <w:name w:val="标题 2 字符"/>
    <w:qFormat/>
    <w:uiPriority w:val="1"/>
    <w:rPr>
      <w:rFonts w:ascii="仿宋_GB2312" w:hAnsi="Times New Roman" w:eastAsia="仿宋_GB2312" w:cs="Times New Roman"/>
      <w:b/>
      <w:kern w:val="2"/>
      <w:sz w:val="24"/>
      <w:lang w:val="zh-CN"/>
    </w:rPr>
  </w:style>
  <w:style w:type="character" w:customStyle="1" w:styleId="165">
    <w:name w:val="Char Char72"/>
    <w:qFormat/>
    <w:uiPriority w:val="0"/>
    <w:rPr>
      <w:rFonts w:eastAsia="宋体"/>
      <w:kern w:val="2"/>
      <w:sz w:val="21"/>
      <w:szCs w:val="24"/>
      <w:lang w:val="en-US" w:eastAsia="zh-CN" w:bidi="ar-SA"/>
    </w:rPr>
  </w:style>
  <w:style w:type="character" w:customStyle="1" w:styleId="166">
    <w:name w:val="正文文本缩进 Char2"/>
    <w:qFormat/>
    <w:uiPriority w:val="0"/>
    <w:rPr>
      <w:rFonts w:ascii="Times New Roman" w:hAnsi="Times New Roman" w:eastAsia="宋体" w:cs="Times New Roman"/>
      <w:snapToGrid w:val="0"/>
      <w:kern w:val="0"/>
      <w:szCs w:val="24"/>
    </w:rPr>
  </w:style>
  <w:style w:type="character" w:customStyle="1" w:styleId="167">
    <w:name w:val="样式2 Char"/>
    <w:qFormat/>
    <w:uiPriority w:val="0"/>
    <w:rPr>
      <w:rFonts w:ascii="仿宋_GB2312" w:hAnsi="仿宋" w:eastAsia="仿宋_GB2312" w:cs="仿宋_GB2312"/>
      <w:b/>
      <w:bCs/>
      <w:sz w:val="32"/>
      <w:szCs w:val="30"/>
      <w:lang w:val="zh-CN"/>
    </w:rPr>
  </w:style>
  <w:style w:type="character" w:customStyle="1" w:styleId="168">
    <w:name w:val="表格名称[858D7CFB-ED40-4347-BF05-701D383B685F]"/>
    <w:link w:val="169"/>
    <w:qFormat/>
    <w:uiPriority w:val="0"/>
    <w:rPr>
      <w:sz w:val="32"/>
    </w:rPr>
  </w:style>
  <w:style w:type="paragraph" w:customStyle="1" w:styleId="169">
    <w:name w:val="表格名称"/>
    <w:basedOn w:val="3"/>
    <w:link w:val="168"/>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0">
    <w:name w:val="Char Char4"/>
    <w:qFormat/>
    <w:uiPriority w:val="0"/>
    <w:rPr>
      <w:rFonts w:eastAsia="宋体"/>
      <w:b/>
      <w:sz w:val="24"/>
      <w:lang w:val="en-GB" w:eastAsia="zh-CN" w:bidi="ar-SA"/>
    </w:rPr>
  </w:style>
  <w:style w:type="character" w:customStyle="1" w:styleId="171">
    <w:name w:val="c7 style3"/>
    <w:qFormat/>
    <w:uiPriority w:val="0"/>
  </w:style>
  <w:style w:type="character" w:customStyle="1" w:styleId="172">
    <w:name w:val="正文文本 3 Char1"/>
    <w:semiHidden/>
    <w:qFormat/>
    <w:uiPriority w:val="99"/>
    <w:rPr>
      <w:rFonts w:ascii="Times New Roman" w:hAnsi="Times New Roman" w:eastAsia="宋体" w:cs="Times New Roman"/>
      <w:sz w:val="16"/>
      <w:szCs w:val="16"/>
    </w:rPr>
  </w:style>
  <w:style w:type="character" w:customStyle="1" w:styleId="173">
    <w:name w:val="tw4winInternal"/>
    <w:qFormat/>
    <w:uiPriority w:val="0"/>
    <w:rPr>
      <w:rFonts w:ascii="Courier New" w:hAnsi="Courier New" w:cs="Courier New"/>
      <w:color w:val="FF0000"/>
      <w:lang w:val="en-US" w:eastAsia="zh-CN"/>
    </w:rPr>
  </w:style>
  <w:style w:type="character" w:customStyle="1" w:styleId="174">
    <w:name w:val="Char Char10"/>
    <w:semiHidden/>
    <w:qFormat/>
    <w:uiPriority w:val="0"/>
    <w:rPr>
      <w:rFonts w:ascii="宋体" w:hAnsi="宋体"/>
      <w:kern w:val="2"/>
      <w:sz w:val="21"/>
      <w:szCs w:val="24"/>
      <w:lang w:val="en-US" w:eastAsia="zh-CN"/>
    </w:rPr>
  </w:style>
  <w:style w:type="character" w:customStyle="1" w:styleId="175">
    <w:name w:val="shadow11"/>
    <w:qFormat/>
    <w:uiPriority w:val="0"/>
    <w:rPr>
      <w:color w:val="000000"/>
      <w:sz w:val="21"/>
    </w:rPr>
  </w:style>
  <w:style w:type="character" w:customStyle="1" w:styleId="176">
    <w:name w:val="正文非缩进 Char3"/>
    <w:qFormat/>
    <w:uiPriority w:val="0"/>
    <w:rPr>
      <w:rFonts w:ascii="宋体" w:eastAsia="宋体"/>
      <w:snapToGrid w:val="0"/>
      <w:color w:val="000000"/>
      <w:kern w:val="28"/>
      <w:sz w:val="28"/>
      <w:lang w:val="en-US" w:eastAsia="zh-CN" w:bidi="ar-SA"/>
    </w:rPr>
  </w:style>
  <w:style w:type="character" w:customStyle="1" w:styleId="177">
    <w:name w:val="Char Char"/>
    <w:qFormat/>
    <w:uiPriority w:val="0"/>
    <w:rPr>
      <w:rFonts w:ascii="宋体" w:hAnsi="Courier New" w:eastAsia="宋体"/>
      <w:kern w:val="2"/>
      <w:sz w:val="21"/>
      <w:lang w:val="en-US" w:eastAsia="zh-CN" w:bidi="ar-SA"/>
    </w:rPr>
  </w:style>
  <w:style w:type="character" w:customStyle="1" w:styleId="178">
    <w:name w:val="签名 Char1"/>
    <w:qFormat/>
    <w:uiPriority w:val="0"/>
    <w:rPr>
      <w:rFonts w:ascii="Times New Roman" w:hAnsi="Times New Roman" w:eastAsia="宋体" w:cs="Times New Roman"/>
      <w:szCs w:val="24"/>
    </w:rPr>
  </w:style>
  <w:style w:type="character" w:customStyle="1" w:styleId="179">
    <w:name w:val="日期 Char"/>
    <w:link w:val="35"/>
    <w:qFormat/>
    <w:uiPriority w:val="0"/>
    <w:rPr>
      <w:rFonts w:ascii="宋体"/>
      <w:kern w:val="2"/>
      <w:sz w:val="24"/>
      <w:szCs w:val="21"/>
      <w:lang w:val="zh-CN"/>
    </w:rPr>
  </w:style>
  <w:style w:type="character" w:customStyle="1" w:styleId="180">
    <w:name w:val="标题 9 Char"/>
    <w:link w:val="11"/>
    <w:qFormat/>
    <w:uiPriority w:val="0"/>
    <w:rPr>
      <w:rFonts w:ascii="Arial" w:hAnsi="Arial" w:eastAsia="黑体"/>
      <w:kern w:val="2"/>
      <w:sz w:val="21"/>
      <w:szCs w:val="21"/>
    </w:rPr>
  </w:style>
  <w:style w:type="character" w:customStyle="1" w:styleId="181">
    <w:name w:val="Char Char18"/>
    <w:qFormat/>
    <w:uiPriority w:val="6"/>
    <w:rPr>
      <w:rFonts w:ascii="宋体" w:hAnsi="宋体"/>
      <w:sz w:val="28"/>
    </w:rPr>
  </w:style>
  <w:style w:type="character" w:customStyle="1" w:styleId="182">
    <w:name w:val="批注文字 Char"/>
    <w:qFormat/>
    <w:uiPriority w:val="99"/>
    <w:rPr>
      <w:kern w:val="2"/>
      <w:sz w:val="21"/>
      <w:szCs w:val="24"/>
    </w:rPr>
  </w:style>
  <w:style w:type="character" w:customStyle="1" w:styleId="183">
    <w:name w:val="Char Char22"/>
    <w:qFormat/>
    <w:uiPriority w:val="6"/>
    <w:rPr>
      <w:rFonts w:ascii="宋体" w:hAnsi="宋体"/>
      <w:kern w:val="1"/>
      <w:sz w:val="24"/>
      <w:szCs w:val="24"/>
    </w:rPr>
  </w:style>
  <w:style w:type="character" w:customStyle="1" w:styleId="184">
    <w:name w:val="pt141"/>
    <w:qFormat/>
    <w:uiPriority w:val="0"/>
    <w:rPr>
      <w:color w:val="330066"/>
      <w:sz w:val="22"/>
      <w:szCs w:val="22"/>
    </w:rPr>
  </w:style>
  <w:style w:type="character" w:customStyle="1" w:styleId="185">
    <w:name w:val="正文文本缩进 2 Char1"/>
    <w:semiHidden/>
    <w:qFormat/>
    <w:uiPriority w:val="99"/>
    <w:rPr>
      <w:rFonts w:ascii="Times New Roman" w:hAnsi="Times New Roman" w:eastAsia="宋体" w:cs="Times New Roman"/>
      <w:szCs w:val="24"/>
    </w:rPr>
  </w:style>
  <w:style w:type="character" w:customStyle="1" w:styleId="186">
    <w:name w:val="批注框文本 Char"/>
    <w:link w:val="38"/>
    <w:qFormat/>
    <w:uiPriority w:val="0"/>
    <w:rPr>
      <w:kern w:val="2"/>
      <w:sz w:val="18"/>
      <w:szCs w:val="18"/>
    </w:rPr>
  </w:style>
  <w:style w:type="character" w:customStyle="1" w:styleId="187">
    <w:name w:val="Char Char611"/>
    <w:qFormat/>
    <w:uiPriority w:val="0"/>
    <w:rPr>
      <w:rFonts w:eastAsia="宋体"/>
      <w:kern w:val="2"/>
      <w:sz w:val="21"/>
      <w:szCs w:val="24"/>
      <w:lang w:val="en-US" w:eastAsia="zh-CN" w:bidi="ar-SA"/>
    </w:rPr>
  </w:style>
  <w:style w:type="character" w:customStyle="1" w:styleId="188">
    <w:name w:val="highlight1"/>
    <w:qFormat/>
    <w:uiPriority w:val="0"/>
    <w:rPr>
      <w:rFonts w:ascii="仿宋_GB2312" w:eastAsia="微软雅黑"/>
      <w:b/>
      <w:kern w:val="2"/>
      <w:sz w:val="23"/>
      <w:szCs w:val="23"/>
      <w:lang w:val="en-US" w:eastAsia="zh-CN" w:bidi="ar-SA"/>
    </w:rPr>
  </w:style>
  <w:style w:type="character" w:customStyle="1" w:styleId="189">
    <w:name w:val="my正文 Char"/>
    <w:link w:val="190"/>
    <w:qFormat/>
    <w:locked/>
    <w:uiPriority w:val="0"/>
    <w:rPr>
      <w:rFonts w:ascii="Tahoma" w:hAnsi="Tahoma"/>
      <w:sz w:val="24"/>
      <w:szCs w:val="24"/>
    </w:rPr>
  </w:style>
  <w:style w:type="paragraph" w:customStyle="1" w:styleId="190">
    <w:name w:val="my正文"/>
    <w:basedOn w:val="1"/>
    <w:link w:val="189"/>
    <w:qFormat/>
    <w:uiPriority w:val="0"/>
    <w:pPr>
      <w:adjustRightInd/>
      <w:spacing w:line="360" w:lineRule="auto"/>
      <w:ind w:firstLine="480" w:firstLineChars="200"/>
    </w:pPr>
    <w:rPr>
      <w:rFonts w:ascii="Tahoma" w:hAnsi="Tahoma"/>
      <w:kern w:val="0"/>
      <w:sz w:val="24"/>
    </w:rPr>
  </w:style>
  <w:style w:type="character" w:customStyle="1" w:styleId="191">
    <w:name w:val="正文缩进 Char2"/>
    <w:link w:val="5"/>
    <w:qFormat/>
    <w:uiPriority w:val="0"/>
    <w:rPr>
      <w:rFonts w:ascii="宋体" w:eastAsia="宋体"/>
      <w:snapToGrid w:val="0"/>
      <w:color w:val="000000"/>
      <w:kern w:val="28"/>
      <w:sz w:val="28"/>
      <w:lang w:val="en-US" w:eastAsia="zh-CN" w:bidi="ar-SA"/>
    </w:rPr>
  </w:style>
  <w:style w:type="character" w:customStyle="1" w:styleId="192">
    <w:name w:val="Used by Word for text of Help footnotes Char Char1"/>
    <w:qFormat/>
    <w:uiPriority w:val="0"/>
    <w:rPr>
      <w:color w:val="0000FF"/>
      <w:sz w:val="21"/>
    </w:rPr>
  </w:style>
  <w:style w:type="character" w:customStyle="1" w:styleId="193">
    <w:name w:val="页眉 Char"/>
    <w:qFormat/>
    <w:uiPriority w:val="0"/>
    <w:rPr>
      <w:rFonts w:eastAsia="仿宋_GB2312"/>
      <w:kern w:val="2"/>
      <w:sz w:val="18"/>
      <w:lang w:val="en-US" w:eastAsia="zh-CN"/>
    </w:rPr>
  </w:style>
  <w:style w:type="character" w:customStyle="1" w:styleId="194">
    <w:name w:val="FA正文 Char Char"/>
    <w:qFormat/>
    <w:uiPriority w:val="0"/>
    <w:rPr>
      <w:rFonts w:hAnsi="宋体"/>
      <w:kern w:val="2"/>
      <w:sz w:val="24"/>
      <w:lang w:bidi="ar-SA"/>
    </w:rPr>
  </w:style>
  <w:style w:type="character" w:customStyle="1" w:styleId="195">
    <w:name w:val="纯文本 字符"/>
    <w:qFormat/>
    <w:uiPriority w:val="0"/>
    <w:rPr>
      <w:rFonts w:ascii="宋体" w:hAnsi="Courier New" w:eastAsia="宋体" w:cs="Arial"/>
      <w:snapToGrid w:val="0"/>
      <w:kern w:val="2"/>
      <w:sz w:val="21"/>
      <w:szCs w:val="21"/>
      <w:lang w:val="en-US" w:eastAsia="zh-CN" w:bidi="ar-SA"/>
    </w:rPr>
  </w:style>
  <w:style w:type="character" w:customStyle="1" w:styleId="196">
    <w:name w:val="3级 Char"/>
    <w:link w:val="197"/>
    <w:qFormat/>
    <w:uiPriority w:val="0"/>
    <w:rPr>
      <w:rFonts w:ascii="宋体" w:hAnsi="宋体"/>
      <w:b/>
      <w:bCs/>
      <w:snapToGrid/>
      <w:sz w:val="28"/>
    </w:rPr>
  </w:style>
  <w:style w:type="paragraph" w:customStyle="1" w:styleId="197">
    <w:name w:val="3级"/>
    <w:basedOn w:val="198"/>
    <w:link w:val="196"/>
    <w:qFormat/>
    <w:uiPriority w:val="0"/>
    <w:pPr>
      <w:ind w:left="0" w:right="466" w:firstLine="288"/>
    </w:pPr>
    <w:rPr>
      <w:rFonts w:hAnsi="宋体"/>
      <w:snapToGrid/>
    </w:rPr>
  </w:style>
  <w:style w:type="paragraph" w:customStyle="1" w:styleId="198">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199">
    <w:name w:val="myp11"/>
    <w:qFormat/>
    <w:uiPriority w:val="0"/>
    <w:rPr>
      <w:rFonts w:ascii="仿宋_GB2312" w:eastAsia="微软雅黑"/>
      <w:b/>
      <w:kern w:val="2"/>
      <w:sz w:val="32"/>
      <w:szCs w:val="32"/>
      <w:lang w:val="en-US" w:eastAsia="zh-CN" w:bidi="ar-SA"/>
    </w:rPr>
  </w:style>
  <w:style w:type="character" w:customStyle="1" w:styleId="200">
    <w:name w:val="文档结构图 Char1"/>
    <w:link w:val="18"/>
    <w:qFormat/>
    <w:uiPriority w:val="0"/>
    <w:rPr>
      <w:kern w:val="2"/>
      <w:sz w:val="21"/>
      <w:szCs w:val="24"/>
      <w:shd w:val="clear" w:color="auto" w:fill="000080"/>
    </w:rPr>
  </w:style>
  <w:style w:type="character" w:customStyle="1" w:styleId="201">
    <w:name w:val="H6 Char"/>
    <w:qFormat/>
    <w:uiPriority w:val="0"/>
    <w:rPr>
      <w:rFonts w:ascii="Arial" w:hAnsi="Arial" w:eastAsia="黑体"/>
      <w:b/>
      <w:bCs/>
      <w:kern w:val="2"/>
      <w:sz w:val="24"/>
      <w:szCs w:val="24"/>
    </w:rPr>
  </w:style>
  <w:style w:type="character" w:customStyle="1" w:styleId="202">
    <w:name w:val="Char Char91"/>
    <w:qFormat/>
    <w:uiPriority w:val="0"/>
    <w:rPr>
      <w:rFonts w:eastAsia="宋体"/>
      <w:kern w:val="2"/>
      <w:sz w:val="18"/>
      <w:szCs w:val="18"/>
      <w:lang w:val="en-US" w:eastAsia="zh-CN" w:bidi="ar-SA"/>
    </w:rPr>
  </w:style>
  <w:style w:type="character" w:customStyle="1" w:styleId="203">
    <w:name w:val="副标题 Char1"/>
    <w:qFormat/>
    <w:uiPriority w:val="0"/>
    <w:rPr>
      <w:rFonts w:ascii="Cambria" w:hAnsi="Cambria" w:eastAsia="宋体" w:cs="Times New Roman"/>
      <w:b/>
      <w:bCs/>
      <w:snapToGrid w:val="0"/>
      <w:kern w:val="28"/>
      <w:sz w:val="32"/>
      <w:szCs w:val="32"/>
    </w:rPr>
  </w:style>
  <w:style w:type="character" w:customStyle="1" w:styleId="204">
    <w:name w:val="font61"/>
    <w:basedOn w:val="69"/>
    <w:qFormat/>
    <w:uiPriority w:val="0"/>
    <w:rPr>
      <w:rFonts w:hint="eastAsia" w:ascii="仿宋" w:hAnsi="仿宋" w:eastAsia="仿宋" w:cs="仿宋"/>
      <w:color w:val="000000"/>
      <w:sz w:val="20"/>
      <w:szCs w:val="20"/>
      <w:u w:val="none"/>
    </w:rPr>
  </w:style>
  <w:style w:type="character" w:customStyle="1" w:styleId="205">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6">
    <w:name w:val="Char Char211"/>
    <w:qFormat/>
    <w:uiPriority w:val="0"/>
    <w:rPr>
      <w:rFonts w:eastAsia="宋体"/>
      <w:b/>
      <w:bCs/>
      <w:kern w:val="2"/>
      <w:sz w:val="21"/>
      <w:szCs w:val="24"/>
      <w:lang w:val="en-US" w:eastAsia="zh-CN" w:bidi="ar-SA"/>
    </w:rPr>
  </w:style>
  <w:style w:type="character" w:customStyle="1" w:styleId="207">
    <w:name w:val="标题 2 Char"/>
    <w:qFormat/>
    <w:uiPriority w:val="0"/>
    <w:rPr>
      <w:rFonts w:ascii="Arial" w:hAnsi="Arial" w:eastAsia="黑体"/>
      <w:b/>
      <w:kern w:val="2"/>
      <w:sz w:val="32"/>
      <w:lang w:val="en-US" w:eastAsia="zh-CN"/>
    </w:rPr>
  </w:style>
  <w:style w:type="character" w:customStyle="1" w:styleId="208">
    <w:name w:val="maywed421"/>
    <w:qFormat/>
    <w:uiPriority w:val="0"/>
    <w:rPr>
      <w:color w:val="366FB6"/>
      <w:u w:val="none"/>
    </w:rPr>
  </w:style>
  <w:style w:type="character" w:customStyle="1" w:styleId="209">
    <w:name w:val="正文文本缩进 Char"/>
    <w:qFormat/>
    <w:uiPriority w:val="0"/>
    <w:rPr>
      <w:rFonts w:ascii="宋体" w:hAnsi="宋体"/>
      <w:kern w:val="2"/>
      <w:sz w:val="24"/>
      <w:szCs w:val="24"/>
    </w:rPr>
  </w:style>
  <w:style w:type="character" w:customStyle="1" w:styleId="210">
    <w:name w:val="Char Char102"/>
    <w:semiHidden/>
    <w:qFormat/>
    <w:uiPriority w:val="0"/>
    <w:rPr>
      <w:rFonts w:ascii="宋体" w:hAnsi="宋体"/>
      <w:kern w:val="2"/>
      <w:sz w:val="21"/>
      <w:szCs w:val="24"/>
      <w:lang w:val="en-US" w:eastAsia="zh-CN"/>
    </w:rPr>
  </w:style>
  <w:style w:type="character" w:customStyle="1" w:styleId="211">
    <w:name w:val="页眉 Char1"/>
    <w:qFormat/>
    <w:uiPriority w:val="0"/>
    <w:rPr>
      <w:rFonts w:eastAsia="宋体"/>
      <w:kern w:val="2"/>
      <w:sz w:val="18"/>
      <w:szCs w:val="18"/>
      <w:lang w:val="en-US" w:eastAsia="zh-CN" w:bidi="ar-SA"/>
    </w:rPr>
  </w:style>
  <w:style w:type="character" w:customStyle="1" w:styleId="212">
    <w:name w:val="md"/>
    <w:basedOn w:val="69"/>
    <w:qFormat/>
    <w:uiPriority w:val="0"/>
    <w:rPr>
      <w:rFonts w:ascii="Arial" w:hAnsi="Arial" w:eastAsia="黑体" w:cs="Arial"/>
      <w:snapToGrid w:val="0"/>
      <w:kern w:val="0"/>
      <w:szCs w:val="21"/>
    </w:rPr>
  </w:style>
  <w:style w:type="character" w:customStyle="1" w:styleId="213">
    <w:name w:val="big1"/>
    <w:qFormat/>
    <w:uiPriority w:val="0"/>
    <w:rPr>
      <w:rFonts w:hint="eastAsia" w:ascii="宋体" w:hAnsi="宋体" w:eastAsia="宋体"/>
      <w:color w:val="333333"/>
      <w:sz w:val="22"/>
      <w:szCs w:val="22"/>
    </w:rPr>
  </w:style>
  <w:style w:type="character" w:customStyle="1" w:styleId="214">
    <w:name w:val="Char Char311"/>
    <w:qFormat/>
    <w:uiPriority w:val="0"/>
    <w:rPr>
      <w:rFonts w:eastAsia="宋体"/>
      <w:kern w:val="2"/>
      <w:sz w:val="21"/>
      <w:szCs w:val="24"/>
      <w:lang w:val="en-US" w:eastAsia="zh-CN" w:bidi="ar-SA"/>
    </w:rPr>
  </w:style>
  <w:style w:type="character" w:customStyle="1" w:styleId="215">
    <w:name w:val="Char Char81"/>
    <w:qFormat/>
    <w:uiPriority w:val="6"/>
    <w:rPr>
      <w:rFonts w:eastAsia="宋体"/>
      <w:b/>
      <w:sz w:val="24"/>
      <w:lang w:val="en-GB" w:eastAsia="zh-CN"/>
    </w:rPr>
  </w:style>
  <w:style w:type="character" w:customStyle="1" w:styleId="216">
    <w:name w:val="样式3 Char"/>
    <w:basedOn w:val="167"/>
    <w:qFormat/>
    <w:uiPriority w:val="0"/>
    <w:rPr>
      <w:rFonts w:ascii="仿宋_GB2312" w:hAnsi="仿宋" w:eastAsia="仿宋_GB2312" w:cs="仿宋_GB2312"/>
      <w:sz w:val="32"/>
      <w:szCs w:val="30"/>
      <w:lang w:val="zh-CN"/>
    </w:rPr>
  </w:style>
  <w:style w:type="character" w:customStyle="1" w:styleId="217">
    <w:name w:val="HTML 地址 Char"/>
    <w:link w:val="29"/>
    <w:qFormat/>
    <w:uiPriority w:val="0"/>
    <w:rPr>
      <w:rFonts w:ascii="宋体" w:hAnsi="宋体"/>
      <w:i/>
      <w:iCs/>
      <w:sz w:val="24"/>
      <w:szCs w:val="24"/>
    </w:rPr>
  </w:style>
  <w:style w:type="character" w:customStyle="1" w:styleId="218">
    <w:name w:val="正文首行缩进 2 Char1"/>
    <w:qFormat/>
    <w:uiPriority w:val="0"/>
    <w:rPr>
      <w:rFonts w:ascii="Times New Roman" w:hAnsi="Times New Roman" w:eastAsia="宋体" w:cs="Times New Roman"/>
      <w:kern w:val="2"/>
      <w:sz w:val="24"/>
      <w:szCs w:val="24"/>
    </w:rPr>
  </w:style>
  <w:style w:type="character" w:customStyle="1" w:styleId="219">
    <w:name w:val="副标题 Char2"/>
    <w:qFormat/>
    <w:uiPriority w:val="0"/>
    <w:rPr>
      <w:rFonts w:ascii="Cambria" w:hAnsi="Cambria" w:eastAsia="宋体" w:cs="Times New Roman"/>
      <w:b/>
      <w:bCs/>
      <w:snapToGrid w:val="0"/>
      <w:kern w:val="28"/>
      <w:sz w:val="32"/>
      <w:szCs w:val="32"/>
    </w:rPr>
  </w:style>
  <w:style w:type="character" w:customStyle="1" w:styleId="220">
    <w:name w:val="标题4-dyf Char"/>
    <w:link w:val="221"/>
    <w:qFormat/>
    <w:uiPriority w:val="0"/>
    <w:rPr>
      <w:rFonts w:ascii="Cambria" w:hAnsi="Cambria"/>
      <w:b/>
      <w:bCs/>
      <w:color w:val="000000"/>
      <w:kern w:val="2"/>
      <w:sz w:val="21"/>
      <w:szCs w:val="21"/>
    </w:rPr>
  </w:style>
  <w:style w:type="paragraph" w:customStyle="1" w:styleId="221">
    <w:name w:val="标题4-dyf"/>
    <w:basedOn w:val="6"/>
    <w:link w:val="220"/>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2">
    <w:name w:val="dectext1"/>
    <w:qFormat/>
    <w:uiPriority w:val="0"/>
    <w:rPr>
      <w:rFonts w:ascii="宋体" w:hAnsi="宋体" w:eastAsia="宋体"/>
      <w:color w:val="333333"/>
      <w:sz w:val="21"/>
      <w:szCs w:val="21"/>
      <w:u w:val="none"/>
    </w:rPr>
  </w:style>
  <w:style w:type="character" w:customStyle="1" w:styleId="223">
    <w:name w:val="冯 Char"/>
    <w:link w:val="224"/>
    <w:qFormat/>
    <w:uiPriority w:val="0"/>
    <w:rPr>
      <w:rFonts w:ascii="宋体" w:hAnsi="宋体"/>
      <w:color w:val="000000"/>
      <w:sz w:val="24"/>
      <w:szCs w:val="24"/>
    </w:rPr>
  </w:style>
  <w:style w:type="paragraph" w:customStyle="1" w:styleId="224">
    <w:name w:val="冯"/>
    <w:basedOn w:val="1"/>
    <w:link w:val="223"/>
    <w:qFormat/>
    <w:uiPriority w:val="0"/>
    <w:pPr>
      <w:widowControl/>
      <w:adjustRightInd/>
      <w:spacing w:line="360" w:lineRule="auto"/>
      <w:ind w:firstLine="480" w:firstLineChars="200"/>
    </w:pPr>
    <w:rPr>
      <w:rFonts w:ascii="宋体" w:hAnsi="宋体"/>
      <w:color w:val="000000"/>
      <w:kern w:val="0"/>
      <w:sz w:val="24"/>
    </w:rPr>
  </w:style>
  <w:style w:type="character" w:customStyle="1" w:styleId="225">
    <w:name w:val="Header Char"/>
    <w:qFormat/>
    <w:locked/>
    <w:uiPriority w:val="0"/>
    <w:rPr>
      <w:rFonts w:eastAsia="宋体"/>
      <w:kern w:val="2"/>
      <w:sz w:val="18"/>
      <w:szCs w:val="18"/>
      <w:lang w:val="en-US" w:eastAsia="zh-CN" w:bidi="ar-SA"/>
    </w:rPr>
  </w:style>
  <w:style w:type="character" w:customStyle="1" w:styleId="226">
    <w:name w:val="Char Char12"/>
    <w:qFormat/>
    <w:uiPriority w:val="0"/>
    <w:rPr>
      <w:rFonts w:ascii="仿宋_GB2312" w:eastAsia="仿宋_GB2312"/>
      <w:b/>
      <w:bCs/>
      <w:kern w:val="2"/>
      <w:sz w:val="24"/>
      <w:szCs w:val="24"/>
      <w:lang w:val="zh-CN" w:eastAsia="zh-CN" w:bidi="ar-SA"/>
    </w:rPr>
  </w:style>
  <w:style w:type="character" w:customStyle="1" w:styleId="227">
    <w:name w:val="题注 Char"/>
    <w:link w:val="16"/>
    <w:qFormat/>
    <w:uiPriority w:val="0"/>
    <w:rPr>
      <w:b/>
      <w:kern w:val="2"/>
      <w:sz w:val="28"/>
    </w:rPr>
  </w:style>
  <w:style w:type="character" w:customStyle="1" w:styleId="228">
    <w:name w:val="普通文字 Char3"/>
    <w:qFormat/>
    <w:uiPriority w:val="0"/>
    <w:rPr>
      <w:rFonts w:ascii="宋体" w:hAnsi="Courier New" w:eastAsia="宋体"/>
      <w:kern w:val="2"/>
      <w:sz w:val="21"/>
      <w:lang w:val="en-US" w:eastAsia="zh-CN" w:bidi="ar-SA"/>
    </w:rPr>
  </w:style>
  <w:style w:type="character" w:customStyle="1" w:styleId="229">
    <w:name w:val="公文正文 Char"/>
    <w:qFormat/>
    <w:uiPriority w:val="0"/>
    <w:rPr>
      <w:rFonts w:ascii="仿宋_GB2312" w:eastAsia="仿宋_GB2312"/>
      <w:kern w:val="2"/>
      <w:sz w:val="24"/>
      <w:szCs w:val="24"/>
      <w:lang w:val="en-US" w:eastAsia="zh-CN" w:bidi="ar-SA"/>
    </w:rPr>
  </w:style>
  <w:style w:type="character" w:customStyle="1" w:styleId="230">
    <w:name w:val="正文首行缩进 Char Char Char Char Char"/>
    <w:qFormat/>
    <w:uiPriority w:val="0"/>
    <w:rPr>
      <w:rFonts w:ascii="宋体"/>
      <w:kern w:val="2"/>
      <w:sz w:val="24"/>
      <w:lang w:val="zh-CN"/>
    </w:rPr>
  </w:style>
  <w:style w:type="character" w:customStyle="1" w:styleId="231">
    <w:name w:val="PI Char"/>
    <w:qFormat/>
    <w:uiPriority w:val="0"/>
    <w:rPr>
      <w:rFonts w:ascii="宋体" w:hAnsi="宋体" w:eastAsia="宋体"/>
      <w:kern w:val="2"/>
      <w:sz w:val="24"/>
      <w:szCs w:val="24"/>
      <w:lang w:val="en-US" w:eastAsia="zh-CN" w:bidi="ar-SA"/>
    </w:rPr>
  </w:style>
  <w:style w:type="character" w:customStyle="1" w:styleId="232">
    <w:name w:val="Default Char"/>
    <w:link w:val="233"/>
    <w:qFormat/>
    <w:uiPriority w:val="0"/>
    <w:rPr>
      <w:rFonts w:ascii="仿宋_GB2312" w:eastAsia="仿宋_GB2312" w:cs="仿宋_GB2312"/>
      <w:color w:val="000000"/>
      <w:sz w:val="24"/>
      <w:szCs w:val="24"/>
      <w:lang w:val="en-US" w:eastAsia="zh-CN" w:bidi="ar-SA"/>
    </w:rPr>
  </w:style>
  <w:style w:type="paragraph" w:customStyle="1" w:styleId="233">
    <w:name w:val="Default"/>
    <w:link w:val="23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4">
    <w:name w:val="style91"/>
    <w:qFormat/>
    <w:uiPriority w:val="0"/>
    <w:rPr>
      <w:color w:val="333333"/>
    </w:rPr>
  </w:style>
  <w:style w:type="character" w:customStyle="1" w:styleId="235">
    <w:name w:val="列出段落 Char2"/>
    <w:qFormat/>
    <w:uiPriority w:val="34"/>
    <w:rPr>
      <w:rFonts w:ascii="Calibri" w:hAnsi="Calibri"/>
      <w:kern w:val="2"/>
      <w:sz w:val="28"/>
    </w:rPr>
  </w:style>
  <w:style w:type="character" w:customStyle="1" w:styleId="236">
    <w:name w:val="mdeck"/>
    <w:qFormat/>
    <w:uiPriority w:val="0"/>
    <w:rPr>
      <w:rFonts w:ascii="仿宋_GB2312" w:eastAsia="微软雅黑"/>
      <w:b/>
      <w:kern w:val="2"/>
      <w:sz w:val="32"/>
      <w:szCs w:val="32"/>
      <w:lang w:val="en-US" w:eastAsia="zh-CN" w:bidi="ar-SA"/>
    </w:rPr>
  </w:style>
  <w:style w:type="character" w:customStyle="1" w:styleId="237">
    <w:name w:val="unnamed11"/>
    <w:qFormat/>
    <w:uiPriority w:val="0"/>
    <w:rPr>
      <w:sz w:val="20"/>
      <w:szCs w:val="20"/>
    </w:rPr>
  </w:style>
  <w:style w:type="character" w:customStyle="1" w:styleId="238">
    <w:name w:val="正文文本 Char2"/>
    <w:semiHidden/>
    <w:qFormat/>
    <w:uiPriority w:val="99"/>
    <w:rPr>
      <w:rFonts w:ascii="Times New Roman" w:hAnsi="Times New Roman" w:eastAsia="宋体" w:cs="Times New Roman"/>
      <w:snapToGrid w:val="0"/>
      <w:kern w:val="0"/>
      <w:szCs w:val="24"/>
    </w:rPr>
  </w:style>
  <w:style w:type="character" w:customStyle="1" w:styleId="239">
    <w:name w:val="标书正文格式 Char"/>
    <w:qFormat/>
    <w:uiPriority w:val="0"/>
    <w:rPr>
      <w:rFonts w:eastAsia="楷体_GB2312"/>
      <w:kern w:val="2"/>
      <w:sz w:val="24"/>
      <w:szCs w:val="24"/>
      <w:lang w:bidi="ar-SA"/>
    </w:rPr>
  </w:style>
  <w:style w:type="character" w:customStyle="1" w:styleId="240">
    <w:name w:val="Char Char11"/>
    <w:qFormat/>
    <w:locked/>
    <w:uiPriority w:val="0"/>
    <w:rPr>
      <w:rFonts w:ascii="宋体" w:hAnsi="宋体" w:eastAsia="宋体"/>
      <w:b/>
      <w:kern w:val="2"/>
      <w:sz w:val="24"/>
      <w:szCs w:val="24"/>
      <w:lang w:val="en-US" w:eastAsia="zh-CN" w:bidi="ar-SA"/>
    </w:rPr>
  </w:style>
  <w:style w:type="character" w:customStyle="1" w:styleId="241">
    <w:name w:val="ca-131"/>
    <w:qFormat/>
    <w:uiPriority w:val="0"/>
    <w:rPr>
      <w:rFonts w:hint="eastAsia" w:ascii="仿宋_GB2312" w:eastAsia="仿宋_GB2312"/>
      <w:b/>
      <w:bCs/>
      <w:color w:val="000000"/>
      <w:spacing w:val="-20"/>
      <w:sz w:val="24"/>
      <w:szCs w:val="24"/>
    </w:rPr>
  </w:style>
  <w:style w:type="character" w:customStyle="1" w:styleId="242">
    <w:name w:val="tw4winMark"/>
    <w:qFormat/>
    <w:uiPriority w:val="0"/>
    <w:rPr>
      <w:rFonts w:ascii="Courier New" w:hAnsi="Courier New" w:cs="Courier New"/>
      <w:vanish/>
      <w:color w:val="800080"/>
      <w:sz w:val="24"/>
      <w:szCs w:val="24"/>
      <w:vertAlign w:val="subscript"/>
    </w:rPr>
  </w:style>
  <w:style w:type="character" w:customStyle="1" w:styleId="243">
    <w:name w:val="正文样式 Char"/>
    <w:link w:val="244"/>
    <w:qFormat/>
    <w:uiPriority w:val="0"/>
    <w:rPr>
      <w:rFonts w:ascii="Calibri" w:hAnsi="Calibri"/>
      <w:sz w:val="24"/>
      <w:szCs w:val="24"/>
    </w:rPr>
  </w:style>
  <w:style w:type="paragraph" w:customStyle="1" w:styleId="244">
    <w:name w:val="正文样式"/>
    <w:basedOn w:val="1"/>
    <w:link w:val="243"/>
    <w:qFormat/>
    <w:uiPriority w:val="0"/>
    <w:pPr>
      <w:adjustRightInd/>
      <w:spacing w:line="360" w:lineRule="auto"/>
      <w:ind w:firstLine="480" w:firstLineChars="200"/>
    </w:pPr>
    <w:rPr>
      <w:kern w:val="0"/>
      <w:sz w:val="24"/>
    </w:rPr>
  </w:style>
  <w:style w:type="character" w:customStyle="1" w:styleId="245">
    <w:name w:val="表正文 Char3"/>
    <w:qFormat/>
    <w:uiPriority w:val="0"/>
    <w:rPr>
      <w:rFonts w:eastAsia="宋体"/>
    </w:rPr>
  </w:style>
  <w:style w:type="character" w:customStyle="1" w:styleId="246">
    <w:name w:val="H5 Char"/>
    <w:qFormat/>
    <w:uiPriority w:val="0"/>
    <w:rPr>
      <w:b/>
      <w:bCs/>
      <w:kern w:val="2"/>
      <w:sz w:val="28"/>
      <w:szCs w:val="28"/>
    </w:rPr>
  </w:style>
  <w:style w:type="character" w:customStyle="1" w:styleId="247">
    <w:name w:val="Char Char3"/>
    <w:qFormat/>
    <w:uiPriority w:val="0"/>
    <w:rPr>
      <w:rFonts w:eastAsia="宋体"/>
      <w:kern w:val="2"/>
      <w:sz w:val="21"/>
      <w:szCs w:val="24"/>
      <w:lang w:val="en-US" w:eastAsia="zh-CN" w:bidi="ar-SA"/>
    </w:rPr>
  </w:style>
  <w:style w:type="character" w:customStyle="1" w:styleId="248">
    <w:name w:val="正文 编号 Char"/>
    <w:qFormat/>
    <w:uiPriority w:val="0"/>
    <w:rPr>
      <w:rFonts w:ascii="仿宋_GB2312" w:hAnsi="仿宋_GB2312" w:eastAsia="仿宋_GB2312"/>
      <w:kern w:val="2"/>
      <w:sz w:val="24"/>
      <w:lang w:bidi="ar-SA"/>
    </w:rPr>
  </w:style>
  <w:style w:type="character" w:customStyle="1" w:styleId="249">
    <w:name w:val="question-title2"/>
    <w:qFormat/>
    <w:uiPriority w:val="6"/>
    <w:rPr>
      <w:rFonts w:ascii="Arial" w:hAnsi="Arial" w:eastAsia="黑体" w:cs="Arial"/>
      <w:snapToGrid w:val="0"/>
      <w:kern w:val="0"/>
      <w:szCs w:val="21"/>
    </w:rPr>
  </w:style>
  <w:style w:type="character" w:customStyle="1" w:styleId="250">
    <w:name w:val="gf正文1 Char Char"/>
    <w:link w:val="251"/>
    <w:qFormat/>
    <w:uiPriority w:val="0"/>
    <w:rPr>
      <w:rFonts w:ascii="宋体" w:hAnsi="宋体" w:cs="宋体"/>
      <w:kern w:val="2"/>
      <w:sz w:val="24"/>
      <w:szCs w:val="24"/>
    </w:rPr>
  </w:style>
  <w:style w:type="paragraph" w:customStyle="1" w:styleId="251">
    <w:name w:val="gf正文1"/>
    <w:basedOn w:val="1"/>
    <w:link w:val="250"/>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2">
    <w:name w:val="Char Char15"/>
    <w:qFormat/>
    <w:uiPriority w:val="6"/>
    <w:rPr>
      <w:rFonts w:ascii="宋体" w:hAnsi="宋体"/>
      <w:kern w:val="1"/>
      <w:sz w:val="21"/>
    </w:rPr>
  </w:style>
  <w:style w:type="character" w:customStyle="1" w:styleId="253">
    <w:name w:val="正文缩进 Char3"/>
    <w:qFormat/>
    <w:uiPriority w:val="0"/>
    <w:rPr>
      <w:rFonts w:ascii="宋体" w:eastAsia="宋体"/>
      <w:snapToGrid w:val="0"/>
      <w:color w:val="000000"/>
      <w:kern w:val="28"/>
      <w:sz w:val="28"/>
      <w:lang w:val="en-US" w:eastAsia="zh-CN" w:bidi="ar-SA"/>
    </w:rPr>
  </w:style>
  <w:style w:type="character" w:customStyle="1" w:styleId="254">
    <w:name w:val="列出段落 Char1"/>
    <w:link w:val="255"/>
    <w:qFormat/>
    <w:uiPriority w:val="0"/>
    <w:rPr>
      <w:rFonts w:ascii="Calibri" w:hAnsi="Calibri"/>
      <w:sz w:val="24"/>
      <w:lang w:eastAsia="en-US"/>
    </w:rPr>
  </w:style>
  <w:style w:type="paragraph" w:customStyle="1" w:styleId="255">
    <w:name w:val="列表1"/>
    <w:basedOn w:val="1"/>
    <w:next w:val="256"/>
    <w:link w:val="254"/>
    <w:qFormat/>
    <w:uiPriority w:val="0"/>
    <w:pPr>
      <w:widowControl/>
      <w:adjustRightInd/>
      <w:spacing w:after="200" w:line="360" w:lineRule="auto"/>
      <w:ind w:left="720" w:firstLine="200" w:firstLineChars="200"/>
      <w:jc w:val="left"/>
    </w:pPr>
    <w:rPr>
      <w:kern w:val="0"/>
      <w:sz w:val="24"/>
      <w:szCs w:val="20"/>
      <w:lang w:eastAsia="en-US"/>
    </w:rPr>
  </w:style>
  <w:style w:type="paragraph" w:styleId="256">
    <w:name w:val="List Paragraph"/>
    <w:basedOn w:val="1"/>
    <w:qFormat/>
    <w:uiPriority w:val="34"/>
    <w:pPr>
      <w:spacing w:line="360" w:lineRule="auto"/>
      <w:ind w:firstLine="200" w:firstLineChars="200"/>
    </w:pPr>
    <w:rPr>
      <w:rFonts w:eastAsia="楷体_GB2312" w:cs="Lucida Sans"/>
      <w:sz w:val="24"/>
    </w:rPr>
  </w:style>
  <w:style w:type="character" w:customStyle="1" w:styleId="257">
    <w:name w:val="Char Char8"/>
    <w:qFormat/>
    <w:uiPriority w:val="0"/>
    <w:rPr>
      <w:rFonts w:eastAsia="宋体"/>
      <w:b/>
      <w:sz w:val="24"/>
      <w:lang w:val="en-GB" w:eastAsia="zh-CN"/>
    </w:rPr>
  </w:style>
  <w:style w:type="character" w:customStyle="1" w:styleId="258">
    <w:name w:val="Normal Indent Char Char"/>
    <w:qFormat/>
    <w:uiPriority w:val="0"/>
    <w:rPr>
      <w:rFonts w:eastAsia="宋体"/>
      <w:kern w:val="2"/>
      <w:sz w:val="21"/>
      <w:lang w:val="en-US" w:eastAsia="zh-CN" w:bidi="ar-SA"/>
    </w:rPr>
  </w:style>
  <w:style w:type="character" w:customStyle="1" w:styleId="259">
    <w:name w:val="列表段落 字符"/>
    <w:qFormat/>
    <w:uiPriority w:val="99"/>
  </w:style>
  <w:style w:type="character" w:customStyle="1" w:styleId="260">
    <w:name w:val="Ò³Ã¼ Char Char1"/>
    <w:qFormat/>
    <w:uiPriority w:val="0"/>
    <w:rPr>
      <w:rFonts w:eastAsia="宋体"/>
      <w:kern w:val="2"/>
      <w:sz w:val="18"/>
      <w:szCs w:val="18"/>
      <w:lang w:val="en-US" w:eastAsia="zh-CN" w:bidi="ar-SA"/>
    </w:rPr>
  </w:style>
  <w:style w:type="character" w:customStyle="1" w:styleId="261">
    <w:name w:val="方案正文 Char"/>
    <w:qFormat/>
    <w:uiPriority w:val="0"/>
    <w:rPr>
      <w:rFonts w:ascii="仿宋_GB2312" w:eastAsia="仿宋_GB2312"/>
      <w:b/>
      <w:color w:val="000000"/>
      <w:kern w:val="2"/>
      <w:sz w:val="24"/>
      <w:lang w:val="en-US" w:eastAsia="zh-CN" w:bidi="ar-SA"/>
    </w:rPr>
  </w:style>
  <w:style w:type="character" w:customStyle="1" w:styleId="262">
    <w:name w:val="Char Char30"/>
    <w:qFormat/>
    <w:uiPriority w:val="6"/>
    <w:rPr>
      <w:rFonts w:ascii="Arial" w:hAnsi="Arial" w:eastAsia="黑体"/>
      <w:kern w:val="1"/>
      <w:sz w:val="21"/>
      <w:szCs w:val="21"/>
    </w:rPr>
  </w:style>
  <w:style w:type="character" w:customStyle="1" w:styleId="263">
    <w:name w:val="正文文本缩进 Char3"/>
    <w:link w:val="24"/>
    <w:qFormat/>
    <w:uiPriority w:val="0"/>
    <w:rPr>
      <w:rFonts w:ascii="宋体" w:hAnsi="宋体"/>
      <w:kern w:val="2"/>
      <w:sz w:val="24"/>
      <w:szCs w:val="24"/>
    </w:rPr>
  </w:style>
  <w:style w:type="character" w:customStyle="1" w:styleId="264">
    <w:name w:val="font01"/>
    <w:qFormat/>
    <w:uiPriority w:val="0"/>
    <w:rPr>
      <w:rFonts w:hint="eastAsia" w:ascii="微软雅黑" w:hAnsi="微软雅黑" w:eastAsia="微软雅黑" w:cs="微软雅黑"/>
      <w:color w:val="000000"/>
      <w:sz w:val="20"/>
      <w:szCs w:val="20"/>
      <w:u w:val="none"/>
    </w:rPr>
  </w:style>
  <w:style w:type="character" w:customStyle="1" w:styleId="265">
    <w:name w:val="Char Char20"/>
    <w:qFormat/>
    <w:uiPriority w:val="6"/>
    <w:rPr>
      <w:kern w:val="1"/>
      <w:sz w:val="24"/>
    </w:rPr>
  </w:style>
  <w:style w:type="character" w:customStyle="1" w:styleId="266">
    <w:name w:val="tw4winExternal"/>
    <w:qFormat/>
    <w:uiPriority w:val="0"/>
    <w:rPr>
      <w:rFonts w:ascii="Courier New" w:hAnsi="Courier New" w:cs="Courier New"/>
      <w:color w:val="808080"/>
      <w:lang w:val="en-US" w:eastAsia="zh-CN"/>
    </w:rPr>
  </w:style>
  <w:style w:type="character" w:customStyle="1" w:styleId="267">
    <w:name w:val="标题 4 Char1"/>
    <w:qFormat/>
    <w:uiPriority w:val="9"/>
    <w:rPr>
      <w:rFonts w:ascii="Cambria" w:hAnsi="Cambria" w:eastAsia="宋体" w:cs="Times New Roman"/>
      <w:b/>
      <w:bCs/>
      <w:kern w:val="2"/>
      <w:sz w:val="28"/>
      <w:szCs w:val="28"/>
    </w:rPr>
  </w:style>
  <w:style w:type="character" w:customStyle="1" w:styleId="268">
    <w:name w:val="批注文字 Char2"/>
    <w:qFormat/>
    <w:uiPriority w:val="99"/>
    <w:rPr>
      <w:rFonts w:ascii="Times New Roman" w:hAnsi="Times New Roman" w:eastAsia="宋体" w:cs="Times New Roman"/>
      <w:snapToGrid w:val="0"/>
      <w:kern w:val="0"/>
      <w:szCs w:val="24"/>
    </w:rPr>
  </w:style>
  <w:style w:type="character" w:customStyle="1" w:styleId="269">
    <w:name w:val="正文文本 2 Char"/>
    <w:qFormat/>
    <w:uiPriority w:val="0"/>
    <w:rPr>
      <w:rFonts w:eastAsia="宋体"/>
      <w:kern w:val="2"/>
      <w:sz w:val="21"/>
      <w:szCs w:val="24"/>
      <w:lang w:val="en-US" w:eastAsia="zh-CN" w:bidi="ar-SA"/>
    </w:rPr>
  </w:style>
  <w:style w:type="character" w:customStyle="1" w:styleId="270">
    <w:name w:val="Ò³Ã¼ Char Char"/>
    <w:qFormat/>
    <w:uiPriority w:val="0"/>
    <w:rPr>
      <w:rFonts w:eastAsia="宋体"/>
      <w:kern w:val="2"/>
      <w:sz w:val="18"/>
      <w:lang w:val="en-US" w:eastAsia="zh-CN" w:bidi="ar-SA"/>
    </w:rPr>
  </w:style>
  <w:style w:type="character" w:customStyle="1" w:styleId="271">
    <w:name w:val="message1"/>
    <w:qFormat/>
    <w:uiPriority w:val="0"/>
    <w:rPr>
      <w:rFonts w:hint="default" w:ascii="Tahoma" w:hAnsi="Tahoma" w:cs="Tahoma"/>
      <w:sz w:val="18"/>
      <w:szCs w:val="18"/>
    </w:rPr>
  </w:style>
  <w:style w:type="character" w:customStyle="1" w:styleId="272">
    <w:name w:val="Char Char23"/>
    <w:qFormat/>
    <w:uiPriority w:val="6"/>
    <w:rPr>
      <w:color w:val="0000FF"/>
      <w:sz w:val="21"/>
    </w:rPr>
  </w:style>
  <w:style w:type="character" w:customStyle="1" w:styleId="273">
    <w:name w:val="批注框文本 字符"/>
    <w:qFormat/>
    <w:uiPriority w:val="0"/>
    <w:rPr>
      <w:rFonts w:ascii="Arial" w:hAnsi="Arial" w:eastAsia="黑体" w:cs="Arial"/>
      <w:snapToGrid w:val="0"/>
      <w:kern w:val="0"/>
      <w:sz w:val="18"/>
      <w:szCs w:val="18"/>
    </w:rPr>
  </w:style>
  <w:style w:type="character" w:customStyle="1" w:styleId="274">
    <w:name w:val="纯文本 Char2"/>
    <w:semiHidden/>
    <w:qFormat/>
    <w:uiPriority w:val="99"/>
    <w:rPr>
      <w:rFonts w:ascii="宋体" w:hAnsi="Courier New" w:eastAsia="宋体" w:cs="Courier New"/>
    </w:rPr>
  </w:style>
  <w:style w:type="character" w:customStyle="1" w:styleId="275">
    <w:name w:val="Char Char25"/>
    <w:qFormat/>
    <w:uiPriority w:val="6"/>
    <w:rPr>
      <w:rFonts w:ascii="宋体" w:hAnsi="宋体"/>
      <w:kern w:val="1"/>
      <w:sz w:val="24"/>
      <w:lang w:val="zh-CN"/>
    </w:rPr>
  </w:style>
  <w:style w:type="character" w:customStyle="1" w:styleId="276">
    <w:name w:val="Char Char411"/>
    <w:qFormat/>
    <w:uiPriority w:val="0"/>
    <w:rPr>
      <w:rFonts w:eastAsia="宋体"/>
      <w:b/>
      <w:sz w:val="24"/>
      <w:lang w:val="en-GB" w:eastAsia="zh-CN" w:bidi="ar-SA"/>
    </w:rPr>
  </w:style>
  <w:style w:type="character" w:customStyle="1" w:styleId="277">
    <w:name w:val="Heading 7 Char"/>
    <w:qFormat/>
    <w:locked/>
    <w:uiPriority w:val="0"/>
    <w:rPr>
      <w:rFonts w:ascii="宋体" w:hAnsi="宋体" w:eastAsia="宋体"/>
      <w:b/>
      <w:bCs/>
      <w:kern w:val="2"/>
      <w:sz w:val="24"/>
      <w:szCs w:val="24"/>
      <w:lang w:val="en-US" w:eastAsia="zh-CN" w:bidi="ar-SA"/>
    </w:rPr>
  </w:style>
  <w:style w:type="character" w:customStyle="1" w:styleId="278">
    <w:name w:val="此正文 Char"/>
    <w:link w:val="279"/>
    <w:qFormat/>
    <w:uiPriority w:val="0"/>
    <w:rPr>
      <w:kern w:val="2"/>
      <w:sz w:val="24"/>
      <w:szCs w:val="24"/>
    </w:rPr>
  </w:style>
  <w:style w:type="paragraph" w:customStyle="1" w:styleId="279">
    <w:name w:val="此正文"/>
    <w:basedOn w:val="1"/>
    <w:link w:val="278"/>
    <w:qFormat/>
    <w:uiPriority w:val="0"/>
    <w:pPr>
      <w:adjustRightInd/>
      <w:spacing w:line="360" w:lineRule="auto"/>
      <w:ind w:firstLine="200" w:firstLineChars="200"/>
    </w:pPr>
    <w:rPr>
      <w:sz w:val="24"/>
    </w:rPr>
  </w:style>
  <w:style w:type="character" w:customStyle="1" w:styleId="280">
    <w:name w:val="Char Char2"/>
    <w:qFormat/>
    <w:uiPriority w:val="0"/>
    <w:rPr>
      <w:rFonts w:eastAsia="宋体"/>
      <w:b/>
      <w:bCs/>
      <w:kern w:val="2"/>
      <w:sz w:val="21"/>
      <w:szCs w:val="24"/>
      <w:lang w:val="en-US" w:eastAsia="zh-CN" w:bidi="ar-SA"/>
    </w:rPr>
  </w:style>
  <w:style w:type="character" w:customStyle="1" w:styleId="281">
    <w:name w:val="标题 1 Char"/>
    <w:link w:val="2"/>
    <w:qFormat/>
    <w:uiPriority w:val="9"/>
    <w:rPr>
      <w:b/>
      <w:bCs/>
      <w:kern w:val="44"/>
      <w:sz w:val="44"/>
      <w:szCs w:val="44"/>
    </w:rPr>
  </w:style>
  <w:style w:type="character" w:customStyle="1" w:styleId="282">
    <w:name w:val="Footer-Even Char1"/>
    <w:qFormat/>
    <w:uiPriority w:val="0"/>
    <w:rPr>
      <w:rFonts w:eastAsia="宋体"/>
      <w:kern w:val="2"/>
      <w:sz w:val="18"/>
      <w:szCs w:val="18"/>
      <w:lang w:val="en-US" w:eastAsia="zh-CN" w:bidi="ar-SA"/>
    </w:rPr>
  </w:style>
  <w:style w:type="character" w:customStyle="1" w:styleId="283">
    <w:name w:val="Char Char29"/>
    <w:qFormat/>
    <w:uiPriority w:val="6"/>
    <w:rPr>
      <w:rFonts w:ascii="Arial" w:hAnsi="Arial" w:eastAsia="微软雅黑"/>
      <w:b/>
      <w:kern w:val="1"/>
      <w:sz w:val="44"/>
      <w:szCs w:val="32"/>
      <w:lang w:val="en-US" w:eastAsia="zh-CN" w:bidi="ar-SA"/>
    </w:rPr>
  </w:style>
  <w:style w:type="character" w:customStyle="1" w:styleId="284">
    <w:name w:val="标题 Char2"/>
    <w:link w:val="58"/>
    <w:qFormat/>
    <w:uiPriority w:val="10"/>
    <w:rPr>
      <w:b/>
      <w:sz w:val="24"/>
      <w:lang w:val="en-GB"/>
    </w:rPr>
  </w:style>
  <w:style w:type="character" w:customStyle="1" w:styleId="285">
    <w:name w:val="font81"/>
    <w:qFormat/>
    <w:uiPriority w:val="0"/>
    <w:rPr>
      <w:rFonts w:ascii="微软雅黑" w:hAnsi="微软雅黑" w:eastAsia="微软雅黑" w:cs="微软雅黑"/>
      <w:color w:val="000000"/>
      <w:sz w:val="20"/>
      <w:szCs w:val="20"/>
      <w:u w:val="none"/>
    </w:rPr>
  </w:style>
  <w:style w:type="character" w:customStyle="1" w:styleId="286">
    <w:name w:val="Char Char312"/>
    <w:qFormat/>
    <w:uiPriority w:val="0"/>
    <w:rPr>
      <w:rFonts w:ascii="Times New Roman" w:hAnsi="Times New Roman" w:eastAsia="宋体" w:cs="Times New Roman"/>
      <w:b/>
      <w:kern w:val="2"/>
      <w:sz w:val="32"/>
      <w:szCs w:val="24"/>
      <w:lang w:val="en-US" w:eastAsia="zh-CN" w:bidi="ar-SA"/>
    </w:rPr>
  </w:style>
  <w:style w:type="character" w:customStyle="1" w:styleId="287">
    <w:name w:val="t21"/>
    <w:qFormat/>
    <w:uiPriority w:val="0"/>
    <w:rPr>
      <w:rFonts w:ascii="仿宋_GB2312" w:eastAsia="微软雅黑"/>
      <w:b/>
      <w:kern w:val="2"/>
      <w:sz w:val="23"/>
      <w:szCs w:val="23"/>
      <w:lang w:val="en-US" w:eastAsia="zh-CN" w:bidi="ar-SA"/>
    </w:rPr>
  </w:style>
  <w:style w:type="character" w:customStyle="1" w:styleId="288">
    <w:name w:val="样式8 Char"/>
    <w:qFormat/>
    <w:uiPriority w:val="0"/>
    <w:rPr>
      <w:rFonts w:ascii="仿宋_GB2312" w:hAnsi="宋体" w:eastAsia="仿宋_GB2312"/>
      <w:b/>
      <w:bCs/>
      <w:kern w:val="2"/>
      <w:sz w:val="24"/>
      <w:szCs w:val="24"/>
    </w:rPr>
  </w:style>
  <w:style w:type="character" w:customStyle="1" w:styleId="289">
    <w:name w:val="表格 Char Char"/>
    <w:qFormat/>
    <w:uiPriority w:val="0"/>
    <w:rPr>
      <w:rFonts w:ascii="宋体" w:hAnsi="宋体" w:eastAsia="宋体"/>
      <w:lang w:bidi="ar-SA"/>
    </w:rPr>
  </w:style>
  <w:style w:type="character" w:customStyle="1" w:styleId="290">
    <w:name w:val="正文文本 字符1"/>
    <w:qFormat/>
    <w:uiPriority w:val="0"/>
    <w:rPr>
      <w:rFonts w:ascii="Calibri" w:hAnsi="Calibri" w:eastAsia="黑体" w:cs="Arial"/>
      <w:snapToGrid w:val="0"/>
      <w:kern w:val="2"/>
      <w:sz w:val="28"/>
      <w:szCs w:val="21"/>
    </w:rPr>
  </w:style>
  <w:style w:type="character" w:customStyle="1" w:styleId="291">
    <w:name w:val="标题 5 Char"/>
    <w:link w:val="7"/>
    <w:qFormat/>
    <w:uiPriority w:val="9"/>
    <w:rPr>
      <w:b/>
      <w:bCs/>
      <w:kern w:val="2"/>
      <w:sz w:val="28"/>
      <w:szCs w:val="28"/>
    </w:rPr>
  </w:style>
  <w:style w:type="character" w:customStyle="1" w:styleId="292">
    <w:name w:val="标题 6 Char1"/>
    <w:qFormat/>
    <w:uiPriority w:val="0"/>
    <w:rPr>
      <w:rFonts w:ascii="Arial" w:hAnsi="Arial" w:eastAsia="黑体" w:cs="Times New Roman"/>
      <w:b/>
      <w:sz w:val="24"/>
      <w:szCs w:val="20"/>
      <w:lang w:bidi="ar-SA"/>
    </w:rPr>
  </w:style>
  <w:style w:type="character" w:customStyle="1" w:styleId="293">
    <w:name w:val="带编号样式 Char"/>
    <w:qFormat/>
    <w:uiPriority w:val="0"/>
    <w:rPr>
      <w:rFonts w:ascii="仿宋_GB2312" w:eastAsia="仿宋_GB2312"/>
      <w:color w:val="000000"/>
      <w:sz w:val="24"/>
      <w:lang w:bidi="ar-SA"/>
    </w:rPr>
  </w:style>
  <w:style w:type="character" w:customStyle="1" w:styleId="294">
    <w:name w:val="unnamed31"/>
    <w:qFormat/>
    <w:uiPriority w:val="0"/>
    <w:rPr>
      <w:rFonts w:ascii="Tahoma" w:hAnsi="Tahoma" w:eastAsia="宋体"/>
      <w:b/>
      <w:kern w:val="2"/>
      <w:sz w:val="24"/>
      <w:szCs w:val="32"/>
      <w:u w:val="none"/>
      <w:lang w:val="en-US" w:eastAsia="zh-CN" w:bidi="ar-SA"/>
    </w:rPr>
  </w:style>
  <w:style w:type="character" w:customStyle="1" w:styleId="295">
    <w:name w:val="正文首行缩进 Char Char Char Char Char Char1"/>
    <w:qFormat/>
    <w:uiPriority w:val="0"/>
    <w:rPr>
      <w:rFonts w:ascii="宋体" w:eastAsia="宋体"/>
      <w:kern w:val="2"/>
      <w:sz w:val="24"/>
      <w:szCs w:val="24"/>
      <w:lang w:val="zh-CN" w:bidi="ar-SA"/>
    </w:rPr>
  </w:style>
  <w:style w:type="character" w:customStyle="1" w:styleId="296">
    <w:name w:val="称呼 Char"/>
    <w:link w:val="20"/>
    <w:qFormat/>
    <w:uiPriority w:val="0"/>
    <w:rPr>
      <w:rFonts w:ascii="仿宋_GB2312" w:eastAsia="仿宋_GB2312"/>
      <w:kern w:val="2"/>
      <w:sz w:val="28"/>
    </w:rPr>
  </w:style>
  <w:style w:type="character" w:customStyle="1" w:styleId="297">
    <w:name w:val="文本正文 Char Char"/>
    <w:qFormat/>
    <w:locked/>
    <w:uiPriority w:val="0"/>
    <w:rPr>
      <w:sz w:val="24"/>
      <w:lang w:bidi="ar-SA"/>
    </w:rPr>
  </w:style>
  <w:style w:type="character" w:customStyle="1" w:styleId="298">
    <w:name w:val="正文缩进 字符"/>
    <w:qFormat/>
    <w:uiPriority w:val="0"/>
    <w:rPr>
      <w:rFonts w:ascii="宋体" w:eastAsia="宋体"/>
      <w:snapToGrid w:val="0"/>
      <w:color w:val="000000"/>
      <w:kern w:val="28"/>
      <w:sz w:val="28"/>
      <w:lang w:val="en-US" w:eastAsia="zh-CN" w:bidi="ar-SA"/>
    </w:rPr>
  </w:style>
  <w:style w:type="character" w:customStyle="1" w:styleId="299">
    <w:name w:val="HTML 预设格式 Char"/>
    <w:link w:val="56"/>
    <w:qFormat/>
    <w:uiPriority w:val="0"/>
    <w:rPr>
      <w:rFonts w:ascii="黑体" w:hAnsi="Courier New" w:eastAsia="黑体"/>
    </w:rPr>
  </w:style>
  <w:style w:type="character" w:customStyle="1" w:styleId="300">
    <w:name w:val="正文文本 2 Char1"/>
    <w:link w:val="55"/>
    <w:qFormat/>
    <w:uiPriority w:val="0"/>
    <w:rPr>
      <w:kern w:val="2"/>
      <w:sz w:val="21"/>
      <w:szCs w:val="24"/>
    </w:rPr>
  </w:style>
  <w:style w:type="character" w:customStyle="1" w:styleId="301">
    <w:name w:val="样式 样式 标题 4h4H4Fab-4T5Ref Heading 1rh1Heading sqlsect 1.2.3.... +... Char"/>
    <w:link w:val="302"/>
    <w:qFormat/>
    <w:uiPriority w:val="0"/>
    <w:rPr>
      <w:rFonts w:ascii="微软雅黑" w:hAnsi="微软雅黑" w:eastAsia="微软雅黑"/>
      <w:b/>
      <w:bCs/>
      <w:kern w:val="2"/>
      <w:sz w:val="24"/>
      <w:szCs w:val="28"/>
    </w:rPr>
  </w:style>
  <w:style w:type="paragraph" w:customStyle="1" w:styleId="302">
    <w:name w:val="样式 样式 标题 4h4H4Fab-4T5Ref Heading 1rh1Heading sqlsect 1.2.3.... +..."/>
    <w:basedOn w:val="303"/>
    <w:link w:val="301"/>
    <w:qFormat/>
    <w:uiPriority w:val="0"/>
    <w:pPr>
      <w:tabs>
        <w:tab w:val="left" w:pos="2356"/>
      </w:tabs>
    </w:pPr>
  </w:style>
  <w:style w:type="paragraph" w:customStyle="1" w:styleId="303">
    <w:name w:val="样式 标题 4h4H4Fab-4T5Ref Heading 1rh1Heading sqlsect 1.2.3...."/>
    <w:basedOn w:val="6"/>
    <w:link w:val="411"/>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4">
    <w:name w:val="正文非缩进 Char"/>
    <w:qFormat/>
    <w:uiPriority w:val="0"/>
    <w:rPr>
      <w:rFonts w:ascii="宋体" w:eastAsia="宋体"/>
      <w:snapToGrid w:val="0"/>
      <w:color w:val="000000"/>
      <w:kern w:val="28"/>
      <w:sz w:val="28"/>
      <w:lang w:val="en-US" w:eastAsia="zh-CN" w:bidi="ar-SA"/>
    </w:rPr>
  </w:style>
  <w:style w:type="character" w:customStyle="1" w:styleId="305">
    <w:name w:val="标题 7 Char"/>
    <w:link w:val="9"/>
    <w:qFormat/>
    <w:uiPriority w:val="0"/>
    <w:rPr>
      <w:b/>
      <w:bCs/>
      <w:kern w:val="2"/>
      <w:sz w:val="24"/>
      <w:szCs w:val="24"/>
    </w:rPr>
  </w:style>
  <w:style w:type="character" w:customStyle="1" w:styleId="306">
    <w:name w:val="正文文本缩进 2 Char"/>
    <w:link w:val="36"/>
    <w:qFormat/>
    <w:uiPriority w:val="0"/>
    <w:rPr>
      <w:rFonts w:ascii="宋体"/>
      <w:sz w:val="28"/>
    </w:rPr>
  </w:style>
  <w:style w:type="character" w:customStyle="1" w:styleId="307">
    <w:name w:val="Char Char5"/>
    <w:qFormat/>
    <w:uiPriority w:val="0"/>
    <w:rPr>
      <w:rFonts w:ascii="宋体" w:hAnsi="Courier New" w:eastAsia="宋体"/>
      <w:kern w:val="2"/>
      <w:sz w:val="21"/>
      <w:lang w:val="en-US" w:eastAsia="zh-CN"/>
    </w:rPr>
  </w:style>
  <w:style w:type="character" w:customStyle="1" w:styleId="308">
    <w:name w:val="脚注文本 Char"/>
    <w:link w:val="49"/>
    <w:qFormat/>
    <w:uiPriority w:val="0"/>
    <w:rPr>
      <w:color w:val="0000FF"/>
      <w:sz w:val="21"/>
    </w:rPr>
  </w:style>
  <w:style w:type="character" w:customStyle="1" w:styleId="309">
    <w:name w:val="称呼 Char1"/>
    <w:qFormat/>
    <w:uiPriority w:val="0"/>
    <w:rPr>
      <w:rFonts w:ascii="Times New Roman" w:hAnsi="Times New Roman" w:eastAsia="宋体" w:cs="Times New Roman"/>
      <w:szCs w:val="24"/>
    </w:rPr>
  </w:style>
  <w:style w:type="character" w:customStyle="1" w:styleId="310">
    <w:name w:val="正文1 Char"/>
    <w:qFormat/>
    <w:uiPriority w:val="0"/>
    <w:rPr>
      <w:rFonts w:ascii="宋体" w:eastAsia="宋体"/>
      <w:snapToGrid w:val="0"/>
      <w:color w:val="000000"/>
      <w:kern w:val="28"/>
      <w:sz w:val="28"/>
      <w:lang w:val="en-US" w:eastAsia="zh-CN" w:bidi="ar-SA"/>
    </w:rPr>
  </w:style>
  <w:style w:type="character" w:customStyle="1" w:styleId="311">
    <w:name w:val="正文缩进 Char1"/>
    <w:qFormat/>
    <w:uiPriority w:val="0"/>
    <w:rPr>
      <w:rFonts w:ascii="宋体" w:eastAsia="宋体"/>
      <w:snapToGrid w:val="0"/>
      <w:color w:val="000000"/>
      <w:kern w:val="28"/>
      <w:sz w:val="28"/>
      <w:lang w:val="en-US" w:eastAsia="zh-CN" w:bidi="ar-SA"/>
    </w:rPr>
  </w:style>
  <w:style w:type="character" w:customStyle="1" w:styleId="312">
    <w:name w:val="font21"/>
    <w:qFormat/>
    <w:uiPriority w:val="0"/>
    <w:rPr>
      <w:rFonts w:hint="eastAsia" w:ascii="宋体" w:hAnsi="宋体" w:eastAsia="宋体"/>
      <w:kern w:val="2"/>
      <w:sz w:val="28"/>
      <w:szCs w:val="28"/>
      <w:lang w:val="en-US" w:eastAsia="zh-CN" w:bidi="ar-SA"/>
    </w:rPr>
  </w:style>
  <w:style w:type="character" w:customStyle="1" w:styleId="313">
    <w:name w:val="Char Char26"/>
    <w:qFormat/>
    <w:uiPriority w:val="6"/>
    <w:rPr>
      <w:kern w:val="1"/>
      <w:sz w:val="21"/>
      <w:szCs w:val="24"/>
    </w:rPr>
  </w:style>
  <w:style w:type="character" w:customStyle="1" w:styleId="314">
    <w:name w:val="Item List Char"/>
    <w:link w:val="315"/>
    <w:qFormat/>
    <w:uiPriority w:val="0"/>
    <w:rPr>
      <w:rFonts w:ascii="Arial"/>
      <w:bCs/>
      <w:sz w:val="21"/>
      <w:szCs w:val="21"/>
      <w:lang w:val="en-US" w:eastAsia="zh-CN" w:bidi="ar-SA"/>
    </w:rPr>
  </w:style>
  <w:style w:type="paragraph" w:customStyle="1" w:styleId="315">
    <w:name w:val="Item List"/>
    <w:link w:val="314"/>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6">
    <w:name w:val="批注框文本 Char1"/>
    <w:qFormat/>
    <w:uiPriority w:val="0"/>
    <w:rPr>
      <w:rFonts w:ascii="Times New Roman" w:hAnsi="Times New Roman" w:eastAsia="宋体" w:cs="Times New Roman"/>
      <w:sz w:val="18"/>
      <w:szCs w:val="18"/>
    </w:rPr>
  </w:style>
  <w:style w:type="character" w:customStyle="1" w:styleId="317">
    <w:name w:val="纯文本 Char1"/>
    <w:link w:val="318"/>
    <w:qFormat/>
    <w:uiPriority w:val="0"/>
    <w:rPr>
      <w:rFonts w:ascii="宋体" w:hAnsi="Courier New"/>
    </w:rPr>
  </w:style>
  <w:style w:type="paragraph" w:customStyle="1" w:styleId="318">
    <w:name w:val="纯文本1"/>
    <w:basedOn w:val="1"/>
    <w:link w:val="317"/>
    <w:qFormat/>
    <w:uiPriority w:val="0"/>
    <w:pPr>
      <w:adjustRightInd/>
    </w:pPr>
    <w:rPr>
      <w:rFonts w:ascii="宋体" w:hAnsi="Courier New"/>
      <w:kern w:val="0"/>
      <w:sz w:val="20"/>
      <w:szCs w:val="20"/>
    </w:rPr>
  </w:style>
  <w:style w:type="character" w:customStyle="1" w:styleId="319">
    <w:name w:val="正文首行缩进 Char"/>
    <w:link w:val="60"/>
    <w:qFormat/>
    <w:uiPriority w:val="0"/>
    <w:rPr>
      <w:rFonts w:ascii="宋体"/>
      <w:kern w:val="2"/>
      <w:sz w:val="24"/>
      <w:lang w:val="zh-CN"/>
    </w:rPr>
  </w:style>
  <w:style w:type="character" w:customStyle="1" w:styleId="320">
    <w:name w:val="h3 Char"/>
    <w:qFormat/>
    <w:uiPriority w:val="0"/>
    <w:rPr>
      <w:rFonts w:eastAsia="宋体"/>
      <w:b/>
      <w:kern w:val="2"/>
      <w:sz w:val="32"/>
      <w:lang w:val="en-US" w:eastAsia="zh-CN" w:bidi="ar-SA"/>
    </w:rPr>
  </w:style>
  <w:style w:type="character" w:customStyle="1" w:styleId="321">
    <w:name w:val="dandyren_title1"/>
    <w:qFormat/>
    <w:uiPriority w:val="0"/>
    <w:rPr>
      <w:b/>
      <w:bCs/>
      <w:color w:val="FF6633"/>
      <w:sz w:val="18"/>
      <w:szCs w:val="18"/>
    </w:rPr>
  </w:style>
  <w:style w:type="character" w:customStyle="1" w:styleId="322">
    <w:name w:val="Char Char31"/>
    <w:qFormat/>
    <w:uiPriority w:val="6"/>
    <w:rPr>
      <w:rFonts w:ascii="Arial" w:hAnsi="Arial" w:eastAsia="黑体"/>
      <w:kern w:val="1"/>
      <w:sz w:val="24"/>
      <w:szCs w:val="24"/>
    </w:rPr>
  </w:style>
  <w:style w:type="character" w:customStyle="1" w:styleId="323">
    <w:name w:val="h Char1"/>
    <w:qFormat/>
    <w:uiPriority w:val="0"/>
    <w:rPr>
      <w:sz w:val="18"/>
      <w:szCs w:val="18"/>
    </w:rPr>
  </w:style>
  <w:style w:type="character" w:customStyle="1" w:styleId="324">
    <w:name w:val="solutionfonts"/>
    <w:qFormat/>
    <w:uiPriority w:val="0"/>
  </w:style>
  <w:style w:type="character" w:customStyle="1" w:styleId="325">
    <w:name w:val="标题 4 Char2"/>
    <w:link w:val="6"/>
    <w:qFormat/>
    <w:uiPriority w:val="9"/>
    <w:rPr>
      <w:rFonts w:ascii="Arial" w:hAnsi="Arial" w:eastAsia="黑体"/>
      <w:b/>
      <w:bCs/>
      <w:kern w:val="2"/>
      <w:sz w:val="28"/>
      <w:szCs w:val="28"/>
      <w:lang w:val="zh-CN"/>
    </w:rPr>
  </w:style>
  <w:style w:type="character" w:customStyle="1" w:styleId="326">
    <w:name w:val="首行缩进 Char"/>
    <w:qFormat/>
    <w:uiPriority w:val="0"/>
    <w:rPr>
      <w:rFonts w:ascii="宋体" w:eastAsia="宋体"/>
      <w:kern w:val="2"/>
      <w:sz w:val="24"/>
      <w:lang w:val="en-US" w:eastAsia="zh-CN" w:bidi="ar-SA"/>
    </w:rPr>
  </w:style>
  <w:style w:type="character" w:customStyle="1" w:styleId="327">
    <w:name w:val="Char Char52"/>
    <w:qFormat/>
    <w:uiPriority w:val="0"/>
    <w:rPr>
      <w:rFonts w:ascii="宋体" w:hAnsi="Courier New" w:eastAsia="宋体"/>
      <w:kern w:val="2"/>
      <w:sz w:val="21"/>
      <w:lang w:val="en-US" w:eastAsia="zh-CN"/>
    </w:rPr>
  </w:style>
  <w:style w:type="character" w:customStyle="1" w:styleId="328">
    <w:name w:val="正文文本 3 Char"/>
    <w:link w:val="21"/>
    <w:qFormat/>
    <w:uiPriority w:val="0"/>
    <w:rPr>
      <w:kern w:val="2"/>
      <w:sz w:val="21"/>
    </w:rPr>
  </w:style>
  <w:style w:type="character" w:customStyle="1" w:styleId="329">
    <w:name w:val="font31"/>
    <w:basedOn w:val="69"/>
    <w:qFormat/>
    <w:uiPriority w:val="0"/>
    <w:rPr>
      <w:rFonts w:hint="eastAsia" w:ascii="仿宋" w:hAnsi="仿宋" w:eastAsia="仿宋" w:cs="仿宋"/>
      <w:color w:val="000000"/>
      <w:sz w:val="20"/>
      <w:szCs w:val="20"/>
      <w:u w:val="none"/>
    </w:rPr>
  </w:style>
  <w:style w:type="character" w:customStyle="1" w:styleId="330">
    <w:name w:val="正文说明 Char"/>
    <w:link w:val="331"/>
    <w:qFormat/>
    <w:uiPriority w:val="0"/>
    <w:rPr>
      <w:sz w:val="24"/>
      <w:szCs w:val="24"/>
    </w:rPr>
  </w:style>
  <w:style w:type="paragraph" w:customStyle="1" w:styleId="331">
    <w:name w:val="正文说明"/>
    <w:basedOn w:val="1"/>
    <w:link w:val="330"/>
    <w:qFormat/>
    <w:uiPriority w:val="0"/>
    <w:pPr>
      <w:adjustRightInd/>
      <w:spacing w:line="360" w:lineRule="auto"/>
    </w:pPr>
    <w:rPr>
      <w:kern w:val="0"/>
      <w:sz w:val="24"/>
    </w:rPr>
  </w:style>
  <w:style w:type="character" w:customStyle="1" w:styleId="332">
    <w:name w:val="脚注文本 Char1"/>
    <w:qFormat/>
    <w:uiPriority w:val="0"/>
    <w:rPr>
      <w:rFonts w:ascii="Times New Roman" w:hAnsi="Times New Roman" w:eastAsia="宋体" w:cs="Times New Roman"/>
      <w:sz w:val="18"/>
      <w:szCs w:val="18"/>
    </w:rPr>
  </w:style>
  <w:style w:type="character" w:customStyle="1" w:styleId="333">
    <w:name w:val="Char Char1211"/>
    <w:qFormat/>
    <w:uiPriority w:val="0"/>
    <w:rPr>
      <w:rFonts w:ascii="仿宋_GB2312" w:eastAsia="仿宋_GB2312"/>
      <w:b/>
      <w:bCs/>
      <w:kern w:val="2"/>
      <w:sz w:val="24"/>
      <w:szCs w:val="24"/>
      <w:lang w:val="zh-CN" w:eastAsia="zh-CN" w:bidi="ar-SA"/>
    </w:rPr>
  </w:style>
  <w:style w:type="character" w:customStyle="1" w:styleId="334">
    <w:name w:val="标题 Char"/>
    <w:qFormat/>
    <w:uiPriority w:val="0"/>
    <w:rPr>
      <w:rFonts w:eastAsia="宋体"/>
      <w:b/>
      <w:sz w:val="24"/>
      <w:lang w:val="en-GB" w:eastAsia="zh-CN" w:bidi="ar-SA"/>
    </w:rPr>
  </w:style>
  <w:style w:type="character" w:customStyle="1" w:styleId="335">
    <w:name w:val="Char Char35"/>
    <w:qFormat/>
    <w:uiPriority w:val="6"/>
    <w:rPr>
      <w:rFonts w:ascii="Arial" w:hAnsi="Arial" w:eastAsia="黑体"/>
      <w:b/>
      <w:kern w:val="1"/>
      <w:sz w:val="28"/>
      <w:szCs w:val="28"/>
      <w:lang w:val="zh-CN"/>
    </w:rPr>
  </w:style>
  <w:style w:type="character" w:customStyle="1" w:styleId="336">
    <w:name w:val="纯文本 Char Char Char"/>
    <w:qFormat/>
    <w:uiPriority w:val="0"/>
    <w:rPr>
      <w:rFonts w:ascii="宋体" w:hAnsi="Courier New" w:eastAsia="宋体"/>
      <w:kern w:val="2"/>
      <w:sz w:val="21"/>
      <w:lang w:val="en-US" w:eastAsia="zh-CN" w:bidi="ar-SA"/>
    </w:rPr>
  </w:style>
  <w:style w:type="character" w:customStyle="1" w:styleId="337">
    <w:name w:val="Table Text Char"/>
    <w:link w:val="338"/>
    <w:qFormat/>
    <w:uiPriority w:val="0"/>
    <w:rPr>
      <w:sz w:val="24"/>
      <w:szCs w:val="24"/>
    </w:rPr>
  </w:style>
  <w:style w:type="paragraph" w:customStyle="1" w:styleId="338">
    <w:name w:val="Table Text"/>
    <w:basedOn w:val="1"/>
    <w:link w:val="337"/>
    <w:qFormat/>
    <w:uiPriority w:val="0"/>
    <w:pPr>
      <w:widowControl/>
      <w:spacing w:before="60" w:after="60"/>
      <w:jc w:val="left"/>
    </w:pPr>
    <w:rPr>
      <w:kern w:val="0"/>
      <w:sz w:val="24"/>
    </w:rPr>
  </w:style>
  <w:style w:type="character" w:customStyle="1" w:styleId="339">
    <w:name w:val="正文1 Char1"/>
    <w:qFormat/>
    <w:uiPriority w:val="0"/>
    <w:rPr>
      <w:rFonts w:ascii="仿宋_GB2312" w:hAnsi="Courier New" w:eastAsia="仿宋_GB2312"/>
      <w:kern w:val="28"/>
      <w:sz w:val="24"/>
      <w:szCs w:val="24"/>
      <w:lang w:val="en-US" w:eastAsia="zh-CN"/>
    </w:rPr>
  </w:style>
  <w:style w:type="character" w:customStyle="1" w:styleId="340">
    <w:name w:val="页脚 Char1"/>
    <w:qFormat/>
    <w:uiPriority w:val="0"/>
    <w:rPr>
      <w:rFonts w:eastAsia="宋体"/>
      <w:kern w:val="2"/>
      <w:sz w:val="18"/>
      <w:szCs w:val="18"/>
      <w:lang w:val="en-US" w:eastAsia="zh-CN" w:bidi="ar-SA"/>
    </w:rPr>
  </w:style>
  <w:style w:type="character" w:customStyle="1" w:styleId="341">
    <w:name w:val="Bold"/>
    <w:qFormat/>
    <w:uiPriority w:val="0"/>
    <w:rPr>
      <w:rFonts w:ascii="Arial" w:hAnsi="Arial" w:eastAsia="黑体" w:cs="Times New Roman"/>
      <w:b/>
      <w:kern w:val="2"/>
      <w:sz w:val="32"/>
      <w:szCs w:val="32"/>
      <w:lang w:val="en-US" w:eastAsia="zh-CN" w:bidi="ar-SA"/>
    </w:rPr>
  </w:style>
  <w:style w:type="character" w:customStyle="1" w:styleId="342">
    <w:name w:val="批注文字 Char1"/>
    <w:link w:val="19"/>
    <w:qFormat/>
    <w:uiPriority w:val="99"/>
    <w:rPr>
      <w:kern w:val="2"/>
      <w:sz w:val="21"/>
      <w:szCs w:val="24"/>
    </w:rPr>
  </w:style>
  <w:style w:type="character" w:customStyle="1" w:styleId="343">
    <w:name w:val="签名 Char"/>
    <w:link w:val="41"/>
    <w:qFormat/>
    <w:uiPriority w:val="0"/>
    <w:rPr>
      <w:rFonts w:eastAsia="仿宋_GB2312"/>
      <w:sz w:val="24"/>
    </w:rPr>
  </w:style>
  <w:style w:type="character" w:customStyle="1" w:styleId="344">
    <w:name w:val="hui3"/>
    <w:qFormat/>
    <w:uiPriority w:val="0"/>
    <w:rPr>
      <w:color w:val="333333"/>
    </w:rPr>
  </w:style>
  <w:style w:type="character" w:customStyle="1" w:styleId="345">
    <w:name w:val="Char Char17"/>
    <w:qFormat/>
    <w:uiPriority w:val="6"/>
    <w:rPr>
      <w:rFonts w:eastAsia="仿宋_GB2312"/>
      <w:sz w:val="24"/>
    </w:rPr>
  </w:style>
  <w:style w:type="character" w:customStyle="1" w:styleId="346">
    <w:name w:val="标题 4 字符"/>
    <w:qFormat/>
    <w:uiPriority w:val="9"/>
    <w:rPr>
      <w:rFonts w:ascii="等线 Light" w:hAnsi="等线 Light" w:eastAsia="等线 Light" w:cs="Times New Roman"/>
      <w:b/>
      <w:bCs/>
      <w:snapToGrid w:val="0"/>
      <w:kern w:val="0"/>
      <w:sz w:val="28"/>
      <w:szCs w:val="28"/>
    </w:rPr>
  </w:style>
  <w:style w:type="character" w:customStyle="1" w:styleId="347">
    <w:name w:val="Char Char37"/>
    <w:qFormat/>
    <w:uiPriority w:val="6"/>
    <w:rPr>
      <w:b/>
      <w:kern w:val="1"/>
      <w:sz w:val="44"/>
      <w:szCs w:val="44"/>
    </w:rPr>
  </w:style>
  <w:style w:type="character" w:customStyle="1" w:styleId="348">
    <w:name w:val="列出段落 Char"/>
    <w:qFormat/>
    <w:uiPriority w:val="0"/>
    <w:rPr>
      <w:rFonts w:eastAsia="楷体_GB2312" w:cs="Lucida Sans"/>
      <w:kern w:val="2"/>
      <w:sz w:val="24"/>
      <w:szCs w:val="24"/>
      <w:lang w:val="en-US" w:eastAsia="zh-CN" w:bidi="ar-SA"/>
    </w:rPr>
  </w:style>
  <w:style w:type="character" w:customStyle="1" w:styleId="349">
    <w:name w:val="正文文本缩进 3 Char1"/>
    <w:semiHidden/>
    <w:qFormat/>
    <w:uiPriority w:val="99"/>
    <w:rPr>
      <w:rFonts w:ascii="Times New Roman" w:hAnsi="Times New Roman" w:eastAsia="宋体" w:cs="Times New Roman"/>
      <w:sz w:val="16"/>
      <w:szCs w:val="16"/>
    </w:rPr>
  </w:style>
  <w:style w:type="character" w:customStyle="1" w:styleId="350">
    <w:name w:val="公文正文 Char Char"/>
    <w:link w:val="351"/>
    <w:qFormat/>
    <w:uiPriority w:val="0"/>
    <w:rPr>
      <w:rFonts w:ascii="仿宋_GB2312" w:eastAsia="仿宋_GB2312"/>
      <w:kern w:val="2"/>
      <w:sz w:val="24"/>
      <w:szCs w:val="24"/>
    </w:rPr>
  </w:style>
  <w:style w:type="paragraph" w:customStyle="1" w:styleId="351">
    <w:name w:val="公文正文"/>
    <w:basedOn w:val="1"/>
    <w:link w:val="350"/>
    <w:qFormat/>
    <w:uiPriority w:val="0"/>
    <w:pPr>
      <w:adjustRightInd/>
      <w:spacing w:before="156" w:line="360" w:lineRule="auto"/>
      <w:ind w:firstLine="360" w:firstLineChars="200"/>
    </w:pPr>
    <w:rPr>
      <w:rFonts w:ascii="仿宋_GB2312" w:eastAsia="仿宋_GB2312"/>
      <w:sz w:val="24"/>
    </w:rPr>
  </w:style>
  <w:style w:type="character" w:customStyle="1" w:styleId="352">
    <w:name w:val="Table Text Char1"/>
    <w:qFormat/>
    <w:uiPriority w:val="0"/>
    <w:rPr>
      <w:rFonts w:eastAsia="宋体"/>
      <w:sz w:val="24"/>
      <w:szCs w:val="24"/>
      <w:lang w:val="en-US" w:eastAsia="zh-CN" w:bidi="ar-SA"/>
    </w:rPr>
  </w:style>
  <w:style w:type="character" w:customStyle="1" w:styleId="353">
    <w:name w:val="标题 1 Char Char"/>
    <w:qFormat/>
    <w:uiPriority w:val="0"/>
    <w:rPr>
      <w:rFonts w:hint="eastAsia" w:ascii="宋体" w:hAnsi="宋体" w:eastAsia="宋体"/>
      <w:b/>
      <w:spacing w:val="-2"/>
      <w:sz w:val="24"/>
      <w:lang w:val="en-US" w:eastAsia="zh-CN" w:bidi="ar-SA"/>
    </w:rPr>
  </w:style>
  <w:style w:type="character" w:customStyle="1" w:styleId="354">
    <w:name w:val="正文（缩进2汉字） Char"/>
    <w:link w:val="355"/>
    <w:qFormat/>
    <w:uiPriority w:val="0"/>
    <w:rPr>
      <w:rFonts w:ascii="宋体"/>
    </w:rPr>
  </w:style>
  <w:style w:type="paragraph" w:customStyle="1" w:styleId="355">
    <w:name w:val="正文（缩进2汉字）"/>
    <w:basedOn w:val="1"/>
    <w:link w:val="35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6">
    <w:name w:val="标题 8 Char"/>
    <w:link w:val="10"/>
    <w:qFormat/>
    <w:uiPriority w:val="0"/>
    <w:rPr>
      <w:rFonts w:ascii="Arial" w:hAnsi="Arial" w:eastAsia="黑体"/>
      <w:kern w:val="2"/>
      <w:sz w:val="24"/>
      <w:szCs w:val="24"/>
    </w:rPr>
  </w:style>
  <w:style w:type="character" w:customStyle="1" w:styleId="357">
    <w:name w:val="标书表格字体格式 Char"/>
    <w:qFormat/>
    <w:uiPriority w:val="0"/>
    <w:rPr>
      <w:kern w:val="2"/>
      <w:sz w:val="21"/>
      <w:szCs w:val="24"/>
      <w:lang w:bidi="ar-SA"/>
    </w:rPr>
  </w:style>
  <w:style w:type="character" w:customStyle="1" w:styleId="358">
    <w:name w:val="tw4winError"/>
    <w:qFormat/>
    <w:uiPriority w:val="0"/>
    <w:rPr>
      <w:rFonts w:ascii="Courier New" w:hAnsi="Courier New" w:cs="Courier New"/>
      <w:color w:val="00FF00"/>
      <w:sz w:val="40"/>
      <w:szCs w:val="40"/>
    </w:rPr>
  </w:style>
  <w:style w:type="character" w:customStyle="1" w:styleId="359">
    <w:name w:val="Body Text(ch) Char Char"/>
    <w:qFormat/>
    <w:uiPriority w:val="0"/>
    <w:rPr>
      <w:rFonts w:ascii="宋体"/>
      <w:kern w:val="2"/>
      <w:sz w:val="24"/>
      <w:szCs w:val="21"/>
      <w:lang w:val="zh-CN"/>
    </w:rPr>
  </w:style>
  <w:style w:type="character" w:customStyle="1" w:styleId="360">
    <w:name w:val="正文首行缩进两字 Char"/>
    <w:qFormat/>
    <w:uiPriority w:val="0"/>
    <w:rPr>
      <w:sz w:val="24"/>
      <w:szCs w:val="24"/>
      <w:lang w:val="en-US" w:eastAsia="zh-CN" w:bidi="ar-SA"/>
    </w:rPr>
  </w:style>
  <w:style w:type="character" w:customStyle="1" w:styleId="361">
    <w:name w:val="正文文本 Char"/>
    <w:qFormat/>
    <w:uiPriority w:val="0"/>
    <w:rPr>
      <w:rFonts w:eastAsia="宋体"/>
      <w:kern w:val="2"/>
      <w:sz w:val="24"/>
      <w:szCs w:val="24"/>
      <w:lang w:val="en-US" w:eastAsia="zh-CN" w:bidi="ar-SA"/>
    </w:rPr>
  </w:style>
  <w:style w:type="character" w:customStyle="1" w:styleId="362">
    <w:name w:val="文档结构图 字符1"/>
    <w:qFormat/>
    <w:uiPriority w:val="0"/>
    <w:rPr>
      <w:rFonts w:ascii="宋体" w:hAnsi="Calibri" w:eastAsia="黑体" w:cs="Arial"/>
      <w:snapToGrid w:val="0"/>
      <w:kern w:val="2"/>
      <w:sz w:val="18"/>
      <w:szCs w:val="18"/>
    </w:rPr>
  </w:style>
  <w:style w:type="character" w:customStyle="1" w:styleId="363">
    <w:name w:val="content"/>
    <w:qFormat/>
    <w:uiPriority w:val="0"/>
  </w:style>
  <w:style w:type="character" w:customStyle="1" w:styleId="364">
    <w:name w:val="tw4winPopup"/>
    <w:qFormat/>
    <w:uiPriority w:val="0"/>
    <w:rPr>
      <w:rFonts w:ascii="Courier New" w:hAnsi="Courier New" w:cs="Courier New"/>
      <w:color w:val="008000"/>
      <w:lang w:val="en-US" w:eastAsia="zh-CN"/>
    </w:rPr>
  </w:style>
  <w:style w:type="character" w:customStyle="1" w:styleId="365">
    <w:name w:val="param-name"/>
    <w:qFormat/>
    <w:uiPriority w:val="99"/>
    <w:rPr>
      <w:rFonts w:ascii="Arial" w:hAnsi="Arial" w:eastAsia="黑体" w:cs="Arial"/>
      <w:snapToGrid w:val="0"/>
      <w:kern w:val="0"/>
      <w:szCs w:val="21"/>
    </w:rPr>
  </w:style>
  <w:style w:type="character" w:customStyle="1" w:styleId="366">
    <w:name w:val="标准正文格式 Char"/>
    <w:qFormat/>
    <w:uiPriority w:val="0"/>
    <w:rPr>
      <w:rFonts w:ascii="宋体" w:eastAsia="仿宋_GB2312" w:cs="宋体"/>
      <w:color w:val="000000"/>
      <w:sz w:val="24"/>
      <w:lang w:val="en-US" w:eastAsia="zh-CN" w:bidi="ar-SA"/>
    </w:rPr>
  </w:style>
  <w:style w:type="character" w:customStyle="1" w:styleId="367">
    <w:name w:val="Char Char212"/>
    <w:qFormat/>
    <w:uiPriority w:val="0"/>
    <w:rPr>
      <w:rFonts w:eastAsia="宋体"/>
      <w:b/>
      <w:bCs/>
      <w:kern w:val="2"/>
      <w:sz w:val="21"/>
      <w:szCs w:val="24"/>
      <w:lang w:val="en-US" w:eastAsia="zh-CN" w:bidi="ar-SA"/>
    </w:rPr>
  </w:style>
  <w:style w:type="character" w:customStyle="1" w:styleId="368">
    <w:name w:val="文档结构图 Char"/>
    <w:qFormat/>
    <w:uiPriority w:val="0"/>
    <w:rPr>
      <w:rFonts w:eastAsia="宋体"/>
      <w:kern w:val="2"/>
      <w:sz w:val="21"/>
      <w:szCs w:val="24"/>
      <w:lang w:val="en-US" w:eastAsia="zh-CN" w:bidi="ar-SA"/>
    </w:rPr>
  </w:style>
  <w:style w:type="character" w:customStyle="1" w:styleId="369">
    <w:name w:val="zbggmain style9"/>
    <w:qFormat/>
    <w:uiPriority w:val="0"/>
  </w:style>
  <w:style w:type="character" w:customStyle="1" w:styleId="370">
    <w:name w:val="Char Char16"/>
    <w:qFormat/>
    <w:uiPriority w:val="6"/>
    <w:rPr>
      <w:kern w:val="1"/>
      <w:sz w:val="18"/>
      <w:szCs w:val="18"/>
    </w:rPr>
  </w:style>
  <w:style w:type="character" w:customStyle="1" w:styleId="371">
    <w:name w:val="font51"/>
    <w:basedOn w:val="69"/>
    <w:qFormat/>
    <w:uiPriority w:val="0"/>
    <w:rPr>
      <w:rFonts w:hint="eastAsia" w:ascii="仿宋" w:hAnsi="仿宋" w:eastAsia="仿宋" w:cs="仿宋"/>
      <w:color w:val="000000"/>
      <w:sz w:val="20"/>
      <w:szCs w:val="20"/>
      <w:u w:val="none"/>
    </w:rPr>
  </w:style>
  <w:style w:type="character" w:customStyle="1" w:styleId="372">
    <w:name w:val="Char Char82"/>
    <w:qFormat/>
    <w:uiPriority w:val="0"/>
    <w:rPr>
      <w:rFonts w:eastAsia="宋体"/>
      <w:b/>
      <w:sz w:val="24"/>
      <w:lang w:val="en-GB" w:eastAsia="zh-CN"/>
    </w:rPr>
  </w:style>
  <w:style w:type="character" w:customStyle="1" w:styleId="373">
    <w:name w:val="正文文本缩进 3 Char"/>
    <w:link w:val="52"/>
    <w:qFormat/>
    <w:uiPriority w:val="0"/>
    <w:rPr>
      <w:kern w:val="2"/>
      <w:sz w:val="24"/>
    </w:rPr>
  </w:style>
  <w:style w:type="character" w:customStyle="1" w:styleId="374">
    <w:name w:val="日期 Char1"/>
    <w:semiHidden/>
    <w:qFormat/>
    <w:uiPriority w:val="99"/>
    <w:rPr>
      <w:rFonts w:ascii="Times New Roman" w:hAnsi="Times New Roman" w:eastAsia="宋体" w:cs="Times New Roman"/>
      <w:szCs w:val="24"/>
    </w:rPr>
  </w:style>
  <w:style w:type="character" w:customStyle="1" w:styleId="375">
    <w:name w:val="页眉 字符"/>
    <w:qFormat/>
    <w:uiPriority w:val="99"/>
    <w:rPr>
      <w:kern w:val="2"/>
      <w:sz w:val="18"/>
      <w:szCs w:val="18"/>
    </w:rPr>
  </w:style>
  <w:style w:type="character" w:customStyle="1" w:styleId="376">
    <w:name w:val="Char Char33"/>
    <w:qFormat/>
    <w:uiPriority w:val="6"/>
    <w:rPr>
      <w:rFonts w:ascii="Arial" w:hAnsi="Arial" w:eastAsia="黑体"/>
      <w:b/>
      <w:kern w:val="1"/>
      <w:sz w:val="24"/>
      <w:szCs w:val="24"/>
    </w:rPr>
  </w:style>
  <w:style w:type="character" w:customStyle="1" w:styleId="377">
    <w:name w:val="b11_01b Char"/>
    <w:link w:val="378"/>
    <w:qFormat/>
    <w:uiPriority w:val="0"/>
    <w:rPr>
      <w:rFonts w:ascii="Verdana" w:hAnsi="Verdana"/>
      <w:b/>
      <w:bCs/>
      <w:color w:val="4A82CA"/>
      <w:sz w:val="17"/>
      <w:szCs w:val="17"/>
    </w:rPr>
  </w:style>
  <w:style w:type="paragraph" w:customStyle="1" w:styleId="378">
    <w:name w:val="b11_01b"/>
    <w:basedOn w:val="1"/>
    <w:next w:val="1"/>
    <w:link w:val="377"/>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79">
    <w:name w:val="Char Char121"/>
    <w:qFormat/>
    <w:uiPriority w:val="6"/>
    <w:rPr>
      <w:rFonts w:ascii="仿宋_GB2312" w:eastAsia="仿宋_GB2312"/>
      <w:b/>
      <w:bCs/>
      <w:kern w:val="2"/>
      <w:sz w:val="24"/>
      <w:szCs w:val="24"/>
      <w:lang w:val="zh-CN" w:eastAsia="zh-CN" w:bidi="ar-SA"/>
    </w:rPr>
  </w:style>
  <w:style w:type="character" w:customStyle="1" w:styleId="380">
    <w:name w:val="Footer-Even Char"/>
    <w:qFormat/>
    <w:uiPriority w:val="0"/>
    <w:rPr>
      <w:rFonts w:eastAsia="宋体"/>
      <w:kern w:val="2"/>
      <w:sz w:val="18"/>
      <w:lang w:val="en-US" w:eastAsia="zh-CN" w:bidi="ar-SA"/>
    </w:rPr>
  </w:style>
  <w:style w:type="character" w:customStyle="1" w:styleId="381">
    <w:name w:val="页脚 Char2"/>
    <w:link w:val="39"/>
    <w:qFormat/>
    <w:locked/>
    <w:uiPriority w:val="99"/>
    <w:rPr>
      <w:kern w:val="2"/>
      <w:sz w:val="18"/>
      <w:szCs w:val="18"/>
    </w:rPr>
  </w:style>
  <w:style w:type="character" w:customStyle="1" w:styleId="382">
    <w:name w:val="Char Char36"/>
    <w:qFormat/>
    <w:uiPriority w:val="6"/>
    <w:rPr>
      <w:rFonts w:ascii="仿宋_GB2312" w:hAnsi="仿宋_GB2312" w:eastAsia="仿宋_GB2312" w:cs="Arial"/>
      <w:b/>
      <w:kern w:val="1"/>
      <w:sz w:val="32"/>
      <w:szCs w:val="32"/>
      <w:lang w:val="zh-CN" w:eastAsia="zh-CN" w:bidi="ar-SA"/>
    </w:rPr>
  </w:style>
  <w:style w:type="character" w:customStyle="1" w:styleId="383">
    <w:name w:val="Char Char61"/>
    <w:qFormat/>
    <w:uiPriority w:val="6"/>
    <w:rPr>
      <w:rFonts w:eastAsia="宋体"/>
      <w:kern w:val="2"/>
      <w:sz w:val="21"/>
      <w:szCs w:val="24"/>
      <w:lang w:val="en-US" w:eastAsia="zh-CN" w:bidi="ar-SA"/>
    </w:rPr>
  </w:style>
  <w:style w:type="character" w:customStyle="1" w:styleId="384">
    <w:name w:val="正文文字缩进 2 Char Char"/>
    <w:qFormat/>
    <w:uiPriority w:val="0"/>
    <w:rPr>
      <w:rFonts w:ascii="宋体"/>
      <w:sz w:val="28"/>
    </w:rPr>
  </w:style>
  <w:style w:type="character" w:customStyle="1" w:styleId="385">
    <w:name w:val="f141"/>
    <w:qFormat/>
    <w:uiPriority w:val="0"/>
    <w:rPr>
      <w:rFonts w:ascii="Tahoma" w:hAnsi="Tahoma" w:eastAsia="宋体"/>
      <w:b/>
      <w:kern w:val="2"/>
      <w:sz w:val="21"/>
      <w:szCs w:val="21"/>
      <w:lang w:val="en-US" w:eastAsia="zh-CN" w:bidi="ar-SA"/>
    </w:rPr>
  </w:style>
  <w:style w:type="character" w:customStyle="1" w:styleId="386">
    <w:name w:val="段落 Char Char"/>
    <w:link w:val="387"/>
    <w:qFormat/>
    <w:uiPriority w:val="0"/>
    <w:rPr>
      <w:rFonts w:ascii="宋体" w:hAnsi="宋体"/>
      <w:sz w:val="24"/>
    </w:rPr>
  </w:style>
  <w:style w:type="paragraph" w:customStyle="1" w:styleId="387">
    <w:name w:val="段落"/>
    <w:basedOn w:val="1"/>
    <w:link w:val="386"/>
    <w:qFormat/>
    <w:uiPriority w:val="0"/>
    <w:pPr>
      <w:adjustRightInd/>
      <w:spacing w:line="360" w:lineRule="auto"/>
      <w:ind w:firstLine="480" w:firstLineChars="200"/>
    </w:pPr>
    <w:rPr>
      <w:rFonts w:ascii="宋体" w:hAnsi="宋体"/>
      <w:kern w:val="0"/>
      <w:sz w:val="24"/>
      <w:szCs w:val="20"/>
    </w:rPr>
  </w:style>
  <w:style w:type="character" w:customStyle="1" w:styleId="388">
    <w:name w:val="标题 3 Char2"/>
    <w:qFormat/>
    <w:uiPriority w:val="0"/>
    <w:rPr>
      <w:rFonts w:eastAsia="宋体"/>
      <w:b/>
      <w:bCs/>
      <w:kern w:val="2"/>
      <w:sz w:val="32"/>
      <w:szCs w:val="32"/>
      <w:lang w:val="en-US" w:eastAsia="zh-CN" w:bidi="ar-SA"/>
    </w:rPr>
  </w:style>
  <w:style w:type="character" w:customStyle="1" w:styleId="389">
    <w:name w:val="apple-converted-space"/>
    <w:qFormat/>
    <w:uiPriority w:val="0"/>
  </w:style>
  <w:style w:type="character" w:customStyle="1" w:styleId="390">
    <w:name w:val="页眉 Char2"/>
    <w:link w:val="40"/>
    <w:qFormat/>
    <w:uiPriority w:val="99"/>
    <w:rPr>
      <w:kern w:val="2"/>
      <w:sz w:val="18"/>
      <w:szCs w:val="18"/>
    </w:rPr>
  </w:style>
  <w:style w:type="character" w:customStyle="1" w:styleId="391">
    <w:name w:val="Char Char9"/>
    <w:qFormat/>
    <w:uiPriority w:val="0"/>
    <w:rPr>
      <w:rFonts w:eastAsia="宋体"/>
      <w:kern w:val="2"/>
      <w:sz w:val="18"/>
      <w:szCs w:val="18"/>
      <w:lang w:val="en-US" w:eastAsia="zh-CN" w:bidi="ar-SA"/>
    </w:rPr>
  </w:style>
  <w:style w:type="character" w:customStyle="1" w:styleId="392">
    <w:name w:val="Char Char41"/>
    <w:qFormat/>
    <w:uiPriority w:val="0"/>
    <w:rPr>
      <w:rFonts w:eastAsia="宋体"/>
      <w:b/>
      <w:sz w:val="24"/>
      <w:lang w:val="en-GB" w:eastAsia="zh-CN" w:bidi="ar-SA"/>
    </w:rPr>
  </w:style>
  <w:style w:type="character" w:customStyle="1" w:styleId="393">
    <w:name w:val="large1"/>
    <w:qFormat/>
    <w:uiPriority w:val="0"/>
    <w:rPr>
      <w:rFonts w:hint="eastAsia" w:ascii="宋体" w:hAnsi="宋体" w:eastAsia="宋体"/>
      <w:sz w:val="21"/>
      <w:szCs w:val="21"/>
    </w:rPr>
  </w:style>
  <w:style w:type="character" w:customStyle="1" w:styleId="394">
    <w:name w:val="正文段 Char"/>
    <w:link w:val="395"/>
    <w:qFormat/>
    <w:uiPriority w:val="0"/>
    <w:rPr>
      <w:sz w:val="24"/>
    </w:rPr>
  </w:style>
  <w:style w:type="paragraph" w:customStyle="1" w:styleId="395">
    <w:name w:val="正文段"/>
    <w:basedOn w:val="1"/>
    <w:link w:val="394"/>
    <w:qFormat/>
    <w:uiPriority w:val="0"/>
    <w:pPr>
      <w:widowControl/>
      <w:snapToGrid w:val="0"/>
      <w:spacing w:after="156" w:afterLines="50"/>
      <w:ind w:firstLine="200" w:firstLineChars="200"/>
    </w:pPr>
    <w:rPr>
      <w:kern w:val="0"/>
      <w:sz w:val="24"/>
      <w:szCs w:val="20"/>
    </w:rPr>
  </w:style>
  <w:style w:type="character" w:customStyle="1" w:styleId="396">
    <w:name w:val="Char Char13"/>
    <w:qFormat/>
    <w:uiPriority w:val="6"/>
    <w:rPr>
      <w:rFonts w:ascii="宋体" w:hAnsi="宋体"/>
      <w:kern w:val="1"/>
      <w:sz w:val="21"/>
      <w:szCs w:val="24"/>
    </w:rPr>
  </w:style>
  <w:style w:type="character" w:customStyle="1" w:styleId="397">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8">
    <w:name w:val="冯广丽 Char"/>
    <w:link w:val="399"/>
    <w:qFormat/>
    <w:uiPriority w:val="0"/>
    <w:rPr>
      <w:rFonts w:ascii="宋体" w:hAnsi="宋体"/>
      <w:kern w:val="2"/>
      <w:sz w:val="24"/>
      <w:szCs w:val="22"/>
    </w:rPr>
  </w:style>
  <w:style w:type="paragraph" w:customStyle="1" w:styleId="399">
    <w:name w:val="冯广丽"/>
    <w:basedOn w:val="1"/>
    <w:link w:val="398"/>
    <w:qFormat/>
    <w:uiPriority w:val="0"/>
    <w:pPr>
      <w:adjustRightInd/>
      <w:spacing w:line="360" w:lineRule="auto"/>
      <w:ind w:firstLine="480" w:firstLineChars="200"/>
    </w:pPr>
    <w:rPr>
      <w:rFonts w:ascii="宋体" w:hAnsi="宋体"/>
      <w:sz w:val="24"/>
      <w:szCs w:val="22"/>
    </w:rPr>
  </w:style>
  <w:style w:type="character" w:customStyle="1" w:styleId="400">
    <w:name w:val="批注文字 字符"/>
    <w:qFormat/>
    <w:uiPriority w:val="0"/>
    <w:rPr>
      <w:rFonts w:ascii="Arial" w:hAnsi="Arial" w:eastAsia="黑体" w:cs="Arial"/>
      <w:snapToGrid w:val="0"/>
      <w:kern w:val="0"/>
      <w:szCs w:val="21"/>
    </w:rPr>
  </w:style>
  <w:style w:type="character" w:customStyle="1" w:styleId="401">
    <w:name w:val="Char Char161"/>
    <w:qFormat/>
    <w:uiPriority w:val="0"/>
    <w:rPr>
      <w:rFonts w:eastAsia="宋体"/>
      <w:b/>
      <w:kern w:val="2"/>
      <w:sz w:val="32"/>
      <w:lang w:val="en-US" w:eastAsia="zh-CN"/>
    </w:rPr>
  </w:style>
  <w:style w:type="character" w:customStyle="1" w:styleId="402">
    <w:name w:val="javascript"/>
    <w:qFormat/>
    <w:uiPriority w:val="0"/>
  </w:style>
  <w:style w:type="character" w:customStyle="1" w:styleId="403">
    <w:name w:val="图名 Char"/>
    <w:qFormat/>
    <w:uiPriority w:val="0"/>
    <w:rPr>
      <w:rFonts w:ascii="Arial" w:hAnsi="Arial" w:eastAsia="黑体"/>
      <w:kern w:val="2"/>
      <w:sz w:val="24"/>
      <w:szCs w:val="24"/>
      <w:lang w:val="en-US" w:eastAsia="zh-CN" w:bidi="ar-SA"/>
    </w:rPr>
  </w:style>
  <w:style w:type="character" w:customStyle="1" w:styleId="404">
    <w:name w:val="Used by Word for text of Help footnotes Char Char"/>
    <w:qFormat/>
    <w:uiPriority w:val="0"/>
    <w:rPr>
      <w:rFonts w:ascii="Times New Roman" w:hAnsi="Times New Roman" w:eastAsia="宋体" w:cs="Times New Roman"/>
      <w:sz w:val="20"/>
      <w:szCs w:val="20"/>
    </w:rPr>
  </w:style>
  <w:style w:type="character" w:customStyle="1" w:styleId="405">
    <w:name w:val="编号，小四 Char"/>
    <w:link w:val="406"/>
    <w:qFormat/>
    <w:uiPriority w:val="0"/>
    <w:rPr>
      <w:rFonts w:ascii="Arial" w:hAnsi="Arial"/>
      <w:sz w:val="24"/>
    </w:rPr>
  </w:style>
  <w:style w:type="paragraph" w:customStyle="1" w:styleId="406">
    <w:name w:val="编号，小四"/>
    <w:basedOn w:val="1"/>
    <w:link w:val="405"/>
    <w:qFormat/>
    <w:uiPriority w:val="0"/>
    <w:pPr>
      <w:tabs>
        <w:tab w:val="left" w:pos="432"/>
      </w:tabs>
      <w:adjustRightInd/>
      <w:spacing w:line="360" w:lineRule="auto"/>
      <w:ind w:left="432" w:hanging="432"/>
    </w:pPr>
    <w:rPr>
      <w:rFonts w:ascii="Arial" w:hAnsi="Arial"/>
      <w:kern w:val="0"/>
      <w:sz w:val="24"/>
      <w:szCs w:val="20"/>
    </w:rPr>
  </w:style>
  <w:style w:type="character" w:customStyle="1" w:styleId="407">
    <w:name w:val="Font Style82"/>
    <w:qFormat/>
    <w:uiPriority w:val="99"/>
    <w:rPr>
      <w:rFonts w:ascii="宋体" w:eastAsia="宋体" w:cs="宋体"/>
      <w:color w:val="000000"/>
      <w:sz w:val="14"/>
      <w:szCs w:val="14"/>
    </w:rPr>
  </w:style>
  <w:style w:type="character" w:customStyle="1" w:styleId="408">
    <w:name w:val="标题 2 Char Char"/>
    <w:qFormat/>
    <w:uiPriority w:val="0"/>
    <w:rPr>
      <w:rFonts w:ascii="楷体_GB2312" w:hAnsi="Arial" w:eastAsia="楷体_GB2312"/>
      <w:b/>
      <w:bCs/>
      <w:kern w:val="2"/>
      <w:sz w:val="24"/>
      <w:szCs w:val="32"/>
      <w:lang w:val="en-US" w:eastAsia="zh-CN" w:bidi="ar-SA"/>
    </w:rPr>
  </w:style>
  <w:style w:type="character" w:customStyle="1" w:styleId="409">
    <w:name w:val="未用 Char"/>
    <w:qFormat/>
    <w:uiPriority w:val="0"/>
    <w:rPr>
      <w:rFonts w:ascii="Arial" w:hAnsi="Arial" w:eastAsia="黑体"/>
      <w:kern w:val="2"/>
      <w:sz w:val="21"/>
      <w:szCs w:val="21"/>
      <w:lang w:val="en-US" w:eastAsia="zh-CN" w:bidi="ar-SA"/>
    </w:rPr>
  </w:style>
  <w:style w:type="character" w:customStyle="1" w:styleId="410">
    <w:name w:val="myp1111"/>
    <w:qFormat/>
    <w:uiPriority w:val="0"/>
    <w:rPr>
      <w:rFonts w:hint="default" w:ascii="ˎ̥" w:hAnsi="ˎ̥"/>
      <w:color w:val="000000"/>
      <w:sz w:val="20"/>
      <w:szCs w:val="20"/>
      <w:u w:val="none"/>
    </w:rPr>
  </w:style>
  <w:style w:type="character" w:customStyle="1" w:styleId="411">
    <w:name w:val="样式 标题 4h4H4Fab-4T5Ref Heading 1rh1Heading sqlsect 1.2.3.... Char"/>
    <w:link w:val="303"/>
    <w:qFormat/>
    <w:uiPriority w:val="0"/>
    <w:rPr>
      <w:rFonts w:ascii="微软雅黑" w:hAnsi="微软雅黑" w:eastAsia="微软雅黑"/>
      <w:b/>
      <w:bCs/>
      <w:kern w:val="2"/>
      <w:sz w:val="24"/>
      <w:szCs w:val="28"/>
    </w:rPr>
  </w:style>
  <w:style w:type="character" w:customStyle="1" w:styleId="412">
    <w:name w:val="h Char Char"/>
    <w:qFormat/>
    <w:uiPriority w:val="0"/>
    <w:rPr>
      <w:rFonts w:eastAsia="宋体"/>
      <w:kern w:val="2"/>
      <w:sz w:val="18"/>
      <w:lang w:val="en-US" w:eastAsia="zh-CN" w:bidi="ar-SA"/>
    </w:rPr>
  </w:style>
  <w:style w:type="character" w:customStyle="1" w:styleId="413">
    <w:name w:val="仿宋正文 Char"/>
    <w:link w:val="414"/>
    <w:qFormat/>
    <w:uiPriority w:val="0"/>
    <w:rPr>
      <w:rFonts w:ascii="仿宋_GB2312" w:eastAsia="仿宋_GB2312"/>
      <w:kern w:val="2"/>
      <w:sz w:val="24"/>
      <w:lang w:val="en-US" w:eastAsia="zh-CN" w:bidi="ar-SA"/>
    </w:rPr>
  </w:style>
  <w:style w:type="paragraph" w:customStyle="1" w:styleId="414">
    <w:name w:val="仿宋正文"/>
    <w:basedOn w:val="1"/>
    <w:link w:val="413"/>
    <w:qFormat/>
    <w:uiPriority w:val="0"/>
    <w:pPr>
      <w:adjustRightInd/>
      <w:spacing w:line="360" w:lineRule="auto"/>
      <w:ind w:firstLine="480" w:firstLineChars="200"/>
    </w:pPr>
    <w:rPr>
      <w:rFonts w:ascii="仿宋_GB2312" w:eastAsia="仿宋_GB2312"/>
      <w:sz w:val="24"/>
      <w:szCs w:val="20"/>
    </w:rPr>
  </w:style>
  <w:style w:type="character" w:customStyle="1" w:styleId="415">
    <w:name w:val="正文首行缩进 Char Char Char Char Char Char"/>
    <w:qFormat/>
    <w:uiPriority w:val="0"/>
    <w:rPr>
      <w:rFonts w:ascii="宋体" w:eastAsia="宋体"/>
      <w:kern w:val="2"/>
      <w:sz w:val="24"/>
      <w:lang w:val="zh-CN" w:bidi="ar-SA"/>
    </w:rPr>
  </w:style>
  <w:style w:type="character" w:customStyle="1" w:styleId="416">
    <w:name w:val="样式 宋体"/>
    <w:qFormat/>
    <w:uiPriority w:val="0"/>
    <w:rPr>
      <w:rFonts w:ascii="宋体" w:hAnsi="宋体"/>
      <w:sz w:val="24"/>
    </w:rPr>
  </w:style>
  <w:style w:type="character" w:customStyle="1" w:styleId="417">
    <w:name w:val="tw4winJump"/>
    <w:qFormat/>
    <w:uiPriority w:val="0"/>
    <w:rPr>
      <w:rFonts w:ascii="Courier New" w:hAnsi="Courier New" w:cs="Courier New"/>
      <w:color w:val="008080"/>
      <w:lang w:val="en-US" w:eastAsia="zh-CN"/>
    </w:rPr>
  </w:style>
  <w:style w:type="character" w:customStyle="1" w:styleId="418">
    <w:name w:val="标题 1 字符"/>
    <w:qFormat/>
    <w:uiPriority w:val="9"/>
    <w:rPr>
      <w:rFonts w:ascii="Arial" w:hAnsi="Arial" w:eastAsia="黑体" w:cs="Arial"/>
      <w:b/>
      <w:bCs/>
      <w:snapToGrid w:val="0"/>
      <w:kern w:val="44"/>
      <w:sz w:val="44"/>
      <w:szCs w:val="44"/>
    </w:rPr>
  </w:style>
  <w:style w:type="character" w:customStyle="1" w:styleId="419">
    <w:name w:val="style36"/>
    <w:basedOn w:val="69"/>
    <w:qFormat/>
    <w:uiPriority w:val="0"/>
    <w:rPr>
      <w:rFonts w:ascii="Arial" w:hAnsi="Arial" w:eastAsia="黑体" w:cs="Arial"/>
      <w:snapToGrid w:val="0"/>
      <w:kern w:val="0"/>
      <w:szCs w:val="21"/>
    </w:rPr>
  </w:style>
  <w:style w:type="character" w:customStyle="1" w:styleId="420">
    <w:name w:val="pt9"/>
    <w:qFormat/>
    <w:uiPriority w:val="0"/>
    <w:rPr>
      <w:rFonts w:ascii="仿宋_GB2312" w:eastAsia="微软雅黑"/>
      <w:b/>
      <w:kern w:val="2"/>
      <w:sz w:val="32"/>
      <w:szCs w:val="32"/>
      <w:lang w:val="en-US" w:eastAsia="zh-CN" w:bidi="ar-SA"/>
    </w:rPr>
  </w:style>
  <w:style w:type="character" w:customStyle="1" w:styleId="421">
    <w:name w:val="DO_NOT_TRANSLATE"/>
    <w:qFormat/>
    <w:uiPriority w:val="0"/>
    <w:rPr>
      <w:rFonts w:ascii="Courier New" w:hAnsi="Courier New" w:cs="Courier New"/>
      <w:color w:val="800000"/>
      <w:lang w:val="en-US" w:eastAsia="zh-CN"/>
    </w:rPr>
  </w:style>
  <w:style w:type="character" w:customStyle="1" w:styleId="422">
    <w:name w:val="标书1 Char1"/>
    <w:qFormat/>
    <w:uiPriority w:val="0"/>
    <w:rPr>
      <w:rFonts w:eastAsia="宋体"/>
      <w:b/>
      <w:bCs/>
      <w:kern w:val="44"/>
      <w:sz w:val="44"/>
      <w:szCs w:val="44"/>
      <w:lang w:val="en-US" w:eastAsia="zh-CN" w:bidi="ar-SA"/>
    </w:rPr>
  </w:style>
  <w:style w:type="character" w:customStyle="1" w:styleId="423">
    <w:name w:val="页脚 字符"/>
    <w:qFormat/>
    <w:uiPriority w:val="99"/>
    <w:rPr>
      <w:kern w:val="2"/>
      <w:sz w:val="18"/>
      <w:szCs w:val="18"/>
    </w:rPr>
  </w:style>
  <w:style w:type="character" w:customStyle="1" w:styleId="424">
    <w:name w:val="正文2 Char"/>
    <w:qFormat/>
    <w:uiPriority w:val="0"/>
    <w:rPr>
      <w:rFonts w:eastAsia="宋体"/>
      <w:kern w:val="2"/>
      <w:sz w:val="24"/>
      <w:lang w:val="en-US" w:eastAsia="zh-CN" w:bidi="ar-SA"/>
    </w:rPr>
  </w:style>
  <w:style w:type="character" w:customStyle="1" w:styleId="425">
    <w:name w:val="Char Char21"/>
    <w:qFormat/>
    <w:uiPriority w:val="6"/>
    <w:rPr>
      <w:rFonts w:ascii="宋体" w:hAnsi="宋体"/>
      <w:kern w:val="1"/>
      <w:sz w:val="24"/>
      <w:szCs w:val="21"/>
      <w:lang w:val="zh-CN"/>
    </w:rPr>
  </w:style>
  <w:style w:type="character" w:customStyle="1" w:styleId="426">
    <w:name w:val="样式 正文缩进 + 首行缩进:  2 字符 Char Char"/>
    <w:link w:val="427"/>
    <w:qFormat/>
    <w:uiPriority w:val="0"/>
    <w:rPr>
      <w:rFonts w:cs="宋体"/>
      <w:kern w:val="2"/>
      <w:sz w:val="24"/>
    </w:rPr>
  </w:style>
  <w:style w:type="paragraph" w:customStyle="1" w:styleId="427">
    <w:name w:val="样式 正文缩进 + 首行缩进:  2 字符"/>
    <w:basedOn w:val="5"/>
    <w:link w:val="426"/>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8">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29">
    <w:name w:val="gray6"/>
    <w:basedOn w:val="69"/>
    <w:qFormat/>
    <w:uiPriority w:val="0"/>
    <w:rPr>
      <w:rFonts w:ascii="Arial" w:hAnsi="Arial" w:eastAsia="黑体" w:cs="Arial"/>
      <w:snapToGrid w:val="0"/>
      <w:kern w:val="0"/>
      <w:szCs w:val="21"/>
    </w:rPr>
  </w:style>
  <w:style w:type="character" w:customStyle="1" w:styleId="430">
    <w:name w:val="hui"/>
    <w:basedOn w:val="69"/>
    <w:qFormat/>
    <w:uiPriority w:val="0"/>
    <w:rPr>
      <w:rFonts w:ascii="Arial" w:hAnsi="Arial" w:eastAsia="黑体" w:cs="Arial"/>
      <w:snapToGrid w:val="0"/>
      <w:kern w:val="0"/>
      <w:szCs w:val="21"/>
    </w:rPr>
  </w:style>
  <w:style w:type="character" w:customStyle="1" w:styleId="431">
    <w:name w:val="哈哈正文 Char Char"/>
    <w:qFormat/>
    <w:uiPriority w:val="0"/>
    <w:rPr>
      <w:rFonts w:ascii="宋体" w:hAnsi="宋体" w:eastAsia="宋体" w:cs="宋体"/>
      <w:kern w:val="2"/>
      <w:sz w:val="24"/>
      <w:lang w:val="en-US" w:eastAsia="zh-CN" w:bidi="ar-SA"/>
    </w:rPr>
  </w:style>
  <w:style w:type="paragraph" w:customStyle="1" w:styleId="432">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4">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39">
    <w:name w:val="标题4_自定义"/>
    <w:basedOn w:val="6"/>
    <w:qFormat/>
    <w:uiPriority w:val="0"/>
    <w:pPr>
      <w:adjustRightInd/>
      <w:spacing w:before="0" w:after="0" w:line="360" w:lineRule="auto"/>
    </w:pPr>
    <w:rPr>
      <w:rFonts w:ascii="Verdana" w:eastAsia="Verdana"/>
      <w:sz w:val="21"/>
      <w:lang w:val="en-US"/>
    </w:rPr>
  </w:style>
  <w:style w:type="paragraph" w:customStyle="1" w:styleId="440">
    <w:name w:val="正文 内标 序号标"/>
    <w:basedOn w:val="441"/>
    <w:qFormat/>
    <w:uiPriority w:val="0"/>
    <w:pPr>
      <w:tabs>
        <w:tab w:val="left" w:pos="0"/>
      </w:tabs>
      <w:adjustRightInd/>
      <w:spacing w:before="0"/>
      <w:ind w:firstLine="482"/>
    </w:pPr>
    <w:rPr>
      <w:rFonts w:ascii="微软雅黑" w:hAnsi="微软雅黑"/>
      <w:sz w:val="24"/>
      <w:szCs w:val="24"/>
    </w:rPr>
  </w:style>
  <w:style w:type="paragraph" w:customStyle="1" w:styleId="441">
    <w:name w:val="My正文"/>
    <w:basedOn w:val="1"/>
    <w:qFormat/>
    <w:uiPriority w:val="0"/>
    <w:pPr>
      <w:spacing w:before="120" w:line="360" w:lineRule="auto"/>
      <w:ind w:firstLine="567"/>
    </w:pPr>
    <w:rPr>
      <w:rFonts w:ascii="Arial" w:hAnsi="Arial"/>
      <w:sz w:val="20"/>
      <w:szCs w:val="20"/>
    </w:rPr>
  </w:style>
  <w:style w:type="paragraph" w:customStyle="1" w:styleId="44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5">
    <w:name w:val="修订2"/>
    <w:qFormat/>
    <w:uiPriority w:val="0"/>
    <w:rPr>
      <w:rFonts w:ascii="Times New Roman" w:hAnsi="Times New Roman" w:eastAsia="宋体" w:cs="Times New Roman"/>
      <w:kern w:val="2"/>
      <w:sz w:val="21"/>
      <w:lang w:val="en-US" w:eastAsia="zh-CN" w:bidi="ar-SA"/>
    </w:rPr>
  </w:style>
  <w:style w:type="paragraph" w:customStyle="1" w:styleId="44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8">
    <w:name w:val="文章标题"/>
    <w:next w:val="44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49">
    <w:name w:val="封面公司名"/>
    <w:qFormat/>
    <w:uiPriority w:val="0"/>
    <w:pPr>
      <w:jc w:val="center"/>
    </w:pPr>
    <w:rPr>
      <w:rFonts w:ascii="Arial" w:hAnsi="Arial" w:eastAsia="楷体_GB2312" w:cs="宋体"/>
      <w:bCs/>
      <w:kern w:val="2"/>
      <w:sz w:val="28"/>
      <w:lang w:val="en-US" w:eastAsia="zh-CN" w:bidi="ar-SA"/>
    </w:rPr>
  </w:style>
  <w:style w:type="paragraph" w:customStyle="1" w:styleId="450">
    <w:name w:val="Char1 Char Char Char5"/>
    <w:basedOn w:val="1"/>
    <w:qFormat/>
    <w:uiPriority w:val="0"/>
    <w:pPr>
      <w:adjustRightInd/>
      <w:ind w:firstLine="200" w:firstLineChars="200"/>
    </w:pPr>
    <w:rPr>
      <w:rFonts w:ascii="Tahoma" w:hAnsi="Tahoma"/>
      <w:sz w:val="24"/>
      <w:szCs w:val="20"/>
    </w:rPr>
  </w:style>
  <w:style w:type="paragraph" w:customStyle="1" w:styleId="45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3">
    <w:name w:val="Char Char Char Char Char Char Char Char"/>
    <w:basedOn w:val="1"/>
    <w:qFormat/>
    <w:uiPriority w:val="0"/>
    <w:pPr>
      <w:tabs>
        <w:tab w:val="left" w:pos="360"/>
      </w:tabs>
    </w:pPr>
    <w:rPr>
      <w:sz w:val="24"/>
      <w:szCs w:val="20"/>
    </w:rPr>
  </w:style>
  <w:style w:type="paragraph" w:customStyle="1" w:styleId="454">
    <w:name w:val="Char Char11 Char Char Char"/>
    <w:basedOn w:val="1"/>
    <w:qFormat/>
    <w:uiPriority w:val="0"/>
    <w:pPr>
      <w:spacing w:line="360" w:lineRule="auto"/>
    </w:pPr>
    <w:rPr>
      <w:szCs w:val="20"/>
    </w:rPr>
  </w:style>
  <w:style w:type="paragraph" w:customStyle="1" w:styleId="45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7">
    <w:name w:val="样式3"/>
    <w:basedOn w:val="458"/>
    <w:qFormat/>
    <w:uiPriority w:val="0"/>
    <w:pPr>
      <w:tabs>
        <w:tab w:val="left" w:pos="2790"/>
        <w:tab w:val="left" w:pos="4230"/>
      </w:tabs>
      <w:spacing w:before="312" w:beforeLines="100"/>
      <w:jc w:val="left"/>
    </w:pPr>
  </w:style>
  <w:style w:type="paragraph" w:customStyle="1" w:styleId="45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59">
    <w:name w:val="Char Char1 Char Char1 Char Char1"/>
    <w:basedOn w:val="1"/>
    <w:qFormat/>
    <w:uiPriority w:val="0"/>
    <w:pPr>
      <w:tabs>
        <w:tab w:val="left" w:pos="840"/>
      </w:tabs>
      <w:ind w:left="840" w:hanging="420"/>
    </w:pPr>
    <w:rPr>
      <w:rFonts w:ascii="Tahoma" w:hAnsi="Tahoma"/>
      <w:sz w:val="24"/>
    </w:rPr>
  </w:style>
  <w:style w:type="paragraph" w:customStyle="1" w:styleId="46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1">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3">
    <w:name w:val="正文21"/>
    <w:basedOn w:val="1"/>
    <w:qFormat/>
    <w:uiPriority w:val="0"/>
    <w:pPr>
      <w:adjustRightInd/>
      <w:spacing w:before="156" w:line="360" w:lineRule="auto"/>
      <w:ind w:firstLine="510" w:firstLineChars="200"/>
    </w:pPr>
    <w:rPr>
      <w:sz w:val="24"/>
      <w:szCs w:val="20"/>
    </w:rPr>
  </w:style>
  <w:style w:type="paragraph" w:customStyle="1" w:styleId="464">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6">
    <w:name w:val="Char1"/>
    <w:basedOn w:val="1"/>
    <w:qFormat/>
    <w:uiPriority w:val="0"/>
    <w:rPr>
      <w:rFonts w:ascii="仿宋_GB2312" w:eastAsia="仿宋_GB2312"/>
      <w:b/>
      <w:sz w:val="32"/>
      <w:szCs w:val="32"/>
    </w:rPr>
  </w:style>
  <w:style w:type="paragraph" w:customStyle="1" w:styleId="46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6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1">
    <w:name w:val="6级标题"/>
    <w:basedOn w:val="472"/>
    <w:qFormat/>
    <w:uiPriority w:val="0"/>
    <w:pPr>
      <w:keepNext/>
      <w:tabs>
        <w:tab w:val="left" w:pos="360"/>
      </w:tabs>
      <w:spacing w:before="0" w:after="0"/>
      <w:outlineLvl w:val="5"/>
    </w:pPr>
  </w:style>
  <w:style w:type="paragraph" w:customStyle="1" w:styleId="472">
    <w:name w:val="5级标题"/>
    <w:basedOn w:val="473"/>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3">
    <w:name w:val="4级标题"/>
    <w:basedOn w:val="25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4">
    <w:name w:val="样式 正文文本缩进 + 段前: 2 字符"/>
    <w:basedOn w:val="1"/>
    <w:qFormat/>
    <w:uiPriority w:val="0"/>
    <w:pPr>
      <w:adjustRightInd/>
      <w:ind w:left="420" w:leftChars="200"/>
      <w:jc w:val="left"/>
    </w:pPr>
    <w:rPr>
      <w:sz w:val="28"/>
      <w:szCs w:val="20"/>
      <w:lang w:eastAsia="zh-TW"/>
    </w:rPr>
  </w:style>
  <w:style w:type="paragraph" w:customStyle="1" w:styleId="475">
    <w:name w:val="Char2 Char Char"/>
    <w:basedOn w:val="1"/>
    <w:qFormat/>
    <w:uiPriority w:val="0"/>
    <w:pPr>
      <w:adjustRightInd/>
    </w:pPr>
    <w:rPr>
      <w:rFonts w:ascii="Tahoma" w:hAnsi="Tahoma"/>
      <w:sz w:val="24"/>
      <w:szCs w:val="20"/>
    </w:rPr>
  </w:style>
  <w:style w:type="paragraph" w:customStyle="1" w:styleId="476">
    <w:name w:val="_Style 11"/>
    <w:basedOn w:val="1"/>
    <w:qFormat/>
    <w:uiPriority w:val="34"/>
    <w:pPr>
      <w:adjustRightInd/>
      <w:ind w:firstLine="420" w:firstLineChars="200"/>
    </w:pPr>
    <w:rPr>
      <w:rFonts w:eastAsia="仿宋_GB2312"/>
      <w:sz w:val="28"/>
    </w:rPr>
  </w:style>
  <w:style w:type="paragraph" w:customStyle="1" w:styleId="47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8">
    <w:name w:val="Char Char Char"/>
    <w:basedOn w:val="1"/>
    <w:qFormat/>
    <w:uiPriority w:val="0"/>
    <w:rPr>
      <w:rFonts w:ascii="Tahoma" w:hAnsi="Tahoma"/>
      <w:sz w:val="24"/>
      <w:szCs w:val="20"/>
    </w:rPr>
  </w:style>
  <w:style w:type="paragraph" w:customStyle="1" w:styleId="479">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1">
    <w:name w:val="No Spacing"/>
    <w:basedOn w:val="1"/>
    <w:link w:val="930"/>
    <w:qFormat/>
    <w:uiPriority w:val="99"/>
    <w:rPr>
      <w:szCs w:val="22"/>
    </w:rPr>
  </w:style>
  <w:style w:type="paragraph" w:customStyle="1" w:styleId="48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3">
    <w:name w:val="Char Char Char Char Char Char Char Char Char Char Char Char1 Char1"/>
    <w:basedOn w:val="1"/>
    <w:qFormat/>
    <w:uiPriority w:val="6"/>
    <w:rPr>
      <w:rFonts w:ascii="Tahoma" w:hAnsi="Tahoma" w:cs="仿宋_GB2312"/>
      <w:sz w:val="24"/>
      <w:szCs w:val="20"/>
    </w:rPr>
  </w:style>
  <w:style w:type="paragraph" w:customStyle="1" w:styleId="48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7">
    <w:name w:val="MM Topic 2"/>
    <w:basedOn w:val="3"/>
    <w:qFormat/>
    <w:uiPriority w:val="0"/>
    <w:pPr>
      <w:tabs>
        <w:tab w:val="left" w:pos="1260"/>
      </w:tabs>
      <w:ind w:left="1260" w:hanging="420"/>
    </w:pPr>
    <w:rPr>
      <w:rFonts w:ascii="Arial" w:hAnsi="Arial" w:eastAsia="黑体"/>
      <w:lang w:val="en-US"/>
    </w:rPr>
  </w:style>
  <w:style w:type="paragraph" w:customStyle="1" w:styleId="488">
    <w:name w:val="五级无标题条"/>
    <w:basedOn w:val="1"/>
    <w:qFormat/>
    <w:uiPriority w:val="0"/>
    <w:pPr>
      <w:adjustRightInd/>
    </w:pPr>
  </w:style>
  <w:style w:type="paragraph" w:customStyle="1" w:styleId="489">
    <w:name w:val="Char5"/>
    <w:basedOn w:val="1"/>
    <w:qFormat/>
    <w:uiPriority w:val="0"/>
    <w:rPr>
      <w:rFonts w:ascii="仿宋_GB2312" w:eastAsia="仿宋_GB2312"/>
      <w:b/>
      <w:sz w:val="32"/>
      <w:szCs w:val="32"/>
    </w:rPr>
  </w:style>
  <w:style w:type="paragraph" w:customStyle="1" w:styleId="490">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1">
    <w:name w:val="彩色列表 - 强调文字颜色 12"/>
    <w:basedOn w:val="1"/>
    <w:qFormat/>
    <w:uiPriority w:val="0"/>
    <w:pPr>
      <w:adjustRightInd/>
      <w:ind w:firstLine="420" w:firstLineChars="200"/>
    </w:pPr>
    <w:rPr>
      <w:rFonts w:ascii="Calibri" w:hAnsi="Calibri"/>
      <w:szCs w:val="22"/>
    </w:rPr>
  </w:style>
  <w:style w:type="paragraph" w:customStyle="1" w:styleId="49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3">
    <w:name w:val="Char2"/>
    <w:basedOn w:val="1"/>
    <w:qFormat/>
    <w:uiPriority w:val="0"/>
    <w:rPr>
      <w:rFonts w:ascii="仿宋_GB2312" w:eastAsia="仿宋_GB2312"/>
      <w:b/>
      <w:sz w:val="32"/>
      <w:szCs w:val="32"/>
    </w:rPr>
  </w:style>
  <w:style w:type="paragraph" w:customStyle="1" w:styleId="494">
    <w:name w:val="数字标题3"/>
    <w:basedOn w:val="4"/>
    <w:next w:val="1"/>
    <w:qFormat/>
    <w:uiPriority w:val="0"/>
    <w:pPr>
      <w:spacing w:line="240" w:lineRule="auto"/>
    </w:pPr>
    <w:rPr>
      <w:sz w:val="28"/>
      <w:szCs w:val="28"/>
    </w:rPr>
  </w:style>
  <w:style w:type="paragraph" w:customStyle="1" w:styleId="495">
    <w:name w:val="FA正文"/>
    <w:basedOn w:val="1"/>
    <w:qFormat/>
    <w:uiPriority w:val="0"/>
    <w:pPr>
      <w:spacing w:line="360" w:lineRule="auto"/>
      <w:ind w:firstLine="480" w:firstLineChars="200"/>
    </w:pPr>
    <w:rPr>
      <w:rFonts w:hAnsi="宋体"/>
      <w:sz w:val="24"/>
      <w:szCs w:val="20"/>
    </w:rPr>
  </w:style>
  <w:style w:type="paragraph" w:customStyle="1" w:styleId="496">
    <w:name w:val="MM Topic 5"/>
    <w:basedOn w:val="7"/>
    <w:qFormat/>
    <w:uiPriority w:val="0"/>
    <w:pPr>
      <w:tabs>
        <w:tab w:val="left" w:pos="2520"/>
      </w:tabs>
      <w:adjustRightInd/>
      <w:ind w:left="2520" w:hanging="420"/>
    </w:pPr>
  </w:style>
  <w:style w:type="paragraph" w:customStyle="1" w:styleId="497">
    <w:name w:val="Char Char Char Char Char Char Char Char Char Char1"/>
    <w:basedOn w:val="1"/>
    <w:qFormat/>
    <w:uiPriority w:val="0"/>
    <w:rPr>
      <w:rFonts w:ascii="仿宋_GB2312" w:eastAsia="仿宋_GB2312"/>
      <w:b/>
      <w:sz w:val="32"/>
      <w:szCs w:val="32"/>
    </w:rPr>
  </w:style>
  <w:style w:type="paragraph" w:customStyle="1" w:styleId="49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9">
    <w:name w:val="修订1"/>
    <w:qFormat/>
    <w:uiPriority w:val="3"/>
    <w:rPr>
      <w:rFonts w:ascii="Times New Roman" w:hAnsi="Times New Roman" w:eastAsia="宋体" w:cs="Times New Roman"/>
      <w:color w:val="000000"/>
      <w:kern w:val="1"/>
      <w:sz w:val="21"/>
      <w:lang w:val="en-US" w:eastAsia="zh-CN" w:bidi="ar-SA"/>
    </w:rPr>
  </w:style>
  <w:style w:type="paragraph" w:customStyle="1" w:styleId="500">
    <w:name w:val="Char2 Char Char Char"/>
    <w:basedOn w:val="1"/>
    <w:qFormat/>
    <w:uiPriority w:val="0"/>
    <w:rPr>
      <w:rFonts w:ascii="仿宋_GB2312" w:eastAsia="仿宋_GB2312"/>
      <w:b/>
      <w:sz w:val="32"/>
      <w:szCs w:val="32"/>
    </w:rPr>
  </w:style>
  <w:style w:type="paragraph" w:customStyle="1" w:styleId="501">
    <w:name w:val="Char2 Char Char Char1"/>
    <w:basedOn w:val="1"/>
    <w:qFormat/>
    <w:uiPriority w:val="6"/>
    <w:rPr>
      <w:rFonts w:ascii="仿宋_GB2312" w:eastAsia="仿宋_GB2312"/>
      <w:b/>
      <w:sz w:val="32"/>
      <w:szCs w:val="32"/>
    </w:rPr>
  </w:style>
  <w:style w:type="paragraph" w:customStyle="1" w:styleId="502">
    <w:name w:val="默认段落样式"/>
    <w:basedOn w:val="129"/>
    <w:qFormat/>
    <w:uiPriority w:val="0"/>
    <w:pPr>
      <w:spacing w:before="0"/>
      <w:ind w:firstLine="480"/>
      <w:outlineLvl w:val="2"/>
    </w:pPr>
    <w:rPr>
      <w:rFonts w:ascii="仿宋_GB2312" w:hAnsi="宋体" w:eastAsia="仿宋_GB2312"/>
      <w:color w:val="000000"/>
      <w:szCs w:val="24"/>
    </w:rPr>
  </w:style>
  <w:style w:type="paragraph" w:customStyle="1" w:styleId="503">
    <w:name w:val="图中文字"/>
    <w:basedOn w:val="1"/>
    <w:qFormat/>
    <w:uiPriority w:val="0"/>
    <w:pPr>
      <w:snapToGrid w:val="0"/>
      <w:spacing w:line="0" w:lineRule="atLeast"/>
      <w:ind w:firstLine="200" w:firstLineChars="200"/>
      <w:jc w:val="center"/>
    </w:pPr>
    <w:rPr>
      <w:sz w:val="24"/>
      <w:szCs w:val="20"/>
    </w:rPr>
  </w:style>
  <w:style w:type="paragraph" w:customStyle="1" w:styleId="50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5">
    <w:name w:val="MM Topic 3"/>
    <w:basedOn w:val="4"/>
    <w:qFormat/>
    <w:uiPriority w:val="0"/>
    <w:pPr>
      <w:tabs>
        <w:tab w:val="left" w:pos="1680"/>
      </w:tabs>
      <w:adjustRightInd/>
      <w:ind w:left="1680" w:hanging="420"/>
    </w:pPr>
  </w:style>
  <w:style w:type="paragraph" w:customStyle="1" w:styleId="506">
    <w:name w:val="标准小四"/>
    <w:basedOn w:val="1"/>
    <w:qFormat/>
    <w:uiPriority w:val="0"/>
    <w:pPr>
      <w:spacing w:line="360" w:lineRule="auto"/>
      <w:ind w:firstLine="480" w:firstLineChars="200"/>
    </w:pPr>
    <w:rPr>
      <w:rFonts w:ascii="Arial" w:hAnsi="Arial"/>
      <w:sz w:val="24"/>
      <w:szCs w:val="21"/>
    </w:rPr>
  </w:style>
  <w:style w:type="paragraph" w:customStyle="1" w:styleId="507">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08">
    <w:name w:val="表格（小）"/>
    <w:basedOn w:val="1"/>
    <w:qFormat/>
    <w:uiPriority w:val="0"/>
    <w:pPr>
      <w:adjustRightInd/>
      <w:snapToGrid w:val="0"/>
      <w:spacing w:line="300" w:lineRule="auto"/>
    </w:pPr>
    <w:rPr>
      <w:rFonts w:eastAsia="仿宋"/>
      <w:szCs w:val="21"/>
    </w:rPr>
  </w:style>
  <w:style w:type="paragraph" w:customStyle="1" w:styleId="50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0">
    <w:name w:val="Char2 Char Char1"/>
    <w:basedOn w:val="1"/>
    <w:qFormat/>
    <w:uiPriority w:val="6"/>
    <w:pPr>
      <w:adjustRightInd/>
    </w:pPr>
    <w:rPr>
      <w:rFonts w:ascii="Tahoma" w:hAnsi="Tahoma"/>
      <w:sz w:val="24"/>
      <w:szCs w:val="20"/>
    </w:rPr>
  </w:style>
  <w:style w:type="paragraph" w:customStyle="1" w:styleId="511">
    <w:name w:val="列出段落5"/>
    <w:basedOn w:val="1"/>
    <w:qFormat/>
    <w:uiPriority w:val="0"/>
    <w:pPr>
      <w:spacing w:line="360" w:lineRule="auto"/>
      <w:ind w:firstLine="200" w:firstLineChars="200"/>
    </w:pPr>
    <w:rPr>
      <w:rFonts w:eastAsia="楷体_GB2312" w:cs="Lucida Sans"/>
      <w:sz w:val="24"/>
    </w:rPr>
  </w:style>
  <w:style w:type="paragraph" w:customStyle="1" w:styleId="51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3">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qFormat/>
    <w:uiPriority w:val="0"/>
    <w:pPr>
      <w:adjustRightInd/>
      <w:ind w:firstLine="420" w:firstLineChars="200"/>
    </w:pPr>
    <w:rPr>
      <w:rFonts w:eastAsia="仿宋_GB2312"/>
      <w:sz w:val="28"/>
    </w:rPr>
  </w:style>
  <w:style w:type="paragraph" w:customStyle="1" w:styleId="51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qFormat/>
    <w:uiPriority w:val="0"/>
    <w:pPr>
      <w:adjustRightInd/>
      <w:ind w:firstLine="200" w:firstLineChars="200"/>
      <w:jc w:val="right"/>
    </w:pPr>
  </w:style>
  <w:style w:type="paragraph" w:customStyle="1" w:styleId="522">
    <w:name w:val="Char Char11 Char Char Char Char Char Char Char Char Char"/>
    <w:basedOn w:val="1"/>
    <w:qFormat/>
    <w:uiPriority w:val="0"/>
    <w:pPr>
      <w:spacing w:line="360" w:lineRule="auto"/>
    </w:pPr>
    <w:rPr>
      <w:szCs w:val="20"/>
    </w:rPr>
  </w:style>
  <w:style w:type="paragraph" w:customStyle="1" w:styleId="523">
    <w:name w:val="正文1.25"/>
    <w:basedOn w:val="1"/>
    <w:qFormat/>
    <w:uiPriority w:val="0"/>
    <w:pPr>
      <w:adjustRightInd/>
      <w:spacing w:line="300" w:lineRule="auto"/>
      <w:ind w:firstLine="480" w:firstLineChars="200"/>
    </w:pPr>
    <w:rPr>
      <w:sz w:val="24"/>
      <w:szCs w:val="20"/>
    </w:rPr>
  </w:style>
  <w:style w:type="paragraph" w:customStyle="1" w:styleId="52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qFormat/>
    <w:uiPriority w:val="6"/>
    <w:rPr>
      <w:rFonts w:ascii="仿宋_GB2312" w:eastAsia="仿宋_GB2312"/>
      <w:b/>
      <w:sz w:val="32"/>
      <w:szCs w:val="20"/>
    </w:rPr>
  </w:style>
  <w:style w:type="paragraph" w:customStyle="1" w:styleId="528">
    <w:name w:val="列出段落2"/>
    <w:basedOn w:val="1"/>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qFormat/>
    <w:uiPriority w:val="0"/>
    <w:rPr>
      <w:rFonts w:eastAsia="仿宋_GB2312"/>
      <w:sz w:val="28"/>
      <w:szCs w:val="20"/>
    </w:rPr>
  </w:style>
  <w:style w:type="paragraph" w:customStyle="1" w:styleId="53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qFormat/>
    <w:uiPriority w:val="0"/>
    <w:pPr>
      <w:widowControl/>
      <w:jc w:val="left"/>
    </w:pPr>
    <w:rPr>
      <w:rFonts w:cs="宋体"/>
      <w:sz w:val="24"/>
      <w:szCs w:val="20"/>
    </w:rPr>
  </w:style>
  <w:style w:type="paragraph" w:customStyle="1" w:styleId="532">
    <w:name w:val="彩色列表 - 强调文字颜色 11"/>
    <w:basedOn w:val="1"/>
    <w:qFormat/>
    <w:uiPriority w:val="0"/>
    <w:pPr>
      <w:adjustRightInd/>
      <w:ind w:firstLine="420" w:firstLineChars="200"/>
    </w:pPr>
    <w:rPr>
      <w:rFonts w:ascii="Calibri" w:hAnsi="Calibri"/>
      <w:szCs w:val="22"/>
    </w:rPr>
  </w:style>
  <w:style w:type="paragraph" w:customStyle="1" w:styleId="53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qFormat/>
    <w:uiPriority w:val="6"/>
    <w:rPr>
      <w:szCs w:val="20"/>
    </w:rPr>
  </w:style>
  <w:style w:type="paragraph" w:customStyle="1" w:styleId="53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3"/>
    <w:next w:val="233"/>
    <w:qFormat/>
    <w:uiPriority w:val="0"/>
    <w:pPr>
      <w:spacing w:after="68"/>
    </w:pPr>
    <w:rPr>
      <w:rFonts w:ascii="FHLHE E+ Futura Bk" w:eastAsia="FHLHE E+ Futura Bk" w:cs="Times New Roman"/>
      <w:color w:val="auto"/>
    </w:rPr>
  </w:style>
  <w:style w:type="paragraph" w:customStyle="1" w:styleId="54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3"/>
    <w:next w:val="233"/>
    <w:qFormat/>
    <w:uiPriority w:val="0"/>
    <w:rPr>
      <w:rFonts w:ascii="宋体" w:eastAsia="宋体" w:cs="Times New Roman"/>
      <w:color w:val="auto"/>
    </w:rPr>
  </w:style>
  <w:style w:type="paragraph" w:customStyle="1" w:styleId="54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qFormat/>
    <w:uiPriority w:val="0"/>
    <w:rPr>
      <w:rFonts w:ascii="仿宋_GB2312" w:eastAsia="仿宋_GB2312"/>
      <w:b/>
      <w:sz w:val="32"/>
      <w:szCs w:val="32"/>
    </w:rPr>
  </w:style>
  <w:style w:type="paragraph" w:customStyle="1" w:styleId="54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qFormat/>
    <w:uiPriority w:val="0"/>
    <w:pPr>
      <w:spacing w:line="360" w:lineRule="auto"/>
    </w:pPr>
    <w:rPr>
      <w:szCs w:val="20"/>
    </w:rPr>
  </w:style>
  <w:style w:type="paragraph" w:customStyle="1" w:styleId="552">
    <w:name w:val="Char"/>
    <w:basedOn w:val="1"/>
    <w:qFormat/>
    <w:uiPriority w:val="0"/>
    <w:rPr>
      <w:rFonts w:ascii="仿宋_GB2312" w:eastAsia="仿宋_GB2312"/>
      <w:b/>
      <w:sz w:val="32"/>
      <w:szCs w:val="32"/>
    </w:rPr>
  </w:style>
  <w:style w:type="paragraph" w:customStyle="1" w:styleId="55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qFormat/>
    <w:uiPriority w:val="0"/>
    <w:rPr>
      <w:szCs w:val="20"/>
    </w:rPr>
  </w:style>
  <w:style w:type="paragraph" w:customStyle="1" w:styleId="556">
    <w:name w:val="正文标准"/>
    <w:basedOn w:val="1"/>
    <w:qFormat/>
    <w:uiPriority w:val="0"/>
    <w:pPr>
      <w:adjustRightInd/>
      <w:spacing w:line="360" w:lineRule="auto"/>
      <w:ind w:firstLine="200" w:firstLineChars="200"/>
    </w:pPr>
    <w:rPr>
      <w:rFonts w:ascii="宋体" w:hAnsi="Calibri"/>
      <w:sz w:val="24"/>
    </w:rPr>
  </w:style>
  <w:style w:type="paragraph" w:customStyle="1" w:styleId="55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5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1">
    <w:name w:val="_正文段落"/>
    <w:basedOn w:val="1"/>
    <w:qFormat/>
    <w:uiPriority w:val="0"/>
    <w:pPr>
      <w:adjustRightInd/>
      <w:ind w:firstLine="560"/>
    </w:pPr>
    <w:rPr>
      <w:rFonts w:ascii="仿宋_GB2312" w:hAnsi="仿宋" w:eastAsia="仿宋_GB2312"/>
      <w:kern w:val="0"/>
      <w:sz w:val="28"/>
      <w:szCs w:val="28"/>
    </w:rPr>
  </w:style>
  <w:style w:type="paragraph" w:customStyle="1" w:styleId="57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qFormat/>
    <w:uiPriority w:val="0"/>
    <w:rPr>
      <w:szCs w:val="20"/>
    </w:rPr>
  </w:style>
  <w:style w:type="paragraph" w:customStyle="1" w:styleId="57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qFormat/>
    <w:uiPriority w:val="0"/>
    <w:rPr>
      <w:rFonts w:ascii="Tahoma" w:hAnsi="Tahoma"/>
      <w:sz w:val="24"/>
      <w:szCs w:val="20"/>
    </w:rPr>
  </w:style>
  <w:style w:type="paragraph" w:customStyle="1" w:styleId="581">
    <w:name w:val="标题五"/>
    <w:basedOn w:val="1"/>
    <w:qFormat/>
    <w:uiPriority w:val="0"/>
    <w:pPr>
      <w:adjustRightInd/>
      <w:spacing w:before="156" w:beforeLines="50" w:line="360" w:lineRule="auto"/>
    </w:pPr>
    <w:rPr>
      <w:b/>
      <w:sz w:val="24"/>
    </w:rPr>
  </w:style>
  <w:style w:type="paragraph" w:customStyle="1" w:styleId="582">
    <w:name w:val="Char Char1101"/>
    <w:basedOn w:val="1"/>
    <w:qFormat/>
    <w:uiPriority w:val="0"/>
    <w:pPr>
      <w:spacing w:line="360" w:lineRule="auto"/>
    </w:pPr>
    <w:rPr>
      <w:rFonts w:ascii="Tahoma" w:hAnsi="Tahoma"/>
      <w:sz w:val="24"/>
      <w:szCs w:val="20"/>
    </w:rPr>
  </w:style>
  <w:style w:type="paragraph" w:customStyle="1" w:styleId="583">
    <w:name w:val="Char Char Char Char Char Char Char Char1"/>
    <w:basedOn w:val="1"/>
    <w:qFormat/>
    <w:uiPriority w:val="0"/>
    <w:pPr>
      <w:tabs>
        <w:tab w:val="left" w:pos="360"/>
      </w:tabs>
    </w:pPr>
    <w:rPr>
      <w:sz w:val="24"/>
      <w:szCs w:val="20"/>
    </w:rPr>
  </w:style>
  <w:style w:type="paragraph" w:customStyle="1" w:styleId="584">
    <w:name w:val="Char Char Char 字元 字元"/>
    <w:basedOn w:val="1"/>
    <w:qFormat/>
    <w:uiPriority w:val="0"/>
    <w:pPr>
      <w:adjustRightInd/>
      <w:spacing w:line="360" w:lineRule="auto"/>
      <w:ind w:firstLine="200" w:firstLineChars="200"/>
    </w:pPr>
    <w:rPr>
      <w:szCs w:val="20"/>
    </w:rPr>
  </w:style>
  <w:style w:type="paragraph" w:customStyle="1" w:styleId="58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qFormat/>
    <w:uiPriority w:val="0"/>
    <w:rPr>
      <w:rFonts w:ascii="仿宋_GB2312" w:eastAsia="仿宋_GB2312"/>
      <w:b/>
      <w:sz w:val="32"/>
      <w:szCs w:val="32"/>
    </w:rPr>
  </w:style>
  <w:style w:type="paragraph" w:customStyle="1" w:styleId="58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qFormat/>
    <w:uiPriority w:val="0"/>
    <w:pPr>
      <w:adjustRightInd/>
    </w:pPr>
    <w:rPr>
      <w:sz w:val="18"/>
      <w:szCs w:val="20"/>
    </w:rPr>
  </w:style>
  <w:style w:type="paragraph" w:customStyle="1" w:styleId="59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qFormat/>
    <w:uiPriority w:val="99"/>
    <w:pPr>
      <w:adjustRightInd/>
      <w:spacing w:line="360" w:lineRule="auto"/>
    </w:pPr>
    <w:rPr>
      <w:rFonts w:ascii="仿宋_GB2312" w:eastAsia="仿宋_GB2312"/>
      <w:sz w:val="24"/>
      <w:szCs w:val="20"/>
    </w:rPr>
  </w:style>
  <w:style w:type="paragraph" w:customStyle="1" w:styleId="59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5"/>
    <w:qFormat/>
    <w:uiPriority w:val="0"/>
    <w:pPr>
      <w:snapToGrid w:val="0"/>
      <w:spacing w:line="360" w:lineRule="auto"/>
    </w:pPr>
    <w:rPr>
      <w:rFonts w:ascii="宋体"/>
      <w:b/>
      <w:sz w:val="24"/>
      <w:szCs w:val="20"/>
    </w:rPr>
  </w:style>
  <w:style w:type="paragraph" w:customStyle="1" w:styleId="60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qFormat/>
    <w:uiPriority w:val="7"/>
    <w:pPr>
      <w:adjustRightInd/>
    </w:pPr>
    <w:rPr>
      <w:rFonts w:ascii="宋体" w:hAnsi="Courier New"/>
    </w:rPr>
  </w:style>
  <w:style w:type="paragraph" w:customStyle="1" w:styleId="605">
    <w:name w:val="Char3"/>
    <w:basedOn w:val="1"/>
    <w:qFormat/>
    <w:uiPriority w:val="0"/>
    <w:pPr>
      <w:adjustRightInd/>
    </w:pPr>
    <w:rPr>
      <w:rFonts w:ascii="仿宋_GB2312" w:eastAsia="仿宋_GB2312"/>
      <w:b/>
      <w:sz w:val="32"/>
      <w:szCs w:val="32"/>
    </w:rPr>
  </w:style>
  <w:style w:type="paragraph" w:customStyle="1" w:styleId="60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qFormat/>
    <w:uiPriority w:val="0"/>
    <w:pPr>
      <w:widowControl/>
      <w:adjustRightInd/>
      <w:spacing w:after="160" w:line="240" w:lineRule="exact"/>
      <w:jc w:val="left"/>
    </w:pPr>
    <w:rPr>
      <w:szCs w:val="20"/>
    </w:rPr>
  </w:style>
  <w:style w:type="paragraph" w:customStyle="1" w:styleId="614">
    <w:name w:val="表格标题2"/>
    <w:basedOn w:val="615"/>
    <w:qFormat/>
    <w:uiPriority w:val="0"/>
    <w:rPr>
      <w:b/>
    </w:rPr>
  </w:style>
  <w:style w:type="paragraph" w:customStyle="1" w:styleId="615">
    <w:name w:val="表格内文"/>
    <w:basedOn w:val="1"/>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qFormat/>
    <w:uiPriority w:val="0"/>
    <w:rPr>
      <w:rFonts w:ascii="仿宋_GB2312" w:eastAsia="仿宋_GB2312"/>
      <w:b/>
      <w:sz w:val="32"/>
      <w:szCs w:val="32"/>
    </w:rPr>
  </w:style>
  <w:style w:type="paragraph" w:customStyle="1" w:styleId="61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qFormat/>
    <w:uiPriority w:val="0"/>
    <w:pPr>
      <w:spacing w:line="360" w:lineRule="auto"/>
    </w:pPr>
    <w:rPr>
      <w:szCs w:val="20"/>
    </w:rPr>
  </w:style>
  <w:style w:type="paragraph" w:customStyle="1" w:styleId="62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2">
    <w:name w:val="MM Topic 1"/>
    <w:basedOn w:val="2"/>
    <w:qFormat/>
    <w:uiPriority w:val="0"/>
    <w:pPr>
      <w:tabs>
        <w:tab w:val="left" w:pos="840"/>
      </w:tabs>
      <w:adjustRightInd/>
      <w:ind w:left="840" w:hanging="420"/>
    </w:pPr>
  </w:style>
  <w:style w:type="paragraph" w:customStyle="1" w:styleId="623">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qFormat/>
    <w:uiPriority w:val="0"/>
    <w:pPr>
      <w:spacing w:line="360" w:lineRule="auto"/>
      <w:ind w:firstLine="200" w:firstLineChars="200"/>
    </w:pPr>
    <w:rPr>
      <w:kern w:val="0"/>
      <w:sz w:val="24"/>
      <w:szCs w:val="20"/>
    </w:rPr>
  </w:style>
  <w:style w:type="paragraph" w:customStyle="1" w:styleId="625">
    <w:name w:val="表格"/>
    <w:basedOn w:val="1"/>
    <w:qFormat/>
    <w:uiPriority w:val="0"/>
    <w:pPr>
      <w:snapToGrid w:val="0"/>
      <w:ind w:firstLine="42" w:firstLineChars="21"/>
    </w:pPr>
    <w:rPr>
      <w:rFonts w:ascii="宋体" w:hAnsi="宋体"/>
      <w:kern w:val="0"/>
      <w:sz w:val="20"/>
      <w:szCs w:val="20"/>
    </w:rPr>
  </w:style>
  <w:style w:type="paragraph" w:customStyle="1" w:styleId="626">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qFormat/>
    <w:uiPriority w:val="0"/>
    <w:pPr>
      <w:adjustRightInd/>
      <w:spacing w:line="300" w:lineRule="auto"/>
      <w:jc w:val="center"/>
    </w:pPr>
  </w:style>
  <w:style w:type="paragraph" w:customStyle="1" w:styleId="631">
    <w:name w:val="_Style 6"/>
    <w:basedOn w:val="1"/>
    <w:qFormat/>
    <w:uiPriority w:val="34"/>
    <w:pPr>
      <w:adjustRightInd/>
      <w:ind w:firstLine="420" w:firstLineChars="200"/>
    </w:pPr>
    <w:rPr>
      <w:rFonts w:eastAsia="仿宋_GB2312"/>
      <w:sz w:val="28"/>
    </w:rPr>
  </w:style>
  <w:style w:type="paragraph" w:customStyle="1" w:styleId="63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qFormat/>
    <w:uiPriority w:val="0"/>
    <w:rPr>
      <w:rFonts w:ascii="仿宋_GB2312" w:eastAsia="仿宋_GB2312"/>
      <w:b/>
      <w:sz w:val="32"/>
      <w:szCs w:val="20"/>
    </w:rPr>
  </w:style>
  <w:style w:type="paragraph" w:customStyle="1" w:styleId="64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qFormat/>
    <w:uiPriority w:val="0"/>
    <w:pPr>
      <w:adjustRightInd/>
      <w:ind w:firstLine="200" w:firstLineChars="200"/>
    </w:pPr>
    <w:rPr>
      <w:rFonts w:ascii="Tahoma" w:hAnsi="Tahoma"/>
      <w:sz w:val="24"/>
      <w:szCs w:val="20"/>
    </w:rPr>
  </w:style>
  <w:style w:type="paragraph" w:customStyle="1" w:styleId="644">
    <w:name w:val="a1"/>
    <w:basedOn w:val="1"/>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qFormat/>
    <w:uiPriority w:val="0"/>
    <w:pPr>
      <w:spacing w:after="156" w:afterLines="50"/>
      <w:jc w:val="left"/>
      <w:outlineLvl w:val="3"/>
    </w:pPr>
    <w:rPr>
      <w:sz w:val="24"/>
      <w:szCs w:val="24"/>
    </w:rPr>
  </w:style>
  <w:style w:type="paragraph" w:customStyle="1" w:styleId="64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458"/>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qFormat/>
    <w:uiPriority w:val="0"/>
    <w:pPr>
      <w:adjustRightInd/>
    </w:pPr>
    <w:rPr>
      <w:rFonts w:ascii="Tahoma" w:hAnsi="Tahoma"/>
      <w:sz w:val="24"/>
      <w:szCs w:val="20"/>
    </w:rPr>
  </w:style>
  <w:style w:type="paragraph" w:customStyle="1" w:styleId="65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qFormat/>
    <w:uiPriority w:val="0"/>
    <w:pPr>
      <w:tabs>
        <w:tab w:val="left" w:pos="1260"/>
        <w:tab w:val="left" w:pos="1680"/>
        <w:tab w:val="left" w:pos="2100"/>
      </w:tabs>
      <w:ind w:left="0"/>
      <w:outlineLvl w:val="3"/>
    </w:pPr>
  </w:style>
  <w:style w:type="paragraph" w:customStyle="1" w:styleId="654">
    <w:name w:val="一级条标题"/>
    <w:basedOn w:val="655"/>
    <w:next w:val="637"/>
    <w:qFormat/>
    <w:uiPriority w:val="0"/>
    <w:pPr>
      <w:tabs>
        <w:tab w:val="left" w:pos="1260"/>
        <w:tab w:val="left" w:pos="1680"/>
      </w:tabs>
      <w:spacing w:before="0" w:beforeLines="0" w:after="0" w:afterLines="0"/>
      <w:ind w:left="1680"/>
      <w:outlineLvl w:val="2"/>
    </w:pPr>
  </w:style>
  <w:style w:type="paragraph" w:customStyle="1" w:styleId="655">
    <w:name w:val="章标题"/>
    <w:next w:val="6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qFormat/>
    <w:uiPriority w:val="0"/>
    <w:pPr>
      <w:tabs>
        <w:tab w:val="left" w:pos="840"/>
      </w:tabs>
      <w:spacing w:after="0"/>
      <w:ind w:left="900"/>
    </w:pPr>
  </w:style>
  <w:style w:type="paragraph" w:customStyle="1" w:styleId="66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qFormat/>
    <w:uiPriority w:val="6"/>
    <w:pPr>
      <w:widowControl/>
      <w:adjustRightInd/>
      <w:ind w:left="720" w:hanging="720"/>
    </w:pPr>
    <w:rPr>
      <w:color w:val="000000"/>
      <w:kern w:val="0"/>
      <w:sz w:val="24"/>
      <w:szCs w:val="20"/>
      <w:lang w:val="en-GB"/>
    </w:rPr>
  </w:style>
  <w:style w:type="paragraph" w:customStyle="1" w:styleId="665">
    <w:name w:val="表1"/>
    <w:basedOn w:val="1"/>
    <w:qFormat/>
    <w:uiPriority w:val="0"/>
    <w:pPr>
      <w:tabs>
        <w:tab w:val="left" w:pos="703"/>
      </w:tabs>
      <w:adjustRightInd/>
      <w:spacing w:line="360" w:lineRule="auto"/>
      <w:ind w:left="703"/>
      <w:jc w:val="center"/>
    </w:pPr>
  </w:style>
  <w:style w:type="paragraph" w:customStyle="1" w:styleId="66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qFormat/>
    <w:uiPriority w:val="0"/>
    <w:pPr>
      <w:jc w:val="left"/>
      <w:outlineLvl w:val="1"/>
    </w:pPr>
    <w:rPr>
      <w:rFonts w:ascii="Times New Roman" w:hAnsi="Times New Roman" w:eastAsia="仿宋"/>
      <w:sz w:val="30"/>
    </w:rPr>
  </w:style>
  <w:style w:type="paragraph" w:customStyle="1" w:styleId="67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qFormat/>
    <w:uiPriority w:val="0"/>
    <w:pPr>
      <w:tabs>
        <w:tab w:val="left" w:pos="840"/>
      </w:tabs>
      <w:adjustRightInd/>
      <w:ind w:left="840" w:hanging="420"/>
    </w:pPr>
  </w:style>
  <w:style w:type="paragraph" w:customStyle="1" w:styleId="67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qFormat/>
    <w:uiPriority w:val="0"/>
    <w:pPr>
      <w:tabs>
        <w:tab w:val="left" w:pos="2100"/>
      </w:tabs>
      <w:adjustRightInd/>
      <w:ind w:left="2100" w:hanging="420"/>
    </w:pPr>
    <w:rPr>
      <w:lang w:val="en-US"/>
    </w:rPr>
  </w:style>
  <w:style w:type="paragraph" w:customStyle="1" w:styleId="68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qFormat/>
    <w:uiPriority w:val="6"/>
    <w:pPr>
      <w:spacing w:line="360" w:lineRule="auto"/>
    </w:pPr>
    <w:rPr>
      <w:szCs w:val="20"/>
    </w:rPr>
  </w:style>
  <w:style w:type="paragraph" w:customStyle="1" w:styleId="68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qFormat/>
    <w:uiPriority w:val="0"/>
    <w:pPr>
      <w:adjustRightInd/>
      <w:spacing w:line="360" w:lineRule="auto"/>
      <w:jc w:val="center"/>
    </w:pPr>
    <w:rPr>
      <w:sz w:val="24"/>
    </w:rPr>
  </w:style>
  <w:style w:type="paragraph" w:customStyle="1" w:styleId="69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qFormat/>
    <w:uiPriority w:val="6"/>
    <w:rPr>
      <w:rFonts w:ascii="仿宋_GB2312" w:eastAsia="仿宋_GB2312"/>
      <w:b/>
      <w:sz w:val="32"/>
      <w:szCs w:val="32"/>
    </w:rPr>
  </w:style>
  <w:style w:type="paragraph" w:customStyle="1" w:styleId="699">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qFormat/>
    <w:uiPriority w:val="0"/>
    <w:pPr>
      <w:widowControl/>
      <w:adjustRightInd/>
      <w:spacing w:after="160" w:line="240" w:lineRule="exact"/>
      <w:jc w:val="left"/>
    </w:pPr>
    <w:rPr>
      <w:szCs w:val="20"/>
    </w:rPr>
  </w:style>
  <w:style w:type="paragraph" w:customStyle="1" w:styleId="702">
    <w:name w:val="Char Char1121"/>
    <w:basedOn w:val="1"/>
    <w:qFormat/>
    <w:uiPriority w:val="0"/>
    <w:pPr>
      <w:spacing w:line="360" w:lineRule="auto"/>
    </w:pPr>
    <w:rPr>
      <w:szCs w:val="20"/>
    </w:rPr>
  </w:style>
  <w:style w:type="paragraph" w:customStyle="1" w:styleId="70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qFormat/>
    <w:uiPriority w:val="0"/>
    <w:rPr>
      <w:rFonts w:ascii="Times New Roman" w:hAnsi="Times New Roman" w:eastAsia="宋体" w:cs="Times New Roman"/>
      <w:lang w:val="en-US" w:eastAsia="en-US" w:bidi="ar-SA"/>
    </w:rPr>
  </w:style>
  <w:style w:type="paragraph" w:customStyle="1" w:styleId="706">
    <w:name w:val="带编号样式"/>
    <w:basedOn w:val="624"/>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qFormat/>
    <w:uiPriority w:val="0"/>
    <w:pPr>
      <w:spacing w:line="360" w:lineRule="atLeast"/>
      <w:jc w:val="right"/>
      <w:textAlignment w:val="baseline"/>
    </w:pPr>
    <w:rPr>
      <w:rFonts w:ascii="Symbol" w:hAnsi="Symbol"/>
      <w:kern w:val="0"/>
      <w:szCs w:val="20"/>
    </w:rPr>
  </w:style>
  <w:style w:type="paragraph" w:customStyle="1" w:styleId="71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qFormat/>
    <w:uiPriority w:val="0"/>
    <w:pPr>
      <w:spacing w:line="240" w:lineRule="atLeast"/>
      <w:ind w:left="420" w:firstLine="420"/>
    </w:pPr>
    <w:rPr>
      <w:sz w:val="24"/>
    </w:rPr>
  </w:style>
  <w:style w:type="paragraph" w:customStyle="1" w:styleId="713">
    <w:name w:val="WW-正文文字缩进 2"/>
    <w:basedOn w:val="1"/>
    <w:qFormat/>
    <w:uiPriority w:val="0"/>
    <w:pPr>
      <w:suppressAutoHyphens/>
      <w:adjustRightInd/>
      <w:ind w:firstLine="420"/>
    </w:pPr>
    <w:rPr>
      <w:kern w:val="1"/>
      <w:szCs w:val="20"/>
    </w:rPr>
  </w:style>
  <w:style w:type="paragraph" w:customStyle="1" w:styleId="71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qFormat/>
    <w:uiPriority w:val="0"/>
    <w:pPr>
      <w:adjustRightInd/>
      <w:spacing w:line="400" w:lineRule="exact"/>
      <w:ind w:firstLine="200" w:firstLineChars="200"/>
    </w:pPr>
    <w:rPr>
      <w:rFonts w:ascii="Arial" w:hAnsi="Arial"/>
    </w:rPr>
  </w:style>
  <w:style w:type="paragraph" w:customStyle="1" w:styleId="71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6"/>
    <w:qFormat/>
    <w:uiPriority w:val="0"/>
    <w:pPr>
      <w:spacing w:after="120" w:line="480" w:lineRule="auto"/>
      <w:ind w:left="420" w:leftChars="200"/>
    </w:pPr>
    <w:rPr>
      <w:sz w:val="24"/>
      <w:szCs w:val="20"/>
    </w:rPr>
  </w:style>
  <w:style w:type="paragraph" w:customStyle="1" w:styleId="72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qFormat/>
    <w:uiPriority w:val="0"/>
    <w:rPr>
      <w:rFonts w:ascii="仿宋_GB2312" w:eastAsia="仿宋_GB2312"/>
      <w:b/>
      <w:sz w:val="32"/>
      <w:szCs w:val="20"/>
    </w:rPr>
  </w:style>
  <w:style w:type="paragraph" w:customStyle="1" w:styleId="72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qFormat/>
    <w:uiPriority w:val="0"/>
    <w:rPr>
      <w:rFonts w:ascii="仿宋_GB2312" w:eastAsia="仿宋_GB2312"/>
      <w:b/>
      <w:sz w:val="32"/>
      <w:szCs w:val="32"/>
    </w:rPr>
  </w:style>
  <w:style w:type="paragraph" w:customStyle="1" w:styleId="733">
    <w:name w:val="Char3 Char Char Char1"/>
    <w:basedOn w:val="1"/>
    <w:qFormat/>
    <w:uiPriority w:val="6"/>
    <w:pPr>
      <w:widowControl/>
      <w:adjustRightInd/>
      <w:spacing w:after="160" w:line="240" w:lineRule="exact"/>
      <w:jc w:val="left"/>
    </w:pPr>
    <w:rPr>
      <w:szCs w:val="20"/>
    </w:rPr>
  </w:style>
  <w:style w:type="paragraph" w:customStyle="1" w:styleId="734">
    <w:name w:val="Char1 Char Char Char21"/>
    <w:basedOn w:val="1"/>
    <w:qFormat/>
    <w:uiPriority w:val="0"/>
    <w:rPr>
      <w:rFonts w:ascii="Tahoma" w:hAnsi="Tahoma"/>
      <w:sz w:val="24"/>
      <w:szCs w:val="20"/>
    </w:rPr>
  </w:style>
  <w:style w:type="paragraph" w:customStyle="1" w:styleId="73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qFormat/>
    <w:uiPriority w:val="0"/>
    <w:pPr>
      <w:spacing w:line="360" w:lineRule="auto"/>
      <w:ind w:firstLine="200" w:firstLineChars="200"/>
    </w:pPr>
    <w:rPr>
      <w:sz w:val="24"/>
    </w:rPr>
  </w:style>
  <w:style w:type="paragraph" w:customStyle="1" w:styleId="73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qFormat/>
    <w:uiPriority w:val="0"/>
    <w:pPr>
      <w:adjustRightInd/>
      <w:ind w:firstLine="200" w:firstLineChars="200"/>
    </w:pPr>
    <w:rPr>
      <w:rFonts w:ascii="Tahoma" w:hAnsi="Tahoma"/>
      <w:sz w:val="24"/>
      <w:szCs w:val="20"/>
    </w:rPr>
  </w:style>
  <w:style w:type="paragraph" w:customStyle="1" w:styleId="743">
    <w:name w:val="_标题2"/>
    <w:basedOn w:val="710"/>
    <w:next w:val="71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qFormat/>
    <w:uiPriority w:val="0"/>
    <w:pPr>
      <w:adjustRightInd/>
      <w:spacing w:line="360" w:lineRule="auto"/>
    </w:pPr>
    <w:rPr>
      <w:rFonts w:ascii="宋体" w:hAnsi="宋体"/>
      <w:szCs w:val="20"/>
    </w:rPr>
  </w:style>
  <w:style w:type="paragraph" w:customStyle="1" w:styleId="74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qFormat/>
    <w:uiPriority w:val="0"/>
    <w:pPr>
      <w:adjustRightInd/>
    </w:pPr>
    <w:rPr>
      <w:rFonts w:ascii="Tahoma" w:hAnsi="Tahoma"/>
      <w:sz w:val="24"/>
    </w:rPr>
  </w:style>
  <w:style w:type="paragraph" w:customStyle="1" w:styleId="751">
    <w:name w:val="Char Char Char Char11"/>
    <w:basedOn w:val="1"/>
    <w:qFormat/>
    <w:uiPriority w:val="0"/>
    <w:rPr>
      <w:rFonts w:ascii="Tahoma" w:hAnsi="Tahoma"/>
      <w:sz w:val="24"/>
      <w:szCs w:val="20"/>
    </w:rPr>
  </w:style>
  <w:style w:type="paragraph" w:customStyle="1" w:styleId="75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qFormat/>
    <w:uiPriority w:val="0"/>
    <w:rPr>
      <w:rFonts w:ascii="Tahoma" w:hAnsi="Tahoma"/>
      <w:sz w:val="24"/>
      <w:szCs w:val="20"/>
    </w:rPr>
  </w:style>
  <w:style w:type="paragraph" w:customStyle="1" w:styleId="75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qFormat/>
    <w:uiPriority w:val="0"/>
    <w:pPr>
      <w:adjustRightInd/>
    </w:pPr>
    <w:rPr>
      <w:szCs w:val="20"/>
    </w:rPr>
  </w:style>
  <w:style w:type="paragraph" w:customStyle="1" w:styleId="7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qFormat/>
    <w:uiPriority w:val="34"/>
    <w:pPr>
      <w:adjustRightInd/>
      <w:ind w:firstLine="420" w:firstLineChars="200"/>
    </w:pPr>
    <w:rPr>
      <w:rFonts w:eastAsia="仿宋_GB2312"/>
      <w:sz w:val="28"/>
    </w:rPr>
  </w:style>
  <w:style w:type="paragraph" w:customStyle="1" w:styleId="75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7">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qFormat/>
    <w:uiPriority w:val="0"/>
    <w:rPr>
      <w:rFonts w:ascii="宋体" w:hAnsi="Times New Roman" w:eastAsia="宋体" w:cs="Times New Roman"/>
      <w:kern w:val="2"/>
      <w:lang w:val="en-US" w:eastAsia="zh-CN" w:bidi="ar-SA"/>
    </w:rPr>
  </w:style>
  <w:style w:type="paragraph" w:customStyle="1" w:styleId="769">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qFormat/>
    <w:uiPriority w:val="0"/>
    <w:pPr>
      <w:tabs>
        <w:tab w:val="left" w:pos="360"/>
      </w:tabs>
    </w:pPr>
    <w:rPr>
      <w:sz w:val="24"/>
      <w:szCs w:val="20"/>
    </w:rPr>
  </w:style>
  <w:style w:type="paragraph" w:customStyle="1" w:styleId="773">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qFormat/>
    <w:uiPriority w:val="0"/>
    <w:pPr>
      <w:widowControl/>
      <w:adjustRightInd/>
    </w:pPr>
    <w:rPr>
      <w:kern w:val="0"/>
      <w:szCs w:val="21"/>
    </w:rPr>
  </w:style>
  <w:style w:type="paragraph" w:customStyle="1" w:styleId="782">
    <w:name w:val="Char6"/>
    <w:basedOn w:val="1"/>
    <w:qFormat/>
    <w:uiPriority w:val="0"/>
    <w:rPr>
      <w:rFonts w:ascii="仿宋_GB2312" w:eastAsia="仿宋_GB2312"/>
      <w:b/>
      <w:sz w:val="32"/>
      <w:szCs w:val="32"/>
    </w:rPr>
  </w:style>
  <w:style w:type="paragraph" w:customStyle="1" w:styleId="783">
    <w:name w:val="Char111"/>
    <w:basedOn w:val="1"/>
    <w:qFormat/>
    <w:uiPriority w:val="0"/>
    <w:rPr>
      <w:rFonts w:ascii="仿宋_GB2312" w:eastAsia="仿宋_GB2312"/>
      <w:b/>
      <w:sz w:val="32"/>
      <w:szCs w:val="32"/>
    </w:rPr>
  </w:style>
  <w:style w:type="paragraph" w:customStyle="1" w:styleId="784">
    <w:name w:val="标题3"/>
    <w:basedOn w:val="4"/>
    <w:next w:val="52"/>
    <w:qFormat/>
    <w:uiPriority w:val="0"/>
    <w:pPr>
      <w:tabs>
        <w:tab w:val="clear" w:pos="900"/>
      </w:tabs>
      <w:spacing w:after="0" w:line="360" w:lineRule="auto"/>
    </w:pPr>
    <w:rPr>
      <w:rFonts w:ascii="仿宋" w:hAnsi="仿宋" w:eastAsia="仿宋" w:cs="仿宋"/>
    </w:rPr>
  </w:style>
  <w:style w:type="paragraph" w:customStyle="1" w:styleId="785">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qFormat/>
    <w:uiPriority w:val="0"/>
    <w:pPr>
      <w:adjustRightInd/>
      <w:ind w:firstLine="200" w:firstLineChars="200"/>
    </w:pPr>
    <w:rPr>
      <w:rFonts w:ascii="Tahoma" w:hAnsi="Tahoma"/>
      <w:sz w:val="24"/>
      <w:szCs w:val="20"/>
    </w:rPr>
  </w:style>
  <w:style w:type="paragraph" w:customStyle="1" w:styleId="788">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qFormat/>
    <w:uiPriority w:val="0"/>
    <w:rPr>
      <w:rFonts w:ascii="仿宋_GB2312" w:eastAsia="仿宋_GB2312"/>
      <w:b/>
      <w:sz w:val="32"/>
      <w:szCs w:val="32"/>
    </w:rPr>
  </w:style>
  <w:style w:type="paragraph" w:customStyle="1" w:styleId="791">
    <w:name w:val="五级条标题"/>
    <w:basedOn w:val="792"/>
    <w:next w:val="637"/>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qFormat/>
    <w:uiPriority w:val="0"/>
    <w:pPr>
      <w:tabs>
        <w:tab w:val="left" w:pos="2940"/>
        <w:tab w:val="clear" w:pos="2520"/>
      </w:tabs>
      <w:ind w:left="2940"/>
      <w:outlineLvl w:val="5"/>
    </w:pPr>
  </w:style>
  <w:style w:type="paragraph" w:customStyle="1" w:styleId="793">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qFormat/>
    <w:uiPriority w:val="0"/>
    <w:rPr>
      <w:rFonts w:ascii="仿宋_GB2312" w:eastAsia="仿宋_GB2312"/>
      <w:b/>
      <w:sz w:val="32"/>
      <w:szCs w:val="32"/>
    </w:rPr>
  </w:style>
  <w:style w:type="paragraph" w:customStyle="1" w:styleId="795">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799">
    <w:name w:val="单元格左对齐"/>
    <w:basedOn w:val="1"/>
    <w:qFormat/>
    <w:uiPriority w:val="0"/>
    <w:pPr>
      <w:adjustRightInd/>
      <w:spacing w:line="360" w:lineRule="auto"/>
    </w:pPr>
    <w:rPr>
      <w:sz w:val="24"/>
    </w:rPr>
  </w:style>
  <w:style w:type="paragraph" w:customStyle="1" w:styleId="800">
    <w:name w:val="正文主体"/>
    <w:basedOn w:val="621"/>
    <w:qFormat/>
    <w:uiPriority w:val="0"/>
  </w:style>
  <w:style w:type="paragraph" w:customStyle="1" w:styleId="801">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qFormat/>
    <w:uiPriority w:val="0"/>
    <w:pPr>
      <w:adjustRightInd/>
      <w:spacing w:line="360" w:lineRule="auto"/>
      <w:ind w:firstLine="480" w:firstLineChars="200"/>
    </w:pPr>
    <w:rPr>
      <w:sz w:val="24"/>
      <w:szCs w:val="20"/>
    </w:rPr>
  </w:style>
  <w:style w:type="paragraph" w:customStyle="1" w:styleId="805">
    <w:name w:val="P1"/>
    <w:basedOn w:val="1"/>
    <w:qFormat/>
    <w:uiPriority w:val="0"/>
    <w:pPr>
      <w:adjustRightInd/>
      <w:spacing w:line="288" w:lineRule="auto"/>
      <w:ind w:firstLine="425" w:firstLineChars="200"/>
    </w:pPr>
  </w:style>
  <w:style w:type="paragraph" w:customStyle="1" w:styleId="806">
    <w:name w:val="列表内容"/>
    <w:basedOn w:val="1"/>
    <w:next w:val="1"/>
    <w:qFormat/>
    <w:uiPriority w:val="0"/>
    <w:pPr>
      <w:widowControl/>
      <w:tabs>
        <w:tab w:val="left" w:pos="840"/>
      </w:tabs>
      <w:ind w:left="840" w:hanging="420"/>
      <w:jc w:val="left"/>
    </w:pPr>
    <w:rPr>
      <w:kern w:val="0"/>
      <w:sz w:val="18"/>
    </w:rPr>
  </w:style>
  <w:style w:type="paragraph" w:customStyle="1" w:styleId="807">
    <w:name w:val="Char Char11 Char Char Char1"/>
    <w:basedOn w:val="1"/>
    <w:qFormat/>
    <w:uiPriority w:val="6"/>
    <w:pPr>
      <w:spacing w:line="360" w:lineRule="auto"/>
    </w:pPr>
    <w:rPr>
      <w:szCs w:val="20"/>
    </w:rPr>
  </w:style>
  <w:style w:type="paragraph" w:customStyle="1" w:styleId="808">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09">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qFormat/>
    <w:uiPriority w:val="0"/>
    <w:pPr>
      <w:spacing w:line="360" w:lineRule="auto"/>
    </w:pPr>
    <w:rPr>
      <w:szCs w:val="20"/>
    </w:rPr>
  </w:style>
  <w:style w:type="paragraph" w:customStyle="1" w:styleId="814">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qFormat/>
    <w:uiPriority w:val="0"/>
    <w:rPr>
      <w:rFonts w:ascii="仿宋_GB2312" w:eastAsia="仿宋_GB2312"/>
      <w:b/>
      <w:sz w:val="32"/>
      <w:szCs w:val="32"/>
    </w:rPr>
  </w:style>
  <w:style w:type="paragraph" w:customStyle="1" w:styleId="817">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qFormat/>
    <w:uiPriority w:val="0"/>
    <w:pPr>
      <w:adjustRightInd/>
      <w:spacing w:line="360" w:lineRule="auto"/>
      <w:ind w:firstLine="480"/>
    </w:pPr>
    <w:rPr>
      <w:rFonts w:cs="宋体"/>
      <w:sz w:val="24"/>
      <w:szCs w:val="20"/>
    </w:rPr>
  </w:style>
  <w:style w:type="paragraph" w:customStyle="1" w:styleId="820">
    <w:name w:val="Char Char4 Char Char"/>
    <w:basedOn w:val="1"/>
    <w:qFormat/>
    <w:uiPriority w:val="0"/>
    <w:pPr>
      <w:widowControl/>
      <w:adjustRightInd/>
      <w:spacing w:after="160" w:line="240" w:lineRule="exact"/>
      <w:jc w:val="left"/>
    </w:pPr>
  </w:style>
  <w:style w:type="paragraph" w:customStyle="1" w:styleId="821">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qFormat/>
    <w:uiPriority w:val="0"/>
    <w:pPr>
      <w:spacing w:line="360" w:lineRule="auto"/>
    </w:pPr>
    <w:rPr>
      <w:szCs w:val="20"/>
    </w:rPr>
  </w:style>
  <w:style w:type="paragraph" w:customStyle="1" w:styleId="823">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qFormat/>
    <w:uiPriority w:val="0"/>
    <w:pPr>
      <w:adjustRightInd/>
      <w:ind w:firstLine="200" w:firstLineChars="200"/>
    </w:pPr>
    <w:rPr>
      <w:rFonts w:ascii="Tahoma" w:hAnsi="Tahoma"/>
      <w:sz w:val="24"/>
      <w:szCs w:val="20"/>
    </w:rPr>
  </w:style>
  <w:style w:type="paragraph" w:customStyle="1" w:styleId="830">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qFormat/>
    <w:uiPriority w:val="0"/>
    <w:pPr>
      <w:tabs>
        <w:tab w:val="left" w:pos="0"/>
      </w:tabs>
      <w:ind w:left="900" w:firstLine="0" w:firstLineChars="0"/>
    </w:pPr>
  </w:style>
  <w:style w:type="paragraph" w:customStyle="1" w:styleId="833">
    <w:name w:val="Bulleted List"/>
    <w:basedOn w:val="1"/>
    <w:qFormat/>
    <w:uiPriority w:val="0"/>
    <w:pPr>
      <w:tabs>
        <w:tab w:val="left" w:pos="1260"/>
      </w:tabs>
      <w:adjustRightInd/>
      <w:ind w:left="1260" w:hanging="420"/>
    </w:pPr>
  </w:style>
  <w:style w:type="paragraph" w:customStyle="1" w:styleId="83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qFormat/>
    <w:uiPriority w:val="0"/>
    <w:rPr>
      <w:rFonts w:ascii="Tahoma" w:hAnsi="Tahoma" w:cs="仿宋_GB2312"/>
      <w:sz w:val="24"/>
      <w:szCs w:val="20"/>
    </w:rPr>
  </w:style>
  <w:style w:type="paragraph" w:customStyle="1" w:styleId="837">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qFormat/>
    <w:uiPriority w:val="0"/>
    <w:rPr>
      <w:rFonts w:ascii="仿宋_GB2312" w:eastAsia="仿宋_GB2312"/>
      <w:b/>
      <w:sz w:val="32"/>
      <w:szCs w:val="20"/>
    </w:rPr>
  </w:style>
  <w:style w:type="paragraph" w:customStyle="1" w:styleId="842">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qFormat/>
    <w:uiPriority w:val="0"/>
    <w:rPr>
      <w:rFonts w:ascii="仿宋_GB2312" w:eastAsia="仿宋_GB2312"/>
      <w:b/>
      <w:sz w:val="32"/>
      <w:szCs w:val="20"/>
    </w:rPr>
  </w:style>
  <w:style w:type="paragraph" w:customStyle="1" w:styleId="844">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6">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1">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55">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qFormat/>
    <w:uiPriority w:val="0"/>
    <w:pPr>
      <w:widowControl/>
      <w:spacing w:after="160" w:line="240" w:lineRule="exact"/>
      <w:jc w:val="left"/>
    </w:pPr>
    <w:rPr>
      <w:rFonts w:eastAsia="仿宋_GB2312"/>
      <w:sz w:val="28"/>
    </w:rPr>
  </w:style>
  <w:style w:type="paragraph" w:customStyle="1" w:styleId="858">
    <w:name w:val="Char21"/>
    <w:basedOn w:val="1"/>
    <w:qFormat/>
    <w:uiPriority w:val="0"/>
    <w:pPr>
      <w:adjustRightInd/>
      <w:ind w:firstLine="200" w:firstLineChars="200"/>
    </w:pPr>
    <w:rPr>
      <w:rFonts w:ascii="仿宋_GB2312" w:eastAsia="仿宋_GB2312"/>
      <w:b/>
      <w:sz w:val="32"/>
      <w:szCs w:val="32"/>
    </w:rPr>
  </w:style>
  <w:style w:type="paragraph" w:customStyle="1" w:styleId="859">
    <w:name w:val="列表段落1"/>
    <w:basedOn w:val="1"/>
    <w:qFormat/>
    <w:uiPriority w:val="34"/>
    <w:pPr>
      <w:adjustRightInd/>
      <w:ind w:right="238" w:firstLine="420"/>
    </w:pPr>
    <w:rPr>
      <w:rFonts w:ascii="Calibri" w:hAnsi="Calibri"/>
      <w:sz w:val="24"/>
    </w:rPr>
  </w:style>
  <w:style w:type="paragraph" w:customStyle="1" w:styleId="860">
    <w:name w:val="Char Char110"/>
    <w:basedOn w:val="1"/>
    <w:qFormat/>
    <w:uiPriority w:val="6"/>
    <w:pPr>
      <w:spacing w:line="360" w:lineRule="auto"/>
    </w:pPr>
    <w:rPr>
      <w:rFonts w:ascii="Tahoma" w:hAnsi="Tahoma"/>
      <w:sz w:val="24"/>
      <w:szCs w:val="20"/>
    </w:rPr>
  </w:style>
  <w:style w:type="paragraph" w:customStyle="1" w:styleId="861">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3">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qFormat/>
    <w:uiPriority w:val="0"/>
    <w:rPr>
      <w:rFonts w:ascii="Tahoma" w:hAnsi="Tahoma" w:cs="仿宋_GB2312"/>
      <w:sz w:val="24"/>
      <w:szCs w:val="20"/>
    </w:rPr>
  </w:style>
  <w:style w:type="paragraph" w:customStyle="1" w:styleId="866">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0">
    <w:name w:val="_Style 12"/>
    <w:basedOn w:val="18"/>
    <w:qFormat/>
    <w:uiPriority w:val="0"/>
    <w:pPr>
      <w:snapToGrid w:val="0"/>
      <w:spacing w:line="360" w:lineRule="auto"/>
    </w:pPr>
  </w:style>
  <w:style w:type="paragraph" w:customStyle="1" w:styleId="871">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6"/>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qFormat/>
    <w:uiPriority w:val="0"/>
    <w:pPr>
      <w:outlineLvl w:val="2"/>
    </w:pPr>
  </w:style>
  <w:style w:type="paragraph" w:customStyle="1" w:styleId="878">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qFormat/>
    <w:uiPriority w:val="0"/>
    <w:pPr>
      <w:adjustRightInd/>
      <w:ind w:firstLine="200" w:firstLineChars="200"/>
    </w:pPr>
    <w:rPr>
      <w:rFonts w:ascii="Tahoma" w:hAnsi="Tahoma"/>
      <w:sz w:val="24"/>
      <w:szCs w:val="20"/>
    </w:rPr>
  </w:style>
  <w:style w:type="paragraph" w:customStyle="1" w:styleId="880">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1">
    <w:name w:val="MM Empty"/>
    <w:basedOn w:val="1"/>
    <w:qFormat/>
    <w:uiPriority w:val="0"/>
    <w:pPr>
      <w:adjustRightInd/>
    </w:pPr>
  </w:style>
  <w:style w:type="paragraph" w:customStyle="1" w:styleId="882">
    <w:name w:val="Char24"/>
    <w:basedOn w:val="1"/>
    <w:qFormat/>
    <w:uiPriority w:val="0"/>
    <w:rPr>
      <w:rFonts w:ascii="仿宋_GB2312" w:eastAsia="仿宋_GB2312"/>
      <w:b/>
      <w:sz w:val="32"/>
      <w:szCs w:val="32"/>
    </w:rPr>
  </w:style>
  <w:style w:type="paragraph" w:customStyle="1" w:styleId="883">
    <w:name w:val="正文箭头"/>
    <w:basedOn w:val="535"/>
    <w:qFormat/>
    <w:uiPriority w:val="0"/>
  </w:style>
  <w:style w:type="paragraph" w:customStyle="1" w:styleId="884">
    <w:name w:val="U_编号2"/>
    <w:basedOn w:val="1"/>
    <w:qFormat/>
    <w:uiPriority w:val="0"/>
    <w:pPr>
      <w:tabs>
        <w:tab w:val="left" w:pos="785"/>
      </w:tabs>
      <w:adjustRightInd/>
      <w:spacing w:beforeLines="10" w:afterLines="10" w:line="300" w:lineRule="auto"/>
    </w:pPr>
    <w:rPr>
      <w:sz w:val="24"/>
    </w:rPr>
  </w:style>
  <w:style w:type="paragraph" w:customStyle="1" w:styleId="885">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qFormat/>
    <w:uiPriority w:val="34"/>
    <w:pPr>
      <w:adjustRightInd/>
      <w:ind w:firstLine="420" w:firstLineChars="200"/>
    </w:pPr>
    <w:rPr>
      <w:rFonts w:eastAsia="仿宋_GB2312"/>
      <w:sz w:val="28"/>
    </w:rPr>
  </w:style>
  <w:style w:type="paragraph" w:customStyle="1" w:styleId="890">
    <w:name w:val="表格 内容"/>
    <w:basedOn w:val="726"/>
    <w:qFormat/>
    <w:uiPriority w:val="0"/>
    <w:rPr>
      <w:b w:val="0"/>
      <w:sz w:val="20"/>
    </w:rPr>
  </w:style>
  <w:style w:type="paragraph" w:customStyle="1" w:styleId="891">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qFormat/>
    <w:uiPriority w:val="0"/>
    <w:pPr>
      <w:tabs>
        <w:tab w:val="left" w:pos="1080"/>
      </w:tabs>
      <w:ind w:left="1080" w:hanging="1080"/>
    </w:pPr>
  </w:style>
  <w:style w:type="paragraph" w:customStyle="1" w:styleId="894">
    <w:name w:val="数字标题1"/>
    <w:basedOn w:val="2"/>
    <w:next w:val="1"/>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6">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qFormat/>
    <w:uiPriority w:val="0"/>
    <w:pPr>
      <w:widowControl/>
    </w:pPr>
    <w:rPr>
      <w:kern w:val="0"/>
      <w:sz w:val="24"/>
      <w:szCs w:val="20"/>
    </w:rPr>
  </w:style>
  <w:style w:type="paragraph" w:customStyle="1" w:styleId="902">
    <w:name w:val="Char Char113"/>
    <w:basedOn w:val="1"/>
    <w:qFormat/>
    <w:uiPriority w:val="0"/>
    <w:pPr>
      <w:widowControl/>
      <w:spacing w:after="160" w:line="240" w:lineRule="exact"/>
      <w:jc w:val="left"/>
    </w:pPr>
    <w:rPr>
      <w:rFonts w:eastAsia="仿宋_GB2312"/>
      <w:sz w:val="28"/>
    </w:rPr>
  </w:style>
  <w:style w:type="paragraph" w:customStyle="1" w:styleId="90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qFormat/>
    <w:uiPriority w:val="34"/>
    <w:pPr>
      <w:adjustRightInd/>
      <w:ind w:firstLine="420" w:firstLineChars="200"/>
    </w:pPr>
    <w:rPr>
      <w:rFonts w:eastAsia="仿宋_GB2312"/>
      <w:sz w:val="28"/>
    </w:rPr>
  </w:style>
  <w:style w:type="paragraph" w:customStyle="1" w:styleId="905">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qFormat/>
    <w:uiPriority w:val="6"/>
    <w:pPr>
      <w:widowControl/>
      <w:spacing w:after="160" w:line="240" w:lineRule="exact"/>
      <w:jc w:val="left"/>
    </w:pPr>
    <w:rPr>
      <w:rFonts w:eastAsia="仿宋_GB2312"/>
      <w:sz w:val="28"/>
    </w:rPr>
  </w:style>
  <w:style w:type="paragraph" w:customStyle="1" w:styleId="911">
    <w:name w:val="正文 图"/>
    <w:basedOn w:val="441"/>
    <w:qFormat/>
    <w:uiPriority w:val="0"/>
    <w:pPr>
      <w:adjustRightInd/>
      <w:spacing w:before="0"/>
      <w:ind w:firstLine="0"/>
      <w:jc w:val="center"/>
    </w:pPr>
    <w:rPr>
      <w:rFonts w:ascii="微软雅黑" w:hAnsi="微软雅黑"/>
    </w:rPr>
  </w:style>
  <w:style w:type="paragraph" w:customStyle="1" w:styleId="912">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qFormat/>
    <w:uiPriority w:val="0"/>
    <w:pPr>
      <w:ind w:left="0"/>
    </w:pPr>
  </w:style>
  <w:style w:type="paragraph" w:customStyle="1" w:styleId="915">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qFormat/>
    <w:uiPriority w:val="0"/>
    <w:pPr>
      <w:adjustRightInd/>
      <w:spacing w:line="360" w:lineRule="auto"/>
      <w:ind w:firstLine="480"/>
    </w:pPr>
    <w:rPr>
      <w:sz w:val="24"/>
    </w:rPr>
  </w:style>
  <w:style w:type="table" w:customStyle="1" w:styleId="918">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qFormat/>
    <w:uiPriority w:val="34"/>
    <w:pPr>
      <w:ind w:firstLine="420" w:firstLineChars="200"/>
    </w:pPr>
  </w:style>
  <w:style w:type="character" w:customStyle="1" w:styleId="925">
    <w:name w:val="交叉引用"/>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qFormat/>
    <w:uiPriority w:val="0"/>
    <w:rPr>
      <w:rFonts w:ascii="宋体" w:eastAsia="宋体"/>
      <w:snapToGrid w:val="0"/>
      <w:color w:val="000000"/>
      <w:kern w:val="28"/>
      <w:sz w:val="28"/>
      <w:lang w:val="en-US" w:eastAsia="zh-CN" w:bidi="ar-SA"/>
    </w:rPr>
  </w:style>
  <w:style w:type="character" w:customStyle="1" w:styleId="927">
    <w:name w:val="页脚 字符1"/>
    <w:qFormat/>
    <w:locked/>
    <w:uiPriority w:val="99"/>
    <w:rPr>
      <w:kern w:val="2"/>
      <w:sz w:val="18"/>
      <w:szCs w:val="18"/>
    </w:rPr>
  </w:style>
  <w:style w:type="character" w:customStyle="1" w:styleId="928">
    <w:name w:val="页眉 字符1"/>
    <w:qFormat/>
    <w:uiPriority w:val="99"/>
    <w:rPr>
      <w:kern w:val="2"/>
      <w:sz w:val="18"/>
      <w:szCs w:val="18"/>
    </w:rPr>
  </w:style>
  <w:style w:type="character" w:customStyle="1" w:styleId="929">
    <w:name w:val="尾注文本 Char"/>
    <w:link w:val="37"/>
    <w:qFormat/>
    <w:uiPriority w:val="0"/>
    <w:rPr>
      <w:kern w:val="2"/>
      <w:sz w:val="21"/>
      <w:szCs w:val="24"/>
      <w:lang w:val="zh-CN"/>
    </w:rPr>
  </w:style>
  <w:style w:type="character" w:customStyle="1" w:styleId="930">
    <w:name w:val="无间隔 Char"/>
    <w:link w:val="481"/>
    <w:qFormat/>
    <w:uiPriority w:val="99"/>
    <w:rPr>
      <w:kern w:val="2"/>
      <w:sz w:val="21"/>
      <w:szCs w:val="22"/>
    </w:rPr>
  </w:style>
  <w:style w:type="character" w:customStyle="1" w:styleId="931">
    <w:name w:val="标准文本 Char Char"/>
    <w:link w:val="932"/>
    <w:qFormat/>
    <w:uiPriority w:val="0"/>
    <w:rPr>
      <w:rFonts w:cs="宋体"/>
      <w:kern w:val="2"/>
      <w:sz w:val="24"/>
    </w:rPr>
  </w:style>
  <w:style w:type="paragraph" w:customStyle="1" w:styleId="932">
    <w:name w:val="标准文本"/>
    <w:basedOn w:val="1"/>
    <w:link w:val="931"/>
    <w:qFormat/>
    <w:uiPriority w:val="0"/>
    <w:pPr>
      <w:adjustRightInd/>
      <w:spacing w:line="360" w:lineRule="auto"/>
      <w:ind w:firstLine="480" w:firstLineChars="200"/>
    </w:pPr>
    <w:rPr>
      <w:rFonts w:cs="宋体"/>
      <w:sz w:val="24"/>
      <w:szCs w:val="20"/>
    </w:rPr>
  </w:style>
  <w:style w:type="character" w:customStyle="1" w:styleId="933">
    <w:name w:val="Char Char213"/>
    <w:qFormat/>
    <w:uiPriority w:val="0"/>
    <w:rPr>
      <w:rFonts w:eastAsia="Century Gothic"/>
      <w:b/>
      <w:bCs/>
      <w:kern w:val="44"/>
      <w:sz w:val="32"/>
      <w:szCs w:val="44"/>
      <w:lang w:val="en-US" w:eastAsia="zh-CN" w:bidi="ar-SA"/>
    </w:rPr>
  </w:style>
  <w:style w:type="character" w:customStyle="1" w:styleId="934">
    <w:name w:val="apple-style-span"/>
    <w:qFormat/>
    <w:uiPriority w:val="0"/>
    <w:rPr>
      <w:rFonts w:ascii="Arial" w:hAnsi="Arial" w:eastAsia="黑体" w:cs="Arial"/>
      <w:snapToGrid w:val="0"/>
      <w:kern w:val="0"/>
      <w:szCs w:val="21"/>
    </w:rPr>
  </w:style>
  <w:style w:type="character" w:customStyle="1" w:styleId="935">
    <w:name w:val="15"/>
    <w:qFormat/>
    <w:uiPriority w:val="0"/>
    <w:rPr>
      <w:rFonts w:hint="default" w:ascii="Calibri" w:hAnsi="Calibri"/>
      <w:color w:val="0000FF"/>
      <w:u w:val="single"/>
    </w:rPr>
  </w:style>
  <w:style w:type="character" w:customStyle="1" w:styleId="936">
    <w:name w:val="16"/>
    <w:qFormat/>
    <w:uiPriority w:val="0"/>
    <w:rPr>
      <w:rFonts w:hint="eastAsia" w:ascii="宋体" w:hAnsi="宋体" w:eastAsia="宋体"/>
      <w:color w:val="000000"/>
      <w:sz w:val="20"/>
      <w:szCs w:val="20"/>
    </w:rPr>
  </w:style>
  <w:style w:type="character" w:customStyle="1" w:styleId="937">
    <w:name w:val="edui-unclickable"/>
    <w:qFormat/>
    <w:uiPriority w:val="0"/>
    <w:rPr>
      <w:color w:val="808080"/>
    </w:rPr>
  </w:style>
  <w:style w:type="character" w:customStyle="1" w:styleId="938">
    <w:name w:val="tpc_content1"/>
    <w:qFormat/>
    <w:uiPriority w:val="0"/>
    <w:rPr>
      <w:sz w:val="20"/>
      <w:szCs w:val="20"/>
    </w:rPr>
  </w:style>
  <w:style w:type="character" w:customStyle="1" w:styleId="939">
    <w:name w:val="正文文本缩进 字符"/>
    <w:qFormat/>
    <w:uiPriority w:val="0"/>
    <w:rPr>
      <w:rFonts w:ascii="Century Gothic" w:hAnsi="Century Gothic" w:eastAsia="Century Gothic"/>
      <w:kern w:val="2"/>
      <w:sz w:val="24"/>
      <w:lang w:val="en-US" w:eastAsia="zh-CN" w:bidi="ar-SA"/>
    </w:rPr>
  </w:style>
  <w:style w:type="character" w:customStyle="1" w:styleId="940">
    <w:name w:val="正文文本 2 字符"/>
    <w:qFormat/>
    <w:uiPriority w:val="0"/>
    <w:rPr>
      <w:rFonts w:ascii="Arial" w:hAnsi="Arial" w:eastAsia="宋体"/>
      <w:kern w:val="2"/>
      <w:sz w:val="24"/>
      <w:szCs w:val="24"/>
      <w:lang w:val="en-US" w:eastAsia="zh-CN" w:bidi="ar-SA"/>
    </w:rPr>
  </w:style>
  <w:style w:type="character" w:customStyle="1" w:styleId="941">
    <w:name w:val="edui-clickable2"/>
    <w:qFormat/>
    <w:uiPriority w:val="0"/>
    <w:rPr>
      <w:color w:val="0000FF"/>
      <w:u w:val="single"/>
    </w:rPr>
  </w:style>
  <w:style w:type="character" w:customStyle="1" w:styleId="942">
    <w:name w:val="style1"/>
    <w:qFormat/>
    <w:uiPriority w:val="0"/>
    <w:rPr>
      <w:rFonts w:ascii="Arial" w:hAnsi="Arial" w:eastAsia="黑体" w:cs="Arial"/>
      <w:snapToGrid w:val="0"/>
      <w:kern w:val="0"/>
      <w:szCs w:val="21"/>
    </w:rPr>
  </w:style>
  <w:style w:type="character" w:customStyle="1" w:styleId="943">
    <w:name w:val="zbggtop11 style5"/>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5">
    <w:name w:val="bulletintext1"/>
    <w:qFormat/>
    <w:uiPriority w:val="0"/>
    <w:rPr>
      <w:color w:val="000000"/>
      <w:sz w:val="18"/>
    </w:rPr>
  </w:style>
  <w:style w:type="paragraph" w:customStyle="1" w:styleId="946">
    <w:name w:val="_Style 947"/>
    <w:basedOn w:val="1"/>
    <w:next w:val="256"/>
    <w:qFormat/>
    <w:uiPriority w:val="34"/>
    <w:pPr>
      <w:adjustRightInd/>
      <w:ind w:firstLine="420" w:firstLineChars="200"/>
    </w:pPr>
  </w:style>
  <w:style w:type="paragraph" w:customStyle="1" w:styleId="947">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qFormat/>
    <w:uiPriority w:val="0"/>
    <w:pPr>
      <w:adjustRightInd/>
      <w:snapToGrid w:val="0"/>
      <w:jc w:val="left"/>
    </w:pPr>
    <w:rPr>
      <w:rFonts w:ascii="Century Gothic" w:hAnsi="楷体_GB2312" w:eastAsia="Century Gothic"/>
      <w:szCs w:val="20"/>
    </w:rPr>
  </w:style>
  <w:style w:type="paragraph" w:customStyle="1" w:styleId="949">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qFormat/>
    <w:uiPriority w:val="0"/>
    <w:pPr>
      <w:autoSpaceDE w:val="0"/>
      <w:autoSpaceDN w:val="0"/>
      <w:spacing w:before="100" w:after="100"/>
      <w:ind w:left="360" w:right="360"/>
      <w:jc w:val="left"/>
    </w:pPr>
    <w:rPr>
      <w:kern w:val="0"/>
      <w:sz w:val="24"/>
      <w:szCs w:val="20"/>
    </w:rPr>
  </w:style>
  <w:style w:type="paragraph" w:customStyle="1" w:styleId="953">
    <w:name w:val="p1"/>
    <w:basedOn w:val="1"/>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qFormat/>
    <w:uiPriority w:val="0"/>
    <w:pPr>
      <w:adjustRightInd/>
      <w:jc w:val="left"/>
    </w:pPr>
    <w:rPr>
      <w:rFonts w:ascii="Calibri" w:hAnsi="Calibri"/>
      <w:kern w:val="0"/>
      <w:sz w:val="22"/>
      <w:szCs w:val="22"/>
      <w:lang w:eastAsia="en-US"/>
    </w:rPr>
  </w:style>
  <w:style w:type="paragraph" w:customStyle="1" w:styleId="95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qFormat/>
    <w:uiPriority w:val="0"/>
    <w:rPr>
      <w:color w:val="000000"/>
      <w:shd w:val="clear" w:color="auto" w:fill="EFD200"/>
    </w:rPr>
  </w:style>
  <w:style w:type="character" w:customStyle="1" w:styleId="959">
    <w:name w:val="font71"/>
    <w:qFormat/>
    <w:uiPriority w:val="0"/>
    <w:rPr>
      <w:rFonts w:hint="eastAsia" w:ascii="宋体" w:hAnsi="宋体" w:eastAsia="宋体" w:cs="宋体"/>
      <w:color w:val="000000"/>
      <w:sz w:val="22"/>
      <w:szCs w:val="22"/>
      <w:u w:val="none"/>
    </w:rPr>
  </w:style>
  <w:style w:type="character" w:customStyle="1" w:styleId="960">
    <w:name w:val="font91"/>
    <w:qFormat/>
    <w:uiPriority w:val="0"/>
    <w:rPr>
      <w:rFonts w:hint="eastAsia" w:ascii="仿宋" w:hAnsi="仿宋" w:eastAsia="仿宋" w:cs="仿宋"/>
      <w:color w:val="000000"/>
      <w:sz w:val="22"/>
      <w:szCs w:val="22"/>
      <w:u w:val="none"/>
    </w:rPr>
  </w:style>
  <w:style w:type="paragraph" w:customStyle="1" w:styleId="961">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customXml" Target="../customXml/item1.xml"/><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76374B-6140-484F-B0BC-998D31565609}">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100</Pages>
  <Words>17211</Words>
  <Characters>18833</Characters>
  <Lines>348</Lines>
  <Paragraphs>98</Paragraphs>
  <TotalTime>4</TotalTime>
  <ScaleCrop>false</ScaleCrop>
  <LinksUpToDate>false</LinksUpToDate>
  <CharactersWithSpaces>19077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2021-07-30T08:22:00Z</dcterms:created>
  <dc:creator>北海市政府采购中心</dc:creator>
  <cp:lastModifiedBy>lenovo</cp:lastModifiedBy>
  <cp:lastPrinted>2025-06-17T00:35:00Z</cp:lastPrinted>
  <dcterms:modified xsi:type="dcterms:W3CDTF">2025-09-19T08:02:51Z</dcterms:modified>
  <dc:title>北海市政府采购中心</dc:title>
  <cp:revision>484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C606EBB4F80844F698377D37B6CE5E77_13</vt:lpwstr>
  </property>
  <property fmtid="{D5CDD505-2E9C-101B-9397-08002B2CF9AE}" pid="5" name="KSOTemplateDocerSaveRecord">
    <vt:lpwstr>eyJoZGlkIjoiYWE0MTY0NjlmMjAwNDI5MjliZjdjNzhlNTQxNWNiYjUifQ==</vt:lpwstr>
  </property>
</Properties>
</file>