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p>
    <w:p>
      <w:pPr>
        <w:adjustRightInd/>
        <w:spacing w:line="360" w:lineRule="auto"/>
        <w:jc w:val="center"/>
        <w:rPr>
          <w:rFonts w:ascii="宋体" w:hAnsi="宋体" w:cs="宋体"/>
          <w:b/>
          <w:color w:val="auto"/>
          <w:sz w:val="44"/>
          <w:szCs w:val="44"/>
          <w:highlight w:val="none"/>
        </w:r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adjustRightInd/>
        <w:spacing w:line="360" w:lineRule="auto"/>
        <w:jc w:val="center"/>
        <w:rPr>
          <w:rFonts w:ascii="宋体" w:hAnsi="宋体" w:cs="宋体"/>
          <w:b/>
          <w:color w:val="auto"/>
          <w:sz w:val="48"/>
          <w:szCs w:val="48"/>
          <w:highlight w:val="none"/>
        </w:rPr>
      </w:pPr>
    </w:p>
    <w:p>
      <w:pPr>
        <w:adjustRightInd/>
        <w:spacing w:line="360" w:lineRule="auto"/>
        <w:jc w:val="center"/>
        <w:rPr>
          <w:rFonts w:hint="eastAsia" w:ascii="宋体" w:hAnsi="宋体" w:eastAsia="宋体" w:cs="宋体"/>
          <w:color w:val="auto"/>
          <w:sz w:val="48"/>
          <w:szCs w:val="48"/>
          <w:highlight w:val="none"/>
          <w:lang w:eastAsia="zh-CN"/>
        </w:rPr>
      </w:pPr>
      <w:bookmarkStart w:id="0" w:name="OLE_LINK6"/>
      <w:bookmarkStart w:id="1" w:name="OLE_LINK210"/>
      <w:bookmarkStart w:id="2" w:name="OLE_LINK5"/>
      <w:r>
        <w:rPr>
          <w:rFonts w:hint="eastAsia" w:ascii="宋体" w:hAnsi="宋体" w:cs="宋体"/>
          <w:color w:val="auto"/>
          <w:sz w:val="48"/>
          <w:szCs w:val="48"/>
          <w:highlight w:val="none"/>
          <w:lang w:eastAsia="zh-CN"/>
        </w:rPr>
        <w:t>2025年第一批义务教育薄弱环节改善与能力提升补助资金项目（标7）</w:t>
      </w:r>
    </w:p>
    <w:bookmarkEnd w:id="0"/>
    <w:bookmarkEnd w:id="1"/>
    <w:bookmarkEnd w:id="2"/>
    <w:p>
      <w:pPr>
        <w:pStyle w:val="3"/>
        <w:rPr>
          <w:color w:val="auto"/>
          <w:highlight w:val="none"/>
          <w:lang w:val="en-US"/>
        </w:rPr>
      </w:pPr>
    </w:p>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（BHZC2025-G1-210122-CGZX）</w:t>
      </w:r>
    </w:p>
    <w:p>
      <w:pPr>
        <w:adjustRightInd/>
        <w:spacing w:line="360" w:lineRule="auto"/>
        <w:rPr>
          <w:rFonts w:ascii="宋体" w:hAnsi="宋体" w:cs="宋体"/>
          <w:color w:val="auto"/>
          <w:sz w:val="28"/>
          <w:szCs w:val="20"/>
          <w:highlight w:val="none"/>
        </w:r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spacing w:line="360" w:lineRule="auto"/>
        <w:jc w:val="center"/>
        <w:rPr>
          <w:rFonts w:ascii="宋体" w:hAnsi="宋体" w:cs="宋体"/>
          <w:b/>
          <w:color w:val="auto"/>
          <w:sz w:val="44"/>
          <w:szCs w:val="4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32"/>
          <w:szCs w:val="32"/>
          <w:highlight w:val="none"/>
        </w:rPr>
      </w:pPr>
    </w:p>
    <w:p>
      <w:pPr>
        <w:snapToGrid w:val="0"/>
        <w:spacing w:line="360" w:lineRule="auto"/>
        <w:jc w:val="center"/>
        <w:rPr>
          <w:rFonts w:hint="eastAsia" w:ascii="宋体" w:hAnsi="宋体" w:eastAsia="宋体" w:cs="宋体"/>
          <w:color w:val="auto"/>
          <w:sz w:val="32"/>
          <w:szCs w:val="32"/>
          <w:highlight w:val="none"/>
          <w:lang w:eastAsia="zh-CN"/>
        </w:rPr>
      </w:pPr>
      <w:bookmarkStart w:id="3" w:name="OLE_LINK115"/>
      <w:bookmarkStart w:id="4" w:name="OLE_LINK112"/>
      <w:bookmarkStart w:id="5" w:name="OLE_LINK111"/>
      <w:r>
        <w:rPr>
          <w:rFonts w:hint="eastAsia" w:ascii="宋体" w:hAnsi="宋体" w:cs="宋体"/>
          <w:color w:val="auto"/>
          <w:sz w:val="32"/>
          <w:szCs w:val="32"/>
          <w:highlight w:val="none"/>
          <w:lang w:eastAsia="zh-CN"/>
        </w:rPr>
        <w:t>合浦县教育局</w:t>
      </w:r>
    </w:p>
    <w:bookmarkEnd w:id="3"/>
    <w:bookmarkEnd w:id="4"/>
    <w:bookmarkEnd w:id="5"/>
    <w:p>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北海市政府采购中心</w:t>
      </w:r>
    </w:p>
    <w:p>
      <w:pPr>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二〇二五年十一月</w:t>
      </w:r>
      <w:r>
        <w:rPr>
          <w:rFonts w:hint="eastAsia" w:ascii="宋体" w:hAnsi="宋体" w:cs="宋体"/>
          <w:bCs/>
          <w:color w:val="auto"/>
          <w:sz w:val="32"/>
          <w:szCs w:val="32"/>
          <w:highlight w:val="none"/>
          <w:lang w:val="en-US" w:eastAsia="zh-CN"/>
        </w:rPr>
        <w:t>七</w:t>
      </w:r>
      <w:r>
        <w:rPr>
          <w:rFonts w:hint="eastAsia" w:ascii="宋体" w:hAnsi="宋体" w:cs="宋体"/>
          <w:bCs/>
          <w:color w:val="auto"/>
          <w:sz w:val="32"/>
          <w:szCs w:val="32"/>
          <w:highlight w:val="none"/>
          <w:lang w:eastAsia="zh-CN"/>
        </w:rPr>
        <w:t>日</w:t>
      </w:r>
    </w:p>
    <w:p>
      <w:pPr>
        <w:spacing w:line="360" w:lineRule="auto"/>
        <w:jc w:val="center"/>
        <w:rPr>
          <w:rFonts w:ascii="宋体" w:hAnsi="宋体" w:cs="宋体"/>
          <w:color w:val="auto"/>
          <w:sz w:val="24"/>
          <w:highlight w:val="none"/>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pStyle w:val="42"/>
        <w:tabs>
          <w:tab w:val="right" w:leader="dot" w:pos="9060"/>
        </w:tabs>
        <w:spacing w:line="360" w:lineRule="auto"/>
        <w:rPr>
          <w:rFonts w:ascii="宋体" w:hAnsi="宋体" w:cstheme="minorBidi"/>
          <w:color w:val="auto"/>
          <w:sz w:val="32"/>
          <w:szCs w:val="32"/>
          <w:highlight w:val="none"/>
        </w:rPr>
      </w:pPr>
      <w:bookmarkStart w:id="6" w:name="_Hlt91233176"/>
      <w:bookmarkEnd w:id="6"/>
      <w:bookmarkStart w:id="7"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TOC \o "1-1" \h \z \u </w:instrText>
      </w:r>
      <w:r>
        <w:rPr>
          <w:rFonts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"_Toc176343848" </w:instrText>
      </w:r>
      <w:r>
        <w:rPr>
          <w:color w:val="auto"/>
          <w:highlight w:val="none"/>
        </w:rPr>
        <w:fldChar w:fldCharType="separate"/>
      </w:r>
      <w:r>
        <w:rPr>
          <w:rStyle w:val="76"/>
          <w:rFonts w:hint="eastAsia" w:ascii="宋体" w:hAnsi="宋体" w:eastAsia="宋体" w:cs="宋体"/>
          <w:color w:val="auto"/>
          <w:sz w:val="32"/>
          <w:szCs w:val="32"/>
          <w:highlight w:val="none"/>
        </w:rPr>
        <w:t>第一部分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招标公告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_Toc176343848 \h </w:instrText>
      </w:r>
      <w:r>
        <w:rPr>
          <w:rFonts w:ascii="宋体" w:hAnsi="宋体"/>
          <w:color w:val="auto"/>
          <w:sz w:val="32"/>
          <w:szCs w:val="32"/>
          <w:highlight w:val="none"/>
        </w:rPr>
        <w:fldChar w:fldCharType="separate"/>
      </w:r>
      <w:r>
        <w:rPr>
          <w:rFonts w:ascii="宋体" w:hAnsi="宋体"/>
          <w:color w:val="auto"/>
          <w:sz w:val="32"/>
          <w:szCs w:val="32"/>
          <w:highlight w:val="none"/>
        </w:rPr>
        <w:t>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"_Toc176343849" </w:instrText>
      </w:r>
      <w:r>
        <w:rPr>
          <w:color w:val="auto"/>
          <w:highlight w:val="none"/>
        </w:rPr>
        <w:fldChar w:fldCharType="separate"/>
      </w:r>
      <w:r>
        <w:rPr>
          <w:rStyle w:val="76"/>
          <w:rFonts w:hint="eastAsia" w:ascii="宋体" w:hAnsi="宋体" w:eastAsia="宋体" w:cs="宋体"/>
          <w:color w:val="auto"/>
          <w:sz w:val="32"/>
          <w:szCs w:val="32"/>
          <w:highlight w:val="none"/>
        </w:rPr>
        <w:t>第二部分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投标人须知</w:t>
      </w:r>
      <w:r>
        <w:rPr>
          <w:rFonts w:ascii="宋体" w:hAnsi="宋体"/>
          <w:color w:val="auto"/>
          <w:sz w:val="32"/>
          <w:szCs w:val="32"/>
          <w:highlight w:val="none"/>
        </w:rPr>
        <w:tab/>
      </w:r>
      <w:r>
        <w:rPr>
          <w:rFonts w:hint="eastAsia" w:ascii="宋体" w:hAnsi="宋体"/>
          <w:color w:val="auto"/>
          <w:sz w:val="32"/>
          <w:szCs w:val="32"/>
          <w:highlight w:val="none"/>
          <w:lang w:val="en-US" w:eastAsia="zh-CN"/>
        </w:rPr>
        <w:t>6</w:t>
      </w:r>
      <w:r>
        <w:rPr>
          <w:rFonts w:ascii="宋体" w:hAnsi="宋体"/>
          <w:color w:val="auto"/>
          <w:sz w:val="32"/>
          <w:szCs w:val="32"/>
          <w:highlight w:val="none"/>
        </w:rPr>
        <w:fldChar w:fldCharType="end"/>
      </w:r>
    </w:p>
    <w:p>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"_Toc176343850" </w:instrText>
      </w:r>
      <w:r>
        <w:rPr>
          <w:color w:val="auto"/>
          <w:highlight w:val="none"/>
        </w:rPr>
        <w:fldChar w:fldCharType="separate"/>
      </w:r>
      <w:r>
        <w:rPr>
          <w:rStyle w:val="76"/>
          <w:rFonts w:hint="eastAsia" w:ascii="宋体" w:hAnsi="宋体" w:eastAsia="宋体" w:cs="宋体"/>
          <w:color w:val="auto"/>
          <w:sz w:val="32"/>
          <w:szCs w:val="32"/>
          <w:highlight w:val="none"/>
        </w:rPr>
        <w:t>第三部分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采购需求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_Toc176343850 \h </w:instrText>
      </w:r>
      <w:r>
        <w:rPr>
          <w:rFonts w:ascii="宋体" w:hAnsi="宋体"/>
          <w:color w:val="auto"/>
          <w:sz w:val="32"/>
          <w:szCs w:val="32"/>
          <w:highlight w:val="none"/>
        </w:rPr>
        <w:fldChar w:fldCharType="separate"/>
      </w:r>
      <w:r>
        <w:rPr>
          <w:rFonts w:ascii="宋体" w:hAnsi="宋体"/>
          <w:color w:val="auto"/>
          <w:sz w:val="32"/>
          <w:szCs w:val="32"/>
          <w:highlight w:val="none"/>
        </w:rPr>
        <w:t>26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"_Toc176343851" </w:instrText>
      </w:r>
      <w:r>
        <w:rPr>
          <w:color w:val="auto"/>
          <w:highlight w:val="none"/>
        </w:rPr>
        <w:fldChar w:fldCharType="separate"/>
      </w:r>
      <w:r>
        <w:rPr>
          <w:rStyle w:val="76"/>
          <w:rFonts w:hint="eastAsia" w:ascii="宋体" w:hAnsi="宋体" w:eastAsia="宋体" w:cs="宋体"/>
          <w:color w:val="auto"/>
          <w:sz w:val="32"/>
          <w:szCs w:val="32"/>
          <w:highlight w:val="none"/>
        </w:rPr>
        <w:t>第四部分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评标办法</w:t>
      </w:r>
      <w:r>
        <w:rPr>
          <w:rFonts w:ascii="宋体" w:hAnsi="宋体"/>
          <w:color w:val="auto"/>
          <w:sz w:val="32"/>
          <w:szCs w:val="32"/>
          <w:highlight w:val="none"/>
        </w:rPr>
        <w:tab/>
      </w:r>
      <w:r>
        <w:rPr>
          <w:rFonts w:hint="eastAsia" w:ascii="宋体" w:hAnsi="宋体"/>
          <w:color w:val="auto"/>
          <w:sz w:val="32"/>
          <w:szCs w:val="32"/>
          <w:highlight w:val="none"/>
          <w:lang w:val="en-US" w:eastAsia="zh-CN"/>
        </w:rPr>
        <w:t>41</w:t>
      </w:r>
      <w:r>
        <w:rPr>
          <w:rFonts w:hint="eastAsia" w:ascii="宋体" w:hAnsi="宋体"/>
          <w:color w:val="auto"/>
          <w:sz w:val="32"/>
          <w:szCs w:val="32"/>
          <w:highlight w:val="none"/>
        </w:rPr>
        <w:fldChar w:fldCharType="end"/>
      </w:r>
    </w:p>
    <w:p>
      <w:pPr>
        <w:pStyle w:val="42"/>
        <w:tabs>
          <w:tab w:val="right" w:leader="dot" w:pos="9060"/>
        </w:tabs>
        <w:spacing w:line="360" w:lineRule="auto"/>
        <w:rPr>
          <w:rFonts w:hint="eastAsia" w:ascii="宋体" w:hAnsi="宋体" w:eastAsia="宋体"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"_Toc176343852" </w:instrText>
      </w:r>
      <w:r>
        <w:rPr>
          <w:color w:val="auto"/>
          <w:highlight w:val="none"/>
        </w:rPr>
        <w:fldChar w:fldCharType="separate"/>
      </w:r>
      <w:r>
        <w:rPr>
          <w:rStyle w:val="76"/>
          <w:rFonts w:hint="eastAsia" w:ascii="宋体" w:hAnsi="宋体" w:eastAsia="宋体" w:cs="宋体"/>
          <w:color w:val="auto"/>
          <w:sz w:val="32"/>
          <w:szCs w:val="32"/>
          <w:highlight w:val="none"/>
        </w:rPr>
        <w:t>第五部分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拟签订的合同文本</w:t>
      </w:r>
      <w:r>
        <w:rPr>
          <w:rFonts w:ascii="宋体" w:hAnsi="宋体"/>
          <w:color w:val="auto"/>
          <w:sz w:val="32"/>
          <w:szCs w:val="32"/>
          <w:highlight w:val="none"/>
        </w:rPr>
        <w:tab/>
      </w:r>
      <w:r>
        <w:rPr>
          <w:rFonts w:hint="eastAsia" w:ascii="宋体" w:hAnsi="宋体"/>
          <w:color w:val="auto"/>
          <w:sz w:val="32"/>
          <w:szCs w:val="32"/>
          <w:highlight w:val="none"/>
          <w:lang w:val="en-US" w:eastAsia="zh-CN"/>
        </w:rPr>
        <w:t>4</w:t>
      </w:r>
      <w:r>
        <w:rPr>
          <w:rFonts w:hint="eastAsia" w:ascii="宋体" w:hAnsi="宋体"/>
          <w:color w:val="auto"/>
          <w:sz w:val="32"/>
          <w:szCs w:val="32"/>
          <w:highlight w:val="none"/>
        </w:rPr>
        <w:fldChar w:fldCharType="end"/>
      </w:r>
      <w:r>
        <w:rPr>
          <w:rFonts w:hint="eastAsia" w:ascii="宋体" w:hAnsi="宋体"/>
          <w:color w:val="auto"/>
          <w:sz w:val="32"/>
          <w:szCs w:val="32"/>
          <w:highlight w:val="none"/>
          <w:lang w:val="en-US" w:eastAsia="zh-CN"/>
        </w:rPr>
        <w:t>9</w:t>
      </w:r>
    </w:p>
    <w:p>
      <w:pPr>
        <w:pStyle w:val="42"/>
        <w:tabs>
          <w:tab w:val="right" w:leader="dot" w:pos="9060"/>
        </w:tabs>
        <w:spacing w:line="360" w:lineRule="auto"/>
        <w:rPr>
          <w:rFonts w:hint="eastAsia" w:ascii="宋体" w:hAnsi="宋体" w:eastAsia="宋体"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"_Toc176343853" </w:instrText>
      </w:r>
      <w:r>
        <w:rPr>
          <w:color w:val="auto"/>
          <w:highlight w:val="none"/>
        </w:rPr>
        <w:fldChar w:fldCharType="separate"/>
      </w:r>
      <w:r>
        <w:rPr>
          <w:rStyle w:val="76"/>
          <w:rFonts w:hint="eastAsia" w:ascii="宋体" w:hAnsi="宋体" w:eastAsia="宋体" w:cs="宋体"/>
          <w:color w:val="auto"/>
          <w:sz w:val="32"/>
          <w:szCs w:val="32"/>
          <w:highlight w:val="none"/>
        </w:rPr>
        <w:t>第六部分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应提交的有关格式范例</w:t>
      </w:r>
      <w:r>
        <w:rPr>
          <w:rFonts w:ascii="宋体" w:hAnsi="宋体"/>
          <w:color w:val="auto"/>
          <w:sz w:val="32"/>
          <w:szCs w:val="32"/>
          <w:highlight w:val="none"/>
        </w:rPr>
        <w:tab/>
      </w:r>
      <w:r>
        <w:rPr>
          <w:rFonts w:hint="eastAsia" w:ascii="宋体" w:hAnsi="宋体"/>
          <w:color w:val="auto"/>
          <w:sz w:val="32"/>
          <w:szCs w:val="32"/>
          <w:highlight w:val="none"/>
          <w:lang w:val="en-US" w:eastAsia="zh-CN"/>
        </w:rPr>
        <w:t>6</w:t>
      </w:r>
      <w:r>
        <w:rPr>
          <w:rFonts w:hint="eastAsia" w:ascii="宋体" w:hAnsi="宋体"/>
          <w:color w:val="auto"/>
          <w:sz w:val="32"/>
          <w:szCs w:val="32"/>
          <w:highlight w:val="none"/>
        </w:rPr>
        <w:fldChar w:fldCharType="end"/>
      </w:r>
      <w:r>
        <w:rPr>
          <w:rFonts w:hint="eastAsia" w:ascii="宋体" w:hAnsi="宋体"/>
          <w:color w:val="auto"/>
          <w:sz w:val="32"/>
          <w:szCs w:val="32"/>
          <w:highlight w:val="none"/>
          <w:lang w:val="en-US" w:eastAsia="zh-CN"/>
        </w:rPr>
        <w:t>8</w:t>
      </w:r>
    </w:p>
    <w:p>
      <w:pPr>
        <w:spacing w:line="360" w:lineRule="auto"/>
        <w:ind w:firstLine="732" w:firstLineChars="229"/>
        <w:rPr>
          <w:rFonts w:ascii="宋体" w:hAnsi="宋体" w:cs="宋体"/>
          <w:color w:val="auto"/>
          <w:sz w:val="32"/>
          <w:szCs w:val="32"/>
          <w:highlight w:val="none"/>
        </w:rPr>
      </w:pPr>
      <w:r>
        <w:rPr>
          <w:rFonts w:ascii="宋体" w:hAnsi="宋体" w:cs="宋体"/>
          <w:color w:val="auto"/>
          <w:sz w:val="32"/>
          <w:szCs w:val="32"/>
          <w:highlight w:val="none"/>
        </w:rPr>
        <w:fldChar w:fldCharType="end"/>
      </w: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rPr>
          <w:rFonts w:ascii="宋体" w:hAnsi="宋体" w:cs="宋体"/>
          <w:color w:val="auto"/>
          <w:sz w:val="24"/>
          <w:highlight w:val="none"/>
        </w:rPr>
      </w:pPr>
    </w:p>
    <w:bookmarkEnd w:id="7"/>
    <w:p>
      <w:pPr>
        <w:adjustRightInd/>
        <w:spacing w:line="360" w:lineRule="auto"/>
        <w:jc w:val="center"/>
        <w:outlineLvl w:val="0"/>
        <w:rPr>
          <w:rFonts w:hint="eastAsia" w:ascii="宋体" w:hAnsi="宋体" w:cs="宋体"/>
          <w:b/>
          <w:color w:val="auto"/>
          <w:sz w:val="36"/>
          <w:szCs w:val="20"/>
          <w:highlight w:val="none"/>
        </w:rPr>
        <w:sectPr>
          <w:footerReference r:id="rId7" w:type="first"/>
          <w:footerReference r:id="rId6" w:type="default"/>
          <w:pgSz w:w="11906" w:h="16838"/>
          <w:pgMar w:top="680" w:right="1418" w:bottom="468" w:left="1418" w:header="851" w:footer="992" w:gutter="0"/>
          <w:pgNumType w:start="1"/>
          <w:cols w:space="720" w:num="1"/>
          <w:docGrid w:linePitch="312" w:charSpace="0"/>
        </w:sectPr>
      </w:pPr>
      <w:bookmarkStart w:id="8" w:name="_Hlt74729822"/>
      <w:bookmarkEnd w:id="8"/>
      <w:bookmarkStart w:id="9" w:name="_Hlt74707423"/>
      <w:bookmarkEnd w:id="9"/>
      <w:bookmarkStart w:id="10" w:name="_Hlt74649545"/>
      <w:bookmarkEnd w:id="10"/>
      <w:bookmarkStart w:id="11" w:name="_Hlt74728647"/>
      <w:bookmarkEnd w:id="11"/>
      <w:bookmarkStart w:id="12" w:name="_Toc176343848"/>
      <w:bookmarkStart w:id="13" w:name="_Toc176185119"/>
      <w:bookmarkStart w:id="14" w:name="第二部分"/>
      <w:bookmarkStart w:id="15" w:name="_Toc91899870"/>
      <w:bookmarkStart w:id="16" w:name="_Toc91899871"/>
    </w:p>
    <w:p>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第一部分  招标公告</w:t>
      </w:r>
      <w:bookmarkEnd w:id="12"/>
      <w:bookmarkEnd w:id="13"/>
    </w:p>
    <w:p>
      <w:pPr>
        <w:pStyle w:val="40"/>
        <w:rPr>
          <w:rFonts w:ascii="宋体" w:hAnsi="宋体" w:cs="宋体"/>
          <w:b/>
          <w:color w:val="auto"/>
          <w:sz w:val="32"/>
          <w:szCs w:val="32"/>
          <w:highlight w:val="none"/>
        </w:rPr>
      </w:pPr>
      <w:bookmarkStart w:id="17" w:name="OLE_LINK2"/>
      <w:bookmarkStart w:id="18" w:name="OLE_LINK41"/>
      <w:bookmarkStart w:id="19" w:name="OLE_LINK40"/>
      <w:bookmarkStart w:id="20" w:name="OLE_LINK93"/>
      <w:bookmarkStart w:id="21" w:name="OLE_LINK94"/>
      <w:bookmarkStart w:id="22" w:name="OLE_LINK92"/>
      <w:bookmarkStart w:id="23" w:name="OLE_LINK202"/>
      <w:r>
        <w:rPr>
          <w:rFonts w:hint="eastAsia" w:ascii="宋体" w:hAnsi="宋体" w:cs="宋体"/>
          <w:b/>
          <w:color w:val="auto"/>
          <w:sz w:val="32"/>
          <w:szCs w:val="32"/>
          <w:highlight w:val="none"/>
        </w:rPr>
        <w:t>北海市政府采购中心关于</w:t>
      </w:r>
      <w:r>
        <w:rPr>
          <w:rFonts w:hint="eastAsia" w:ascii="宋体" w:hAnsi="宋体" w:cs="宋体"/>
          <w:b/>
          <w:color w:val="auto"/>
          <w:sz w:val="32"/>
          <w:szCs w:val="32"/>
          <w:highlight w:val="none"/>
          <w:lang w:eastAsia="zh-CN"/>
        </w:rPr>
        <w:t>合浦县教育局</w:t>
      </w:r>
      <w:bookmarkEnd w:id="17"/>
      <w:r>
        <w:rPr>
          <w:rFonts w:hint="eastAsia" w:ascii="宋体" w:hAnsi="宋体" w:cs="宋体"/>
          <w:b/>
          <w:color w:val="auto"/>
          <w:sz w:val="32"/>
          <w:szCs w:val="32"/>
          <w:highlight w:val="none"/>
          <w:lang w:eastAsia="zh-CN"/>
        </w:rPr>
        <w:t>2025年第一批义务教育薄弱环节改善与能力提升补助资金项目（标7）</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eastAsia="zh-CN"/>
        </w:rPr>
        <w:t>BHZC2025-G1-210122-CGZX</w:t>
      </w:r>
      <w:r>
        <w:rPr>
          <w:rFonts w:hint="eastAsia" w:ascii="宋体" w:hAnsi="宋体" w:cs="宋体"/>
          <w:b/>
          <w:color w:val="auto"/>
          <w:sz w:val="32"/>
          <w:szCs w:val="32"/>
          <w:highlight w:val="none"/>
        </w:rPr>
        <w:t>）公开招标公告</w:t>
      </w:r>
    </w:p>
    <w:p>
      <w:pPr>
        <w:pStyle w:val="40"/>
        <w:rPr>
          <w:rFonts w:ascii="宋体" w:hAnsi="宋体" w:cs="宋体"/>
          <w:b/>
          <w:color w:val="auto"/>
          <w:sz w:val="36"/>
          <w:szCs w:val="20"/>
          <w:highlight w:val="none"/>
        </w:rPr>
      </w:pPr>
      <w:r>
        <w:rPr>
          <w:rFonts w:hint="eastAsia" w:ascii="宋体" w:hAnsi="宋体" w:cs="宋体"/>
          <w:b/>
          <w:color w:val="auto"/>
          <w:sz w:val="32"/>
          <w:szCs w:val="32"/>
          <w:highlight w:val="none"/>
        </w:rPr>
        <w:t>（远程异地评标）</w:t>
      </w:r>
    </w:p>
    <w:p>
      <w:pPr>
        <w:pageBreakBefore w:val="0"/>
        <w:pBdr>
          <w:top w:val="single" w:color="auto" w:sz="4" w:space="1"/>
          <w:left w:val="single" w:color="auto" w:sz="4" w:space="4"/>
          <w:bottom w:val="single" w:color="auto" w:sz="4" w:space="2"/>
          <w:right w:val="single" w:color="auto" w:sz="4" w:space="4"/>
        </w:pBdr>
        <w:kinsoku/>
        <w:overflowPunct/>
        <w:topLinePunct w:val="0"/>
        <w:autoSpaceDE/>
        <w:autoSpaceDN/>
        <w:bidi w:val="0"/>
        <w:spacing w:line="40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pPr>
        <w:pageBreakBefore w:val="0"/>
        <w:pBdr>
          <w:top w:val="single" w:color="auto" w:sz="4" w:space="1"/>
          <w:left w:val="single" w:color="auto" w:sz="4" w:space="4"/>
          <w:bottom w:val="single" w:color="auto" w:sz="4" w:space="2"/>
          <w:right w:val="single" w:color="auto" w:sz="4" w:space="4"/>
        </w:pBdr>
        <w:kinsoku/>
        <w:overflowPunct/>
        <w:topLinePunct w:val="0"/>
        <w:autoSpaceDE/>
        <w:autoSpaceDN/>
        <w:bidi w:val="0"/>
        <w:spacing w:line="400" w:lineRule="exact"/>
        <w:ind w:firstLine="480" w:firstLineChars="200"/>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2025年第一批义务教育薄弱环节改善与能力提升补助资金项目（标7）</w:t>
      </w:r>
      <w:r>
        <w:rPr>
          <w:rFonts w:hint="eastAsia" w:asciiTheme="minorEastAsia" w:hAnsiTheme="minorEastAsia" w:eastAsiaTheme="minorEastAsia"/>
          <w:color w:val="auto"/>
          <w:sz w:val="24"/>
          <w:highlight w:val="none"/>
        </w:rPr>
        <w:t>招标项目的潜在投标人应在</w:t>
      </w:r>
      <w:r>
        <w:rPr>
          <w:rFonts w:hint="eastAsia" w:ascii="宋体" w:hAnsi="宋体" w:cs="宋体"/>
          <w:color w:val="auto"/>
          <w:sz w:val="24"/>
          <w:highlight w:val="none"/>
        </w:rPr>
        <w:t>广西政府采购云平台（</w:t>
      </w:r>
      <w:r>
        <w:rPr>
          <w:rFonts w:hint="eastAsia" w:ascii="宋体" w:hAnsi="宋体" w:eastAsia="宋体" w:cs="宋体"/>
          <w:color w:val="auto"/>
          <w:sz w:val="24"/>
          <w:szCs w:val="24"/>
          <w:highlight w:val="none"/>
          <w:u w:val="none"/>
        </w:rPr>
        <w:t>https://www.gcy.zfcg.gxzf.gov.cn/）</w:t>
      </w:r>
      <w:r>
        <w:rPr>
          <w:rFonts w:cs="Times New Roman" w:asciiTheme="minorEastAsia" w:hAnsiTheme="minorEastAsia" w:eastAsiaTheme="minorEastAsia"/>
          <w:color w:val="auto"/>
          <w:sz w:val="24"/>
          <w:szCs w:val="24"/>
          <w:highlight w:val="none"/>
          <w:u w:val="none"/>
        </w:rPr>
        <w:t>获取（下载）招标文件，并于</w:t>
      </w:r>
      <w:r>
        <w:rPr>
          <w:rFonts w:hint="eastAsia" w:cs="Times New Roman" w:asciiTheme="minorEastAsia" w:hAnsiTheme="minorEastAsia" w:eastAsiaTheme="minorEastAsia"/>
          <w:color w:val="auto"/>
          <w:sz w:val="24"/>
          <w:szCs w:val="24"/>
          <w:highlight w:val="none"/>
          <w:u w:val="none"/>
          <w:lang w:eastAsia="zh-CN"/>
        </w:rPr>
        <w:t>2025年11月28日9时</w:t>
      </w:r>
      <w:r>
        <w:rPr>
          <w:rFonts w:hint="eastAsia" w:asciiTheme="minorEastAsia" w:hAnsiTheme="minorEastAsia" w:eastAsiaTheme="minorEastAsia"/>
          <w:color w:val="auto"/>
          <w:sz w:val="24"/>
          <w:highlight w:val="none"/>
        </w:rPr>
        <w:t>00分00秒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pPr>
        <w:pageBreakBefore w:val="0"/>
        <w:kinsoku/>
        <w:overflowPunct/>
        <w:topLinePunct w:val="0"/>
        <w:autoSpaceDE/>
        <w:autoSpaceDN/>
        <w:bidi w:val="0"/>
        <w:spacing w:line="40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w:t>
      </w:r>
      <w:bookmarkStart w:id="24" w:name="OLE_LINK105"/>
      <w:bookmarkStart w:id="25" w:name="OLE_LINK102"/>
      <w:r>
        <w:rPr>
          <w:rFonts w:hint="eastAsia" w:ascii="宋体" w:hAnsi="宋体" w:cs="宋体"/>
          <w:color w:val="auto"/>
          <w:sz w:val="24"/>
          <w:highlight w:val="none"/>
          <w:lang w:eastAsia="zh-CN"/>
        </w:rPr>
        <w:t>BHZC2025-G1-210122-CGZX</w:t>
      </w:r>
    </w:p>
    <w:bookmarkEnd w:id="24"/>
    <w:bookmarkEnd w:id="25"/>
    <w:p>
      <w:pPr>
        <w:pageBreakBefore w:val="0"/>
        <w:kinsoku/>
        <w:overflowPunct/>
        <w:topLinePunct w:val="0"/>
        <w:autoSpaceDE/>
        <w:autoSpaceDN/>
        <w:bidi w:val="0"/>
        <w:spacing w:line="40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bookmarkStart w:id="26" w:name="OLE_LINK99"/>
      <w:bookmarkStart w:id="27" w:name="OLE_LINK100"/>
      <w:r>
        <w:rPr>
          <w:rFonts w:hint="eastAsia" w:ascii="宋体" w:hAnsi="宋体" w:cs="宋体"/>
          <w:color w:val="auto"/>
          <w:sz w:val="24"/>
          <w:highlight w:val="none"/>
          <w:lang w:eastAsia="zh-CN"/>
        </w:rPr>
        <w:t>2025年第一批义务教育薄弱环节改善与能力提升补助资金项目（标7）</w:t>
      </w:r>
    </w:p>
    <w:bookmarkEnd w:id="26"/>
    <w:bookmarkEnd w:id="27"/>
    <w:p>
      <w:pPr>
        <w:pageBreakBefore w:val="0"/>
        <w:kinsoku/>
        <w:overflowPunct/>
        <w:topLinePunct w:val="0"/>
        <w:autoSpaceDE/>
        <w:autoSpaceDN/>
        <w:bidi w:val="0"/>
        <w:spacing w:line="40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预算金额（元）：</w:t>
      </w:r>
      <w:r>
        <w:rPr>
          <w:rFonts w:hint="eastAsia" w:ascii="宋体" w:hAnsi="宋体" w:cs="宋体"/>
          <w:color w:val="auto"/>
          <w:sz w:val="24"/>
          <w:highlight w:val="none"/>
          <w:lang w:val="en-US" w:eastAsia="zh-CN"/>
        </w:rPr>
        <w:t>2,800,000.00</w:t>
      </w:r>
    </w:p>
    <w:p>
      <w:pPr>
        <w:pageBreakBefore w:val="0"/>
        <w:kinsoku/>
        <w:overflowPunct/>
        <w:topLinePunct w:val="0"/>
        <w:autoSpaceDE/>
        <w:autoSpaceDN/>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采购需求：</w:t>
      </w:r>
    </w:p>
    <w:p>
      <w:pPr>
        <w:pageBreakBefore w:val="0"/>
        <w:kinsoku/>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p>
    <w:p>
      <w:pPr>
        <w:pStyle w:val="5"/>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bookmarkStart w:id="28" w:name="OLE_LINK108"/>
      <w:r>
        <w:rPr>
          <w:rFonts w:hint="eastAsia" w:hAnsi="宋体" w:cs="宋体"/>
          <w:color w:val="auto"/>
          <w:kern w:val="0"/>
          <w:sz w:val="24"/>
          <w:highlight w:val="none"/>
        </w:rPr>
        <w:t>标项一</w:t>
      </w:r>
    </w:p>
    <w:bookmarkEnd w:id="28"/>
    <w:p>
      <w:pPr>
        <w:pStyle w:val="5"/>
        <w:pageBreakBefore w:val="0"/>
        <w:kinsoku/>
        <w:overflowPunct/>
        <w:topLinePunct w:val="0"/>
        <w:autoSpaceDE/>
        <w:autoSpaceDN/>
        <w:bidi w:val="0"/>
        <w:spacing w:line="400" w:lineRule="exact"/>
        <w:ind w:firstLine="480"/>
        <w:textAlignment w:val="auto"/>
        <w:rPr>
          <w:rFonts w:hint="eastAsia" w:hAnsi="宋体" w:eastAsia="宋体" w:cs="宋体"/>
          <w:color w:val="auto"/>
          <w:kern w:val="0"/>
          <w:sz w:val="24"/>
          <w:highlight w:val="none"/>
          <w:lang w:eastAsia="zh-CN"/>
        </w:rPr>
      </w:pPr>
      <w:r>
        <w:rPr>
          <w:rFonts w:hint="eastAsia" w:hAnsi="宋体" w:cs="宋体"/>
          <w:color w:val="auto"/>
          <w:kern w:val="0"/>
          <w:sz w:val="24"/>
          <w:highlight w:val="none"/>
        </w:rPr>
        <w:t>标项名称:</w:t>
      </w:r>
      <w:r>
        <w:rPr>
          <w:rFonts w:hint="eastAsia" w:hAnsi="宋体" w:cs="宋体"/>
          <w:color w:val="auto"/>
          <w:kern w:val="0"/>
          <w:sz w:val="24"/>
          <w:highlight w:val="none"/>
          <w:lang w:eastAsia="zh-CN"/>
        </w:rPr>
        <w:t>2025年第一批义务教育薄弱环节改善与能力提升补助资金项目（标7）</w:t>
      </w:r>
    </w:p>
    <w:p>
      <w:pPr>
        <w:pStyle w:val="5"/>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数量:1项</w:t>
      </w:r>
    </w:p>
    <w:p>
      <w:pPr>
        <w:pStyle w:val="5"/>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 xml:space="preserve">预算金额（元）: </w:t>
      </w:r>
      <w:r>
        <w:rPr>
          <w:rFonts w:hint="eastAsia" w:hAnsi="宋体" w:cs="宋体"/>
          <w:color w:val="auto"/>
          <w:kern w:val="0"/>
          <w:sz w:val="24"/>
          <w:highlight w:val="none"/>
          <w:lang w:val="en-US" w:eastAsia="zh-CN"/>
        </w:rPr>
        <w:t>2,800,000.00</w:t>
      </w:r>
    </w:p>
    <w:p>
      <w:pPr>
        <w:pStyle w:val="5"/>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简要规格描述或项目基本概况介绍、用途：</w:t>
      </w:r>
      <w:r>
        <w:rPr>
          <w:rFonts w:hint="eastAsia" w:hAnsi="宋体" w:cs="宋体"/>
          <w:color w:val="auto"/>
          <w:kern w:val="0"/>
          <w:sz w:val="24"/>
          <w:highlight w:val="none"/>
          <w:lang w:eastAsia="zh-CN"/>
        </w:rPr>
        <w:t>合浦县石康镇十字中学等10所中小学学生计算机一批</w:t>
      </w:r>
      <w:r>
        <w:rPr>
          <w:rFonts w:hint="eastAsia" w:hAnsi="宋体" w:cs="宋体"/>
          <w:color w:val="auto"/>
          <w:kern w:val="0"/>
          <w:sz w:val="24"/>
          <w:highlight w:val="none"/>
        </w:rPr>
        <w:t>等，具体以招标文件第三部分采购需求为准。</w:t>
      </w:r>
    </w:p>
    <w:p>
      <w:pPr>
        <w:pStyle w:val="5"/>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最高限价（如有）：/</w:t>
      </w:r>
    </w:p>
    <w:p>
      <w:pPr>
        <w:pStyle w:val="5"/>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合同履约期限：签订合同后 30 个日历日，如因甲方及其他客观原因导致交付延期，不算作乙方违约，交付周期可视延期时间往后顺延。</w:t>
      </w:r>
    </w:p>
    <w:p>
      <w:pPr>
        <w:pStyle w:val="5"/>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本标项（否）接受联合体投标</w:t>
      </w:r>
    </w:p>
    <w:p>
      <w:pPr>
        <w:pageBreakBefore w:val="0"/>
        <w:kinsoku/>
        <w:overflowPunct/>
        <w:topLinePunct w:val="0"/>
        <w:autoSpaceDE/>
        <w:autoSpaceDN/>
        <w:bidi w:val="0"/>
        <w:spacing w:line="400" w:lineRule="exact"/>
        <w:ind w:firstLine="480" w:firstLineChars="200"/>
        <w:jc w:val="left"/>
        <w:textAlignment w:val="auto"/>
        <w:rPr>
          <w:rFonts w:hint="eastAsia" w:hAnsi="宋体" w:cs="宋体"/>
          <w:color w:val="auto"/>
          <w:kern w:val="0"/>
          <w:sz w:val="24"/>
          <w:highlight w:val="none"/>
        </w:rPr>
      </w:pPr>
      <w:r>
        <w:rPr>
          <w:rFonts w:hint="eastAsia" w:hAnsi="宋体" w:cs="宋体"/>
          <w:color w:val="auto"/>
          <w:kern w:val="0"/>
          <w:sz w:val="24"/>
          <w:highlight w:val="none"/>
        </w:rPr>
        <w:t>备注：</w:t>
      </w:r>
    </w:p>
    <w:p>
      <w:pPr>
        <w:pStyle w:val="3"/>
        <w:pageBreakBefore w:val="0"/>
        <w:kinsoku/>
        <w:overflowPunct/>
        <w:topLinePunct w:val="0"/>
        <w:autoSpaceDE/>
        <w:autoSpaceDN/>
        <w:bidi w:val="0"/>
        <w:spacing w:line="400" w:lineRule="exact"/>
        <w:textAlignment w:val="auto"/>
        <w:rPr>
          <w:color w:val="auto"/>
          <w:highlight w:val="none"/>
          <w:lang w:val="en-US"/>
        </w:rPr>
      </w:pPr>
    </w:p>
    <w:p>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二、</w:t>
      </w:r>
      <w:bookmarkStart w:id="29" w:name="_Hlk101132948"/>
      <w:r>
        <w:rPr>
          <w:rFonts w:hint="eastAsia" w:ascii="宋体" w:hAnsi="宋体" w:cs="宋体"/>
          <w:b/>
          <w:color w:val="auto"/>
          <w:sz w:val="24"/>
          <w:highlight w:val="none"/>
        </w:rPr>
        <w:t>申请人的资格要求</w:t>
      </w:r>
      <w:bookmarkEnd w:id="29"/>
      <w:r>
        <w:rPr>
          <w:rFonts w:hint="eastAsia" w:ascii="宋体" w:hAnsi="宋体" w:cs="宋体"/>
          <w:b/>
          <w:color w:val="auto"/>
          <w:sz w:val="24"/>
          <w:highlight w:val="none"/>
        </w:rPr>
        <w:t>：</w:t>
      </w:r>
    </w:p>
    <w:p>
      <w:pPr>
        <w:pageBreakBefore w:val="0"/>
        <w:kinsoku/>
        <w:overflowPunct/>
        <w:topLinePunct w:val="0"/>
        <w:autoSpaceDE/>
        <w:autoSpaceDN/>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pageBreakBefore w:val="0"/>
        <w:kinsoku/>
        <w:overflowPunct/>
        <w:topLinePunct w:val="0"/>
        <w:autoSpaceDE/>
        <w:autoSpaceDN/>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2.落实政府采购政策需满足的资格要求：无；</w:t>
      </w:r>
    </w:p>
    <w:p>
      <w:pPr>
        <w:pStyle w:val="5"/>
        <w:pageBreakBefore w:val="0"/>
        <w:kinsoku/>
        <w:overflowPunct/>
        <w:topLinePunct w:val="0"/>
        <w:autoSpaceDE/>
        <w:autoSpaceDN/>
        <w:bidi w:val="0"/>
        <w:spacing w:line="400" w:lineRule="exact"/>
        <w:ind w:firstLine="480"/>
        <w:textAlignment w:val="auto"/>
        <w:rPr>
          <w:rFonts w:hAnsi="宋体" w:cs="宋体"/>
          <w:color w:val="auto"/>
          <w:sz w:val="24"/>
          <w:highlight w:val="none"/>
        </w:rPr>
      </w:pPr>
      <w:r>
        <w:rPr>
          <w:rFonts w:hint="eastAsia" w:hAnsi="宋体" w:cs="宋体"/>
          <w:color w:val="auto"/>
          <w:sz w:val="24"/>
          <w:highlight w:val="none"/>
        </w:rPr>
        <w:t>3.本项目的特定资格要求：无。</w:t>
      </w:r>
    </w:p>
    <w:p>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2025年11月</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rPr>
        <w:t>至</w:t>
      </w:r>
      <w:r>
        <w:rPr>
          <w:rFonts w:hint="eastAsia" w:ascii="宋体" w:hAnsi="宋体" w:cs="宋体"/>
          <w:color w:val="auto"/>
          <w:sz w:val="24"/>
          <w:highlight w:val="none"/>
          <w:u w:val="single"/>
          <w:lang w:eastAsia="zh-CN"/>
        </w:rPr>
        <w:t>2025年11月1</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rPr>
        <w:t>，每天上午00:00至12:00 ，下午12:00至23:59（北京时间，法定节假日除外）</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售价（元）：0 </w:t>
      </w:r>
      <w:r>
        <w:rPr>
          <w:rFonts w:hint="eastAsia" w:ascii="宋体" w:hAnsi="宋体" w:cs="宋体"/>
          <w:color w:val="auto"/>
          <w:sz w:val="24"/>
          <w:highlight w:val="none"/>
        </w:rPr>
        <w:tab/>
      </w:r>
    </w:p>
    <w:p>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 xml:space="preserve"> </w:t>
      </w:r>
      <w:bookmarkStart w:id="30" w:name="OLE_LINK21"/>
      <w:bookmarkStart w:id="31" w:name="OLE_LINK22"/>
      <w:r>
        <w:rPr>
          <w:rFonts w:hint="eastAsia" w:ascii="宋体" w:hAnsi="宋体" w:cs="宋体"/>
          <w:color w:val="auto"/>
          <w:sz w:val="24"/>
          <w:highlight w:val="none"/>
          <w:u w:val="single"/>
          <w:lang w:eastAsia="zh-CN"/>
        </w:rPr>
        <w:t>2025年11月28日9时</w:t>
      </w:r>
      <w:r>
        <w:rPr>
          <w:rFonts w:hint="eastAsia" w:ascii="宋体" w:hAnsi="宋体" w:cs="宋体"/>
          <w:color w:val="auto"/>
          <w:sz w:val="24"/>
          <w:highlight w:val="none"/>
          <w:u w:val="single"/>
        </w:rPr>
        <w:t>00分00秒</w:t>
      </w:r>
      <w:bookmarkEnd w:id="30"/>
      <w:bookmarkEnd w:id="31"/>
      <w:r>
        <w:rPr>
          <w:rFonts w:hint="eastAsia" w:ascii="宋体" w:hAnsi="宋体" w:cs="宋体"/>
          <w:color w:val="auto"/>
          <w:sz w:val="24"/>
          <w:highlight w:val="none"/>
        </w:rPr>
        <w:t>（北京时间）</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pPr>
        <w:pageBreakBefore w:val="0"/>
        <w:kinsoku/>
        <w:overflowPunct/>
        <w:topLinePunct w:val="0"/>
        <w:autoSpaceDE/>
        <w:autoSpaceDN/>
        <w:bidi w:val="0"/>
        <w:spacing w:line="400" w:lineRule="exact"/>
        <w:ind w:firstLine="480" w:firstLineChars="200"/>
        <w:textAlignment w:val="auto"/>
        <w:rPr>
          <w:rFonts w:ascii="宋体" w:hAnsi="宋体" w:cs="宋体"/>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u w:val="single"/>
          <w:lang w:eastAsia="zh-CN"/>
        </w:rPr>
        <w:t>2025年11月28日9时</w:t>
      </w:r>
      <w:r>
        <w:rPr>
          <w:rFonts w:hint="eastAsia" w:ascii="宋体" w:hAnsi="宋体" w:cs="宋体"/>
          <w:color w:val="auto"/>
          <w:sz w:val="24"/>
          <w:highlight w:val="none"/>
          <w:u w:val="single"/>
        </w:rPr>
        <w:t>00分00秒</w:t>
      </w:r>
      <w:r>
        <w:rPr>
          <w:rFonts w:hint="eastAsia" w:ascii="宋体" w:hAnsi="宋体" w:cs="宋体"/>
          <w:color w:val="auto"/>
          <w:sz w:val="24"/>
          <w:highlight w:val="none"/>
        </w:rPr>
        <w:t>（北京时间）</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pPr>
        <w:pageBreakBefore w:val="0"/>
        <w:kinsoku/>
        <w:overflowPunct/>
        <w:topLinePunct w:val="0"/>
        <w:autoSpaceDE/>
        <w:autoSpaceDN/>
        <w:bidi w:val="0"/>
        <w:spacing w:line="400" w:lineRule="exact"/>
        <w:textAlignment w:val="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六、其他补充事宜</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bookmarkStart w:id="32" w:name="OLE_LINK133"/>
      <w:bookmarkStart w:id="33" w:name="OLE_LINK135"/>
      <w:bookmarkStart w:id="34" w:name="OLE_LINK134"/>
      <w:r>
        <w:rPr>
          <w:rFonts w:hint="eastAsia" w:ascii="宋体" w:hAnsi="宋体" w:cs="宋体"/>
          <w:color w:val="auto"/>
          <w:sz w:val="24"/>
          <w:highlight w:val="none"/>
        </w:rPr>
        <w:t>1.本项目不收取投标保证金。</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pageBreakBefore w:val="0"/>
        <w:kinsoku/>
        <w:overflowPunct/>
        <w:topLinePunct w:val="0"/>
        <w:autoSpaceDE/>
        <w:autoSpaceDN/>
        <w:bidi w:val="0"/>
        <w:spacing w:line="400" w:lineRule="exact"/>
        <w:ind w:firstLine="480" w:firstLineChars="200"/>
        <w:textAlignment w:val="auto"/>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4.网上公告媒体查询：</w:t>
      </w:r>
      <w:bookmarkStart w:id="35" w:name="OLE_LINK123"/>
      <w:bookmarkStart w:id="36" w:name="OLE_LINK124"/>
      <w:bookmarkStart w:id="37" w:name="OLE_LINK32"/>
      <w:bookmarkStart w:id="38" w:name="OLE_LINK33"/>
      <w:r>
        <w:rPr>
          <w:rFonts w:hint="eastAsia" w:ascii="宋体" w:hAnsi="宋体"/>
          <w:color w:val="auto"/>
          <w:sz w:val="24"/>
          <w:highlight w:val="none"/>
        </w:rPr>
        <w:t>中国政府采购网、广西政府采购网、北海市政府采购监管网、全国公共资源交易平台（广西</w:t>
      </w:r>
      <w:r>
        <w:rPr>
          <w:rFonts w:hint="eastAsia" w:ascii="宋体" w:hAnsi="宋体" w:eastAsia="宋体" w:cs="宋体"/>
          <w:color w:val="auto"/>
          <w:sz w:val="24"/>
          <w:highlight w:val="none"/>
        </w:rPr>
        <w:t>·</w:t>
      </w:r>
      <w:r>
        <w:rPr>
          <w:rFonts w:hint="eastAsia" w:ascii="宋体" w:hAnsi="宋体"/>
          <w:color w:val="auto"/>
          <w:sz w:val="24"/>
          <w:highlight w:val="none"/>
        </w:rPr>
        <w:t>北海）、北海市人民政府网-北海市政府采购中心网站</w:t>
      </w:r>
      <w:bookmarkEnd w:id="35"/>
      <w:bookmarkEnd w:id="36"/>
      <w:bookmarkEnd w:id="37"/>
      <w:bookmarkEnd w:id="38"/>
      <w:r>
        <w:rPr>
          <w:rFonts w:hint="eastAsia" w:ascii="宋体" w:hAnsi="宋体" w:cs="宋体"/>
          <w:color w:val="auto"/>
          <w:sz w:val="24"/>
          <w:highlight w:val="none"/>
        </w:rPr>
        <w:t>。</w:t>
      </w:r>
    </w:p>
    <w:p>
      <w:pPr>
        <w:pageBreakBefore w:val="0"/>
        <w:kinsoku/>
        <w:wordWrap w:val="0"/>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供应商应当在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7.本项目采用远程异地评标。</w:t>
      </w:r>
    </w:p>
    <w:p>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8.本项目为北海市推动解决政府采购异常低价试点项目。</w:t>
      </w:r>
    </w:p>
    <w:bookmarkEnd w:id="32"/>
    <w:bookmarkEnd w:id="33"/>
    <w:bookmarkEnd w:id="34"/>
    <w:p>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pPr>
        <w:pageBreakBefore w:val="0"/>
        <w:kinsoku/>
        <w:overflowPunct/>
        <w:topLinePunct w:val="0"/>
        <w:autoSpaceDE/>
        <w:autoSpaceDN/>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pPr>
        <w:pageBreakBefore w:val="0"/>
        <w:kinsoku/>
        <w:overflowPunct/>
        <w:topLinePunct w:val="0"/>
        <w:autoSpaceDE/>
        <w:autoSpaceDN/>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合浦县教育局</w:t>
      </w:r>
      <w:r>
        <w:rPr>
          <w:rFonts w:hint="eastAsia" w:ascii="宋体" w:hAnsi="宋体" w:cs="宋体"/>
          <w:color w:val="auto"/>
          <w:sz w:val="24"/>
          <w:highlight w:val="none"/>
        </w:rPr>
        <w:t xml:space="preserve"> </w:t>
      </w:r>
    </w:p>
    <w:p>
      <w:pPr>
        <w:pageBreakBefore w:val="0"/>
        <w:kinsoku/>
        <w:overflowPunct/>
        <w:topLinePunct w:val="0"/>
        <w:autoSpaceDE/>
        <w:autoSpaceDN/>
        <w:bidi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合浦县廉州镇小北街44号</w:t>
      </w:r>
      <w:r>
        <w:rPr>
          <w:rFonts w:hint="eastAsia" w:ascii="宋体" w:hAnsi="宋体" w:cs="宋体"/>
          <w:color w:val="auto"/>
          <w:sz w:val="24"/>
          <w:highlight w:val="none"/>
        </w:rPr>
        <w:t xml:space="preserve">      </w:t>
      </w:r>
    </w:p>
    <w:p>
      <w:pPr>
        <w:pageBreakBefore w:val="0"/>
        <w:kinsoku/>
        <w:overflowPunct/>
        <w:topLinePunct w:val="0"/>
        <w:autoSpaceDE/>
        <w:autoSpaceDN/>
        <w:bidi w:val="0"/>
        <w:spacing w:line="400" w:lineRule="exact"/>
        <w:ind w:firstLine="48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包昌海</w:t>
      </w:r>
    </w:p>
    <w:p>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项目联系方式：</w:t>
      </w:r>
      <w:r>
        <w:rPr>
          <w:rFonts w:hint="eastAsia" w:ascii="宋体" w:hAnsi="宋体" w:cs="宋体"/>
          <w:color w:val="auto"/>
          <w:sz w:val="24"/>
          <w:highlight w:val="none"/>
          <w:lang w:eastAsia="zh-CN"/>
        </w:rPr>
        <w:t>0779-7293139</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地    址：北海市海城区陈文村北路7号市直机关第三办公区2号楼一层          </w:t>
      </w: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易思行</w:t>
      </w:r>
      <w:r>
        <w:rPr>
          <w:rFonts w:hint="eastAsia" w:ascii="宋体" w:hAnsi="宋体" w:cs="宋体"/>
          <w:color w:val="auto"/>
          <w:sz w:val="24"/>
          <w:highlight w:val="none"/>
        </w:rPr>
        <w:t xml:space="preserve">             </w:t>
      </w:r>
    </w:p>
    <w:p>
      <w:pPr>
        <w:pageBreakBefore w:val="0"/>
        <w:kinsoku/>
        <w:overflowPunct/>
        <w:topLinePunct w:val="0"/>
        <w:autoSpaceDE/>
        <w:autoSpaceDN/>
        <w:bidi w:val="0"/>
        <w:spacing w:line="400" w:lineRule="exact"/>
        <w:ind w:firstLine="480" w:firstLineChars="200"/>
        <w:textAlignment w:val="auto"/>
        <w:outlineLvl w:val="0"/>
        <w:rPr>
          <w:rFonts w:hint="eastAsia" w:ascii="宋体" w:hAnsi="宋体" w:eastAsia="宋体" w:cs="宋体"/>
          <w:color w:val="auto"/>
          <w:sz w:val="24"/>
          <w:highlight w:val="none"/>
          <w:lang w:eastAsia="zh-CN"/>
        </w:rPr>
      </w:pPr>
      <w:bookmarkStart w:id="39" w:name="_Toc6543"/>
      <w:r>
        <w:rPr>
          <w:rFonts w:hint="eastAsia" w:ascii="宋体" w:hAnsi="宋体" w:cs="宋体"/>
          <w:color w:val="auto"/>
          <w:sz w:val="24"/>
          <w:highlight w:val="none"/>
        </w:rPr>
        <w:t>项目联系方式(询问)：0779-</w:t>
      </w:r>
      <w:bookmarkEnd w:id="39"/>
      <w:r>
        <w:rPr>
          <w:rFonts w:hint="eastAsia" w:ascii="宋体" w:hAnsi="宋体" w:cs="宋体"/>
          <w:color w:val="auto"/>
          <w:sz w:val="24"/>
          <w:highlight w:val="none"/>
          <w:lang w:eastAsia="zh-CN"/>
        </w:rPr>
        <w:t>3960815</w:t>
      </w:r>
    </w:p>
    <w:p>
      <w:pPr>
        <w:pageBreakBefore w:val="0"/>
        <w:kinsoku/>
        <w:overflowPunct/>
        <w:topLinePunct w:val="0"/>
        <w:autoSpaceDE/>
        <w:autoSpaceDN/>
        <w:bidi w:val="0"/>
        <w:spacing w:line="400" w:lineRule="exact"/>
        <w:textAlignment w:val="auto"/>
        <w:rPr>
          <w:rFonts w:ascii="宋体" w:hAnsi="宋体" w:cs="宋体"/>
          <w:color w:val="auto"/>
          <w:sz w:val="24"/>
          <w:highlight w:val="none"/>
        </w:rPr>
      </w:pPr>
    </w:p>
    <w:p>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8"/>
    <w:bookmarkEnd w:id="19"/>
    <w:p>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bookmarkEnd w:id="20"/>
    <w:bookmarkEnd w:id="21"/>
    <w:bookmarkEnd w:id="22"/>
    <w:bookmarkEnd w:id="23"/>
    <w:p>
      <w:pPr>
        <w:spacing w:line="360" w:lineRule="auto"/>
        <w:ind w:firstLine="480" w:firstLineChars="200"/>
        <w:rPr>
          <w:rFonts w:ascii="宋体" w:hAnsi="宋体" w:cs="宋体"/>
          <w:color w:val="auto"/>
          <w:sz w:val="24"/>
          <w:highlight w:val="none"/>
        </w:rPr>
      </w:pPr>
    </w:p>
    <w:p>
      <w:pPr>
        <w:pStyle w:val="32"/>
        <w:spacing w:line="360" w:lineRule="auto"/>
        <w:jc w:val="center"/>
        <w:rPr>
          <w:rFonts w:hAnsi="宋体" w:cs="宋体"/>
          <w:b/>
          <w:color w:val="auto"/>
          <w:sz w:val="36"/>
          <w:szCs w:val="20"/>
          <w:highlight w:val="none"/>
        </w:rPr>
      </w:pPr>
      <w:bookmarkStart w:id="40" w:name="_Toc176185120"/>
      <w:bookmarkStart w:id="41" w:name="_Toc176343849"/>
      <w:r>
        <w:rPr>
          <w:rFonts w:hint="eastAsia" w:hAnsi="宋体" w:cs="宋体"/>
          <w:b/>
          <w:color w:val="auto"/>
          <w:sz w:val="36"/>
          <w:szCs w:val="20"/>
          <w:highlight w:val="none"/>
        </w:rPr>
        <w:t>第二部分</w:t>
      </w:r>
      <w:bookmarkEnd w:id="14"/>
      <w:r>
        <w:rPr>
          <w:rFonts w:hint="eastAsia" w:hAnsi="宋体" w:cs="宋体"/>
          <w:b/>
          <w:color w:val="auto"/>
          <w:sz w:val="36"/>
          <w:szCs w:val="20"/>
          <w:highlight w:val="none"/>
        </w:rPr>
        <w:t xml:space="preserve">  投标人须知</w:t>
      </w:r>
      <w:bookmarkEnd w:id="15"/>
      <w:bookmarkEnd w:id="40"/>
      <w:bookmarkEnd w:id="41"/>
    </w:p>
    <w:p>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color w:val="auto"/>
                <w:highlight w:val="none"/>
              </w:rPr>
            </w:pPr>
            <w:bookmarkStart w:id="42" w:name="OLE_LINK1"/>
            <w:bookmarkStart w:id="43" w:name="OLE_LINK3"/>
            <w:r>
              <w:rPr>
                <w:rFonts w:hint="eastAsia" w:ascii="宋体" w:hAnsi="宋体" w:cs="宋体"/>
                <w:color w:val="auto"/>
                <w:sz w:val="24"/>
                <w:highlight w:val="none"/>
              </w:rPr>
              <w:t>标项一：货物类，核心产品为：</w:t>
            </w:r>
            <w:r>
              <w:rPr>
                <w:rFonts w:hint="eastAsia" w:ascii="宋体" w:hAnsi="宋体" w:eastAsia="宋体" w:cs="宋体"/>
                <w:i w:val="0"/>
                <w:iCs w:val="0"/>
                <w:color w:val="auto"/>
                <w:kern w:val="2"/>
                <w:sz w:val="24"/>
                <w:szCs w:val="24"/>
                <w:highlight w:val="none"/>
                <w:u w:val="single"/>
                <w:lang w:val="en-US" w:eastAsia="zh-CN" w:bidi="ar"/>
              </w:rPr>
              <w:t>学生控制终端</w:t>
            </w:r>
            <w:r>
              <w:rPr>
                <w:rFonts w:hint="eastAsia" w:ascii="宋体" w:hAnsi="宋体" w:cs="宋体"/>
                <w:color w:val="auto"/>
                <w:sz w:val="24"/>
                <w:highlight w:val="none"/>
              </w:rPr>
              <w:t>。</w:t>
            </w:r>
            <w:bookmarkEnd w:id="42"/>
            <w:bookmarkEnd w:id="4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2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标项一：</w:t>
            </w:r>
          </w:p>
          <w:p>
            <w:pPr>
              <w:snapToGrid w:val="0"/>
              <w:spacing w:line="360" w:lineRule="auto"/>
              <w:rPr>
                <w:rFonts w:ascii="宋体" w:hAnsi="宋体" w:eastAsia="宋体" w:cs="宋体"/>
                <w:color w:val="auto"/>
                <w:highlight w:val="none"/>
                <w:lang w:val="en-US"/>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w:t>
            </w:r>
            <w:bookmarkStart w:id="44" w:name="OLE_LINK77"/>
            <w:bookmarkStart w:id="45" w:name="OLE_LINK49"/>
            <w:r>
              <w:rPr>
                <w:rFonts w:hint="eastAsia" w:ascii="宋体" w:hAnsi="宋体" w:cs="宋体"/>
                <w:color w:val="auto"/>
                <w:kern w:val="0"/>
                <w:sz w:val="24"/>
                <w:highlight w:val="none"/>
                <w:u w:val="single"/>
              </w:rPr>
              <w:t>采购需求所列的各项货物</w:t>
            </w:r>
            <w:bookmarkEnd w:id="44"/>
            <w:bookmarkEnd w:id="45"/>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6494193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3361056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88214391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5862548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60804692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1752647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396819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color w:val="auto"/>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投标报价出现下列情形的，投标无效：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投标文件出现不是唯一的、有选择性投标报价的；</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投标报价超过招标文件中规定的预算金额或者最高限价的;</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报价</w:t>
            </w:r>
            <w:r>
              <w:rPr>
                <w:rFonts w:hint="eastAsia" w:ascii="宋体" w:hAnsi="宋体" w:cs="宋体"/>
                <w:color w:val="auto"/>
                <w:kern w:val="0"/>
                <w:sz w:val="24"/>
                <w:highlight w:val="none"/>
                <w:lang w:eastAsia="zh-CN"/>
              </w:rPr>
              <w:t>属于采购文件规定异常低价情况之一，</w:t>
            </w:r>
            <w:r>
              <w:rPr>
                <w:rFonts w:hint="eastAsia" w:ascii="宋体" w:hAnsi="宋体" w:cs="宋体"/>
                <w:color w:val="auto"/>
                <w:kern w:val="0"/>
                <w:sz w:val="24"/>
                <w:highlight w:val="none"/>
              </w:rPr>
              <w:t>未能按要求提供书面说明或者提交相关证明材料证明其报价合理性的</w:t>
            </w:r>
            <w:r>
              <w:rPr>
                <w:rFonts w:hint="eastAsia" w:ascii="宋体" w:hAnsi="宋体" w:cs="宋体"/>
                <w:color w:val="auto"/>
                <w:sz w:val="24"/>
                <w:szCs w:val="21"/>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spacing w:line="360" w:lineRule="auto"/>
              <w:rPr>
                <w:rFonts w:hAnsi="宋体" w:cs="宋体"/>
                <w:color w:val="auto"/>
                <w:kern w:val="28"/>
                <w:sz w:val="24"/>
                <w:highlight w:val="none"/>
              </w:rPr>
            </w:pPr>
            <w:sdt>
              <w:sdtPr>
                <w:rPr>
                  <w:rFonts w:hint="eastAsia" w:ascii="宋体"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接受</w:t>
            </w:r>
            <w:r>
              <w:rPr>
                <w:rFonts w:hint="eastAsia" w:ascii="宋体"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1083126"/>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pPr>
        <w:snapToGrid w:val="0"/>
        <w:spacing w:line="360" w:lineRule="auto"/>
        <w:jc w:val="center"/>
        <w:rPr>
          <w:rFonts w:ascii="宋体" w:hAnsi="宋体" w:cs="宋体"/>
          <w:b/>
          <w:color w:val="auto"/>
          <w:sz w:val="32"/>
          <w:szCs w:val="20"/>
          <w:highlight w:val="none"/>
        </w:rPr>
      </w:pPr>
    </w:p>
    <w:bookmarkEnd w:id="16"/>
    <w:p>
      <w:pPr>
        <w:adjustRightInd/>
        <w:spacing w:line="360" w:lineRule="auto"/>
        <w:ind w:firstLine="3845" w:firstLineChars="1197"/>
        <w:outlineLvl w:val="1"/>
        <w:rPr>
          <w:rFonts w:ascii="宋体" w:hAnsi="宋体" w:cs="宋体"/>
          <w:b/>
          <w:color w:val="auto"/>
          <w:sz w:val="32"/>
          <w:szCs w:val="20"/>
          <w:highlight w:val="none"/>
        </w:rPr>
      </w:pPr>
      <w:bookmarkStart w:id="46" w:name="第三部分"/>
      <w:bookmarkStart w:id="47" w:name="_Toc164416483"/>
    </w:p>
    <w:p>
      <w:pPr>
        <w:pStyle w:val="3"/>
        <w:rPr>
          <w:rFonts w:ascii="宋体" w:hAnsi="宋体" w:cs="宋体"/>
          <w:b/>
          <w:color w:val="auto"/>
          <w:sz w:val="32"/>
          <w:szCs w:val="20"/>
          <w:highlight w:val="none"/>
        </w:rPr>
      </w:pPr>
    </w:p>
    <w:p>
      <w:pPr>
        <w:rPr>
          <w:rFonts w:ascii="宋体" w:hAnsi="宋体" w:cs="宋体"/>
          <w:b/>
          <w:color w:val="auto"/>
          <w:sz w:val="32"/>
          <w:szCs w:val="20"/>
          <w:highlight w:val="none"/>
        </w:rPr>
      </w:pPr>
    </w:p>
    <w:p>
      <w:pPr>
        <w:pStyle w:val="3"/>
        <w:ind w:left="0" w:leftChars="0" w:firstLine="0" w:firstLineChars="0"/>
        <w:rPr>
          <w:rFonts w:ascii="宋体" w:hAnsi="宋体" w:cs="宋体"/>
          <w:b/>
          <w:color w:val="auto"/>
          <w:sz w:val="32"/>
          <w:szCs w:val="20"/>
          <w:highlight w:val="none"/>
        </w:rPr>
      </w:pPr>
    </w:p>
    <w:p>
      <w:pPr>
        <w:rPr>
          <w:rFonts w:ascii="宋体" w:hAnsi="宋体" w:cs="宋体"/>
          <w:b/>
          <w:color w:val="auto"/>
          <w:sz w:val="32"/>
          <w:szCs w:val="20"/>
          <w:highlight w:val="none"/>
        </w:rPr>
      </w:pPr>
    </w:p>
    <w:p>
      <w:pPr>
        <w:pStyle w:val="3"/>
        <w:rPr>
          <w:color w:val="auto"/>
          <w:highlight w:val="none"/>
        </w:rPr>
      </w:pPr>
    </w:p>
    <w:p>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2.定义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w:t>
      </w:r>
      <w:r>
        <w:rPr>
          <w:rFonts w:hint="eastAsia" w:ascii="宋体" w:hAnsi="宋体" w:cs="宋体"/>
          <w:color w:val="auto"/>
          <w:sz w:val="24"/>
          <w:highlight w:val="none"/>
          <w:lang w:eastAsia="zh-CN"/>
        </w:rPr>
        <w:t>投标文件中须提供</w:t>
      </w:r>
      <w:r>
        <w:rPr>
          <w:rFonts w:hint="eastAsia" w:ascii="宋体" w:hAnsi="宋体" w:cs="宋体"/>
          <w:color w:val="auto"/>
          <w:sz w:val="24"/>
          <w:highlight w:val="none"/>
        </w:rPr>
        <w:t>《业务专用章使用说明函》（附件4）。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48"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4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49" w:name="_Hlk101132181"/>
      <w:r>
        <w:rPr>
          <w:rFonts w:hint="eastAsia" w:ascii="宋体" w:hAnsi="宋体" w:cs="宋体"/>
          <w:color w:val="auto"/>
          <w:sz w:val="24"/>
          <w:highlight w:val="none"/>
        </w:rPr>
        <w:t>联合协议或者分包意向协议约定小微企业的合同份额占到合同总金额30%以上的</w:t>
      </w:r>
      <w:bookmarkEnd w:id="49"/>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2"/>
        <w:rPr>
          <w:bCs/>
          <w:color w:val="auto"/>
          <w:highlight w:val="none"/>
        </w:rPr>
      </w:pPr>
      <w:r>
        <w:rPr>
          <w:rFonts w:hint="eastAsia"/>
          <w:color w:val="auto"/>
          <w:highlight w:val="none"/>
        </w:rPr>
        <w:t>3.6平等对待符合条件的破产重整企业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pPr>
        <w:spacing w:line="360" w:lineRule="auto"/>
        <w:ind w:firstLine="482" w:firstLineChars="200"/>
        <w:rPr>
          <w:rFonts w:asciiTheme="minorEastAsia" w:hAnsiTheme="minorEastAsia" w:eastAsiaTheme="minorEastAsia"/>
          <w:b/>
          <w:color w:val="auto"/>
          <w:highlight w:val="none"/>
        </w:rPr>
      </w:pPr>
      <w:r>
        <w:rPr>
          <w:rFonts w:hint="eastAsia" w:ascii="宋体" w:hAnsi="宋体"/>
          <w:b/>
          <w:color w:val="auto"/>
          <w:sz w:val="24"/>
          <w:highlight w:val="none"/>
        </w:rPr>
        <w:t>4. 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4.1在线询问、质疑、投诉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82"/>
        <w:rPr>
          <w:color w:val="auto"/>
          <w:highlight w:val="none"/>
        </w:rPr>
      </w:pPr>
      <w:r>
        <w:rPr>
          <w:rFonts w:hint="eastAsia"/>
          <w:color w:val="auto"/>
          <w:highlight w:val="none"/>
        </w:rPr>
        <w:t>询问联系部门：北海市政府采购中心采购一科  联系电话：0779-</w:t>
      </w:r>
      <w:r>
        <w:rPr>
          <w:rFonts w:hint="eastAsia"/>
          <w:color w:val="auto"/>
          <w:highlight w:val="none"/>
          <w:lang w:eastAsia="zh-CN"/>
        </w:rPr>
        <w:t>3960815</w:t>
      </w:r>
      <w:r>
        <w:rPr>
          <w:rFonts w:hint="eastAsia"/>
          <w:color w:val="auto"/>
          <w:highlight w:val="none"/>
        </w:rPr>
        <w:t xml:space="preserve">  地址：北海市海城区陈文村北路7号市直机关第三办公区</w:t>
      </w:r>
    </w:p>
    <w:p>
      <w:pPr>
        <w:pStyle w:val="82"/>
        <w:rPr>
          <w:color w:val="auto"/>
          <w:highlight w:val="none"/>
        </w:rPr>
      </w:pPr>
      <w:r>
        <w:rPr>
          <w:rFonts w:hint="eastAsia"/>
          <w:color w:val="auto"/>
          <w:highlight w:val="none"/>
        </w:rPr>
        <w:t>质疑联系部门：北海市政府采购中心监督科  联系电话：</w:t>
      </w:r>
      <w:r>
        <w:rPr>
          <w:color w:val="auto"/>
          <w:highlight w:val="none"/>
        </w:rPr>
        <w:t>0779-3960826</w:t>
      </w:r>
      <w:r>
        <w:rPr>
          <w:rFonts w:hint="eastAsia"/>
          <w:color w:val="auto"/>
          <w:highlight w:val="none"/>
        </w:rPr>
        <w:t xml:space="preserve">  地址：北海市海城区陈文村北路7号市直机关第三办公区</w:t>
      </w:r>
    </w:p>
    <w:p>
      <w:pPr>
        <w:pStyle w:val="82"/>
        <w:rPr>
          <w:rFonts w:hint="eastAsia" w:eastAsia="宋体"/>
          <w:color w:val="auto"/>
          <w:highlight w:val="none"/>
          <w:lang w:eastAsia="zh-CN"/>
        </w:rPr>
      </w:pPr>
      <w:r>
        <w:rPr>
          <w:rFonts w:hint="eastAsia"/>
          <w:color w:val="auto"/>
          <w:highlight w:val="none"/>
        </w:rPr>
        <w:t>投诉联系部门：合浦县财政局，联系电话：0779-7213187，地址：广西北海市合浦县廉州镇明园南路50号</w:t>
      </w:r>
      <w:r>
        <w:rPr>
          <w:rFonts w:hint="eastAsia"/>
          <w:color w:val="auto"/>
          <w:highlight w:val="none"/>
          <w:lang w:eastAsia="zh-CN"/>
        </w:rPr>
        <w:t>。</w:t>
      </w:r>
    </w:p>
    <w:p>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4.2供应商询问</w:t>
      </w:r>
    </w:p>
    <w:p>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采购人或代理机构应当协助质疑答复责任主体及时答复</w:t>
      </w:r>
      <w:r>
        <w:rPr>
          <w:rFonts w:hint="eastAsia"/>
          <w:color w:val="auto"/>
          <w:highlight w:val="none"/>
        </w:rPr>
        <w:t>供应商的书面质疑。</w:t>
      </w:r>
    </w:p>
    <w:p>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pPr>
        <w:pStyle w:val="886"/>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 以联合体形式参加政府采购活动的，其投诉应当由组成联合体的所有供应商共同提出。</w:t>
      </w:r>
    </w:p>
    <w:p>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2"/>
        <w:spacing w:line="360" w:lineRule="auto"/>
        <w:rPr>
          <w:rFonts w:hAnsi="宋体" w:cs="宋体"/>
          <w:b/>
          <w:color w:val="auto"/>
          <w:kern w:val="28"/>
          <w:sz w:val="24"/>
          <w:szCs w:val="24"/>
          <w:highlight w:val="none"/>
        </w:rPr>
      </w:pPr>
      <w:r>
        <w:rPr>
          <w:rFonts w:hint="eastAsia" w:hAnsi="宋体" w:cs="宋体"/>
          <w:b/>
          <w:color w:val="auto"/>
          <w:kern w:val="28"/>
          <w:sz w:val="24"/>
          <w:szCs w:val="24"/>
          <w:highlight w:val="none"/>
        </w:rPr>
        <w:t>9.投标保证金</w:t>
      </w:r>
    </w:p>
    <w:p>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本项目不收取投标保证金。</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pPr>
        <w:snapToGrid w:val="0"/>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11.1.1符合参加政府采购活动应当具备的一般条件的承诺函；</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50" w:name="_Hlk101259339"/>
      <w:r>
        <w:rPr>
          <w:rFonts w:hint="eastAsia" w:ascii="宋体" w:hAnsi="宋体" w:cs="宋体"/>
          <w:snapToGrid w:val="0"/>
          <w:color w:val="auto"/>
          <w:kern w:val="28"/>
          <w:sz w:val="24"/>
          <w:szCs w:val="20"/>
          <w:highlight w:val="none"/>
        </w:rPr>
        <w:t>联合协议</w:t>
      </w:r>
      <w:bookmarkEnd w:id="50"/>
      <w:r>
        <w:rPr>
          <w:rFonts w:hint="eastAsia" w:ascii="宋体" w:hAnsi="宋体" w:cs="宋体"/>
          <w:snapToGrid w:val="0"/>
          <w:color w:val="auto"/>
          <w:kern w:val="28"/>
          <w:sz w:val="24"/>
          <w:szCs w:val="20"/>
          <w:highlight w:val="none"/>
        </w:rPr>
        <w:t>（如果有)；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2"/>
        <w:rPr>
          <w:color w:val="auto"/>
          <w:highlight w:val="none"/>
        </w:rPr>
      </w:pPr>
      <w:r>
        <w:rPr>
          <w:rFonts w:hint="eastAsia" w:cs="宋体"/>
          <w:b/>
          <w:color w:val="auto"/>
          <w:szCs w:val="24"/>
          <w:highlight w:val="none"/>
        </w:rPr>
        <w:t>▲</w:t>
      </w:r>
      <w:r>
        <w:rPr>
          <w:rFonts w:hint="eastAsia"/>
          <w:color w:val="auto"/>
          <w:highlight w:val="none"/>
        </w:rPr>
        <w:t>11.2.9承诺函；</w:t>
      </w:r>
    </w:p>
    <w:p>
      <w:pPr>
        <w:pStyle w:val="82"/>
        <w:rPr>
          <w:color w:val="auto"/>
          <w:highlight w:val="none"/>
        </w:rPr>
      </w:pPr>
      <w:r>
        <w:rPr>
          <w:rFonts w:hint="eastAsia"/>
          <w:color w:val="auto"/>
          <w:highlight w:val="none"/>
        </w:rPr>
        <w:t>11.2.10技术解决方案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pPr>
        <w:pStyle w:val="82"/>
        <w:rPr>
          <w:color w:val="auto"/>
          <w:highlight w:val="none"/>
        </w:rPr>
      </w:pPr>
      <w:r>
        <w:rPr>
          <w:rFonts w:hint="eastAsia"/>
          <w:color w:val="auto"/>
          <w:highlight w:val="none"/>
        </w:rPr>
        <w:t>11.2.11组织实施方案</w:t>
      </w:r>
      <w:r>
        <w:rPr>
          <w:rFonts w:hint="eastAsia" w:cs="宋体"/>
          <w:snapToGrid w:val="0"/>
          <w:color w:val="auto"/>
          <w:kern w:val="28"/>
          <w:highlight w:val="none"/>
        </w:rPr>
        <w:t>（如果有)</w:t>
      </w:r>
      <w:r>
        <w:rPr>
          <w:rFonts w:hint="eastAsia"/>
          <w:color w:val="auto"/>
          <w:highlight w:val="none"/>
        </w:rPr>
        <w:t>。可以是本项目详细工作实施组织方案，包括(但不限于)以下内容：组织机构、工作时间进度表、工作程序和步骤、管理和协调方法、关键步骤的思路和要点；</w:t>
      </w:r>
    </w:p>
    <w:p>
      <w:pPr>
        <w:pStyle w:val="82"/>
        <w:rPr>
          <w:color w:val="auto"/>
          <w:highlight w:val="none"/>
        </w:rPr>
      </w:pPr>
      <w:bookmarkStart w:id="51" w:name="OLE_LINK216"/>
      <w:bookmarkStart w:id="52" w:name="OLE_LINK213"/>
      <w:bookmarkStart w:id="53" w:name="OLE_LINK221"/>
      <w:r>
        <w:rPr>
          <w:rFonts w:hint="eastAsia" w:cs="宋体"/>
          <w:b/>
          <w:color w:val="auto"/>
          <w:szCs w:val="24"/>
          <w:highlight w:val="none"/>
        </w:rPr>
        <w:t>▲</w:t>
      </w:r>
      <w:bookmarkEnd w:id="51"/>
      <w:bookmarkEnd w:id="52"/>
      <w:bookmarkEnd w:id="53"/>
      <w:r>
        <w:rPr>
          <w:rFonts w:hint="eastAsia"/>
          <w:color w:val="auto"/>
          <w:highlight w:val="none"/>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11.3.2中小企业声明函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pPr>
        <w:pStyle w:val="12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128"/>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pPr>
        <w:pStyle w:val="128"/>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15.2备份投标文件须在“广西政府采购云平台投标客户端”制作生成，并储存在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4"/>
        <w:spacing w:line="360" w:lineRule="auto"/>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28"/>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28"/>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pPr>
        <w:pStyle w:val="128"/>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pPr>
        <w:pStyle w:val="554"/>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554"/>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pPr>
        <w:pStyle w:val="554"/>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pPr>
        <w:pStyle w:val="554"/>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highlight w:val="none"/>
        </w:rPr>
        <w:t>采购人或采购代理机构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28"/>
        <w:spacing w:before="0"/>
        <w:ind w:firstLine="0" w:firstLineChars="0"/>
        <w:rPr>
          <w:rFonts w:ascii="宋体" w:hAnsi="宋体" w:cs="宋体"/>
          <w:color w:val="auto"/>
          <w:kern w:val="0"/>
          <w:szCs w:val="24"/>
          <w:highlight w:val="none"/>
        </w:rPr>
      </w:pPr>
    </w:p>
    <w:p>
      <w:pPr>
        <w:snapToGrid w:val="0"/>
        <w:spacing w:line="360" w:lineRule="auto"/>
        <w:jc w:val="center"/>
        <w:outlineLvl w:val="1"/>
        <w:rPr>
          <w:rFonts w:ascii="宋体" w:hAnsi="宋体" w:cs="宋体"/>
          <w:b/>
          <w:color w:val="auto"/>
          <w:sz w:val="36"/>
          <w:szCs w:val="36"/>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pPr>
        <w:spacing w:line="360" w:lineRule="auto"/>
        <w:rPr>
          <w:rFonts w:ascii="宋体" w:hAnsi="宋体" w:cs="宋体"/>
          <w:b/>
          <w:color w:val="auto"/>
          <w:sz w:val="24"/>
          <w:highlight w:val="none"/>
        </w:rPr>
      </w:pPr>
      <w:bookmarkStart w:id="54" w:name="_Toc91899903"/>
      <w:r>
        <w:rPr>
          <w:rFonts w:hint="eastAsia" w:ascii="宋体" w:hAnsi="宋体" w:cs="宋体"/>
          <w:b/>
          <w:color w:val="auto"/>
          <w:sz w:val="24"/>
          <w:highlight w:val="none"/>
        </w:rPr>
        <w:t>21.评标</w:t>
      </w:r>
    </w:p>
    <w:p>
      <w:pPr>
        <w:pStyle w:val="82"/>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pStyle w:val="82"/>
        <w:rPr>
          <w:rFonts w:cs="宋体"/>
          <w:b/>
          <w:color w:val="auto"/>
          <w:highlight w:val="none"/>
        </w:rPr>
      </w:pPr>
      <w:r>
        <w:rPr>
          <w:rFonts w:hint="eastAsia" w:cs="宋体"/>
          <w:b/>
          <w:color w:val="auto"/>
          <w:highlight w:val="none"/>
        </w:rPr>
        <w:t>21.2</w:t>
      </w:r>
      <w:r>
        <w:rPr>
          <w:rFonts w:hint="eastAsia" w:cs="宋体"/>
          <w:color w:val="auto"/>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color w:val="auto"/>
          <w:highlight w:val="none"/>
        </w:rPr>
        <w:t>详见招标文件第四部分评标办法。</w:t>
      </w:r>
    </w:p>
    <w:p>
      <w:pPr>
        <w:spacing w:line="360" w:lineRule="auto"/>
        <w:rPr>
          <w:rFonts w:ascii="宋体" w:hAnsi="宋体" w:cs="宋体"/>
          <w:b/>
          <w:color w:val="auto"/>
          <w:sz w:val="24"/>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pPr>
        <w:pStyle w:val="128"/>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pPr>
        <w:pStyle w:val="12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pPr>
        <w:pStyle w:val="24"/>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pPr>
        <w:pStyle w:val="24"/>
        <w:spacing w:line="360" w:lineRule="auto"/>
        <w:ind w:left="479" w:hanging="479" w:hangingChars="199"/>
        <w:rPr>
          <w:rFonts w:cs="宋体"/>
          <w:b/>
          <w:color w:val="auto"/>
          <w:highlight w:val="none"/>
        </w:rPr>
      </w:pPr>
      <w:r>
        <w:rPr>
          <w:rFonts w:hint="eastAsia" w:cs="宋体"/>
          <w:b/>
          <w:color w:val="auto"/>
          <w:highlight w:val="none"/>
        </w:rPr>
        <w:t>25. 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28"/>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pPr>
        <w:pStyle w:val="82"/>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6"/>
          <w:rFonts w:ascii="宋体" w:hAnsi="宋体" w:eastAsia="宋体" w:cs="Times New Roman"/>
          <w:snapToGrid/>
          <w:color w:val="auto"/>
          <w:sz w:val="24"/>
          <w:szCs w:val="20"/>
          <w:highlight w:val="none"/>
        </w:rPr>
        <w:t>https://jinrong.gcy.zfcg.gxzf.gov.cn/finance/loan/gx</w:t>
      </w:r>
      <w:r>
        <w:rPr>
          <w:rStyle w:val="76"/>
          <w:rFonts w:ascii="宋体" w:hAnsi="宋体" w:eastAsia="宋体" w:cs="Times New Roman"/>
          <w:snapToGrid/>
          <w:color w:val="auto"/>
          <w:sz w:val="24"/>
          <w:szCs w:val="20"/>
          <w:highlight w:val="none"/>
        </w:rPr>
        <w:fldChar w:fldCharType="end"/>
      </w:r>
      <w:r>
        <w:rPr>
          <w:rFonts w:hint="eastAsia"/>
          <w:color w:val="auto"/>
          <w:highlight w:val="none"/>
        </w:rPr>
        <w:t>）</w:t>
      </w:r>
    </w:p>
    <w:p>
      <w:pPr>
        <w:pStyle w:val="82"/>
        <w:rPr>
          <w:color w:val="auto"/>
          <w:highlight w:val="none"/>
        </w:rPr>
      </w:pPr>
      <w:r>
        <w:rPr>
          <w:rFonts w:hint="eastAsia"/>
          <w:color w:val="auto"/>
          <w:highlight w:val="none"/>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银行名称</w:t>
            </w:r>
          </w:p>
        </w:tc>
        <w:tc>
          <w:tcPr>
            <w:tcW w:w="1134" w:type="dxa"/>
            <w:vAlign w:val="center"/>
          </w:tcPr>
          <w:p>
            <w:pPr>
              <w:pStyle w:val="82"/>
              <w:ind w:firstLine="0"/>
              <w:jc w:val="center"/>
              <w:rPr>
                <w:color w:val="auto"/>
                <w:highlight w:val="none"/>
              </w:rPr>
            </w:pPr>
            <w:r>
              <w:rPr>
                <w:rFonts w:hint="eastAsia"/>
                <w:color w:val="auto"/>
                <w:highlight w:val="none"/>
              </w:rPr>
              <w:t>联系电话</w:t>
            </w:r>
          </w:p>
        </w:tc>
        <w:tc>
          <w:tcPr>
            <w:tcW w:w="1701" w:type="dxa"/>
            <w:vAlign w:val="center"/>
          </w:tcPr>
          <w:p>
            <w:pPr>
              <w:pStyle w:val="82"/>
              <w:ind w:firstLine="0"/>
              <w:jc w:val="center"/>
              <w:rPr>
                <w:color w:val="auto"/>
                <w:highlight w:val="none"/>
              </w:rPr>
            </w:pPr>
            <w:r>
              <w:rPr>
                <w:rFonts w:hint="eastAsia"/>
                <w:color w:val="auto"/>
                <w:highlight w:val="none"/>
              </w:rPr>
              <w:t>最高授信金额</w:t>
            </w:r>
          </w:p>
        </w:tc>
        <w:tc>
          <w:tcPr>
            <w:tcW w:w="993" w:type="dxa"/>
            <w:vAlign w:val="center"/>
          </w:tcPr>
          <w:p>
            <w:pPr>
              <w:pStyle w:val="82"/>
              <w:ind w:firstLine="0"/>
              <w:jc w:val="center"/>
              <w:rPr>
                <w:color w:val="auto"/>
                <w:highlight w:val="none"/>
              </w:rPr>
            </w:pPr>
            <w:r>
              <w:rPr>
                <w:rFonts w:hint="eastAsia"/>
                <w:color w:val="auto"/>
                <w:highlight w:val="none"/>
              </w:rPr>
              <w:t>最长授信期限</w:t>
            </w:r>
          </w:p>
        </w:tc>
        <w:tc>
          <w:tcPr>
            <w:tcW w:w="850" w:type="dxa"/>
            <w:vAlign w:val="center"/>
          </w:tcPr>
          <w:p>
            <w:pPr>
              <w:pStyle w:val="82"/>
              <w:ind w:firstLine="0"/>
              <w:jc w:val="center"/>
              <w:rPr>
                <w:color w:val="auto"/>
                <w:highlight w:val="none"/>
              </w:rPr>
            </w:pPr>
            <w:r>
              <w:rPr>
                <w:rFonts w:hint="eastAsia"/>
                <w:color w:val="auto"/>
                <w:highlight w:val="none"/>
              </w:rPr>
              <w:t>最低利率</w:t>
            </w:r>
          </w:p>
        </w:tc>
        <w:tc>
          <w:tcPr>
            <w:tcW w:w="3366" w:type="dxa"/>
            <w:vAlign w:val="center"/>
          </w:tcPr>
          <w:p>
            <w:pPr>
              <w:pStyle w:val="82"/>
              <w:ind w:firstLine="0"/>
              <w:jc w:val="center"/>
              <w:rPr>
                <w:color w:val="auto"/>
                <w:highlight w:val="none"/>
              </w:rPr>
            </w:pPr>
            <w:r>
              <w:rPr>
                <w:rFonts w:hint="eastAsia"/>
                <w:color w:val="auto"/>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建设银行</w:t>
            </w:r>
          </w:p>
        </w:tc>
        <w:tc>
          <w:tcPr>
            <w:tcW w:w="1134" w:type="dxa"/>
            <w:vAlign w:val="center"/>
          </w:tcPr>
          <w:p>
            <w:pPr>
              <w:pStyle w:val="82"/>
              <w:ind w:firstLine="0"/>
              <w:jc w:val="center"/>
              <w:rPr>
                <w:color w:val="auto"/>
                <w:highlight w:val="none"/>
              </w:rPr>
            </w:pPr>
            <w:r>
              <w:rPr>
                <w:rFonts w:hint="eastAsia"/>
                <w:color w:val="auto"/>
                <w:highlight w:val="none"/>
              </w:rPr>
              <w:t>13077729988</w:t>
            </w:r>
          </w:p>
        </w:tc>
        <w:tc>
          <w:tcPr>
            <w:tcW w:w="1701" w:type="dxa"/>
            <w:vAlign w:val="center"/>
          </w:tcPr>
          <w:p>
            <w:pPr>
              <w:pStyle w:val="82"/>
              <w:ind w:firstLine="0"/>
              <w:rPr>
                <w:color w:val="auto"/>
                <w:highlight w:val="none"/>
              </w:rPr>
            </w:pPr>
            <w:r>
              <w:rPr>
                <w:rFonts w:hint="eastAsia"/>
                <w:color w:val="auto"/>
                <w:highlight w:val="none"/>
              </w:rPr>
              <w:t>最高3千万</w:t>
            </w:r>
          </w:p>
        </w:tc>
        <w:tc>
          <w:tcPr>
            <w:tcW w:w="993" w:type="dxa"/>
            <w:vAlign w:val="center"/>
          </w:tcPr>
          <w:p>
            <w:pPr>
              <w:pStyle w:val="82"/>
              <w:ind w:firstLine="0"/>
              <w:jc w:val="center"/>
              <w:rPr>
                <w:color w:val="auto"/>
                <w:highlight w:val="none"/>
              </w:rPr>
            </w:pPr>
            <w:r>
              <w:rPr>
                <w:rFonts w:hint="eastAsia"/>
                <w:color w:val="auto"/>
                <w:highlight w:val="none"/>
              </w:rPr>
              <w:t>1年</w:t>
            </w:r>
          </w:p>
        </w:tc>
        <w:tc>
          <w:tcPr>
            <w:tcW w:w="850" w:type="dxa"/>
            <w:vAlign w:val="center"/>
          </w:tcPr>
          <w:p>
            <w:pPr>
              <w:pStyle w:val="82"/>
              <w:ind w:firstLine="0"/>
              <w:jc w:val="center"/>
              <w:rPr>
                <w:color w:val="auto"/>
                <w:highlight w:val="none"/>
              </w:rPr>
            </w:pPr>
            <w:r>
              <w:rPr>
                <w:rFonts w:hint="eastAsia"/>
                <w:color w:val="auto"/>
                <w:highlight w:val="none"/>
              </w:rPr>
              <w:t>4%</w:t>
            </w:r>
          </w:p>
        </w:tc>
        <w:tc>
          <w:tcPr>
            <w:tcW w:w="3366" w:type="dxa"/>
            <w:vAlign w:val="center"/>
          </w:tcPr>
          <w:p>
            <w:pPr>
              <w:pStyle w:val="82"/>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中国银行</w:t>
            </w:r>
          </w:p>
        </w:tc>
        <w:tc>
          <w:tcPr>
            <w:tcW w:w="1134" w:type="dxa"/>
            <w:vAlign w:val="center"/>
          </w:tcPr>
          <w:p>
            <w:pPr>
              <w:pStyle w:val="82"/>
              <w:ind w:firstLine="0"/>
              <w:jc w:val="center"/>
              <w:rPr>
                <w:color w:val="auto"/>
                <w:highlight w:val="none"/>
              </w:rPr>
            </w:pPr>
            <w:r>
              <w:rPr>
                <w:rFonts w:hint="eastAsia"/>
                <w:color w:val="auto"/>
                <w:highlight w:val="none"/>
              </w:rPr>
              <w:t>0779-3997084</w:t>
            </w:r>
          </w:p>
        </w:tc>
        <w:tc>
          <w:tcPr>
            <w:tcW w:w="1701" w:type="dxa"/>
            <w:vAlign w:val="center"/>
          </w:tcPr>
          <w:p>
            <w:pPr>
              <w:pStyle w:val="82"/>
              <w:ind w:firstLine="0"/>
              <w:rPr>
                <w:color w:val="auto"/>
                <w:highlight w:val="none"/>
              </w:rPr>
            </w:pPr>
            <w:r>
              <w:rPr>
                <w:rFonts w:hint="eastAsia"/>
                <w:color w:val="auto"/>
                <w:highlight w:val="none"/>
              </w:rPr>
              <w:t>最高1千万</w:t>
            </w:r>
          </w:p>
        </w:tc>
        <w:tc>
          <w:tcPr>
            <w:tcW w:w="993" w:type="dxa"/>
            <w:vAlign w:val="center"/>
          </w:tcPr>
          <w:p>
            <w:pPr>
              <w:pStyle w:val="82"/>
              <w:ind w:firstLine="0"/>
              <w:jc w:val="center"/>
              <w:rPr>
                <w:color w:val="auto"/>
                <w:highlight w:val="none"/>
              </w:rPr>
            </w:pPr>
            <w:r>
              <w:rPr>
                <w:rFonts w:hint="eastAsia"/>
                <w:color w:val="auto"/>
                <w:highlight w:val="none"/>
              </w:rPr>
              <w:t>3年</w:t>
            </w:r>
          </w:p>
        </w:tc>
        <w:tc>
          <w:tcPr>
            <w:tcW w:w="850" w:type="dxa"/>
            <w:vAlign w:val="center"/>
          </w:tcPr>
          <w:p>
            <w:pPr>
              <w:pStyle w:val="82"/>
              <w:ind w:firstLine="0"/>
              <w:jc w:val="center"/>
              <w:rPr>
                <w:color w:val="auto"/>
                <w:highlight w:val="none"/>
              </w:rPr>
            </w:pPr>
            <w:r>
              <w:rPr>
                <w:rFonts w:hint="eastAsia"/>
                <w:color w:val="auto"/>
                <w:highlight w:val="none"/>
              </w:rPr>
              <w:t>1.93%</w:t>
            </w:r>
          </w:p>
        </w:tc>
        <w:tc>
          <w:tcPr>
            <w:tcW w:w="3366" w:type="dxa"/>
            <w:vAlign w:val="center"/>
          </w:tcPr>
          <w:p>
            <w:pPr>
              <w:pStyle w:val="82"/>
              <w:ind w:firstLine="0"/>
              <w:rPr>
                <w:color w:val="auto"/>
                <w:highlight w:val="none"/>
              </w:rPr>
            </w:pPr>
            <w:r>
              <w:rPr>
                <w:rFonts w:hint="eastAsia"/>
                <w:color w:val="auto"/>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兴业银行</w:t>
            </w:r>
          </w:p>
        </w:tc>
        <w:tc>
          <w:tcPr>
            <w:tcW w:w="1134" w:type="dxa"/>
            <w:vAlign w:val="center"/>
          </w:tcPr>
          <w:p>
            <w:pPr>
              <w:pStyle w:val="82"/>
              <w:ind w:firstLine="0"/>
              <w:jc w:val="center"/>
              <w:rPr>
                <w:color w:val="auto"/>
                <w:highlight w:val="none"/>
              </w:rPr>
            </w:pPr>
            <w:r>
              <w:rPr>
                <w:rFonts w:hint="eastAsia"/>
                <w:color w:val="auto"/>
                <w:highlight w:val="none"/>
              </w:rPr>
              <w:t>0779-3158330</w:t>
            </w:r>
          </w:p>
        </w:tc>
        <w:tc>
          <w:tcPr>
            <w:tcW w:w="1701" w:type="dxa"/>
            <w:vAlign w:val="center"/>
          </w:tcPr>
          <w:p>
            <w:pPr>
              <w:pStyle w:val="82"/>
              <w:ind w:firstLine="0"/>
              <w:rPr>
                <w:color w:val="auto"/>
                <w:highlight w:val="none"/>
              </w:rPr>
            </w:pPr>
            <w:r>
              <w:rPr>
                <w:rFonts w:hint="eastAsia"/>
                <w:color w:val="auto"/>
                <w:highlight w:val="none"/>
              </w:rPr>
              <w:t>最高1千万（单笔提款金额达合同金额70%）</w:t>
            </w:r>
          </w:p>
        </w:tc>
        <w:tc>
          <w:tcPr>
            <w:tcW w:w="993" w:type="dxa"/>
            <w:vAlign w:val="center"/>
          </w:tcPr>
          <w:p>
            <w:pPr>
              <w:pStyle w:val="82"/>
              <w:ind w:firstLine="0"/>
              <w:jc w:val="center"/>
              <w:rPr>
                <w:color w:val="auto"/>
                <w:highlight w:val="none"/>
              </w:rPr>
            </w:pPr>
            <w:r>
              <w:rPr>
                <w:rFonts w:hint="eastAsia"/>
                <w:color w:val="auto"/>
                <w:highlight w:val="none"/>
              </w:rPr>
              <w:t>1年</w:t>
            </w:r>
          </w:p>
        </w:tc>
        <w:tc>
          <w:tcPr>
            <w:tcW w:w="850" w:type="dxa"/>
            <w:vAlign w:val="center"/>
          </w:tcPr>
          <w:p>
            <w:pPr>
              <w:pStyle w:val="82"/>
              <w:ind w:firstLine="0"/>
              <w:jc w:val="center"/>
              <w:rPr>
                <w:color w:val="auto"/>
                <w:highlight w:val="none"/>
              </w:rPr>
            </w:pPr>
            <w:r>
              <w:rPr>
                <w:rFonts w:hint="eastAsia"/>
                <w:color w:val="auto"/>
                <w:highlight w:val="none"/>
              </w:rPr>
              <w:t>3.70%</w:t>
            </w:r>
          </w:p>
        </w:tc>
        <w:tc>
          <w:tcPr>
            <w:tcW w:w="3366" w:type="dxa"/>
            <w:vAlign w:val="center"/>
          </w:tcPr>
          <w:p>
            <w:pPr>
              <w:pStyle w:val="82"/>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工商银行</w:t>
            </w:r>
          </w:p>
        </w:tc>
        <w:tc>
          <w:tcPr>
            <w:tcW w:w="1134" w:type="dxa"/>
            <w:vAlign w:val="center"/>
          </w:tcPr>
          <w:p>
            <w:pPr>
              <w:pStyle w:val="82"/>
              <w:ind w:firstLine="0"/>
              <w:jc w:val="center"/>
              <w:rPr>
                <w:color w:val="auto"/>
                <w:highlight w:val="none"/>
              </w:rPr>
            </w:pPr>
            <w:r>
              <w:rPr>
                <w:rFonts w:hint="eastAsia"/>
                <w:color w:val="auto"/>
                <w:highlight w:val="none"/>
              </w:rPr>
              <w:t>0779-3050645</w:t>
            </w:r>
          </w:p>
        </w:tc>
        <w:tc>
          <w:tcPr>
            <w:tcW w:w="1701" w:type="dxa"/>
            <w:vAlign w:val="center"/>
          </w:tcPr>
          <w:p>
            <w:pPr>
              <w:pStyle w:val="82"/>
              <w:ind w:firstLine="0"/>
              <w:rPr>
                <w:color w:val="auto"/>
                <w:highlight w:val="none"/>
              </w:rPr>
            </w:pPr>
            <w:r>
              <w:rPr>
                <w:rFonts w:hint="eastAsia"/>
                <w:color w:val="auto"/>
                <w:highlight w:val="none"/>
              </w:rPr>
              <w:t>最高1千万且不超过合同金额70%</w:t>
            </w:r>
          </w:p>
        </w:tc>
        <w:tc>
          <w:tcPr>
            <w:tcW w:w="993" w:type="dxa"/>
            <w:vAlign w:val="center"/>
          </w:tcPr>
          <w:p>
            <w:pPr>
              <w:pStyle w:val="82"/>
              <w:ind w:firstLine="0"/>
              <w:jc w:val="center"/>
              <w:rPr>
                <w:color w:val="auto"/>
                <w:highlight w:val="none"/>
              </w:rPr>
            </w:pPr>
            <w:r>
              <w:rPr>
                <w:rFonts w:hint="eastAsia"/>
                <w:color w:val="auto"/>
                <w:highlight w:val="none"/>
              </w:rPr>
              <w:t>货物类1年</w:t>
            </w:r>
          </w:p>
          <w:p>
            <w:pPr>
              <w:pStyle w:val="82"/>
              <w:ind w:firstLine="0"/>
              <w:jc w:val="center"/>
              <w:rPr>
                <w:color w:val="auto"/>
                <w:highlight w:val="none"/>
              </w:rPr>
            </w:pPr>
            <w:r>
              <w:rPr>
                <w:rFonts w:hint="eastAsia"/>
                <w:color w:val="auto"/>
                <w:highlight w:val="none"/>
              </w:rPr>
              <w:t>服务类3年</w:t>
            </w:r>
          </w:p>
          <w:p>
            <w:pPr>
              <w:pStyle w:val="82"/>
              <w:ind w:firstLine="0"/>
              <w:jc w:val="center"/>
              <w:rPr>
                <w:color w:val="auto"/>
                <w:highlight w:val="none"/>
              </w:rPr>
            </w:pPr>
            <w:r>
              <w:rPr>
                <w:rFonts w:hint="eastAsia"/>
                <w:color w:val="auto"/>
                <w:highlight w:val="none"/>
              </w:rPr>
              <w:t>工程类5年</w:t>
            </w:r>
          </w:p>
        </w:tc>
        <w:tc>
          <w:tcPr>
            <w:tcW w:w="850" w:type="dxa"/>
            <w:vAlign w:val="center"/>
          </w:tcPr>
          <w:p>
            <w:pPr>
              <w:pStyle w:val="82"/>
              <w:ind w:firstLine="0"/>
              <w:jc w:val="center"/>
              <w:rPr>
                <w:color w:val="auto"/>
                <w:highlight w:val="none"/>
              </w:rPr>
            </w:pPr>
            <w:r>
              <w:rPr>
                <w:rFonts w:hint="eastAsia"/>
                <w:color w:val="auto"/>
                <w:highlight w:val="none"/>
              </w:rPr>
              <w:t>3.45%</w:t>
            </w:r>
          </w:p>
        </w:tc>
        <w:tc>
          <w:tcPr>
            <w:tcW w:w="3366" w:type="dxa"/>
            <w:vAlign w:val="center"/>
          </w:tcPr>
          <w:p>
            <w:pPr>
              <w:pStyle w:val="82"/>
              <w:ind w:firstLine="0"/>
              <w:rPr>
                <w:color w:val="auto"/>
                <w:highlight w:val="none"/>
              </w:rPr>
            </w:pPr>
            <w:r>
              <w:rPr>
                <w:rFonts w:hint="eastAsia"/>
                <w:color w:val="auto"/>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国民村镇银行</w:t>
            </w:r>
          </w:p>
        </w:tc>
        <w:tc>
          <w:tcPr>
            <w:tcW w:w="1134" w:type="dxa"/>
            <w:vAlign w:val="center"/>
          </w:tcPr>
          <w:p>
            <w:pPr>
              <w:pStyle w:val="82"/>
              <w:ind w:firstLine="0"/>
              <w:jc w:val="center"/>
              <w:rPr>
                <w:color w:val="auto"/>
                <w:highlight w:val="none"/>
              </w:rPr>
            </w:pPr>
            <w:r>
              <w:rPr>
                <w:rFonts w:hint="eastAsia"/>
                <w:color w:val="auto"/>
                <w:highlight w:val="none"/>
              </w:rPr>
              <w:t>0779-2668801</w:t>
            </w:r>
          </w:p>
        </w:tc>
        <w:tc>
          <w:tcPr>
            <w:tcW w:w="1701" w:type="dxa"/>
            <w:vAlign w:val="center"/>
          </w:tcPr>
          <w:p>
            <w:pPr>
              <w:pStyle w:val="82"/>
              <w:ind w:firstLine="0"/>
              <w:rPr>
                <w:color w:val="auto"/>
                <w:highlight w:val="none"/>
              </w:rPr>
            </w:pPr>
            <w:r>
              <w:rPr>
                <w:rFonts w:hint="eastAsia"/>
                <w:color w:val="auto"/>
                <w:highlight w:val="none"/>
              </w:rPr>
              <w:t>最高500万</w:t>
            </w:r>
          </w:p>
        </w:tc>
        <w:tc>
          <w:tcPr>
            <w:tcW w:w="993" w:type="dxa"/>
            <w:vAlign w:val="center"/>
          </w:tcPr>
          <w:p>
            <w:pPr>
              <w:pStyle w:val="82"/>
              <w:ind w:firstLine="0"/>
              <w:jc w:val="center"/>
              <w:rPr>
                <w:color w:val="auto"/>
                <w:highlight w:val="none"/>
              </w:rPr>
            </w:pPr>
            <w:r>
              <w:rPr>
                <w:rFonts w:hint="eastAsia"/>
                <w:color w:val="auto"/>
                <w:highlight w:val="none"/>
              </w:rPr>
              <w:t>5年</w:t>
            </w:r>
          </w:p>
        </w:tc>
        <w:tc>
          <w:tcPr>
            <w:tcW w:w="850" w:type="dxa"/>
            <w:vAlign w:val="center"/>
          </w:tcPr>
          <w:p>
            <w:pPr>
              <w:pStyle w:val="82"/>
              <w:ind w:firstLine="0"/>
              <w:jc w:val="center"/>
              <w:rPr>
                <w:color w:val="auto"/>
                <w:highlight w:val="none"/>
              </w:rPr>
            </w:pPr>
            <w:r>
              <w:rPr>
                <w:rFonts w:hint="eastAsia"/>
                <w:color w:val="auto"/>
                <w:highlight w:val="none"/>
              </w:rPr>
              <w:t>2.80%</w:t>
            </w:r>
          </w:p>
        </w:tc>
        <w:tc>
          <w:tcPr>
            <w:tcW w:w="3366" w:type="dxa"/>
            <w:vAlign w:val="center"/>
          </w:tcPr>
          <w:p>
            <w:pPr>
              <w:pStyle w:val="82"/>
              <w:ind w:firstLine="0"/>
              <w:rPr>
                <w:color w:val="auto"/>
                <w:highlight w:val="none"/>
              </w:rPr>
            </w:pPr>
            <w:r>
              <w:rPr>
                <w:rFonts w:hint="eastAsia"/>
                <w:color w:val="auto"/>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桂林银行</w:t>
            </w:r>
          </w:p>
        </w:tc>
        <w:tc>
          <w:tcPr>
            <w:tcW w:w="1134" w:type="dxa"/>
            <w:vAlign w:val="center"/>
          </w:tcPr>
          <w:p>
            <w:pPr>
              <w:pStyle w:val="82"/>
              <w:ind w:firstLine="0"/>
              <w:jc w:val="center"/>
              <w:rPr>
                <w:color w:val="auto"/>
                <w:highlight w:val="none"/>
              </w:rPr>
            </w:pPr>
            <w:r>
              <w:rPr>
                <w:rFonts w:hint="eastAsia"/>
                <w:color w:val="auto"/>
                <w:highlight w:val="none"/>
              </w:rPr>
              <w:t>18577993959</w:t>
            </w:r>
          </w:p>
        </w:tc>
        <w:tc>
          <w:tcPr>
            <w:tcW w:w="1701" w:type="dxa"/>
            <w:vAlign w:val="center"/>
          </w:tcPr>
          <w:p>
            <w:pPr>
              <w:pStyle w:val="82"/>
              <w:ind w:firstLine="0"/>
              <w:rPr>
                <w:color w:val="auto"/>
                <w:highlight w:val="none"/>
              </w:rPr>
            </w:pPr>
            <w:r>
              <w:rPr>
                <w:rFonts w:hint="eastAsia"/>
                <w:color w:val="auto"/>
                <w:highlight w:val="none"/>
              </w:rPr>
              <w:t>最高1千万</w:t>
            </w:r>
          </w:p>
        </w:tc>
        <w:tc>
          <w:tcPr>
            <w:tcW w:w="993" w:type="dxa"/>
            <w:vAlign w:val="center"/>
          </w:tcPr>
          <w:p>
            <w:pPr>
              <w:pStyle w:val="82"/>
              <w:ind w:firstLine="0"/>
              <w:jc w:val="center"/>
              <w:rPr>
                <w:color w:val="auto"/>
                <w:highlight w:val="none"/>
              </w:rPr>
            </w:pPr>
            <w:r>
              <w:rPr>
                <w:rFonts w:hint="eastAsia"/>
                <w:color w:val="auto"/>
                <w:highlight w:val="none"/>
              </w:rPr>
              <w:t>1年</w:t>
            </w:r>
          </w:p>
        </w:tc>
        <w:tc>
          <w:tcPr>
            <w:tcW w:w="850" w:type="dxa"/>
            <w:vAlign w:val="center"/>
          </w:tcPr>
          <w:p>
            <w:pPr>
              <w:pStyle w:val="82"/>
              <w:ind w:firstLine="0"/>
              <w:jc w:val="center"/>
              <w:rPr>
                <w:color w:val="auto"/>
                <w:highlight w:val="none"/>
              </w:rPr>
            </w:pPr>
            <w:r>
              <w:rPr>
                <w:rFonts w:hint="eastAsia"/>
                <w:color w:val="auto"/>
                <w:highlight w:val="none"/>
              </w:rPr>
              <w:t>3.45%</w:t>
            </w:r>
          </w:p>
        </w:tc>
        <w:tc>
          <w:tcPr>
            <w:tcW w:w="3366" w:type="dxa"/>
            <w:vAlign w:val="center"/>
          </w:tcPr>
          <w:p>
            <w:pPr>
              <w:pStyle w:val="82"/>
              <w:ind w:firstLine="0"/>
              <w:rPr>
                <w:color w:val="auto"/>
                <w:highlight w:val="none"/>
              </w:rPr>
            </w:pPr>
            <w:r>
              <w:rPr>
                <w:rFonts w:hint="eastAsia"/>
                <w:color w:val="auto"/>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中小微商务服务公司</w:t>
            </w:r>
          </w:p>
        </w:tc>
        <w:tc>
          <w:tcPr>
            <w:tcW w:w="1134" w:type="dxa"/>
            <w:vAlign w:val="center"/>
          </w:tcPr>
          <w:p>
            <w:pPr>
              <w:pStyle w:val="82"/>
              <w:ind w:firstLine="0"/>
              <w:jc w:val="center"/>
              <w:rPr>
                <w:color w:val="auto"/>
                <w:highlight w:val="none"/>
              </w:rPr>
            </w:pPr>
            <w:r>
              <w:rPr>
                <w:rFonts w:hint="eastAsia"/>
                <w:color w:val="auto"/>
                <w:highlight w:val="none"/>
              </w:rPr>
              <w:t>19907799988</w:t>
            </w:r>
          </w:p>
        </w:tc>
        <w:tc>
          <w:tcPr>
            <w:tcW w:w="1701" w:type="dxa"/>
            <w:vAlign w:val="center"/>
          </w:tcPr>
          <w:p>
            <w:pPr>
              <w:pStyle w:val="82"/>
              <w:ind w:firstLine="0"/>
              <w:rPr>
                <w:color w:val="auto"/>
                <w:highlight w:val="none"/>
              </w:rPr>
            </w:pPr>
          </w:p>
        </w:tc>
        <w:tc>
          <w:tcPr>
            <w:tcW w:w="993" w:type="dxa"/>
            <w:vAlign w:val="center"/>
          </w:tcPr>
          <w:p>
            <w:pPr>
              <w:pStyle w:val="82"/>
              <w:ind w:firstLine="0"/>
              <w:jc w:val="center"/>
              <w:rPr>
                <w:color w:val="auto"/>
                <w:highlight w:val="none"/>
              </w:rPr>
            </w:pPr>
          </w:p>
        </w:tc>
        <w:tc>
          <w:tcPr>
            <w:tcW w:w="850" w:type="dxa"/>
            <w:vAlign w:val="center"/>
          </w:tcPr>
          <w:p>
            <w:pPr>
              <w:pStyle w:val="82"/>
              <w:ind w:firstLine="0"/>
              <w:jc w:val="center"/>
              <w:rPr>
                <w:color w:val="auto"/>
                <w:highlight w:val="none"/>
              </w:rPr>
            </w:pPr>
          </w:p>
        </w:tc>
        <w:tc>
          <w:tcPr>
            <w:tcW w:w="3366" w:type="dxa"/>
            <w:vAlign w:val="center"/>
          </w:tcPr>
          <w:p>
            <w:pPr>
              <w:pStyle w:val="82"/>
              <w:ind w:firstLine="0"/>
              <w:rPr>
                <w:color w:val="auto"/>
                <w:highlight w:val="none"/>
              </w:rPr>
            </w:pPr>
            <w:r>
              <w:rPr>
                <w:rFonts w:hint="eastAsia"/>
                <w:color w:val="auto"/>
                <w:highlight w:val="none"/>
              </w:rPr>
              <w:t>具体业务可电话咨询。</w:t>
            </w:r>
          </w:p>
        </w:tc>
      </w:tr>
    </w:tbl>
    <w:p>
      <w:pPr>
        <w:pStyle w:val="82"/>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pStyle w:val="24"/>
        <w:spacing w:after="120" w:line="360" w:lineRule="auto"/>
        <w:ind w:firstLine="482"/>
        <w:rPr>
          <w:rFonts w:cs="宋体"/>
          <w:b/>
          <w:color w:val="auto"/>
          <w:highlight w:val="none"/>
        </w:rPr>
      </w:pPr>
      <w:r>
        <w:rPr>
          <w:rFonts w:hint="eastAsia" w:cs="宋体"/>
          <w:b/>
          <w:color w:val="auto"/>
          <w:highlight w:val="none"/>
        </w:rPr>
        <w:t>26. 履约保证金：</w:t>
      </w:r>
      <w:bookmarkStart w:id="55" w:name="OLE_LINK215"/>
      <w:bookmarkStart w:id="56" w:name="OLE_LINK104"/>
      <w:bookmarkStart w:id="57" w:name="OLE_LINK214"/>
      <w:bookmarkStart w:id="58" w:name="OLE_LINK103"/>
      <w:r>
        <w:rPr>
          <w:rFonts w:hint="eastAsia" w:cs="宋体"/>
          <w:b/>
          <w:color w:val="auto"/>
          <w:highlight w:val="none"/>
        </w:rPr>
        <w:t>本项目不收取履约保证金。中标供应商未按合同约定履行合同义务，给采购人造成损失的，按实际损失进行赔偿。</w:t>
      </w:r>
      <w:bookmarkEnd w:id="55"/>
      <w:bookmarkEnd w:id="56"/>
      <w:bookmarkEnd w:id="57"/>
      <w:bookmarkEnd w:id="58"/>
    </w:p>
    <w:p>
      <w:pPr>
        <w:pStyle w:val="24"/>
        <w:spacing w:line="360" w:lineRule="auto"/>
        <w:ind w:left="315" w:leftChars="150" w:firstLine="120" w:firstLineChars="50"/>
        <w:rPr>
          <w:rFonts w:cs="宋体"/>
          <w:b/>
          <w:color w:val="auto"/>
          <w:highlight w:val="none"/>
        </w:rPr>
      </w:pPr>
      <w:r>
        <w:rPr>
          <w:rFonts w:cs="宋体"/>
          <w:b/>
          <w:color w:val="auto"/>
          <w:highlight w:val="none"/>
        </w:rPr>
        <w:t>27.预付款</w:t>
      </w:r>
    </w:p>
    <w:p>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pPr>
        <w:snapToGrid w:val="0"/>
        <w:spacing w:line="460" w:lineRule="exact"/>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pPr>
        <w:pStyle w:val="128"/>
        <w:snapToGrid w:val="0"/>
        <w:spacing w:before="0" w:line="460" w:lineRule="exact"/>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pPr>
        <w:pStyle w:val="12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pPr>
        <w:pStyle w:val="12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pPr>
        <w:pStyle w:val="12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pPr>
        <w:pStyle w:val="12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pPr>
        <w:pStyle w:val="12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pPr>
        <w:pStyle w:val="128"/>
        <w:snapToGrid w:val="0"/>
        <w:spacing w:before="0" w:line="460" w:lineRule="exact"/>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snapToGrid w:val="0"/>
        <w:spacing w:line="460" w:lineRule="exact"/>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pPr>
        <w:pStyle w:val="24"/>
        <w:spacing w:line="460" w:lineRule="exact"/>
        <w:ind w:firstLine="0" w:firstLineChars="0"/>
        <w:rPr>
          <w:rFonts w:cs="宋体"/>
          <w:b/>
          <w:color w:val="auto"/>
          <w:highlight w:val="none"/>
        </w:rPr>
      </w:pPr>
      <w:r>
        <w:rPr>
          <w:rFonts w:hint="eastAsia" w:cs="宋体"/>
          <w:b/>
          <w:color w:val="auto"/>
          <w:highlight w:val="none"/>
        </w:rPr>
        <w:t>30.验收</w:t>
      </w:r>
    </w:p>
    <w:p>
      <w:pPr>
        <w:tabs>
          <w:tab w:val="left" w:pos="0"/>
        </w:tabs>
        <w:spacing w:line="46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46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pPr>
        <w:tabs>
          <w:tab w:val="left" w:pos="0"/>
        </w:tabs>
        <w:spacing w:line="46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460" w:lineRule="exact"/>
        <w:ind w:firstLine="480"/>
        <w:rPr>
          <w:rFonts w:ascii="宋体" w:hAnsi="宋体" w:cs="宋体"/>
          <w:color w:val="auto"/>
          <w:sz w:val="18"/>
          <w:szCs w:val="18"/>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54"/>
      <w:bookmarkStart w:id="59" w:name="_Hlt68403820"/>
      <w:bookmarkEnd w:id="59"/>
      <w:bookmarkStart w:id="60" w:name="_Hlt75236290"/>
      <w:bookmarkEnd w:id="60"/>
      <w:bookmarkStart w:id="61" w:name="_Hlt74714665"/>
      <w:bookmarkEnd w:id="61"/>
      <w:bookmarkStart w:id="62" w:name="_Hlt75236011"/>
      <w:bookmarkEnd w:id="62"/>
      <w:bookmarkStart w:id="63" w:name="_Hlt68073093"/>
      <w:bookmarkEnd w:id="63"/>
      <w:bookmarkStart w:id="64" w:name="_Hlt74730295"/>
      <w:bookmarkEnd w:id="64"/>
      <w:bookmarkStart w:id="65" w:name="_Hlt68057669"/>
      <w:bookmarkEnd w:id="65"/>
      <w:bookmarkStart w:id="66" w:name="_Hlt68072998"/>
      <w:bookmarkEnd w:id="66"/>
      <w:bookmarkStart w:id="67" w:name="_Hlt68072990"/>
      <w:bookmarkEnd w:id="67"/>
      <w:bookmarkStart w:id="68" w:name="_Hlt75236101"/>
      <w:bookmarkEnd w:id="68"/>
      <w:bookmarkStart w:id="69" w:name="_Hlt74707468"/>
      <w:bookmarkEnd w:id="69"/>
      <w:bookmarkStart w:id="70" w:name="_Hlt74729768"/>
      <w:bookmarkEnd w:id="70"/>
    </w:p>
    <w:p>
      <w:pPr>
        <w:snapToGrid w:val="0"/>
        <w:spacing w:line="460" w:lineRule="exact"/>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pPr>
        <w:pStyle w:val="24"/>
        <w:spacing w:line="460" w:lineRule="exact"/>
        <w:ind w:firstLine="0" w:firstLineChars="0"/>
        <w:rPr>
          <w:rFonts w:cs="宋体"/>
          <w:b/>
          <w:color w:val="auto"/>
          <w:highlight w:val="none"/>
        </w:rPr>
      </w:pPr>
      <w:r>
        <w:rPr>
          <w:rFonts w:hint="eastAsia" w:cs="宋体"/>
          <w:b/>
          <w:color w:val="auto"/>
          <w:highlight w:val="none"/>
        </w:rPr>
        <w:t>31.代理费用的收取标准和方式</w:t>
      </w:r>
    </w:p>
    <w:p>
      <w:pPr>
        <w:tabs>
          <w:tab w:val="left" w:pos="0"/>
        </w:tabs>
        <w:spacing w:line="460" w:lineRule="exact"/>
        <w:ind w:firstLine="480"/>
        <w:rPr>
          <w:rFonts w:ascii="宋体" w:hAnsi="宋体" w:cs="宋体"/>
          <w:color w:val="auto"/>
          <w:kern w:val="0"/>
          <w:sz w:val="24"/>
          <w:highlight w:val="none"/>
        </w:rPr>
        <w:sectPr>
          <w:footerReference r:id="rId8" w:type="default"/>
          <w:pgSz w:w="11906" w:h="16838"/>
          <w:pgMar w:top="680" w:right="1418" w:bottom="468" w:left="1418" w:header="851" w:footer="992" w:gutter="0"/>
          <w:pgNumType w:start="3"/>
          <w:cols w:space="720" w:num="1"/>
          <w:docGrid w:linePitch="312" w:charSpace="0"/>
        </w:sectPr>
      </w:pPr>
      <w:bookmarkStart w:id="71" w:name="OLE_LINK203"/>
      <w:r>
        <w:rPr>
          <w:rFonts w:hint="eastAsia" w:ascii="宋体" w:hAnsi="宋体" w:cs="宋体"/>
          <w:color w:val="auto"/>
          <w:kern w:val="0"/>
          <w:sz w:val="24"/>
          <w:highlight w:val="none"/>
        </w:rPr>
        <w:t>本项目不收取代理服务费。</w:t>
      </w:r>
      <w:bookmarkEnd w:id="71"/>
    </w:p>
    <w:bookmarkEnd w:id="46"/>
    <w:bookmarkEnd w:id="47"/>
    <w:p>
      <w:pPr>
        <w:spacing w:line="360" w:lineRule="auto"/>
        <w:jc w:val="center"/>
        <w:outlineLvl w:val="0"/>
        <w:rPr>
          <w:rFonts w:ascii="宋体" w:hAnsi="宋体" w:cs="宋体"/>
          <w:b/>
          <w:color w:val="auto"/>
          <w:szCs w:val="21"/>
          <w:highlight w:val="none"/>
        </w:rPr>
      </w:pPr>
      <w:bookmarkStart w:id="72" w:name="_Toc176343850"/>
      <w:bookmarkStart w:id="73" w:name="_Toc176185121"/>
      <w:bookmarkStart w:id="74" w:name="第四部分"/>
      <w:r>
        <w:rPr>
          <w:rFonts w:hint="eastAsia" w:ascii="宋体" w:hAnsi="宋体" w:cs="宋体"/>
          <w:b/>
          <w:color w:val="auto"/>
          <w:sz w:val="36"/>
          <w:szCs w:val="36"/>
          <w:highlight w:val="none"/>
        </w:rPr>
        <w:t>第三部分  采购需求</w:t>
      </w:r>
      <w:bookmarkEnd w:id="72"/>
      <w:bookmarkEnd w:id="73"/>
      <w:bookmarkStart w:id="75" w:name="OLE_LINK84"/>
      <w:bookmarkStart w:id="76" w:name="OLE_LINK19"/>
      <w:bookmarkStart w:id="77" w:name="_Toc9838479"/>
    </w:p>
    <w:p>
      <w:pPr>
        <w:spacing w:line="30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说明：</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1.下表中的品牌型号、技术参数仅起参考作用，投标人可选用其他品牌型号替代，但这些替代的产品要实质上相当于或优于参考品牌型号及其技术参数性能（配置）要求。</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w:t>
      </w:r>
      <w:r>
        <w:rPr>
          <w:rFonts w:hint="eastAsia" w:asciiTheme="minorEastAsia" w:hAnsiTheme="minorEastAsia" w:eastAsiaTheme="minorEastAsia" w:cstheme="minorEastAsia"/>
          <w:bCs/>
          <w:color w:val="auto"/>
          <w:sz w:val="21"/>
          <w:szCs w:val="21"/>
          <w:highlight w:val="none"/>
          <w:lang w:eastAsia="zh-CN"/>
        </w:rPr>
        <w:t>投标文件中须提供</w:t>
      </w:r>
      <w:r>
        <w:rPr>
          <w:rFonts w:hint="eastAsia" w:asciiTheme="minorEastAsia" w:hAnsiTheme="minorEastAsia" w:eastAsiaTheme="minorEastAsia" w:cstheme="minorEastAsia"/>
          <w:bCs/>
          <w:color w:val="auto"/>
          <w:sz w:val="21"/>
          <w:szCs w:val="21"/>
          <w:highlight w:val="none"/>
        </w:rPr>
        <w:t>国家确定的认证机构出具的、处于有效期之内的有效的节能产品认证证书复印件并加盖投标人公章，不提供视为无效投标处理。</w:t>
      </w:r>
    </w:p>
    <w:p>
      <w:pPr>
        <w:snapToGrid w:val="0"/>
        <w:spacing w:line="300" w:lineRule="exact"/>
        <w:ind w:firstLine="422" w:firstLineChars="200"/>
        <w:rPr>
          <w:rFonts w:hint="eastAsia" w:asciiTheme="minorEastAsia" w:hAnsiTheme="minorEastAsia" w:eastAsiaTheme="minorEastAsia" w:cstheme="minorEastAsia"/>
          <w:b/>
          <w:bCs/>
          <w:color w:val="auto"/>
          <w:sz w:val="21"/>
          <w:szCs w:val="21"/>
          <w:highlight w:val="none"/>
          <w:lang w:val="en-US" w:eastAsia="zh-CN"/>
        </w:rPr>
      </w:pPr>
      <w:bookmarkStart w:id="78" w:name="OLE_LINK80"/>
      <w:bookmarkStart w:id="79" w:name="OLE_LINK79"/>
      <w:r>
        <w:rPr>
          <w:rFonts w:hint="eastAsia" w:asciiTheme="minorEastAsia" w:hAnsiTheme="minorEastAsia" w:eastAsiaTheme="minorEastAsia" w:cstheme="minorEastAsia"/>
          <w:b/>
          <w:bCs w:val="0"/>
          <w:color w:val="auto"/>
          <w:sz w:val="21"/>
          <w:szCs w:val="21"/>
          <w:highlight w:val="none"/>
          <w:lang w:val="en-US" w:eastAsia="zh-CN"/>
        </w:rPr>
        <w:t>4.</w:t>
      </w:r>
      <w:r>
        <w:rPr>
          <w:rFonts w:hint="eastAsia" w:asciiTheme="minorEastAsia" w:hAnsiTheme="minorEastAsia" w:eastAsiaTheme="minorEastAsia" w:cstheme="minorEastAsia"/>
          <w:b/>
          <w:bCs w:val="0"/>
          <w:color w:val="auto"/>
          <w:sz w:val="21"/>
          <w:szCs w:val="21"/>
          <w:highlight w:val="none"/>
        </w:rPr>
        <w:t>采购需求一览表中标注“</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”详细技术参数及配备要求、商务要求必须响应满足，否则投标无效。供货时“</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”号条款需按要求提供证明材料的原件备查。</w:t>
      </w:r>
    </w:p>
    <w:bookmarkEnd w:id="78"/>
    <w:bookmarkEnd w:id="79"/>
    <w:p>
      <w:pPr>
        <w:spacing w:line="300" w:lineRule="exact"/>
        <w:ind w:firstLine="422" w:firstLineChars="20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lang w:val="en-US" w:eastAsia="zh-CN"/>
        </w:rPr>
        <w:t>5.</w:t>
      </w:r>
      <w:r>
        <w:rPr>
          <w:rFonts w:hint="eastAsia" w:asciiTheme="minorEastAsia" w:hAnsiTheme="minorEastAsia" w:eastAsiaTheme="minorEastAsia" w:cstheme="minorEastAsia"/>
          <w:b/>
          <w:bCs w:val="0"/>
          <w:color w:val="auto"/>
          <w:sz w:val="21"/>
          <w:szCs w:val="21"/>
          <w:highlight w:val="none"/>
        </w:rPr>
        <w:t>本项目的政府采购预算控制价为（人民币）：</w:t>
      </w:r>
      <w:r>
        <w:rPr>
          <w:rFonts w:hint="eastAsia" w:asciiTheme="minorEastAsia" w:hAnsiTheme="minorEastAsia" w:eastAsiaTheme="minorEastAsia" w:cstheme="minorEastAsia"/>
          <w:b/>
          <w:bCs w:val="0"/>
          <w:color w:val="auto"/>
          <w:sz w:val="21"/>
          <w:szCs w:val="21"/>
          <w:highlight w:val="none"/>
          <w:lang w:eastAsia="zh-CN"/>
        </w:rPr>
        <w:t>2,800,000.00</w:t>
      </w:r>
      <w:r>
        <w:rPr>
          <w:rFonts w:hint="eastAsia" w:asciiTheme="minorEastAsia" w:hAnsiTheme="minorEastAsia" w:eastAsiaTheme="minorEastAsia" w:cstheme="minorEastAsia"/>
          <w:b/>
          <w:bCs w:val="0"/>
          <w:color w:val="auto"/>
          <w:sz w:val="21"/>
          <w:szCs w:val="21"/>
          <w:highlight w:val="none"/>
        </w:rPr>
        <w:t>元</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投标报价超过预算控制价的投标无效。</w:t>
      </w:r>
    </w:p>
    <w:p>
      <w:pPr>
        <w:spacing w:line="300" w:lineRule="exact"/>
        <w:ind w:firstLine="422"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6.</w:t>
      </w:r>
      <w:r>
        <w:rPr>
          <w:rFonts w:hint="eastAsia" w:asciiTheme="minorEastAsia" w:hAnsiTheme="minorEastAsia" w:eastAsiaTheme="minorEastAsia" w:cstheme="minorEastAsia"/>
          <w:b/>
          <w:bCs/>
          <w:color w:val="auto"/>
          <w:kern w:val="0"/>
          <w:sz w:val="21"/>
          <w:szCs w:val="21"/>
          <w:highlight w:val="none"/>
          <w:lang w:bidi="ar"/>
        </w:rPr>
        <w:t>本项目核心产品：</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学生控制终端</w:t>
      </w:r>
      <w:r>
        <w:rPr>
          <w:rFonts w:hint="eastAsia" w:asciiTheme="minorEastAsia" w:hAnsiTheme="minorEastAsia" w:eastAsiaTheme="minorEastAsia" w:cstheme="minorEastAsia"/>
          <w:b/>
          <w:bCs/>
          <w:color w:val="auto"/>
          <w:kern w:val="0"/>
          <w:sz w:val="21"/>
          <w:szCs w:val="21"/>
          <w:highlight w:val="none"/>
          <w:lang w:bidi="ar"/>
        </w:rPr>
        <w:t>。</w:t>
      </w:r>
    </w:p>
    <w:p>
      <w:pPr>
        <w:spacing w:line="300" w:lineRule="exact"/>
        <w:ind w:firstLine="420" w:firstLineChars="200"/>
        <w:rPr>
          <w:rFonts w:hint="eastAsia"/>
          <w:color w:val="auto"/>
          <w:highlight w:val="none"/>
        </w:rPr>
      </w:pP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根据《关于印发中小企业划型标准规定的通知》（工信部联企业〔2011〕300号）规定的划分标准，本项目采购所有标的对应的中小企业划分标准所属行业为：工业。</w:t>
      </w:r>
    </w:p>
    <w:p>
      <w:pPr>
        <w:spacing w:line="300" w:lineRule="exact"/>
        <w:ind w:firstLine="422"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lang w:val="en-US" w:eastAsia="zh-CN"/>
        </w:rPr>
        <w:t>8.商务需求如下：</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8.1合同签订期：自中标通知书发出之日起25日内。</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8.2交货时间：签订合同后 30 个日历日，如因甲方及其他客观原因导致交付延期，不算作乙方违约，交付周期可视延期时间往后顺延。</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8.3交货地点：本项目采购设备的各使用单位（学校）。</w:t>
      </w:r>
      <w:bookmarkStart w:id="478" w:name="_GoBack"/>
      <w:bookmarkEnd w:id="478"/>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8.4付款时间和方式：</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签订合同后30个日历日内预付中标合同金额的50％，项目验收合格后30个日历日内支付剩余中标合同金额50％。不需要收取质量（履约）保证金。</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8.5质量要求：</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8.5.1货物必须是全新合格产品，产品质量符合国家相关标准及安全规范；</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8.5.2供应商须按国家有关规定实行“三包”，免费送货上门。提供现场免费安装、调试设备，进行操作试验，直至运行正常；</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8.5.3采购方对供应商所交货物依照采购文件上的技术规格要求和国家有关标准进行现场验收，性能达到技术要求的，给予签收。验收不合格的不予签收，后果由供货方负责。</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8.6售后服务要求：</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8.7免费送货上门、免费由技术人员现场安装、调试和技术指导，并在用户使用地免费培训操作人员掌握设备操作及日常维护。所供货物各项性能指标 达到技术要求的，由供需双方共同签字认可，现场验收；并提供设备完整技术资料，技术资料包括技术规格和指标，各部件型号和参数清单，操作使用说明手册和注意事项。设备到货后，成交人和采购单位应在现场进行清点。清点过程中如果发现因包装或运输不当引起的仪器外观或内部的损坏，成交人应承担所有责任。</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8.8维修响应：中标供应商在接到用户维修电话后 4 小时内响应，12 小时内到达现场修理解决，并免费更换有缺陷的货物或零部件，24小时内恢复正常使用，若不能修复则应有合理应对方案。定期回访，对设备进行预防性维护指导。</w:t>
      </w:r>
    </w:p>
    <w:p>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8.9中标供应商除承担运输、安装、调试、验收与培训等义务外，还将为采购方提供免费技术支持，包括保修期外的修理及技术指导、配件供应等。 质量保证期：质保期不少于一年（若厂家免费质保期超过一年的，按厂家规定执行），质保期自双方代表在系统及设备安装调试后的验收证明文件上签字之日起计算，质保期内，按国家有关产品“三包”规定执行“三包”。</w:t>
      </w:r>
    </w:p>
    <w:p>
      <w:pPr>
        <w:spacing w:line="300" w:lineRule="exact"/>
        <w:ind w:firstLine="420" w:firstLineChars="200"/>
        <w:rPr>
          <w:color w:val="auto"/>
          <w:highlight w:val="none"/>
          <w:lang w:val="en-US"/>
        </w:rPr>
      </w:pPr>
      <w:r>
        <w:rPr>
          <w:rFonts w:hint="eastAsia" w:asciiTheme="minorEastAsia" w:hAnsiTheme="minorEastAsia" w:eastAsiaTheme="minorEastAsia" w:cstheme="minorEastAsia"/>
          <w:bCs/>
          <w:color w:val="auto"/>
          <w:sz w:val="21"/>
          <w:szCs w:val="21"/>
          <w:highlight w:val="none"/>
          <w:lang w:val="en-US" w:eastAsia="zh-CN"/>
        </w:rPr>
        <w:t>8.10供应商应提供售后服务承诺书。</w:t>
      </w:r>
      <w:bookmarkEnd w:id="75"/>
      <w:bookmarkEnd w:id="76"/>
      <w:bookmarkEnd w:id="77"/>
    </w:p>
    <w:p>
      <w:pPr>
        <w:rPr>
          <w:color w:val="auto"/>
          <w:highlight w:val="none"/>
          <w:lang w:val="en-US"/>
        </w:rPr>
      </w:pPr>
    </w:p>
    <w:tbl>
      <w:tblPr>
        <w:tblStyle w:val="6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783"/>
        <w:gridCol w:w="444"/>
        <w:gridCol w:w="627"/>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1"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97"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5"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318"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3806"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详细技术参数及配备要求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1" w:type="pct"/>
            <w:vMerge w:val="continue"/>
            <w:noWrap w:val="0"/>
            <w:vAlign w:val="center"/>
          </w:tcPr>
          <w:p>
            <w:pPr>
              <w:jc w:val="center"/>
              <w:rPr>
                <w:rFonts w:hint="eastAsia" w:ascii="宋体" w:hAnsi="宋体" w:eastAsia="宋体" w:cs="宋体"/>
                <w:i w:val="0"/>
                <w:iCs w:val="0"/>
                <w:color w:val="auto"/>
                <w:sz w:val="20"/>
                <w:szCs w:val="20"/>
                <w:highlight w:val="none"/>
                <w:u w:val="none"/>
              </w:rPr>
            </w:pPr>
          </w:p>
        </w:tc>
        <w:tc>
          <w:tcPr>
            <w:tcW w:w="397" w:type="pct"/>
            <w:vMerge w:val="continue"/>
            <w:noWrap w:val="0"/>
            <w:vAlign w:val="center"/>
          </w:tcPr>
          <w:p>
            <w:pPr>
              <w:jc w:val="center"/>
              <w:rPr>
                <w:rFonts w:hint="eastAsia" w:ascii="宋体" w:hAnsi="宋体" w:eastAsia="宋体" w:cs="宋体"/>
                <w:i w:val="0"/>
                <w:iCs w:val="0"/>
                <w:color w:val="auto"/>
                <w:sz w:val="20"/>
                <w:szCs w:val="20"/>
                <w:highlight w:val="none"/>
                <w:u w:val="none"/>
              </w:rPr>
            </w:pPr>
          </w:p>
        </w:tc>
        <w:tc>
          <w:tcPr>
            <w:tcW w:w="225" w:type="pct"/>
            <w:vMerge w:val="continue"/>
            <w:noWrap w:val="0"/>
            <w:vAlign w:val="center"/>
          </w:tcPr>
          <w:p>
            <w:pPr>
              <w:jc w:val="center"/>
              <w:rPr>
                <w:rFonts w:hint="eastAsia" w:ascii="宋体" w:hAnsi="宋体" w:eastAsia="宋体" w:cs="宋体"/>
                <w:i w:val="0"/>
                <w:iCs w:val="0"/>
                <w:color w:val="auto"/>
                <w:sz w:val="20"/>
                <w:szCs w:val="20"/>
                <w:highlight w:val="none"/>
                <w:u w:val="none"/>
              </w:rPr>
            </w:pPr>
          </w:p>
        </w:tc>
        <w:tc>
          <w:tcPr>
            <w:tcW w:w="318" w:type="pct"/>
            <w:vMerge w:val="continue"/>
            <w:noWrap w:val="0"/>
            <w:vAlign w:val="center"/>
          </w:tcPr>
          <w:p>
            <w:pPr>
              <w:jc w:val="center"/>
              <w:rPr>
                <w:rFonts w:hint="eastAsia" w:ascii="宋体" w:hAnsi="宋体" w:eastAsia="宋体" w:cs="宋体"/>
                <w:i w:val="0"/>
                <w:iCs w:val="0"/>
                <w:color w:val="auto"/>
                <w:sz w:val="20"/>
                <w:szCs w:val="20"/>
                <w:highlight w:val="none"/>
                <w:u w:val="none"/>
              </w:rPr>
            </w:pPr>
          </w:p>
        </w:tc>
        <w:tc>
          <w:tcPr>
            <w:tcW w:w="3806" w:type="pct"/>
            <w:vMerge w:val="continue"/>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39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多媒体电子教室教学系统</w:t>
            </w:r>
          </w:p>
        </w:tc>
        <w:tc>
          <w:tcPr>
            <w:tcW w:w="225" w:type="pc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8" w:type="pc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806"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▲1.登录方式多样性：支持账号/密码和手机微信扫码两种登录方式。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2.设备管理：可实现实时监控学生机画面、以及进行统一的教学管理，文件共享和回收。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3.人员管理：学校超级管理员可以添加教师和管理员的角色，添加之后管理员能够绑定设备和进行正常的授课工作，教师只能在终端应用软件进行授课操作。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4.教师云空间：支持老师自定义上传、存储文件内容。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支持上传的格式有：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文档：ppt、pptx、word、pdf;</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图片：bmp、png、jpg、jpeg、gif;</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音视频：mp3、wav、ogg、aac、mp4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5.教师广播：不需要借助任何外接设备，支持将教师机的画面以及声音广播给全班学生。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6.学生演示：支持老师将指定学生的屏幕画面广播给其他所有学生，同时老师也能看到该指定学生的屏幕图像。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▲7.下发课堂活动：在开启授课时支持教师发起不低于4种课堂活动，支持学生拖动答案进行作答，系统将自动判断是否正确。（</w:t>
            </w:r>
            <w:r>
              <w:rPr>
                <w:rFonts w:hint="eastAsia" w:ascii="宋体" w:hAnsi="宋体" w:cs="宋体"/>
                <w:i w:val="0"/>
                <w:iCs w:val="0"/>
                <w:color w:val="auto"/>
                <w:kern w:val="0"/>
                <w:sz w:val="20"/>
                <w:szCs w:val="20"/>
                <w:highlight w:val="none"/>
                <w:u w:val="none"/>
                <w:lang w:val="en-US" w:eastAsia="zh-CN" w:bidi="ar"/>
              </w:rPr>
              <w:t>投标文件中须提供</w:t>
            </w:r>
            <w:r>
              <w:rPr>
                <w:rFonts w:hint="eastAsia" w:ascii="宋体" w:hAnsi="宋体" w:eastAsia="宋体" w:cs="宋体"/>
                <w:i w:val="0"/>
                <w:iCs w:val="0"/>
                <w:color w:val="auto"/>
                <w:kern w:val="0"/>
                <w:sz w:val="20"/>
                <w:szCs w:val="20"/>
                <w:highlight w:val="none"/>
                <w:u w:val="none"/>
                <w:lang w:val="en-US" w:eastAsia="zh-CN" w:bidi="ar"/>
              </w:rPr>
              <w:t>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▲8.课堂活动作答：支持学生在完成教师下发的课堂活动时，查看自己的排名、耗时以及答题情况。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9.学生未进入课堂通知：支持在管理后台录入学生名单后，教师选择授课班级，学生在开课后输入个人姓名即可完成班级点名签到，当未签到人数低于6人时会自动显示未进入课堂的学生名单。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10.切换课堂通知：当课堂通知大于或等于2条时，支持用户手动切换查看。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▲11.教学白板课件同步：支持同步教学白板软件的课件内容，支持按照大小、更新时间进行排序，支持按照按照文件类型进行筛选。（</w:t>
            </w:r>
            <w:r>
              <w:rPr>
                <w:rFonts w:hint="eastAsia" w:ascii="宋体" w:hAnsi="宋体" w:cs="宋体"/>
                <w:i w:val="0"/>
                <w:iCs w:val="0"/>
                <w:color w:val="auto"/>
                <w:kern w:val="0"/>
                <w:sz w:val="20"/>
                <w:szCs w:val="20"/>
                <w:highlight w:val="none"/>
                <w:u w:val="none"/>
                <w:lang w:val="en-US" w:eastAsia="zh-CN" w:bidi="ar"/>
              </w:rPr>
              <w:t>投标文件中须提供</w:t>
            </w:r>
            <w:r>
              <w:rPr>
                <w:rFonts w:hint="eastAsia" w:ascii="宋体" w:hAnsi="宋体" w:eastAsia="宋体" w:cs="宋体"/>
                <w:i w:val="0"/>
                <w:iCs w:val="0"/>
                <w:color w:val="auto"/>
                <w:kern w:val="0"/>
                <w:sz w:val="20"/>
                <w:szCs w:val="20"/>
                <w:highlight w:val="none"/>
                <w:u w:val="none"/>
                <w:lang w:val="en-US" w:eastAsia="zh-CN" w:bidi="ar"/>
              </w:rPr>
              <w:t>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12.文件上传：支持上传“本地文件”到终端应用软件的教师云空间。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▲13.文件共享：支持教师把云空间的文件批量共享给指定的多个授课班级，资料被删除后文件仍可重新下载。支持教师把已共享的资料进行取消共享。（</w:t>
            </w:r>
            <w:r>
              <w:rPr>
                <w:rFonts w:hint="eastAsia" w:ascii="宋体" w:hAnsi="宋体" w:cs="宋体"/>
                <w:i w:val="0"/>
                <w:iCs w:val="0"/>
                <w:color w:val="auto"/>
                <w:kern w:val="0"/>
                <w:sz w:val="20"/>
                <w:szCs w:val="20"/>
                <w:highlight w:val="none"/>
                <w:u w:val="none"/>
                <w:lang w:val="en-US" w:eastAsia="zh-CN" w:bidi="ar"/>
              </w:rPr>
              <w:t>投标文件中须提供</w:t>
            </w:r>
            <w:r>
              <w:rPr>
                <w:rFonts w:hint="eastAsia" w:ascii="宋体" w:hAnsi="宋体" w:eastAsia="宋体" w:cs="宋体"/>
                <w:i w:val="0"/>
                <w:iCs w:val="0"/>
                <w:color w:val="auto"/>
                <w:kern w:val="0"/>
                <w:sz w:val="20"/>
                <w:szCs w:val="20"/>
                <w:highlight w:val="none"/>
                <w:u w:val="none"/>
                <w:lang w:val="en-US" w:eastAsia="zh-CN" w:bidi="ar"/>
              </w:rPr>
              <w:t>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14.授课班级状态：当作业空间存在多个班级的时候，支持显示当前正在授课班级。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15.文件查看：当开启需输入姓名进入课堂功能时，系统支持按照班级学生的姓名归档查看学生提交的作业文件。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▲16.导入文件共享：支持教师直接把“我的文件”内容导入共享给班级学生。（</w:t>
            </w:r>
            <w:r>
              <w:rPr>
                <w:rFonts w:hint="eastAsia" w:ascii="宋体" w:hAnsi="宋体" w:cs="宋体"/>
                <w:i w:val="0"/>
                <w:iCs w:val="0"/>
                <w:color w:val="auto"/>
                <w:kern w:val="0"/>
                <w:sz w:val="20"/>
                <w:szCs w:val="20"/>
                <w:highlight w:val="none"/>
                <w:u w:val="none"/>
                <w:lang w:val="en-US" w:eastAsia="zh-CN" w:bidi="ar"/>
              </w:rPr>
              <w:t>投标文件中须提供</w:t>
            </w:r>
            <w:r>
              <w:rPr>
                <w:rFonts w:hint="eastAsia" w:ascii="宋体" w:hAnsi="宋体" w:eastAsia="宋体" w:cs="宋体"/>
                <w:i w:val="0"/>
                <w:iCs w:val="0"/>
                <w:color w:val="auto"/>
                <w:kern w:val="0"/>
                <w:sz w:val="20"/>
                <w:szCs w:val="20"/>
                <w:highlight w:val="none"/>
                <w:u w:val="none"/>
                <w:lang w:val="en-US" w:eastAsia="zh-CN" w:bidi="ar"/>
              </w:rPr>
              <w:t>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17.黑屏管控：教师可以选定学生执行黑屏操作。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18.离线自动黑屏：支持教师统一配置授课是否开启离线黑屏。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3</w:t>
            </w:r>
          </w:p>
        </w:tc>
        <w:tc>
          <w:tcPr>
            <w:tcW w:w="39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学生控制终端</w:t>
            </w:r>
          </w:p>
        </w:tc>
        <w:tc>
          <w:tcPr>
            <w:tcW w:w="22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1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3806" w:type="pct"/>
            <w:shd w:val="clear" w:color="auto" w:fill="FFFFFF"/>
            <w:noWrap w:val="0"/>
            <w:vAlign w:val="center"/>
          </w:tcPr>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一、CPU规格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1.CPU内核≥  8  核；</w:t>
            </w:r>
          </w:p>
          <w:p>
            <w:pPr>
              <w:keepNext w:val="0"/>
              <w:keepLines w:val="0"/>
              <w:widowControl/>
              <w:suppressLineNumbers w:val="0"/>
              <w:jc w:val="left"/>
              <w:textAlignment w:val="center"/>
              <w:rPr>
                <w:rFonts w:hint="eastAsia"/>
                <w:color w:val="auto"/>
                <w:highlight w:val="none"/>
              </w:rPr>
            </w:pPr>
            <w:r>
              <w:rPr>
                <w:rFonts w:hint="eastAsia"/>
                <w:color w:val="auto"/>
                <w:highlight w:val="none"/>
              </w:rPr>
              <w:t>2.主频≥  2.7 GHz；</w:t>
            </w:r>
          </w:p>
          <w:p>
            <w:pPr>
              <w:keepNext w:val="0"/>
              <w:keepLines w:val="0"/>
              <w:widowControl/>
              <w:suppressLineNumbers w:val="0"/>
              <w:jc w:val="left"/>
              <w:textAlignment w:val="center"/>
              <w:rPr>
                <w:rFonts w:hint="eastAsia"/>
                <w:color w:val="auto"/>
                <w:highlight w:val="none"/>
              </w:rPr>
            </w:pPr>
            <w:r>
              <w:rPr>
                <w:rFonts w:hint="eastAsia"/>
                <w:color w:val="auto"/>
                <w:highlight w:val="none"/>
              </w:rPr>
              <w:t>3.末级缓存容量≥  8  MB；</w:t>
            </w:r>
          </w:p>
          <w:p>
            <w:pPr>
              <w:keepNext w:val="0"/>
              <w:keepLines w:val="0"/>
              <w:widowControl/>
              <w:suppressLineNumbers w:val="0"/>
              <w:jc w:val="left"/>
              <w:textAlignment w:val="center"/>
              <w:rPr>
                <w:rFonts w:hint="eastAsia"/>
                <w:color w:val="auto"/>
                <w:highlight w:val="none"/>
              </w:rPr>
            </w:pPr>
            <w:r>
              <w:rPr>
                <w:rFonts w:hint="eastAsia"/>
                <w:color w:val="auto"/>
                <w:highlight w:val="none"/>
              </w:rPr>
              <w:t>4.CPU PCle通道总数≥  16  ;</w:t>
            </w:r>
          </w:p>
          <w:p>
            <w:pPr>
              <w:keepNext w:val="0"/>
              <w:keepLines w:val="0"/>
              <w:widowControl/>
              <w:suppressLineNumbers w:val="0"/>
              <w:jc w:val="left"/>
              <w:textAlignment w:val="center"/>
              <w:rPr>
                <w:rFonts w:hint="eastAsia"/>
                <w:color w:val="auto"/>
                <w:highlight w:val="none"/>
              </w:rPr>
            </w:pPr>
            <w:r>
              <w:rPr>
                <w:rFonts w:hint="eastAsia"/>
                <w:color w:val="auto"/>
                <w:highlight w:val="none"/>
              </w:rPr>
              <w:t>5.CPU线程≥  8  ;</w:t>
            </w:r>
          </w:p>
          <w:p>
            <w:pPr>
              <w:keepNext w:val="0"/>
              <w:keepLines w:val="0"/>
              <w:widowControl/>
              <w:suppressLineNumbers w:val="0"/>
              <w:jc w:val="left"/>
              <w:textAlignment w:val="center"/>
              <w:rPr>
                <w:rFonts w:hint="eastAsia"/>
                <w:color w:val="auto"/>
                <w:highlight w:val="none"/>
              </w:rPr>
            </w:pPr>
            <w:r>
              <w:rPr>
                <w:rFonts w:hint="eastAsia"/>
                <w:color w:val="auto"/>
                <w:highlight w:val="none"/>
              </w:rPr>
              <w:t>6.CPU基本功率≥  70  W；</w:t>
            </w:r>
          </w:p>
          <w:p>
            <w:pPr>
              <w:keepNext w:val="0"/>
              <w:keepLines w:val="0"/>
              <w:widowControl/>
              <w:suppressLineNumbers w:val="0"/>
              <w:jc w:val="left"/>
              <w:textAlignment w:val="center"/>
              <w:rPr>
                <w:rFonts w:hint="eastAsia"/>
                <w:color w:val="auto"/>
                <w:highlight w:val="none"/>
              </w:rPr>
            </w:pPr>
            <w:r>
              <w:rPr>
                <w:rFonts w:hint="eastAsia"/>
                <w:color w:val="auto"/>
                <w:highlight w:val="none"/>
              </w:rPr>
              <w:t>7.CPU芯片应符合 GM/T 0008的相关规定，或芯片密码模块应符合 GB/T 37092或 GM/T 0028 的相关规定，通过商用密码检测机构检测并经商用密码认证机构认证合格；</w:t>
            </w:r>
          </w:p>
          <w:p>
            <w:pPr>
              <w:keepNext w:val="0"/>
              <w:keepLines w:val="0"/>
              <w:widowControl/>
              <w:suppressLineNumbers w:val="0"/>
              <w:jc w:val="left"/>
              <w:textAlignment w:val="center"/>
              <w:rPr>
                <w:rFonts w:hint="eastAsia"/>
                <w:color w:val="auto"/>
                <w:highlight w:val="none"/>
              </w:rPr>
            </w:pPr>
            <w:r>
              <w:rPr>
                <w:rFonts w:hint="eastAsia"/>
                <w:color w:val="auto"/>
                <w:highlight w:val="none"/>
              </w:rPr>
              <w:t>8.符合安全可靠测评要求，通过中国信息安全测评中心和国家保密科技测评中心网站查看安全可靠测评结果。</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二、内存规格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1.内存类型支持  DDR4/LPDDR4/LPDDR4X及以上内存类型；</w:t>
            </w:r>
          </w:p>
          <w:p>
            <w:pPr>
              <w:keepNext w:val="0"/>
              <w:keepLines w:val="0"/>
              <w:widowControl/>
              <w:suppressLineNumbers w:val="0"/>
              <w:jc w:val="left"/>
              <w:textAlignment w:val="center"/>
              <w:rPr>
                <w:rFonts w:hint="eastAsia"/>
                <w:color w:val="auto"/>
                <w:highlight w:val="none"/>
              </w:rPr>
            </w:pPr>
            <w:r>
              <w:rPr>
                <w:rFonts w:hint="eastAsia"/>
                <w:color w:val="auto"/>
                <w:highlight w:val="none"/>
              </w:rPr>
              <w:t>2.内存条配置数量（板载内存不涉及.≥  1  ；</w:t>
            </w:r>
          </w:p>
          <w:p>
            <w:pPr>
              <w:keepNext w:val="0"/>
              <w:keepLines w:val="0"/>
              <w:widowControl/>
              <w:suppressLineNumbers w:val="0"/>
              <w:jc w:val="left"/>
              <w:textAlignment w:val="center"/>
              <w:rPr>
                <w:rFonts w:hint="eastAsia"/>
                <w:color w:val="auto"/>
                <w:highlight w:val="none"/>
              </w:rPr>
            </w:pPr>
            <w:r>
              <w:rPr>
                <w:rFonts w:hint="eastAsia"/>
                <w:color w:val="auto"/>
                <w:highlight w:val="none"/>
              </w:rPr>
              <w:t>3.内存读写速率≥  2666  MT/s；</w:t>
            </w:r>
          </w:p>
          <w:p>
            <w:pPr>
              <w:keepNext w:val="0"/>
              <w:keepLines w:val="0"/>
              <w:widowControl/>
              <w:suppressLineNumbers w:val="0"/>
              <w:jc w:val="left"/>
              <w:textAlignment w:val="center"/>
              <w:rPr>
                <w:rFonts w:hint="eastAsia"/>
                <w:color w:val="auto"/>
                <w:highlight w:val="none"/>
              </w:rPr>
            </w:pPr>
            <w:r>
              <w:rPr>
                <w:rFonts w:hint="eastAsia"/>
                <w:color w:val="auto"/>
                <w:highlight w:val="none"/>
              </w:rPr>
              <w:t>4.内存总容量≥ 8  GB；</w:t>
            </w:r>
          </w:p>
          <w:p>
            <w:pPr>
              <w:keepNext w:val="0"/>
              <w:keepLines w:val="0"/>
              <w:widowControl/>
              <w:suppressLineNumbers w:val="0"/>
              <w:jc w:val="left"/>
              <w:textAlignment w:val="center"/>
              <w:rPr>
                <w:rFonts w:hint="eastAsia"/>
                <w:color w:val="auto"/>
                <w:highlight w:val="none"/>
              </w:rPr>
            </w:pPr>
            <w:r>
              <w:rPr>
                <w:rFonts w:hint="eastAsia"/>
                <w:color w:val="auto"/>
                <w:highlight w:val="none"/>
              </w:rPr>
              <w:t>5.单条内存容量≥  8  GB。</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三、主板规格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1.主板集成模块集成资源扩展模块、计算处理模块、音频扩展模块等，主板的互联拓扑可通过处理器或交换电路实现；</w:t>
            </w:r>
          </w:p>
          <w:p>
            <w:pPr>
              <w:keepNext w:val="0"/>
              <w:keepLines w:val="0"/>
              <w:widowControl/>
              <w:suppressLineNumbers w:val="0"/>
              <w:jc w:val="left"/>
              <w:textAlignment w:val="center"/>
              <w:rPr>
                <w:rFonts w:hint="eastAsia"/>
                <w:color w:val="auto"/>
                <w:highlight w:val="none"/>
              </w:rPr>
            </w:pPr>
            <w:r>
              <w:rPr>
                <w:rFonts w:hint="eastAsia"/>
                <w:color w:val="auto"/>
                <w:highlight w:val="none"/>
              </w:rPr>
              <w:t>2.主板支持的 CPU和内存情况：≥8核8线程，主频≥2.7GHz，末级缓存≥2MB，内存≥双通道DDR4-2666，设计功耗≥70W，位宽≥64位；内存条数量≥1；</w:t>
            </w:r>
          </w:p>
          <w:p>
            <w:pPr>
              <w:keepNext w:val="0"/>
              <w:keepLines w:val="0"/>
              <w:widowControl/>
              <w:suppressLineNumbers w:val="0"/>
              <w:jc w:val="left"/>
              <w:textAlignment w:val="center"/>
              <w:rPr>
                <w:rFonts w:hint="eastAsia"/>
                <w:color w:val="auto"/>
                <w:highlight w:val="none"/>
              </w:rPr>
            </w:pPr>
            <w:r>
              <w:rPr>
                <w:rFonts w:hint="eastAsia"/>
                <w:color w:val="auto"/>
                <w:highlight w:val="none"/>
              </w:rPr>
              <w:t>3.主板内置PCIe 插槽数量≥  2  ；</w:t>
            </w:r>
          </w:p>
          <w:p>
            <w:pPr>
              <w:keepNext w:val="0"/>
              <w:keepLines w:val="0"/>
              <w:widowControl/>
              <w:suppressLineNumbers w:val="0"/>
              <w:jc w:val="left"/>
              <w:textAlignment w:val="center"/>
              <w:rPr>
                <w:rFonts w:hint="eastAsia"/>
                <w:color w:val="auto"/>
                <w:highlight w:val="none"/>
              </w:rPr>
            </w:pPr>
            <w:r>
              <w:rPr>
                <w:rFonts w:hint="eastAsia"/>
                <w:color w:val="auto"/>
                <w:highlight w:val="none"/>
              </w:rPr>
              <w:t>4.内存扩展接口（板载内存不涉及.≥  2  个；</w:t>
            </w:r>
          </w:p>
          <w:p>
            <w:pPr>
              <w:keepNext w:val="0"/>
              <w:keepLines w:val="0"/>
              <w:widowControl/>
              <w:suppressLineNumbers w:val="0"/>
              <w:jc w:val="left"/>
              <w:textAlignment w:val="center"/>
              <w:rPr>
                <w:rFonts w:hint="eastAsia"/>
                <w:color w:val="auto"/>
                <w:highlight w:val="none"/>
              </w:rPr>
            </w:pPr>
            <w:r>
              <w:rPr>
                <w:rFonts w:hint="eastAsia"/>
                <w:color w:val="auto"/>
                <w:highlight w:val="none"/>
              </w:rPr>
              <w:t>5.主板 USB支持瞬间过流保护功能；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6.支持防静电保护功能；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7.I/O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接口，应具备外接标准USB设备、显示器、音频设备等内外部设备能力；</w:t>
            </w:r>
          </w:p>
          <w:p>
            <w:pPr>
              <w:keepNext w:val="0"/>
              <w:keepLines w:val="0"/>
              <w:widowControl/>
              <w:suppressLineNumbers w:val="0"/>
              <w:jc w:val="left"/>
              <w:textAlignment w:val="center"/>
              <w:rPr>
                <w:rFonts w:hint="eastAsia"/>
                <w:color w:val="auto"/>
                <w:highlight w:val="none"/>
              </w:rPr>
            </w:pPr>
            <w:r>
              <w:rPr>
                <w:rFonts w:hint="eastAsia"/>
                <w:color w:val="auto"/>
                <w:highlight w:val="none"/>
              </w:rPr>
              <w:t>8.特殊孔位及接口：接口工作电压 5V，最大过电流应不小于 3A，预留多功能导入装置板卡安装孔位，采用内置方式与主机一体化集成，容量不小于 145mm×125mm×16.5mm （长×宽×高.（±5mm.；</w:t>
            </w:r>
          </w:p>
          <w:p>
            <w:pPr>
              <w:keepNext w:val="0"/>
              <w:keepLines w:val="0"/>
              <w:widowControl/>
              <w:suppressLineNumbers w:val="0"/>
              <w:jc w:val="left"/>
              <w:textAlignment w:val="center"/>
              <w:rPr>
                <w:rFonts w:hint="eastAsia"/>
                <w:color w:val="auto"/>
                <w:highlight w:val="none"/>
              </w:rPr>
            </w:pPr>
            <w:r>
              <w:rPr>
                <w:rFonts w:hint="eastAsia"/>
                <w:color w:val="auto"/>
                <w:highlight w:val="none"/>
              </w:rPr>
              <w:t>9.主板其他内置接口：供应商给出相关 SATA、M.2、USB 接口数量及占用状态；</w:t>
            </w:r>
          </w:p>
          <w:p>
            <w:pPr>
              <w:keepNext w:val="0"/>
              <w:keepLines w:val="0"/>
              <w:widowControl/>
              <w:suppressLineNumbers w:val="0"/>
              <w:jc w:val="left"/>
              <w:textAlignment w:val="center"/>
              <w:rPr>
                <w:rFonts w:hint="eastAsia"/>
                <w:color w:val="auto"/>
                <w:highlight w:val="none"/>
              </w:rPr>
            </w:pPr>
            <w:r>
              <w:rPr>
                <w:rFonts w:hint="eastAsia"/>
                <w:color w:val="auto"/>
                <w:highlight w:val="none"/>
              </w:rPr>
              <w:t>10.单内存插槽最大可支持容量（板载内存不涉及.≥ 8GB；</w:t>
            </w:r>
          </w:p>
          <w:p>
            <w:pPr>
              <w:keepNext w:val="0"/>
              <w:keepLines w:val="0"/>
              <w:widowControl/>
              <w:suppressLineNumbers w:val="0"/>
              <w:jc w:val="left"/>
              <w:textAlignment w:val="center"/>
              <w:rPr>
                <w:rFonts w:hint="eastAsia"/>
                <w:color w:val="auto"/>
                <w:highlight w:val="none"/>
              </w:rPr>
            </w:pPr>
            <w:r>
              <w:rPr>
                <w:rFonts w:hint="eastAsia"/>
                <w:color w:val="auto"/>
                <w:highlight w:val="none"/>
              </w:rPr>
              <w:t>11.内存插槽满配时提供的最高内存总容量≥16GB。</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四、存储设备规格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1.固态盘数量：≥1 个； </w:t>
            </w:r>
          </w:p>
          <w:p>
            <w:pPr>
              <w:keepNext w:val="0"/>
              <w:keepLines w:val="0"/>
              <w:widowControl/>
              <w:suppressLineNumbers w:val="0"/>
              <w:jc w:val="left"/>
              <w:textAlignment w:val="center"/>
              <w:rPr>
                <w:rFonts w:hint="eastAsia"/>
                <w:color w:val="auto"/>
                <w:highlight w:val="none"/>
              </w:rPr>
            </w:pPr>
            <w:r>
              <w:rPr>
                <w:rFonts w:hint="eastAsia"/>
                <w:color w:val="auto"/>
                <w:highlight w:val="none"/>
              </w:rPr>
              <w:t>2.固态存储容量：≥512GB；</w:t>
            </w:r>
          </w:p>
          <w:p>
            <w:pPr>
              <w:keepNext w:val="0"/>
              <w:keepLines w:val="0"/>
              <w:widowControl/>
              <w:suppressLineNumbers w:val="0"/>
              <w:jc w:val="left"/>
              <w:textAlignment w:val="center"/>
              <w:rPr>
                <w:rFonts w:hint="eastAsia"/>
                <w:color w:val="auto"/>
                <w:highlight w:val="none"/>
              </w:rPr>
            </w:pPr>
            <w:r>
              <w:rPr>
                <w:rFonts w:hint="eastAsia"/>
                <w:color w:val="auto"/>
                <w:highlight w:val="none"/>
              </w:rPr>
              <w:t>3.固态存储形态：采用插卡或板载等形态，可选用符合M.2或2.5寸SATA或mSATA等标准的插卡形态；</w:t>
            </w:r>
          </w:p>
          <w:p>
            <w:pPr>
              <w:keepNext w:val="0"/>
              <w:keepLines w:val="0"/>
              <w:widowControl/>
              <w:suppressLineNumbers w:val="0"/>
              <w:jc w:val="left"/>
              <w:textAlignment w:val="center"/>
              <w:rPr>
                <w:rFonts w:hint="eastAsia"/>
                <w:color w:val="auto"/>
                <w:highlight w:val="none"/>
              </w:rPr>
            </w:pPr>
            <w:r>
              <w:rPr>
                <w:rFonts w:hint="eastAsia"/>
                <w:color w:val="auto"/>
                <w:highlight w:val="none"/>
              </w:rPr>
              <w:t>4.存储设备其他参数要求：a)固态盘应符合SJ/T 11654相关规定；b)机械硬盘准备时间应不大于30s；侧面固定螺丝孔数量可为 4 孔或 6 孔；工作状态环境温度应满足5℃-55℃；其它参数应符合GB/T 12628相关规定。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五、显卡规格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1.显卡类型：集成显卡；</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六、显示设备规格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1.显示屏屏占比≥  80   %；</w:t>
            </w:r>
          </w:p>
          <w:p>
            <w:pPr>
              <w:keepNext w:val="0"/>
              <w:keepLines w:val="0"/>
              <w:widowControl/>
              <w:suppressLineNumbers w:val="0"/>
              <w:jc w:val="left"/>
              <w:textAlignment w:val="center"/>
              <w:rPr>
                <w:rFonts w:hint="eastAsia"/>
                <w:color w:val="auto"/>
                <w:highlight w:val="none"/>
              </w:rPr>
            </w:pPr>
            <w:r>
              <w:rPr>
                <w:rFonts w:hint="eastAsia"/>
                <w:color w:val="auto"/>
                <w:highlight w:val="none"/>
              </w:rPr>
              <w:t>2.显示屏分辨率≥  1920x1080  ；</w:t>
            </w:r>
          </w:p>
          <w:p>
            <w:pPr>
              <w:keepNext w:val="0"/>
              <w:keepLines w:val="0"/>
              <w:widowControl/>
              <w:suppressLineNumbers w:val="0"/>
              <w:jc w:val="left"/>
              <w:textAlignment w:val="center"/>
              <w:rPr>
                <w:rFonts w:hint="eastAsia"/>
                <w:color w:val="auto"/>
                <w:highlight w:val="none"/>
              </w:rPr>
            </w:pPr>
            <w:r>
              <w:rPr>
                <w:rFonts w:hint="eastAsia"/>
                <w:color w:val="auto"/>
                <w:highlight w:val="none"/>
              </w:rPr>
              <w:t>3.显示屏尺寸≥  21.5 英寸；</w:t>
            </w:r>
          </w:p>
          <w:p>
            <w:pPr>
              <w:keepNext w:val="0"/>
              <w:keepLines w:val="0"/>
              <w:widowControl/>
              <w:suppressLineNumbers w:val="0"/>
              <w:jc w:val="left"/>
              <w:textAlignment w:val="center"/>
              <w:rPr>
                <w:rFonts w:hint="eastAsia"/>
                <w:color w:val="auto"/>
                <w:highlight w:val="none"/>
              </w:rPr>
            </w:pPr>
            <w:r>
              <w:rPr>
                <w:rFonts w:hint="eastAsia"/>
                <w:color w:val="auto"/>
                <w:highlight w:val="none"/>
              </w:rPr>
              <w:t>4.显示屏屏幕比例：  16:9  ；</w:t>
            </w:r>
          </w:p>
          <w:p>
            <w:pPr>
              <w:keepNext w:val="0"/>
              <w:keepLines w:val="0"/>
              <w:widowControl/>
              <w:suppressLineNumbers w:val="0"/>
              <w:jc w:val="left"/>
              <w:textAlignment w:val="center"/>
              <w:rPr>
                <w:rFonts w:hint="eastAsia"/>
                <w:color w:val="auto"/>
                <w:highlight w:val="none"/>
              </w:rPr>
            </w:pPr>
            <w:r>
              <w:rPr>
                <w:rFonts w:hint="eastAsia"/>
                <w:color w:val="auto"/>
                <w:highlight w:val="none"/>
              </w:rPr>
              <w:t>5.显示器外观颜色： 黑色/白色/银色等商务色系等；</w:t>
            </w:r>
          </w:p>
          <w:p>
            <w:pPr>
              <w:keepNext w:val="0"/>
              <w:keepLines w:val="0"/>
              <w:widowControl/>
              <w:suppressLineNumbers w:val="0"/>
              <w:jc w:val="left"/>
              <w:textAlignment w:val="center"/>
              <w:rPr>
                <w:rFonts w:hint="eastAsia"/>
                <w:color w:val="auto"/>
                <w:highlight w:val="none"/>
              </w:rPr>
            </w:pPr>
            <w:r>
              <w:rPr>
                <w:rFonts w:hint="eastAsia"/>
                <w:color w:val="auto"/>
                <w:highlight w:val="none"/>
              </w:rPr>
              <w:t>6.显示屏支持防蓝光模式，蓝光加权辐射亮度比应≤  0.0012  W/（·cd·sr.（瓦每坎特拉每球面度.可参照 SJ/T11841.2.2-2022标准；显示屏应支持低频闪≤  -35  dB；</w:t>
            </w:r>
          </w:p>
          <w:p>
            <w:pPr>
              <w:keepNext w:val="0"/>
              <w:keepLines w:val="0"/>
              <w:widowControl/>
              <w:suppressLineNumbers w:val="0"/>
              <w:jc w:val="left"/>
              <w:textAlignment w:val="center"/>
              <w:rPr>
                <w:rFonts w:hint="eastAsia"/>
                <w:color w:val="auto"/>
                <w:highlight w:val="none"/>
              </w:rPr>
            </w:pPr>
            <w:r>
              <w:rPr>
                <w:rFonts w:hint="eastAsia"/>
                <w:color w:val="auto"/>
                <w:highlight w:val="none"/>
              </w:rPr>
              <w:t>7.显示屏镜面反射率≤  10  %；</w:t>
            </w:r>
          </w:p>
          <w:p>
            <w:pPr>
              <w:keepNext w:val="0"/>
              <w:keepLines w:val="0"/>
              <w:widowControl/>
              <w:suppressLineNumbers w:val="0"/>
              <w:jc w:val="left"/>
              <w:textAlignment w:val="center"/>
              <w:rPr>
                <w:rFonts w:hint="eastAsia"/>
                <w:color w:val="auto"/>
                <w:highlight w:val="none"/>
              </w:rPr>
            </w:pPr>
            <w:r>
              <w:rPr>
                <w:rFonts w:hint="eastAsia"/>
                <w:color w:val="auto"/>
                <w:highlight w:val="none"/>
              </w:rPr>
              <w:t>8.显示屏刷新率≥  75  Hz；</w:t>
            </w:r>
          </w:p>
          <w:p>
            <w:pPr>
              <w:keepNext w:val="0"/>
              <w:keepLines w:val="0"/>
              <w:widowControl/>
              <w:suppressLineNumbers w:val="0"/>
              <w:jc w:val="left"/>
              <w:textAlignment w:val="center"/>
              <w:rPr>
                <w:rFonts w:hint="eastAsia"/>
                <w:color w:val="auto"/>
                <w:highlight w:val="none"/>
              </w:rPr>
            </w:pPr>
            <w:r>
              <w:rPr>
                <w:rFonts w:hint="eastAsia"/>
                <w:color w:val="auto"/>
                <w:highlight w:val="none"/>
              </w:rPr>
              <w:t>9.显示屏位深≥  8  位；</w:t>
            </w:r>
          </w:p>
          <w:p>
            <w:pPr>
              <w:keepNext w:val="0"/>
              <w:keepLines w:val="0"/>
              <w:widowControl/>
              <w:suppressLineNumbers w:val="0"/>
              <w:jc w:val="left"/>
              <w:textAlignment w:val="center"/>
              <w:rPr>
                <w:rFonts w:hint="eastAsia"/>
                <w:color w:val="auto"/>
                <w:highlight w:val="none"/>
              </w:rPr>
            </w:pPr>
            <w:r>
              <w:rPr>
                <w:rFonts w:hint="eastAsia"/>
                <w:color w:val="auto"/>
                <w:highlight w:val="none"/>
              </w:rPr>
              <w:t>10.显示屏色域≥  90%   DCI-P3；</w:t>
            </w:r>
          </w:p>
          <w:p>
            <w:pPr>
              <w:keepNext w:val="0"/>
              <w:keepLines w:val="0"/>
              <w:widowControl/>
              <w:suppressLineNumbers w:val="0"/>
              <w:jc w:val="left"/>
              <w:textAlignment w:val="center"/>
              <w:rPr>
                <w:rFonts w:hint="eastAsia"/>
                <w:color w:val="auto"/>
                <w:highlight w:val="none"/>
              </w:rPr>
            </w:pPr>
            <w:r>
              <w:rPr>
                <w:rFonts w:hint="eastAsia"/>
                <w:color w:val="auto"/>
                <w:highlight w:val="none"/>
              </w:rPr>
              <w:t>11.显示屏色准△E ≤  4  ；</w:t>
            </w:r>
          </w:p>
          <w:p>
            <w:pPr>
              <w:keepNext w:val="0"/>
              <w:keepLines w:val="0"/>
              <w:widowControl/>
              <w:suppressLineNumbers w:val="0"/>
              <w:jc w:val="left"/>
              <w:textAlignment w:val="center"/>
              <w:rPr>
                <w:rFonts w:hint="eastAsia"/>
                <w:color w:val="auto"/>
                <w:highlight w:val="none"/>
              </w:rPr>
            </w:pPr>
            <w:r>
              <w:rPr>
                <w:rFonts w:hint="eastAsia"/>
                <w:color w:val="auto"/>
                <w:highlight w:val="none"/>
              </w:rPr>
              <w:t>12.显示屏响应时间≤  8  ms；</w:t>
            </w:r>
          </w:p>
          <w:p>
            <w:pPr>
              <w:keepNext w:val="0"/>
              <w:keepLines w:val="0"/>
              <w:widowControl/>
              <w:suppressLineNumbers w:val="0"/>
              <w:jc w:val="left"/>
              <w:textAlignment w:val="center"/>
              <w:rPr>
                <w:rFonts w:hint="eastAsia"/>
                <w:color w:val="auto"/>
                <w:highlight w:val="none"/>
              </w:rPr>
            </w:pPr>
            <w:r>
              <w:rPr>
                <w:rFonts w:hint="eastAsia"/>
                <w:color w:val="auto"/>
                <w:highlight w:val="none"/>
              </w:rPr>
              <w:t>13.显示屏亮度≥  250  尼特；</w:t>
            </w:r>
          </w:p>
          <w:p>
            <w:pPr>
              <w:keepNext w:val="0"/>
              <w:keepLines w:val="0"/>
              <w:widowControl/>
              <w:suppressLineNumbers w:val="0"/>
              <w:jc w:val="left"/>
              <w:textAlignment w:val="center"/>
              <w:rPr>
                <w:rFonts w:hint="eastAsia"/>
                <w:color w:val="auto"/>
                <w:highlight w:val="none"/>
              </w:rPr>
            </w:pPr>
            <w:r>
              <w:rPr>
                <w:rFonts w:hint="eastAsia"/>
                <w:color w:val="auto"/>
                <w:highlight w:val="none"/>
              </w:rPr>
              <w:t>14.显示屏亮度一致性≥  70   %；</w:t>
            </w:r>
          </w:p>
          <w:p>
            <w:pPr>
              <w:keepNext w:val="0"/>
              <w:keepLines w:val="0"/>
              <w:widowControl/>
              <w:suppressLineNumbers w:val="0"/>
              <w:jc w:val="left"/>
              <w:textAlignment w:val="center"/>
              <w:rPr>
                <w:rFonts w:hint="eastAsia"/>
                <w:color w:val="auto"/>
                <w:highlight w:val="none"/>
              </w:rPr>
            </w:pPr>
            <w:r>
              <w:rPr>
                <w:rFonts w:hint="eastAsia"/>
                <w:color w:val="auto"/>
                <w:highlight w:val="none"/>
              </w:rPr>
              <w:t>15.显示屏对比度≥  500：1   ；</w:t>
            </w:r>
          </w:p>
          <w:p>
            <w:pPr>
              <w:keepNext w:val="0"/>
              <w:keepLines w:val="0"/>
              <w:widowControl/>
              <w:suppressLineNumbers w:val="0"/>
              <w:jc w:val="left"/>
              <w:textAlignment w:val="center"/>
              <w:rPr>
                <w:rFonts w:hint="eastAsia"/>
                <w:color w:val="auto"/>
                <w:highlight w:val="none"/>
              </w:rPr>
            </w:pPr>
            <w:r>
              <w:rPr>
                <w:rFonts w:hint="eastAsia"/>
                <w:color w:val="auto"/>
                <w:highlight w:val="none"/>
              </w:rPr>
              <w:t>16.显示器接口应与显卡外接显示接口匹配；</w:t>
            </w:r>
          </w:p>
          <w:p>
            <w:pPr>
              <w:keepNext w:val="0"/>
              <w:keepLines w:val="0"/>
              <w:widowControl/>
              <w:suppressLineNumbers w:val="0"/>
              <w:jc w:val="left"/>
              <w:textAlignment w:val="center"/>
              <w:rPr>
                <w:rFonts w:hint="eastAsia"/>
                <w:color w:val="auto"/>
                <w:highlight w:val="none"/>
              </w:rPr>
            </w:pPr>
            <w:r>
              <w:rPr>
                <w:rFonts w:hint="eastAsia"/>
                <w:color w:val="auto"/>
                <w:highlight w:val="none"/>
              </w:rPr>
              <w:t>17.显示器参数调节：提供 OSD 选单按钮用于调节色彩、模式等，支持色温、亮度、对比度调节；</w:t>
            </w:r>
          </w:p>
          <w:p>
            <w:pPr>
              <w:keepNext w:val="0"/>
              <w:keepLines w:val="0"/>
              <w:widowControl/>
              <w:suppressLineNumbers w:val="0"/>
              <w:jc w:val="left"/>
              <w:textAlignment w:val="center"/>
              <w:rPr>
                <w:rFonts w:hint="eastAsia"/>
                <w:color w:val="auto"/>
                <w:highlight w:val="none"/>
              </w:rPr>
            </w:pPr>
            <w:r>
              <w:rPr>
                <w:rFonts w:hint="eastAsia"/>
                <w:color w:val="auto"/>
                <w:highlight w:val="none"/>
              </w:rPr>
              <w:t>18.显示屏其他参数应符合 SJ/T 11292 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七、外设规格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1.鼠标数量：≥1个；</w:t>
            </w:r>
          </w:p>
          <w:p>
            <w:pPr>
              <w:keepNext w:val="0"/>
              <w:keepLines w:val="0"/>
              <w:widowControl/>
              <w:suppressLineNumbers w:val="0"/>
              <w:jc w:val="left"/>
              <w:textAlignment w:val="center"/>
              <w:rPr>
                <w:rFonts w:hint="eastAsia"/>
                <w:color w:val="auto"/>
                <w:highlight w:val="none"/>
              </w:rPr>
            </w:pPr>
            <w:r>
              <w:rPr>
                <w:rFonts w:hint="eastAsia"/>
                <w:color w:val="auto"/>
                <w:highlight w:val="none"/>
              </w:rPr>
              <w:t>2.键盘数量：≥1个；</w:t>
            </w:r>
          </w:p>
          <w:p>
            <w:pPr>
              <w:keepNext w:val="0"/>
              <w:keepLines w:val="0"/>
              <w:widowControl/>
              <w:suppressLineNumbers w:val="0"/>
              <w:jc w:val="left"/>
              <w:textAlignment w:val="center"/>
              <w:rPr>
                <w:rFonts w:hint="eastAsia"/>
                <w:color w:val="auto"/>
                <w:highlight w:val="none"/>
              </w:rPr>
            </w:pPr>
            <w:r>
              <w:rPr>
                <w:rFonts w:hint="eastAsia"/>
                <w:color w:val="auto"/>
                <w:highlight w:val="none"/>
              </w:rPr>
              <w:t>3.键盘按键数目：104键；</w:t>
            </w:r>
          </w:p>
          <w:p>
            <w:pPr>
              <w:keepNext w:val="0"/>
              <w:keepLines w:val="0"/>
              <w:widowControl/>
              <w:suppressLineNumbers w:val="0"/>
              <w:jc w:val="left"/>
              <w:textAlignment w:val="center"/>
              <w:rPr>
                <w:rFonts w:hint="eastAsia"/>
                <w:color w:val="auto"/>
                <w:highlight w:val="none"/>
              </w:rPr>
            </w:pPr>
            <w:r>
              <w:rPr>
                <w:rFonts w:hint="eastAsia"/>
                <w:color w:val="auto"/>
                <w:highlight w:val="none"/>
              </w:rPr>
              <w:t>4.键盘连接方式：有线；</w:t>
            </w:r>
          </w:p>
          <w:p>
            <w:pPr>
              <w:keepNext w:val="0"/>
              <w:keepLines w:val="0"/>
              <w:widowControl/>
              <w:suppressLineNumbers w:val="0"/>
              <w:jc w:val="left"/>
              <w:textAlignment w:val="center"/>
              <w:rPr>
                <w:rFonts w:hint="eastAsia"/>
                <w:color w:val="auto"/>
                <w:highlight w:val="none"/>
              </w:rPr>
            </w:pPr>
            <w:r>
              <w:rPr>
                <w:rFonts w:hint="eastAsia"/>
                <w:color w:val="auto"/>
                <w:highlight w:val="none"/>
              </w:rPr>
              <w:t>5.键盘键程：2.3mm～4.0mm；</w:t>
            </w:r>
          </w:p>
          <w:p>
            <w:pPr>
              <w:keepNext w:val="0"/>
              <w:keepLines w:val="0"/>
              <w:widowControl/>
              <w:suppressLineNumbers w:val="0"/>
              <w:jc w:val="left"/>
              <w:textAlignment w:val="center"/>
              <w:rPr>
                <w:rFonts w:hint="eastAsia"/>
                <w:color w:val="auto"/>
                <w:highlight w:val="none"/>
              </w:rPr>
            </w:pPr>
            <w:r>
              <w:rPr>
                <w:rFonts w:hint="eastAsia"/>
                <w:color w:val="auto"/>
                <w:highlight w:val="none"/>
              </w:rPr>
              <w:t>6.键盘按键压力：按键压力应在0.54N±0.14N；</w:t>
            </w:r>
          </w:p>
          <w:p>
            <w:pPr>
              <w:keepNext w:val="0"/>
              <w:keepLines w:val="0"/>
              <w:widowControl/>
              <w:suppressLineNumbers w:val="0"/>
              <w:jc w:val="left"/>
              <w:textAlignment w:val="center"/>
              <w:rPr>
                <w:rFonts w:hint="eastAsia"/>
                <w:color w:val="auto"/>
                <w:highlight w:val="none"/>
              </w:rPr>
            </w:pPr>
            <w:r>
              <w:rPr>
                <w:rFonts w:hint="eastAsia"/>
                <w:color w:val="auto"/>
                <w:highlight w:val="none"/>
              </w:rPr>
              <w:t>7.有线键盘连接线：≥1.5米；</w:t>
            </w:r>
          </w:p>
          <w:p>
            <w:pPr>
              <w:keepNext w:val="0"/>
              <w:keepLines w:val="0"/>
              <w:widowControl/>
              <w:suppressLineNumbers w:val="0"/>
              <w:jc w:val="left"/>
              <w:textAlignment w:val="center"/>
              <w:rPr>
                <w:rFonts w:hint="eastAsia"/>
                <w:color w:val="auto"/>
                <w:highlight w:val="none"/>
              </w:rPr>
            </w:pPr>
            <w:r>
              <w:rPr>
                <w:rFonts w:hint="eastAsia"/>
                <w:color w:val="auto"/>
                <w:highlight w:val="none"/>
              </w:rPr>
              <w:t>8.键盘颜色：黑色；</w:t>
            </w:r>
          </w:p>
          <w:p>
            <w:pPr>
              <w:keepNext w:val="0"/>
              <w:keepLines w:val="0"/>
              <w:widowControl/>
              <w:suppressLineNumbers w:val="0"/>
              <w:jc w:val="left"/>
              <w:textAlignment w:val="center"/>
              <w:rPr>
                <w:rFonts w:hint="eastAsia"/>
                <w:color w:val="auto"/>
                <w:highlight w:val="none"/>
              </w:rPr>
            </w:pPr>
            <w:r>
              <w:rPr>
                <w:rFonts w:hint="eastAsia"/>
                <w:color w:val="auto"/>
                <w:highlight w:val="none"/>
              </w:rPr>
              <w:t>9.鼠标连接方式：有线；</w:t>
            </w:r>
          </w:p>
          <w:p>
            <w:pPr>
              <w:keepNext w:val="0"/>
              <w:keepLines w:val="0"/>
              <w:widowControl/>
              <w:suppressLineNumbers w:val="0"/>
              <w:jc w:val="left"/>
              <w:textAlignment w:val="center"/>
              <w:rPr>
                <w:rFonts w:hint="eastAsia"/>
                <w:color w:val="auto"/>
                <w:highlight w:val="none"/>
              </w:rPr>
            </w:pPr>
            <w:r>
              <w:rPr>
                <w:rFonts w:hint="eastAsia"/>
                <w:color w:val="auto"/>
                <w:highlight w:val="none"/>
              </w:rPr>
              <w:t>10.有线鼠标连接线：≥1.5米；</w:t>
            </w:r>
          </w:p>
          <w:p>
            <w:pPr>
              <w:keepNext w:val="0"/>
              <w:keepLines w:val="0"/>
              <w:widowControl/>
              <w:suppressLineNumbers w:val="0"/>
              <w:jc w:val="left"/>
              <w:textAlignment w:val="center"/>
              <w:rPr>
                <w:rFonts w:hint="eastAsia"/>
                <w:color w:val="auto"/>
                <w:highlight w:val="none"/>
              </w:rPr>
            </w:pPr>
            <w:r>
              <w:rPr>
                <w:rFonts w:hint="eastAsia"/>
                <w:color w:val="auto"/>
                <w:highlight w:val="none"/>
              </w:rPr>
              <w:t>11.鼠标DPI分辨率：800～1600；</w:t>
            </w:r>
          </w:p>
          <w:p>
            <w:pPr>
              <w:keepNext w:val="0"/>
              <w:keepLines w:val="0"/>
              <w:widowControl/>
              <w:suppressLineNumbers w:val="0"/>
              <w:jc w:val="left"/>
              <w:textAlignment w:val="center"/>
              <w:rPr>
                <w:rFonts w:hint="eastAsia"/>
                <w:color w:val="auto"/>
                <w:highlight w:val="none"/>
              </w:rPr>
            </w:pPr>
            <w:r>
              <w:rPr>
                <w:rFonts w:hint="eastAsia"/>
                <w:color w:val="auto"/>
                <w:highlight w:val="none"/>
              </w:rPr>
              <w:t>12.鼠标颜色：黑色；</w:t>
            </w:r>
          </w:p>
          <w:p>
            <w:pPr>
              <w:keepNext w:val="0"/>
              <w:keepLines w:val="0"/>
              <w:widowControl/>
              <w:suppressLineNumbers w:val="0"/>
              <w:jc w:val="left"/>
              <w:textAlignment w:val="center"/>
              <w:rPr>
                <w:rFonts w:hint="eastAsia"/>
                <w:color w:val="auto"/>
                <w:highlight w:val="none"/>
              </w:rPr>
            </w:pPr>
            <w:r>
              <w:rPr>
                <w:rFonts w:hint="eastAsia"/>
                <w:color w:val="auto"/>
                <w:highlight w:val="none"/>
              </w:rPr>
              <w:t>13.鼠标其他要求：其它参数应符合 GB/T 26245-2010 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八、网络设备规格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有线网卡数量：≥1；</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九、外部接口规格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1.USB 接口数量：机箱前面板应提供不少于 3 个 USB 接口（含2 个 USB3.0 及以上接口），且支持在关机状态下对外供电；机箱后面板应提供不少于 4 个 USB 接口（含2个 USB3.0 及以上接口）；</w:t>
            </w:r>
          </w:p>
          <w:p>
            <w:pPr>
              <w:keepNext w:val="0"/>
              <w:keepLines w:val="0"/>
              <w:widowControl/>
              <w:suppressLineNumbers w:val="0"/>
              <w:jc w:val="left"/>
              <w:textAlignment w:val="center"/>
              <w:rPr>
                <w:rFonts w:hint="eastAsia"/>
                <w:color w:val="auto"/>
                <w:highlight w:val="none"/>
              </w:rPr>
            </w:pPr>
            <w:r>
              <w:rPr>
                <w:rFonts w:hint="eastAsia"/>
                <w:color w:val="auto"/>
                <w:highlight w:val="none"/>
              </w:rPr>
              <w:t>2.视频接口数量：≥1；</w:t>
            </w:r>
          </w:p>
          <w:p>
            <w:pPr>
              <w:keepNext w:val="0"/>
              <w:keepLines w:val="0"/>
              <w:widowControl/>
              <w:suppressLineNumbers w:val="0"/>
              <w:jc w:val="left"/>
              <w:textAlignment w:val="center"/>
              <w:rPr>
                <w:rFonts w:hint="eastAsia"/>
                <w:color w:val="auto"/>
                <w:highlight w:val="none"/>
              </w:rPr>
            </w:pPr>
            <w:r>
              <w:rPr>
                <w:rFonts w:hint="eastAsia"/>
                <w:color w:val="auto"/>
                <w:highlight w:val="none"/>
              </w:rPr>
              <w:t>3.音频接口数量：≥1；</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十、整机基础规格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1.整机外观：</w:t>
            </w:r>
          </w:p>
          <w:p>
            <w:pPr>
              <w:keepNext w:val="0"/>
              <w:keepLines w:val="0"/>
              <w:widowControl/>
              <w:suppressLineNumbers w:val="0"/>
              <w:jc w:val="left"/>
              <w:textAlignment w:val="center"/>
              <w:rPr>
                <w:rFonts w:hint="eastAsia"/>
                <w:color w:val="auto"/>
                <w:highlight w:val="none"/>
              </w:rPr>
            </w:pPr>
            <w:r>
              <w:rPr>
                <w:rFonts w:hint="eastAsia"/>
                <w:color w:val="auto"/>
                <w:highlight w:val="none"/>
              </w:rPr>
              <w:t>a) 产品表面不应有凹痕、划伤、裂缝、变形和污染等。表面涂层均匀，不应起泡、龟裂、脱落和磨损，金属零部件无锈蚀及其它机械损伤；</w:t>
            </w:r>
          </w:p>
          <w:p>
            <w:pPr>
              <w:keepNext w:val="0"/>
              <w:keepLines w:val="0"/>
              <w:widowControl/>
              <w:suppressLineNumbers w:val="0"/>
              <w:jc w:val="left"/>
              <w:textAlignment w:val="center"/>
              <w:rPr>
                <w:rFonts w:hint="eastAsia"/>
                <w:color w:val="auto"/>
                <w:highlight w:val="none"/>
              </w:rPr>
            </w:pPr>
            <w:r>
              <w:rPr>
                <w:rFonts w:hint="eastAsia"/>
                <w:color w:val="auto"/>
                <w:highlight w:val="none"/>
              </w:rPr>
              <w:t>b) 产品表面说明功能的文字、符号、标志，应清晰、端正、牢固；</w:t>
            </w:r>
          </w:p>
          <w:p>
            <w:pPr>
              <w:keepNext w:val="0"/>
              <w:keepLines w:val="0"/>
              <w:widowControl/>
              <w:suppressLineNumbers w:val="0"/>
              <w:jc w:val="left"/>
              <w:textAlignment w:val="center"/>
              <w:rPr>
                <w:rFonts w:hint="eastAsia"/>
                <w:color w:val="auto"/>
                <w:highlight w:val="none"/>
              </w:rPr>
            </w:pPr>
            <w:r>
              <w:rPr>
                <w:rFonts w:hint="eastAsia"/>
                <w:color w:val="auto"/>
                <w:highlight w:val="none"/>
              </w:rPr>
              <w:t>2.状态指示灯：在产品显著位置提供状态指示功能；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3.整机结构：</w:t>
            </w:r>
          </w:p>
          <w:p>
            <w:pPr>
              <w:keepNext w:val="0"/>
              <w:keepLines w:val="0"/>
              <w:widowControl/>
              <w:suppressLineNumbers w:val="0"/>
              <w:jc w:val="left"/>
              <w:textAlignment w:val="center"/>
              <w:rPr>
                <w:rFonts w:hint="eastAsia"/>
                <w:color w:val="auto"/>
                <w:highlight w:val="none"/>
              </w:rPr>
            </w:pPr>
            <w:r>
              <w:rPr>
                <w:rFonts w:hint="eastAsia"/>
                <w:color w:val="auto"/>
                <w:highlight w:val="none"/>
              </w:rPr>
              <w:t>a) 机箱应符合 GB/T 4208-2017、GB/T 26246-2010的相关规定；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b) 产品内部结构应符合通用部件的安装需求；</w:t>
            </w:r>
          </w:p>
          <w:p>
            <w:pPr>
              <w:keepNext w:val="0"/>
              <w:keepLines w:val="0"/>
              <w:widowControl/>
              <w:suppressLineNumbers w:val="0"/>
              <w:jc w:val="left"/>
              <w:textAlignment w:val="center"/>
              <w:rPr>
                <w:rFonts w:hint="eastAsia"/>
                <w:color w:val="auto"/>
                <w:highlight w:val="none"/>
              </w:rPr>
            </w:pPr>
            <w:r>
              <w:rPr>
                <w:rFonts w:hint="eastAsia"/>
                <w:color w:val="auto"/>
                <w:highlight w:val="none"/>
              </w:rPr>
              <w:t>c) 所有输入输出接口应符合相关国家或行业标准；</w:t>
            </w:r>
          </w:p>
          <w:p>
            <w:pPr>
              <w:keepNext w:val="0"/>
              <w:keepLines w:val="0"/>
              <w:widowControl/>
              <w:suppressLineNumbers w:val="0"/>
              <w:jc w:val="left"/>
              <w:textAlignment w:val="center"/>
              <w:rPr>
                <w:rFonts w:hint="eastAsia"/>
                <w:color w:val="auto"/>
                <w:highlight w:val="none"/>
              </w:rPr>
            </w:pPr>
            <w:r>
              <w:rPr>
                <w:rFonts w:hint="eastAsia"/>
                <w:color w:val="auto"/>
                <w:highlight w:val="none"/>
              </w:rPr>
              <w:t>d) 产品零部件应紧固无松动，可插拔部件应可靠连接，开关、按钮和其它控制部件应灵活可靠，布局应方便使用；</w:t>
            </w:r>
          </w:p>
          <w:p>
            <w:pPr>
              <w:keepNext w:val="0"/>
              <w:keepLines w:val="0"/>
              <w:widowControl/>
              <w:suppressLineNumbers w:val="0"/>
              <w:jc w:val="left"/>
              <w:textAlignment w:val="center"/>
              <w:rPr>
                <w:rFonts w:hint="eastAsia"/>
                <w:color w:val="auto"/>
                <w:highlight w:val="none"/>
              </w:rPr>
            </w:pPr>
            <w:r>
              <w:rPr>
                <w:rFonts w:hint="eastAsia"/>
                <w:color w:val="auto"/>
                <w:highlight w:val="none"/>
              </w:rPr>
              <w:t>e) 所有 I/O 连接器及需插接线缆的部位应预留采购人操作空间，方便插拔解锁与插拔线缆；</w:t>
            </w:r>
          </w:p>
          <w:p>
            <w:pPr>
              <w:keepNext w:val="0"/>
              <w:keepLines w:val="0"/>
              <w:widowControl/>
              <w:suppressLineNumbers w:val="0"/>
              <w:jc w:val="left"/>
              <w:textAlignment w:val="center"/>
              <w:rPr>
                <w:rFonts w:hint="eastAsia"/>
                <w:color w:val="auto"/>
                <w:highlight w:val="none"/>
              </w:rPr>
            </w:pPr>
            <w:r>
              <w:rPr>
                <w:rFonts w:hint="eastAsia"/>
                <w:color w:val="auto"/>
                <w:highlight w:val="none"/>
              </w:rPr>
              <w:t>f) 可插拔板卡插槽部位应预留安装、拆卸或更换板卡空间；</w:t>
            </w:r>
          </w:p>
          <w:p>
            <w:pPr>
              <w:keepNext w:val="0"/>
              <w:keepLines w:val="0"/>
              <w:widowControl/>
              <w:suppressLineNumbers w:val="0"/>
              <w:jc w:val="left"/>
              <w:textAlignment w:val="center"/>
              <w:rPr>
                <w:rFonts w:hint="eastAsia"/>
                <w:color w:val="auto"/>
                <w:highlight w:val="none"/>
              </w:rPr>
            </w:pPr>
            <w:r>
              <w:rPr>
                <w:rFonts w:hint="eastAsia"/>
                <w:color w:val="auto"/>
                <w:highlight w:val="none"/>
              </w:rPr>
              <w:t>g) 拆装可能接触到的金属剪口或金属尖角部位应做防划伤处理，以保证安全；</w:t>
            </w:r>
          </w:p>
          <w:p>
            <w:pPr>
              <w:keepNext w:val="0"/>
              <w:keepLines w:val="0"/>
              <w:widowControl/>
              <w:suppressLineNumbers w:val="0"/>
              <w:jc w:val="left"/>
              <w:textAlignment w:val="center"/>
              <w:rPr>
                <w:rFonts w:hint="eastAsia"/>
                <w:color w:val="auto"/>
                <w:highlight w:val="none"/>
              </w:rPr>
            </w:pPr>
            <w:r>
              <w:rPr>
                <w:rFonts w:hint="eastAsia"/>
                <w:color w:val="auto"/>
                <w:highlight w:val="none"/>
              </w:rPr>
              <w:t>h) 整机内部走线应规整，固线结构和位置要合理可靠并做防割线处理，需便于理线和插拔操作，走线应不影响系统各主要部件组装和拆卸；</w:t>
            </w:r>
          </w:p>
          <w:p>
            <w:pPr>
              <w:keepNext w:val="0"/>
              <w:keepLines w:val="0"/>
              <w:widowControl/>
              <w:suppressLineNumbers w:val="0"/>
              <w:jc w:val="left"/>
              <w:textAlignment w:val="center"/>
              <w:rPr>
                <w:rFonts w:hint="eastAsia"/>
                <w:color w:val="auto"/>
                <w:highlight w:val="none"/>
              </w:rPr>
            </w:pPr>
            <w:r>
              <w:rPr>
                <w:rFonts w:hint="eastAsia"/>
                <w:color w:val="auto"/>
                <w:highlight w:val="none"/>
              </w:rPr>
              <w:t>i) 如需通过孔走线，过线孔应做防割线处理；</w:t>
            </w:r>
          </w:p>
          <w:p>
            <w:pPr>
              <w:keepNext w:val="0"/>
              <w:keepLines w:val="0"/>
              <w:widowControl/>
              <w:suppressLineNumbers w:val="0"/>
              <w:jc w:val="left"/>
              <w:textAlignment w:val="center"/>
              <w:rPr>
                <w:rFonts w:hint="eastAsia"/>
                <w:color w:val="auto"/>
                <w:highlight w:val="none"/>
              </w:rPr>
            </w:pPr>
            <w:r>
              <w:rPr>
                <w:rFonts w:hint="eastAsia"/>
                <w:color w:val="auto"/>
                <w:highlight w:val="none"/>
              </w:rPr>
              <w:t>j) 各插头位置和插拔方向应合理，应做到插拔无障碍设计，具备防呆设计，有效避免误操作；</w:t>
            </w:r>
          </w:p>
          <w:p>
            <w:pPr>
              <w:keepNext w:val="0"/>
              <w:keepLines w:val="0"/>
              <w:widowControl/>
              <w:suppressLineNumbers w:val="0"/>
              <w:jc w:val="left"/>
              <w:textAlignment w:val="center"/>
              <w:rPr>
                <w:rFonts w:hint="eastAsia"/>
                <w:color w:val="auto"/>
                <w:highlight w:val="none"/>
              </w:rPr>
            </w:pPr>
            <w:r>
              <w:rPr>
                <w:rFonts w:hint="eastAsia"/>
                <w:color w:val="auto"/>
                <w:highlight w:val="none"/>
              </w:rPr>
              <w:t>k) 各主要部件拆装无障碍，使用常规工具拆装，无特殊拆装工具需求；</w:t>
            </w:r>
          </w:p>
          <w:p>
            <w:pPr>
              <w:keepNext w:val="0"/>
              <w:keepLines w:val="0"/>
              <w:widowControl/>
              <w:suppressLineNumbers w:val="0"/>
              <w:jc w:val="left"/>
              <w:textAlignment w:val="center"/>
              <w:rPr>
                <w:rFonts w:hint="eastAsia"/>
                <w:color w:val="auto"/>
                <w:highlight w:val="none"/>
              </w:rPr>
            </w:pPr>
            <w:r>
              <w:rPr>
                <w:rFonts w:hint="eastAsia"/>
                <w:color w:val="auto"/>
                <w:highlight w:val="none"/>
              </w:rPr>
              <w:t>l) 各主要部件拆装步骤要少，各自拆装需避免相互干扰；</w:t>
            </w:r>
          </w:p>
          <w:p>
            <w:pPr>
              <w:keepNext w:val="0"/>
              <w:keepLines w:val="0"/>
              <w:widowControl/>
              <w:suppressLineNumbers w:val="0"/>
              <w:jc w:val="left"/>
              <w:textAlignment w:val="center"/>
              <w:rPr>
                <w:rFonts w:hint="eastAsia"/>
                <w:color w:val="auto"/>
                <w:highlight w:val="none"/>
              </w:rPr>
            </w:pPr>
            <w:r>
              <w:rPr>
                <w:rFonts w:hint="eastAsia"/>
                <w:color w:val="auto"/>
                <w:highlight w:val="none"/>
              </w:rPr>
              <w:t>m) 对于整机或零部件外表面为高亮面的，应粘贴保护膜，保护膜需粘贴牢固，运输、组装等过程不易脱落，撕下无残留；</w:t>
            </w:r>
          </w:p>
          <w:p>
            <w:pPr>
              <w:keepNext w:val="0"/>
              <w:keepLines w:val="0"/>
              <w:widowControl/>
              <w:suppressLineNumbers w:val="0"/>
              <w:jc w:val="left"/>
              <w:textAlignment w:val="center"/>
              <w:rPr>
                <w:rFonts w:hint="eastAsia"/>
                <w:color w:val="auto"/>
                <w:highlight w:val="none"/>
              </w:rPr>
            </w:pPr>
            <w:r>
              <w:rPr>
                <w:rFonts w:hint="eastAsia"/>
                <w:color w:val="auto"/>
                <w:highlight w:val="none"/>
              </w:rPr>
              <w:t>n) 其它要求应符合 GB/T 9813.1-2016 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4.机箱防护要求：机箱符合 GB/T 4208-2017 中 IP20 防护要求；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5.整机噪音：产品工作在空闲状态下，产品的声功率级应不超过 4.5 Bel；</w:t>
            </w:r>
          </w:p>
          <w:p>
            <w:pPr>
              <w:keepNext w:val="0"/>
              <w:keepLines w:val="0"/>
              <w:widowControl/>
              <w:suppressLineNumbers w:val="0"/>
              <w:jc w:val="left"/>
              <w:textAlignment w:val="center"/>
              <w:rPr>
                <w:rFonts w:hint="eastAsia"/>
                <w:color w:val="auto"/>
                <w:highlight w:val="none"/>
              </w:rPr>
            </w:pPr>
            <w:r>
              <w:rPr>
                <w:rFonts w:hint="eastAsia"/>
                <w:color w:val="auto"/>
                <w:highlight w:val="none"/>
              </w:rPr>
              <w:t>6.整机散热：在环境温度 25℃及处理器满载情况下，产品表面温度应符合如下要求：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a) 出风口在机箱后面板情况下，出风口温度不高于 55℃；</w:t>
            </w:r>
          </w:p>
          <w:p>
            <w:pPr>
              <w:keepNext w:val="0"/>
              <w:keepLines w:val="0"/>
              <w:widowControl/>
              <w:suppressLineNumbers w:val="0"/>
              <w:jc w:val="left"/>
              <w:textAlignment w:val="center"/>
              <w:rPr>
                <w:rFonts w:hint="eastAsia"/>
                <w:color w:val="auto"/>
                <w:highlight w:val="none"/>
              </w:rPr>
            </w:pPr>
            <w:r>
              <w:rPr>
                <w:rFonts w:hint="eastAsia"/>
                <w:color w:val="auto"/>
                <w:highlight w:val="none"/>
              </w:rPr>
              <w:t>b) 可触及面温度不高于 45℃；</w:t>
            </w:r>
          </w:p>
          <w:p>
            <w:pPr>
              <w:keepNext w:val="0"/>
              <w:keepLines w:val="0"/>
              <w:widowControl/>
              <w:suppressLineNumbers w:val="0"/>
              <w:jc w:val="left"/>
              <w:textAlignment w:val="center"/>
              <w:rPr>
                <w:rFonts w:hint="eastAsia"/>
                <w:color w:val="auto"/>
                <w:highlight w:val="none"/>
              </w:rPr>
            </w:pPr>
            <w:r>
              <w:rPr>
                <w:rFonts w:hint="eastAsia"/>
                <w:color w:val="auto"/>
                <w:highlight w:val="none"/>
              </w:rPr>
              <w:t>c) 显示器表面温度：显示屏不高于38℃，显示屏上下灯带位置温度（如涉及）不高于 40℃，出风口温度不高于 45℃；</w:t>
            </w:r>
          </w:p>
          <w:p>
            <w:pPr>
              <w:keepNext w:val="0"/>
              <w:keepLines w:val="0"/>
              <w:widowControl/>
              <w:suppressLineNumbers w:val="0"/>
              <w:jc w:val="left"/>
              <w:textAlignment w:val="center"/>
              <w:rPr>
                <w:rFonts w:hint="eastAsia"/>
                <w:color w:val="auto"/>
                <w:highlight w:val="none"/>
              </w:rPr>
            </w:pPr>
            <w:r>
              <w:rPr>
                <w:rFonts w:hint="eastAsia"/>
                <w:color w:val="auto"/>
                <w:highlight w:val="none"/>
              </w:rPr>
              <w:t>7.整机能效限定值：产品能效限定值应达到 GB 28380-2012标准中能效等级 2 级及以上；</w:t>
            </w:r>
          </w:p>
          <w:p>
            <w:pPr>
              <w:keepNext w:val="0"/>
              <w:keepLines w:val="0"/>
              <w:widowControl/>
              <w:suppressLineNumbers w:val="0"/>
              <w:jc w:val="left"/>
              <w:textAlignment w:val="center"/>
              <w:rPr>
                <w:rFonts w:hint="eastAsia"/>
                <w:color w:val="auto"/>
                <w:highlight w:val="none"/>
              </w:rPr>
            </w:pPr>
            <w:r>
              <w:rPr>
                <w:rFonts w:hint="eastAsia"/>
                <w:color w:val="auto"/>
                <w:highlight w:val="none"/>
              </w:rPr>
              <w:t>8.机身材质：金属；</w:t>
            </w:r>
          </w:p>
          <w:p>
            <w:pPr>
              <w:keepNext w:val="0"/>
              <w:keepLines w:val="0"/>
              <w:widowControl/>
              <w:suppressLineNumbers w:val="0"/>
              <w:jc w:val="left"/>
              <w:textAlignment w:val="center"/>
              <w:rPr>
                <w:rFonts w:hint="eastAsia"/>
                <w:color w:val="auto"/>
                <w:highlight w:val="none"/>
              </w:rPr>
            </w:pPr>
            <w:r>
              <w:rPr>
                <w:rFonts w:hint="eastAsia"/>
                <w:color w:val="auto"/>
                <w:highlight w:val="none"/>
              </w:rPr>
              <w:t>9.机身颜色：黑色；</w:t>
            </w:r>
          </w:p>
          <w:p>
            <w:pPr>
              <w:keepNext w:val="0"/>
              <w:keepLines w:val="0"/>
              <w:widowControl/>
              <w:suppressLineNumbers w:val="0"/>
              <w:jc w:val="left"/>
              <w:textAlignment w:val="center"/>
              <w:rPr>
                <w:rFonts w:hint="eastAsia"/>
                <w:color w:val="auto"/>
                <w:highlight w:val="none"/>
              </w:rPr>
            </w:pPr>
            <w:r>
              <w:rPr>
                <w:rFonts w:hint="eastAsia"/>
                <w:color w:val="auto"/>
                <w:highlight w:val="none"/>
              </w:rPr>
              <w:t>10.机箱尺寸容量：机箱体积应不大于 8L；</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十一、CPU性能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1.CPU 物理核数：≥8；</w:t>
            </w:r>
          </w:p>
          <w:p>
            <w:pPr>
              <w:keepNext w:val="0"/>
              <w:keepLines w:val="0"/>
              <w:widowControl/>
              <w:suppressLineNumbers w:val="0"/>
              <w:jc w:val="left"/>
              <w:textAlignment w:val="center"/>
              <w:rPr>
                <w:rFonts w:hint="eastAsia"/>
                <w:color w:val="auto"/>
                <w:highlight w:val="none"/>
              </w:rPr>
            </w:pPr>
            <w:r>
              <w:rPr>
                <w:rFonts w:hint="eastAsia"/>
                <w:color w:val="auto"/>
                <w:highlight w:val="none"/>
              </w:rPr>
              <w:t>2.CPU 主频：≥2.7GHz；</w:t>
            </w:r>
          </w:p>
          <w:p>
            <w:pPr>
              <w:keepNext w:val="0"/>
              <w:keepLines w:val="0"/>
              <w:widowControl/>
              <w:suppressLineNumbers w:val="0"/>
              <w:jc w:val="left"/>
              <w:textAlignment w:val="center"/>
              <w:rPr>
                <w:rFonts w:hint="eastAsia"/>
                <w:color w:val="auto"/>
                <w:highlight w:val="none"/>
              </w:rPr>
            </w:pPr>
            <w:r>
              <w:rPr>
                <w:rFonts w:hint="eastAsia"/>
                <w:color w:val="auto"/>
                <w:highlight w:val="none"/>
              </w:rPr>
              <w:t>3.CPU线程数：≥8；</w:t>
            </w:r>
          </w:p>
          <w:p>
            <w:pPr>
              <w:keepNext w:val="0"/>
              <w:keepLines w:val="0"/>
              <w:widowControl/>
              <w:suppressLineNumbers w:val="0"/>
              <w:jc w:val="left"/>
              <w:textAlignment w:val="center"/>
              <w:rPr>
                <w:rFonts w:hint="eastAsia"/>
                <w:color w:val="auto"/>
                <w:highlight w:val="none"/>
              </w:rPr>
            </w:pPr>
            <w:r>
              <w:rPr>
                <w:rFonts w:hint="eastAsia"/>
                <w:color w:val="auto"/>
                <w:highlight w:val="none"/>
              </w:rPr>
              <w:t>4.CPU 末级缓存容量：≥8MB；</w:t>
            </w:r>
          </w:p>
          <w:p>
            <w:pPr>
              <w:keepNext w:val="0"/>
              <w:keepLines w:val="0"/>
              <w:widowControl/>
              <w:suppressLineNumbers w:val="0"/>
              <w:jc w:val="left"/>
              <w:textAlignment w:val="center"/>
              <w:rPr>
                <w:rFonts w:hint="eastAsia"/>
                <w:color w:val="auto"/>
                <w:highlight w:val="none"/>
              </w:rPr>
            </w:pPr>
            <w:r>
              <w:rPr>
                <w:rFonts w:hint="eastAsia"/>
                <w:color w:val="auto"/>
                <w:highlight w:val="none"/>
              </w:rPr>
              <w:t>5.CPU 支持的内存最高速率：≥2666MT/s；</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十二、内存性能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1.内存读写速率：≥2666MT/s；</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十三、显卡性能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1.显示分辨率：≥1920×1080；</w:t>
            </w:r>
          </w:p>
          <w:p>
            <w:pPr>
              <w:keepNext w:val="0"/>
              <w:keepLines w:val="0"/>
              <w:widowControl/>
              <w:suppressLineNumbers w:val="0"/>
              <w:jc w:val="left"/>
              <w:textAlignment w:val="center"/>
              <w:rPr>
                <w:rFonts w:hint="eastAsia"/>
                <w:color w:val="auto"/>
                <w:highlight w:val="none"/>
              </w:rPr>
            </w:pPr>
            <w:r>
              <w:rPr>
                <w:rFonts w:hint="eastAsia"/>
                <w:color w:val="auto"/>
                <w:highlight w:val="none"/>
              </w:rPr>
              <w:t>2.显卡显示芯片核心频率：≥300MHz；</w:t>
            </w:r>
          </w:p>
          <w:p>
            <w:pPr>
              <w:keepNext w:val="0"/>
              <w:keepLines w:val="0"/>
              <w:widowControl/>
              <w:suppressLineNumbers w:val="0"/>
              <w:jc w:val="left"/>
              <w:textAlignment w:val="center"/>
              <w:rPr>
                <w:rFonts w:hint="eastAsia"/>
                <w:color w:val="auto"/>
                <w:highlight w:val="none"/>
              </w:rPr>
            </w:pPr>
            <w:r>
              <w:rPr>
                <w:rFonts w:hint="eastAsia"/>
                <w:color w:val="auto"/>
                <w:highlight w:val="none"/>
              </w:rPr>
              <w:t>3.显存等效频率：≥1000MT/s；</w:t>
            </w:r>
          </w:p>
          <w:p>
            <w:pPr>
              <w:keepNext w:val="0"/>
              <w:keepLines w:val="0"/>
              <w:widowControl/>
              <w:suppressLineNumbers w:val="0"/>
              <w:jc w:val="left"/>
              <w:textAlignment w:val="center"/>
              <w:rPr>
                <w:rFonts w:hint="eastAsia"/>
                <w:color w:val="auto"/>
                <w:highlight w:val="none"/>
              </w:rPr>
            </w:pPr>
            <w:r>
              <w:rPr>
                <w:rFonts w:hint="eastAsia"/>
                <w:color w:val="auto"/>
                <w:highlight w:val="none"/>
              </w:rPr>
              <w:t>4.显卡可支持多屏同时显示数量：显卡应支持 2 块屏幕同时显示，分辨率应不低于 1920×1080；</w:t>
            </w:r>
          </w:p>
          <w:p>
            <w:pPr>
              <w:keepNext w:val="0"/>
              <w:keepLines w:val="0"/>
              <w:widowControl/>
              <w:suppressLineNumbers w:val="0"/>
              <w:jc w:val="left"/>
              <w:textAlignment w:val="center"/>
              <w:rPr>
                <w:rFonts w:hint="eastAsia"/>
                <w:color w:val="auto"/>
                <w:highlight w:val="none"/>
              </w:rPr>
            </w:pPr>
            <w:r>
              <w:rPr>
                <w:rFonts w:hint="eastAsia"/>
                <w:color w:val="auto"/>
                <w:highlight w:val="none"/>
              </w:rPr>
              <w:t>十四、显示设备性能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1.显示屏刷新率：≥75Hz；</w:t>
            </w:r>
          </w:p>
          <w:p>
            <w:pPr>
              <w:keepNext w:val="0"/>
              <w:keepLines w:val="0"/>
              <w:widowControl/>
              <w:suppressLineNumbers w:val="0"/>
              <w:jc w:val="left"/>
              <w:textAlignment w:val="center"/>
              <w:rPr>
                <w:rFonts w:hint="eastAsia"/>
                <w:color w:val="auto"/>
                <w:highlight w:val="none"/>
              </w:rPr>
            </w:pPr>
            <w:r>
              <w:rPr>
                <w:rFonts w:hint="eastAsia"/>
                <w:color w:val="auto"/>
                <w:highlight w:val="none"/>
              </w:rPr>
              <w:t>2.显示屏位深：≥8位；</w:t>
            </w:r>
          </w:p>
          <w:p>
            <w:pPr>
              <w:keepNext w:val="0"/>
              <w:keepLines w:val="0"/>
              <w:widowControl/>
              <w:suppressLineNumbers w:val="0"/>
              <w:jc w:val="left"/>
              <w:textAlignment w:val="center"/>
              <w:rPr>
                <w:rFonts w:hint="eastAsia"/>
                <w:color w:val="auto"/>
                <w:highlight w:val="none"/>
              </w:rPr>
            </w:pPr>
            <w:r>
              <w:rPr>
                <w:rFonts w:hint="eastAsia"/>
                <w:color w:val="auto"/>
                <w:highlight w:val="none"/>
              </w:rPr>
              <w:t>3.显示屏色域：≥99% sRGB；</w:t>
            </w:r>
          </w:p>
          <w:p>
            <w:pPr>
              <w:keepNext w:val="0"/>
              <w:keepLines w:val="0"/>
              <w:widowControl/>
              <w:suppressLineNumbers w:val="0"/>
              <w:jc w:val="left"/>
              <w:textAlignment w:val="center"/>
              <w:rPr>
                <w:rFonts w:hint="eastAsia"/>
                <w:color w:val="auto"/>
                <w:highlight w:val="none"/>
              </w:rPr>
            </w:pPr>
            <w:r>
              <w:rPr>
                <w:rFonts w:hint="eastAsia"/>
                <w:color w:val="auto"/>
                <w:highlight w:val="none"/>
              </w:rPr>
              <w:t>4.显示屏色准：△E ≤ 4；</w:t>
            </w:r>
          </w:p>
          <w:p>
            <w:pPr>
              <w:keepNext w:val="0"/>
              <w:keepLines w:val="0"/>
              <w:widowControl/>
              <w:suppressLineNumbers w:val="0"/>
              <w:jc w:val="left"/>
              <w:textAlignment w:val="center"/>
              <w:rPr>
                <w:rFonts w:hint="eastAsia"/>
                <w:color w:val="auto"/>
                <w:highlight w:val="none"/>
              </w:rPr>
            </w:pPr>
            <w:r>
              <w:rPr>
                <w:rFonts w:hint="eastAsia"/>
                <w:color w:val="auto"/>
                <w:highlight w:val="none"/>
              </w:rPr>
              <w:t>5.显示屏响应时间：≤8ms；</w:t>
            </w:r>
          </w:p>
          <w:p>
            <w:pPr>
              <w:keepNext w:val="0"/>
              <w:keepLines w:val="0"/>
              <w:widowControl/>
              <w:suppressLineNumbers w:val="0"/>
              <w:jc w:val="left"/>
              <w:textAlignment w:val="center"/>
              <w:rPr>
                <w:rFonts w:hint="eastAsia"/>
                <w:color w:val="auto"/>
                <w:highlight w:val="none"/>
              </w:rPr>
            </w:pPr>
            <w:r>
              <w:rPr>
                <w:rFonts w:hint="eastAsia"/>
                <w:color w:val="auto"/>
                <w:highlight w:val="none"/>
              </w:rPr>
              <w:t>6.显示屏亮度：≥250尼特；</w:t>
            </w:r>
          </w:p>
          <w:p>
            <w:pPr>
              <w:keepNext w:val="0"/>
              <w:keepLines w:val="0"/>
              <w:widowControl/>
              <w:suppressLineNumbers w:val="0"/>
              <w:jc w:val="left"/>
              <w:textAlignment w:val="center"/>
              <w:rPr>
                <w:rFonts w:hint="eastAsia"/>
                <w:color w:val="auto"/>
                <w:highlight w:val="none"/>
              </w:rPr>
            </w:pPr>
            <w:r>
              <w:rPr>
                <w:rFonts w:hint="eastAsia"/>
                <w:color w:val="auto"/>
                <w:highlight w:val="none"/>
              </w:rPr>
              <w:t>7.显示屏亮度一致性：≥70%；</w:t>
            </w:r>
          </w:p>
          <w:p>
            <w:pPr>
              <w:keepNext w:val="0"/>
              <w:keepLines w:val="0"/>
              <w:widowControl/>
              <w:suppressLineNumbers w:val="0"/>
              <w:jc w:val="left"/>
              <w:textAlignment w:val="center"/>
              <w:rPr>
                <w:rFonts w:hint="eastAsia"/>
                <w:color w:val="auto"/>
                <w:highlight w:val="none"/>
              </w:rPr>
            </w:pPr>
            <w:r>
              <w:rPr>
                <w:rFonts w:hint="eastAsia"/>
                <w:color w:val="auto"/>
                <w:highlight w:val="none"/>
              </w:rPr>
              <w:t>8.显示屏对比度：≥500:1；</w:t>
            </w:r>
          </w:p>
          <w:p>
            <w:pPr>
              <w:keepNext w:val="0"/>
              <w:keepLines w:val="0"/>
              <w:widowControl/>
              <w:suppressLineNumbers w:val="0"/>
              <w:jc w:val="left"/>
              <w:textAlignment w:val="center"/>
              <w:rPr>
                <w:rFonts w:hint="eastAsia"/>
                <w:color w:val="auto"/>
                <w:highlight w:val="none"/>
              </w:rPr>
            </w:pPr>
            <w:r>
              <w:rPr>
                <w:rFonts w:hint="eastAsia"/>
                <w:color w:val="auto"/>
                <w:highlight w:val="none"/>
              </w:rPr>
              <w:t>9.显示屏其他参数：其它参数应符合SJ/T 11292 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十五、网络设备性能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 有线网卡速率：最高速率应不低于 1000Mbps，应支持10Mbps、100Mbps、1000Mbps 速率自适应；</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十六、主板功能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1.内存扩展接口(板载内存不涉及)：≥2个；</w:t>
            </w:r>
          </w:p>
          <w:p>
            <w:pPr>
              <w:keepNext w:val="0"/>
              <w:keepLines w:val="0"/>
              <w:widowControl/>
              <w:suppressLineNumbers w:val="0"/>
              <w:jc w:val="left"/>
              <w:textAlignment w:val="center"/>
              <w:rPr>
                <w:rFonts w:hint="eastAsia"/>
                <w:color w:val="auto"/>
                <w:highlight w:val="none"/>
              </w:rPr>
            </w:pPr>
            <w:r>
              <w:rPr>
                <w:rFonts w:hint="eastAsia"/>
                <w:color w:val="auto"/>
                <w:highlight w:val="none"/>
              </w:rPr>
              <w:t>2.主板 USB瞬间过流保护：支持有瞬间过流保护功能；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3.主板防静电保护：支持防静电保护功能；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十七、显卡功能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1.显卡外接显示接口：显卡至少支持 VGA、HDMI、DVI、DP、Type-C 中 1 种显示接口，并与显示器接口相匹配；</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十八、显示设备功能：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1.显示器接口：显示器应与显卡外接显示接口匹配；</w:t>
            </w:r>
          </w:p>
          <w:p>
            <w:pPr>
              <w:keepNext w:val="0"/>
              <w:keepLines w:val="0"/>
              <w:widowControl/>
              <w:suppressLineNumbers w:val="0"/>
              <w:jc w:val="left"/>
              <w:textAlignment w:val="center"/>
              <w:rPr>
                <w:rFonts w:hint="eastAsia"/>
                <w:color w:val="auto"/>
                <w:highlight w:val="none"/>
              </w:rPr>
            </w:pPr>
            <w:r>
              <w:rPr>
                <w:rFonts w:hint="eastAsia"/>
                <w:color w:val="auto"/>
                <w:highlight w:val="none"/>
              </w:rPr>
              <w:t>2.显示器支架：显示器应提供显示器支架；</w:t>
            </w:r>
          </w:p>
          <w:p>
            <w:pPr>
              <w:keepNext w:val="0"/>
              <w:keepLines w:val="0"/>
              <w:widowControl/>
              <w:suppressLineNumbers w:val="0"/>
              <w:jc w:val="left"/>
              <w:textAlignment w:val="center"/>
              <w:rPr>
                <w:rFonts w:hint="eastAsia"/>
                <w:color w:val="auto"/>
                <w:highlight w:val="none"/>
              </w:rPr>
            </w:pPr>
            <w:r>
              <w:rPr>
                <w:rFonts w:hint="eastAsia"/>
                <w:color w:val="auto"/>
                <w:highlight w:val="none"/>
              </w:rPr>
              <w:t>3.显示器参数调节：a)提供OSD选单按钮用于调节色彩、模式等；b)支持色温、亮度、对比度调节。</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十九、存储功能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1.存储功能：通过 SATA 固态存储/PCIe 固态存储/UFS 固态存储/SATA 硬磁盘等存储部件提供存储功能；</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二十、网络设备功能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1.网络功能：a)支持网络连接、网络开启/关闭功能；b)支持访问网络和数据交换功能；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2.数据传输：支持数据传输能力，并提供数据流量和异常日志记录功能；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3.有线网卡接口类型：支持 RJ45 接口；</w:t>
            </w:r>
          </w:p>
          <w:p>
            <w:pPr>
              <w:keepNext w:val="0"/>
              <w:keepLines w:val="0"/>
              <w:widowControl/>
              <w:suppressLineNumbers w:val="0"/>
              <w:jc w:val="left"/>
              <w:textAlignment w:val="center"/>
              <w:rPr>
                <w:rFonts w:hint="eastAsia"/>
                <w:color w:val="auto"/>
                <w:highlight w:val="none"/>
              </w:rPr>
            </w:pPr>
            <w:r>
              <w:rPr>
                <w:rFonts w:hint="eastAsia"/>
                <w:color w:val="auto"/>
                <w:highlight w:val="none"/>
              </w:rPr>
              <w:t>4.网络设备拆装：网络设备支持物理拆装，包括无线网卡和蓝牙模块等；</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二十一、外部接口功能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1.音频接口类型：支持 3.5mm 孔径 3 段式或 4 段式接口</w:t>
            </w:r>
          </w:p>
          <w:p>
            <w:pPr>
              <w:keepNext w:val="0"/>
              <w:keepLines w:val="0"/>
              <w:widowControl/>
              <w:suppressLineNumbers w:val="0"/>
              <w:jc w:val="left"/>
              <w:textAlignment w:val="center"/>
              <w:rPr>
                <w:rFonts w:hint="eastAsia"/>
                <w:color w:val="auto"/>
                <w:highlight w:val="none"/>
              </w:rPr>
            </w:pPr>
            <w:r>
              <w:rPr>
                <w:rFonts w:hint="eastAsia"/>
                <w:color w:val="auto"/>
                <w:highlight w:val="none"/>
              </w:rPr>
              <w:t>2.视频接口类型：至少支持 VGA、HDMI、DVI、DP、Type-C中 1 种显示接口；</w:t>
            </w:r>
          </w:p>
          <w:p>
            <w:pPr>
              <w:keepNext w:val="0"/>
              <w:keepLines w:val="0"/>
              <w:widowControl/>
              <w:suppressLineNumbers w:val="0"/>
              <w:jc w:val="left"/>
              <w:textAlignment w:val="center"/>
              <w:rPr>
                <w:rFonts w:hint="eastAsia"/>
                <w:color w:val="auto"/>
                <w:highlight w:val="none"/>
              </w:rPr>
            </w:pPr>
            <w:r>
              <w:rPr>
                <w:rFonts w:hint="eastAsia"/>
                <w:color w:val="auto"/>
                <w:highlight w:val="none"/>
              </w:rPr>
              <w:t>3.HDMI、DP、Type-C 显示接口要求：若提供 HDMI 或 DP 或 Type-C 作为显示接口，应支持音频和视频同步输出；</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二十二、电源功能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电源适配器电线组件应符合 GB/T15934 的要求，可拆线的插头和连接器可以不做要求。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二十三、操作系统及软件功能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1.中文信息处理要求：符合GB18030的相关规定；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2.操作系统备份及还原功能：支持操作系统备份及还原功能；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3.固件备份还原能力：支持备份及还原固件的功能；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4.操作系统及驱动升级：支持通过网络、闪存盘等方式对操作系统、驱动进行升级；</w:t>
            </w:r>
          </w:p>
          <w:p>
            <w:pPr>
              <w:keepNext w:val="0"/>
              <w:keepLines w:val="0"/>
              <w:widowControl/>
              <w:suppressLineNumbers w:val="0"/>
              <w:jc w:val="left"/>
              <w:textAlignment w:val="center"/>
              <w:rPr>
                <w:rFonts w:hint="eastAsia"/>
                <w:color w:val="auto"/>
                <w:highlight w:val="none"/>
              </w:rPr>
            </w:pPr>
            <w:r>
              <w:rPr>
                <w:rFonts w:hint="eastAsia"/>
                <w:color w:val="auto"/>
                <w:highlight w:val="none"/>
              </w:rPr>
              <w:t>5.固件升级：支持通过网络、闪存盘等方式对固件进行升级；</w:t>
            </w:r>
          </w:p>
          <w:p>
            <w:pPr>
              <w:keepNext w:val="0"/>
              <w:keepLines w:val="0"/>
              <w:widowControl/>
              <w:suppressLineNumbers w:val="0"/>
              <w:jc w:val="left"/>
              <w:textAlignment w:val="center"/>
              <w:rPr>
                <w:rFonts w:hint="eastAsia"/>
                <w:color w:val="auto"/>
                <w:highlight w:val="none"/>
              </w:rPr>
            </w:pPr>
            <w:r>
              <w:rPr>
                <w:rFonts w:hint="eastAsia"/>
                <w:color w:val="auto"/>
                <w:highlight w:val="none"/>
              </w:rPr>
              <w:t>6.BIOS支持关闭通讯接口：支持BIOS关闭以太网及USB接口；</w:t>
            </w:r>
          </w:p>
          <w:p>
            <w:pPr>
              <w:keepNext w:val="0"/>
              <w:keepLines w:val="0"/>
              <w:widowControl/>
              <w:suppressLineNumbers w:val="0"/>
              <w:jc w:val="left"/>
              <w:textAlignment w:val="center"/>
              <w:rPr>
                <w:rFonts w:hint="eastAsia"/>
                <w:color w:val="auto"/>
                <w:highlight w:val="none"/>
              </w:rPr>
            </w:pPr>
            <w:r>
              <w:rPr>
                <w:rFonts w:hint="eastAsia"/>
                <w:color w:val="auto"/>
                <w:highlight w:val="none"/>
              </w:rPr>
              <w:t>7.固件查看信息：支持查看固件版本、内存信息、主板信息、处理器信息和系统时间信息等功能；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8.固件设置启动顺序：支持设置启动顺序功能，并按照设置的启动顺序启动；</w:t>
            </w:r>
          </w:p>
          <w:p>
            <w:pPr>
              <w:keepNext w:val="0"/>
              <w:keepLines w:val="0"/>
              <w:widowControl/>
              <w:suppressLineNumbers w:val="0"/>
              <w:jc w:val="left"/>
              <w:textAlignment w:val="center"/>
              <w:rPr>
                <w:rFonts w:hint="eastAsia"/>
                <w:color w:val="auto"/>
                <w:highlight w:val="none"/>
              </w:rPr>
            </w:pPr>
            <w:r>
              <w:rPr>
                <w:rFonts w:hint="eastAsia"/>
                <w:color w:val="auto"/>
                <w:highlight w:val="none"/>
              </w:rPr>
              <w:t>9.固件设置口令：支持设置口令、修改口令、验证口令功能；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10.固件设置网络引导：支持网络引导启动和关闭功能；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11.预装正版办公软件；</w:t>
            </w:r>
          </w:p>
          <w:p>
            <w:pPr>
              <w:keepNext w:val="0"/>
              <w:keepLines w:val="0"/>
              <w:widowControl/>
              <w:suppressLineNumbers w:val="0"/>
              <w:jc w:val="left"/>
              <w:textAlignment w:val="center"/>
              <w:rPr>
                <w:rFonts w:hint="eastAsia"/>
                <w:color w:val="auto"/>
                <w:highlight w:val="none"/>
              </w:rPr>
            </w:pPr>
            <w:r>
              <w:rPr>
                <w:rFonts w:hint="eastAsia"/>
                <w:color w:val="auto"/>
                <w:highlight w:val="none"/>
              </w:rPr>
              <w:t>12.备授课平台：</w:t>
            </w:r>
          </w:p>
          <w:p>
            <w:pPr>
              <w:keepNext w:val="0"/>
              <w:keepLines w:val="0"/>
              <w:widowControl/>
              <w:suppressLineNumbers w:val="0"/>
              <w:jc w:val="left"/>
              <w:textAlignment w:val="center"/>
              <w:rPr>
                <w:rFonts w:hint="eastAsia"/>
                <w:color w:val="auto"/>
                <w:highlight w:val="none"/>
              </w:rPr>
            </w:pPr>
            <w:r>
              <w:rPr>
                <w:rFonts w:hint="eastAsia"/>
                <w:color w:val="auto"/>
                <w:highlight w:val="none"/>
              </w:rPr>
              <w:t>1）教学平台为全校教师提供可扩展，易于学校管理，安全可靠的云存储空间，根据每名教师使用时长与教学资料制作频率提供可扩展升级至不小于200G的个人云空间。</w:t>
            </w:r>
          </w:p>
          <w:p>
            <w:pPr>
              <w:keepNext w:val="0"/>
              <w:keepLines w:val="0"/>
              <w:widowControl/>
              <w:suppressLineNumbers w:val="0"/>
              <w:jc w:val="left"/>
              <w:textAlignment w:val="center"/>
              <w:rPr>
                <w:rFonts w:hint="eastAsia"/>
                <w:color w:val="auto"/>
                <w:highlight w:val="none"/>
              </w:rPr>
            </w:pPr>
            <w:r>
              <w:rPr>
                <w:rFonts w:hint="eastAsia"/>
                <w:color w:val="auto"/>
                <w:highlight w:val="none"/>
              </w:rPr>
              <w:t>2）PPT小工具：支持小组端进入PPT放映模式后提供批注、黑板、橡皮、撤销、批注分享等工具，满足学生小组研讨的使用</w:t>
            </w:r>
          </w:p>
          <w:p>
            <w:pPr>
              <w:keepNext w:val="0"/>
              <w:keepLines w:val="0"/>
              <w:widowControl/>
              <w:suppressLineNumbers w:val="0"/>
              <w:jc w:val="left"/>
              <w:textAlignment w:val="center"/>
              <w:rPr>
                <w:rFonts w:hint="eastAsia"/>
                <w:color w:val="auto"/>
                <w:highlight w:val="none"/>
              </w:rPr>
            </w:pPr>
            <w:r>
              <w:rPr>
                <w:rFonts w:hint="eastAsia"/>
                <w:color w:val="auto"/>
                <w:highlight w:val="none"/>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pPr>
              <w:keepNext w:val="0"/>
              <w:keepLines w:val="0"/>
              <w:widowControl/>
              <w:suppressLineNumbers w:val="0"/>
              <w:jc w:val="left"/>
              <w:textAlignment w:val="center"/>
              <w:rPr>
                <w:rFonts w:hint="eastAsia"/>
                <w:color w:val="auto"/>
                <w:highlight w:val="none"/>
              </w:rPr>
            </w:pPr>
            <w:r>
              <w:rPr>
                <w:rFonts w:hint="eastAsia"/>
                <w:color w:val="auto"/>
                <w:highlight w:val="none"/>
              </w:rPr>
              <w:t>4）一键开课：教师可一键开课生成课程海报；学生扫描课程海报微信二维码即可加入直播课堂，无需额外安装APP。（</w:t>
            </w:r>
            <w:r>
              <w:rPr>
                <w:rFonts w:hint="eastAsia"/>
                <w:color w:val="auto"/>
                <w:highlight w:val="none"/>
                <w:lang w:eastAsia="zh-CN"/>
              </w:rPr>
              <w:t>投标文件中须提供国家认可</w:t>
            </w:r>
            <w:r>
              <w:rPr>
                <w:rFonts w:hint="eastAsia"/>
                <w:color w:val="auto"/>
                <w:highlight w:val="none"/>
              </w:rPr>
              <w:t>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5）剪辑重录：支持按照课件页面片段剪辑和重录微课，支持一键上传至云端保存。</w:t>
            </w:r>
          </w:p>
          <w:p>
            <w:pPr>
              <w:keepNext w:val="0"/>
              <w:keepLines w:val="0"/>
              <w:widowControl/>
              <w:suppressLineNumbers w:val="0"/>
              <w:jc w:val="left"/>
              <w:textAlignment w:val="center"/>
              <w:rPr>
                <w:rFonts w:hint="eastAsia"/>
                <w:color w:val="auto"/>
                <w:highlight w:val="none"/>
              </w:rPr>
            </w:pPr>
            <w:r>
              <w:rPr>
                <w:rFonts w:hint="eastAsia"/>
                <w:color w:val="auto"/>
                <w:highlight w:val="none"/>
              </w:rPr>
              <w:t>6）课程回放：课程结束后自动生成直播回放，报名课程的学生可反复学习；回放课程自动保存在云端，支持人工删除。（</w:t>
            </w:r>
            <w:r>
              <w:rPr>
                <w:rFonts w:hint="eastAsia"/>
                <w:color w:val="auto"/>
                <w:highlight w:val="none"/>
                <w:lang w:eastAsia="zh-CN"/>
              </w:rPr>
              <w:t>投标文件中须提供国家认可</w:t>
            </w:r>
            <w:r>
              <w:rPr>
                <w:rFonts w:hint="eastAsia"/>
                <w:color w:val="auto"/>
                <w:highlight w:val="none"/>
              </w:rPr>
              <w:t>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7）发起集备：支持选择教案、课件、胶囊资源上传发起集备研讨，支持设置多重访问权限，通过手机号搜索即可邀请外校老师，可用于跨校教研场景。</w:t>
            </w:r>
          </w:p>
          <w:p>
            <w:pPr>
              <w:keepNext w:val="0"/>
              <w:keepLines w:val="0"/>
              <w:widowControl/>
              <w:suppressLineNumbers w:val="0"/>
              <w:jc w:val="left"/>
              <w:textAlignment w:val="center"/>
              <w:rPr>
                <w:rFonts w:hint="eastAsia"/>
                <w:color w:val="auto"/>
                <w:highlight w:val="none"/>
              </w:rPr>
            </w:pPr>
            <w:r>
              <w:rPr>
                <w:rFonts w:hint="eastAsia"/>
                <w:color w:val="auto"/>
                <w:highlight w:val="none"/>
              </w:rPr>
              <w:t>8）课评课数据详情：全校听评课数据统一汇总，数据包含全校本月评课节数，本月评课次数，累计评课节数和累计评课次数，了解听评课教研活动的开展情况。支持按评课人数/评课平均分查看全校排行详细数据。（</w:t>
            </w:r>
            <w:r>
              <w:rPr>
                <w:rFonts w:hint="eastAsia"/>
                <w:color w:val="auto"/>
                <w:highlight w:val="none"/>
                <w:lang w:eastAsia="zh-CN"/>
              </w:rPr>
              <w:t>投标文件中须提供国家认可</w:t>
            </w:r>
            <w:r>
              <w:rPr>
                <w:rFonts w:hint="eastAsia"/>
                <w:color w:val="auto"/>
                <w:highlight w:val="none"/>
              </w:rPr>
              <w:t>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13.机房云桌面管理平台</w:t>
            </w:r>
          </w:p>
          <w:p>
            <w:pPr>
              <w:keepNext w:val="0"/>
              <w:keepLines w:val="0"/>
              <w:widowControl/>
              <w:suppressLineNumbers w:val="0"/>
              <w:jc w:val="left"/>
              <w:textAlignment w:val="center"/>
              <w:rPr>
                <w:rFonts w:hint="eastAsia"/>
                <w:color w:val="auto"/>
                <w:highlight w:val="none"/>
              </w:rPr>
            </w:pPr>
            <w:r>
              <w:rPr>
                <w:rFonts w:hint="eastAsia"/>
                <w:color w:val="auto"/>
                <w:highlight w:val="none"/>
              </w:rPr>
              <w:t>（一）系统设计</w:t>
            </w:r>
          </w:p>
          <w:p>
            <w:pPr>
              <w:keepNext w:val="0"/>
              <w:keepLines w:val="0"/>
              <w:widowControl/>
              <w:suppressLineNumbers w:val="0"/>
              <w:jc w:val="left"/>
              <w:textAlignment w:val="center"/>
              <w:rPr>
                <w:rFonts w:hint="eastAsia"/>
                <w:color w:val="auto"/>
                <w:highlight w:val="none"/>
              </w:rPr>
            </w:pPr>
            <w:r>
              <w:rPr>
                <w:rFonts w:hint="eastAsia"/>
                <w:color w:val="auto"/>
                <w:highlight w:val="none"/>
              </w:rPr>
              <w:t>1）在配置管理平台使用终端设备时，支持多种身份识别方式。</w:t>
            </w:r>
          </w:p>
          <w:p>
            <w:pPr>
              <w:keepNext w:val="0"/>
              <w:keepLines w:val="0"/>
              <w:widowControl/>
              <w:suppressLineNumbers w:val="0"/>
              <w:jc w:val="left"/>
              <w:textAlignment w:val="center"/>
              <w:rPr>
                <w:rFonts w:hint="eastAsia"/>
                <w:color w:val="auto"/>
                <w:highlight w:val="none"/>
              </w:rPr>
            </w:pPr>
            <w:r>
              <w:rPr>
                <w:rFonts w:hint="eastAsia"/>
                <w:color w:val="auto"/>
                <w:highlight w:val="none"/>
              </w:rPr>
              <w:t>2）支持通过账号登录、手机扫码登录、无账号访客登录。</w:t>
            </w:r>
          </w:p>
          <w:p>
            <w:pPr>
              <w:keepNext w:val="0"/>
              <w:keepLines w:val="0"/>
              <w:widowControl/>
              <w:suppressLineNumbers w:val="0"/>
              <w:jc w:val="left"/>
              <w:textAlignment w:val="center"/>
              <w:rPr>
                <w:rFonts w:hint="eastAsia"/>
                <w:color w:val="auto"/>
                <w:highlight w:val="none"/>
              </w:rPr>
            </w:pPr>
            <w:r>
              <w:rPr>
                <w:rFonts w:hint="eastAsia"/>
                <w:color w:val="auto"/>
                <w:highlight w:val="none"/>
              </w:rPr>
              <w:t>3）支持断网使用，即在终端设备网络中断或管理平台连接中断时，正在操作的教学业务不受影响，依然可使用当前云桌面镜像继续开展业务，打开的程序也不会中断，保障业务连续性。</w:t>
            </w:r>
          </w:p>
          <w:p>
            <w:pPr>
              <w:keepNext w:val="0"/>
              <w:keepLines w:val="0"/>
              <w:widowControl/>
              <w:suppressLineNumbers w:val="0"/>
              <w:jc w:val="left"/>
              <w:textAlignment w:val="center"/>
              <w:rPr>
                <w:rFonts w:hint="eastAsia"/>
                <w:color w:val="auto"/>
                <w:highlight w:val="none"/>
              </w:rPr>
            </w:pPr>
            <w:r>
              <w:rPr>
                <w:rFonts w:hint="eastAsia"/>
                <w:color w:val="auto"/>
                <w:highlight w:val="none"/>
              </w:rPr>
              <w:t>4）账号互通：在配置管理平台使用终端设备时，支持统一互通的用户身份认证服务，账号登录进入云桌面镜像后，打开教学白板软件、学生行为评价软件的教学应用工具时无需再次输入账号密码重复登录。（</w:t>
            </w:r>
            <w:r>
              <w:rPr>
                <w:rFonts w:hint="eastAsia"/>
                <w:color w:val="auto"/>
                <w:highlight w:val="none"/>
                <w:lang w:eastAsia="zh-CN"/>
              </w:rPr>
              <w:t>投标文件中须提供</w:t>
            </w:r>
            <w:r>
              <w:rPr>
                <w:rFonts w:hint="eastAsia"/>
                <w:color w:val="auto"/>
                <w:highlight w:val="none"/>
              </w:rPr>
              <w:t>国家认可的第三方检测机构出具的关于该功能检测报告复印件，并加盖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5）支持终端设备运行时无需运行独立的虚拟化系统，终端设备配置的IP与进入云桌面镜像后的IP能够保持一致，同一个终端无需使用多个IP，简化运维管理与网络规划复杂度。</w:t>
            </w:r>
          </w:p>
          <w:p>
            <w:pPr>
              <w:keepNext w:val="0"/>
              <w:keepLines w:val="0"/>
              <w:widowControl/>
              <w:suppressLineNumbers w:val="0"/>
              <w:jc w:val="left"/>
              <w:textAlignment w:val="center"/>
              <w:rPr>
                <w:rFonts w:hint="eastAsia"/>
                <w:color w:val="auto"/>
                <w:highlight w:val="none"/>
              </w:rPr>
            </w:pPr>
            <w:r>
              <w:rPr>
                <w:rFonts w:hint="eastAsia"/>
                <w:color w:val="auto"/>
                <w:highlight w:val="none"/>
              </w:rPr>
              <w:t>6）支持在终端设备部署多个云桌面镜像切换使用，支持Windows、UOS、KylinOS、Ubuntu等桌面操作系统的云桌面镜像支持包括但不限于UOS、银河麒麟等符合安全可靠测评要求的操作系统使用。</w:t>
            </w:r>
          </w:p>
          <w:p>
            <w:pPr>
              <w:keepNext w:val="0"/>
              <w:keepLines w:val="0"/>
              <w:widowControl/>
              <w:suppressLineNumbers w:val="0"/>
              <w:jc w:val="left"/>
              <w:textAlignment w:val="center"/>
              <w:rPr>
                <w:rFonts w:hint="eastAsia"/>
                <w:color w:val="auto"/>
                <w:highlight w:val="none"/>
              </w:rPr>
            </w:pPr>
            <w:r>
              <w:rPr>
                <w:rFonts w:hint="eastAsia"/>
                <w:color w:val="auto"/>
                <w:highlight w:val="none"/>
              </w:rPr>
              <w:t>7）支持在无法进入操作系统的情况下，快速恢复操作系统的使用，无需依赖网络、服务器、以及还原类软件。</w:t>
            </w:r>
          </w:p>
          <w:p>
            <w:pPr>
              <w:keepNext w:val="0"/>
              <w:keepLines w:val="0"/>
              <w:widowControl/>
              <w:suppressLineNumbers w:val="0"/>
              <w:jc w:val="left"/>
              <w:textAlignment w:val="center"/>
              <w:rPr>
                <w:rFonts w:hint="eastAsia"/>
                <w:color w:val="auto"/>
                <w:highlight w:val="none"/>
              </w:rPr>
            </w:pPr>
            <w:r>
              <w:rPr>
                <w:rFonts w:hint="eastAsia"/>
                <w:color w:val="auto"/>
                <w:highlight w:val="none"/>
              </w:rPr>
              <w:t>8）支持包括Windows、统信、麒麟云桌面镜像，在对应云桌面镜像系统中查看设备的CPU型号、GPU型号、系统型号、BIOS版本等系统信息显示与终端物理设备一致。</w:t>
            </w:r>
          </w:p>
          <w:p>
            <w:pPr>
              <w:keepNext w:val="0"/>
              <w:keepLines w:val="0"/>
              <w:widowControl/>
              <w:suppressLineNumbers w:val="0"/>
              <w:jc w:val="left"/>
              <w:textAlignment w:val="center"/>
              <w:rPr>
                <w:rFonts w:hint="eastAsia"/>
                <w:color w:val="auto"/>
                <w:highlight w:val="none"/>
              </w:rPr>
            </w:pPr>
            <w:r>
              <w:rPr>
                <w:rFonts w:hint="eastAsia"/>
                <w:color w:val="auto"/>
                <w:highlight w:val="none"/>
              </w:rPr>
              <w:t>9）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p>
          <w:p>
            <w:pPr>
              <w:keepNext w:val="0"/>
              <w:keepLines w:val="0"/>
              <w:widowControl/>
              <w:suppressLineNumbers w:val="0"/>
              <w:jc w:val="left"/>
              <w:textAlignment w:val="center"/>
              <w:rPr>
                <w:rFonts w:hint="eastAsia"/>
                <w:color w:val="auto"/>
                <w:highlight w:val="none"/>
              </w:rPr>
            </w:pPr>
            <w:r>
              <w:rPr>
                <w:rFonts w:hint="eastAsia"/>
                <w:color w:val="auto"/>
                <w:highlight w:val="none"/>
              </w:rPr>
              <w:t>（二）管理平台设计</w:t>
            </w:r>
          </w:p>
          <w:p>
            <w:pPr>
              <w:keepNext w:val="0"/>
              <w:keepLines w:val="0"/>
              <w:widowControl/>
              <w:suppressLineNumbers w:val="0"/>
              <w:jc w:val="left"/>
              <w:textAlignment w:val="center"/>
              <w:rPr>
                <w:rFonts w:hint="eastAsia"/>
                <w:color w:val="auto"/>
                <w:highlight w:val="none"/>
              </w:rPr>
            </w:pPr>
            <w:r>
              <w:rPr>
                <w:rFonts w:hint="eastAsia"/>
                <w:color w:val="auto"/>
                <w:highlight w:val="none"/>
              </w:rPr>
              <w:t>1） 管理平台采用B/S架构，中文图形化操作界面；无需本地额外部署服务器等设备，通过浏览器打开即可运维管理云桌面终端设备，支持手机扫码登录/账号密码登录完成鉴权。</w:t>
            </w:r>
          </w:p>
          <w:p>
            <w:pPr>
              <w:keepNext w:val="0"/>
              <w:keepLines w:val="0"/>
              <w:widowControl/>
              <w:suppressLineNumbers w:val="0"/>
              <w:jc w:val="left"/>
              <w:textAlignment w:val="center"/>
              <w:rPr>
                <w:rFonts w:hint="eastAsia"/>
                <w:color w:val="auto"/>
                <w:highlight w:val="none"/>
              </w:rPr>
            </w:pPr>
            <w:r>
              <w:rPr>
                <w:rFonts w:hint="eastAsia"/>
                <w:color w:val="auto"/>
                <w:highlight w:val="none"/>
              </w:rPr>
              <w:t>2） 具备基于广域网统一纳管多分支机构云桌面的能力，支持三层网络、多校区等复杂网络环境安装。（</w:t>
            </w:r>
            <w:r>
              <w:rPr>
                <w:rFonts w:hint="eastAsia"/>
                <w:color w:val="auto"/>
                <w:highlight w:val="none"/>
                <w:lang w:eastAsia="zh-CN"/>
              </w:rPr>
              <w:t>投标文件中须提供</w:t>
            </w:r>
            <w:r>
              <w:rPr>
                <w:rFonts w:hint="eastAsia"/>
                <w:color w:val="auto"/>
                <w:highlight w:val="none"/>
              </w:rPr>
              <w:t>国家认可的第三方检测机构出具的关于该功能检测报告复印件，并加盖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3） 基于Web浏览器，提供用户统一登录认证功能，包括：手机号码注册、登录、忘记密码、扫码登录、账号管理功能。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4）支持PC终端设备与云桌面终端设备统一管理，支持在同一个设备分组中添加不同类型的PC和云桌面设备，并支持对选择的PC和云桌面设备的批量操作。</w:t>
            </w:r>
          </w:p>
          <w:p>
            <w:pPr>
              <w:keepNext w:val="0"/>
              <w:keepLines w:val="0"/>
              <w:widowControl/>
              <w:suppressLineNumbers w:val="0"/>
              <w:jc w:val="left"/>
              <w:textAlignment w:val="center"/>
              <w:rPr>
                <w:rFonts w:hint="eastAsia"/>
                <w:color w:val="auto"/>
                <w:highlight w:val="none"/>
              </w:rPr>
            </w:pPr>
            <w:r>
              <w:rPr>
                <w:rFonts w:hint="eastAsia"/>
                <w:color w:val="auto"/>
                <w:highlight w:val="none"/>
              </w:rPr>
              <w:t>5）支持查看全部设备和分组下设备的运行状态，包括CPU、内存、磁盘的使用率，CPU温度，实时上下行网速与上下行网络流量。</w:t>
            </w:r>
          </w:p>
          <w:p>
            <w:pPr>
              <w:keepNext w:val="0"/>
              <w:keepLines w:val="0"/>
              <w:widowControl/>
              <w:suppressLineNumbers w:val="0"/>
              <w:jc w:val="left"/>
              <w:textAlignment w:val="center"/>
              <w:rPr>
                <w:rFonts w:hint="eastAsia"/>
                <w:color w:val="auto"/>
                <w:highlight w:val="none"/>
              </w:rPr>
            </w:pPr>
            <w:r>
              <w:rPr>
                <w:rFonts w:hint="eastAsia"/>
                <w:color w:val="auto"/>
                <w:highlight w:val="none"/>
              </w:rPr>
              <w:t>6）硬件资产管理：收集平台中所有云桌面终端和PC终端的硬件配置与状态信息，包括终端名称、主板型号、CPU型号、内存容量、最近运行时间、硬盘信息等。</w:t>
            </w:r>
          </w:p>
          <w:p>
            <w:pPr>
              <w:keepNext w:val="0"/>
              <w:keepLines w:val="0"/>
              <w:widowControl/>
              <w:suppressLineNumbers w:val="0"/>
              <w:jc w:val="left"/>
              <w:textAlignment w:val="center"/>
              <w:rPr>
                <w:rFonts w:hint="eastAsia"/>
                <w:color w:val="auto"/>
                <w:highlight w:val="none"/>
              </w:rPr>
            </w:pPr>
            <w:r>
              <w:rPr>
                <w:rFonts w:hint="eastAsia"/>
                <w:color w:val="auto"/>
                <w:highlight w:val="none"/>
              </w:rPr>
              <w:t>7） 支持终端发现，无需安装插件或程序，仅通过浏览器即可扫描局域网内可访问互联网的终端设备进行批量配置，包括关联学校、关联分组、设置名称、配置网络。</w:t>
            </w:r>
          </w:p>
          <w:p>
            <w:pPr>
              <w:keepNext w:val="0"/>
              <w:keepLines w:val="0"/>
              <w:widowControl/>
              <w:suppressLineNumbers w:val="0"/>
              <w:jc w:val="left"/>
              <w:textAlignment w:val="center"/>
              <w:rPr>
                <w:rFonts w:hint="eastAsia"/>
                <w:color w:val="auto"/>
                <w:highlight w:val="none"/>
              </w:rPr>
            </w:pPr>
            <w:r>
              <w:rPr>
                <w:rFonts w:hint="eastAsia"/>
                <w:color w:val="auto"/>
                <w:highlight w:val="none"/>
              </w:rPr>
              <w:t>8） 支持增强终端发现，安装插件后通过浏览器即可扫描局域网内不可访问互联网的终端设备进行批量配置，包括关联学校、关联分组、设置名称、配置网络（</w:t>
            </w:r>
            <w:r>
              <w:rPr>
                <w:rFonts w:hint="eastAsia"/>
                <w:color w:val="auto"/>
                <w:highlight w:val="none"/>
                <w:lang w:eastAsia="zh-CN"/>
              </w:rPr>
              <w:t>投标文件中须提供</w:t>
            </w:r>
            <w:r>
              <w:rPr>
                <w:rFonts w:hint="eastAsia"/>
                <w:color w:val="auto"/>
                <w:highlight w:val="none"/>
              </w:rPr>
              <w:t>国家认可的第三方检测机构出具的关于该功能检测报告复印件，并加盖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9）支持远程管理终端设备，通过管理平台进行开机、关机、重启、还原、初始化、删除、配置更改、硬件信息查看、桌面运行状态查看等。</w:t>
            </w:r>
          </w:p>
          <w:p>
            <w:pPr>
              <w:keepNext w:val="0"/>
              <w:keepLines w:val="0"/>
              <w:widowControl/>
              <w:suppressLineNumbers w:val="0"/>
              <w:jc w:val="left"/>
              <w:textAlignment w:val="center"/>
              <w:rPr>
                <w:rFonts w:hint="eastAsia"/>
                <w:color w:val="auto"/>
                <w:highlight w:val="none"/>
              </w:rPr>
            </w:pPr>
            <w:r>
              <w:rPr>
                <w:rFonts w:hint="eastAsia"/>
                <w:color w:val="auto"/>
                <w:highlight w:val="none"/>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p>
          <w:p>
            <w:pPr>
              <w:keepNext w:val="0"/>
              <w:keepLines w:val="0"/>
              <w:widowControl/>
              <w:suppressLineNumbers w:val="0"/>
              <w:jc w:val="left"/>
              <w:textAlignment w:val="center"/>
              <w:rPr>
                <w:rFonts w:hint="eastAsia"/>
                <w:color w:val="auto"/>
                <w:highlight w:val="none"/>
              </w:rPr>
            </w:pPr>
            <w:r>
              <w:rPr>
                <w:rFonts w:hint="eastAsia"/>
                <w:color w:val="auto"/>
                <w:highlight w:val="none"/>
              </w:rPr>
              <w:t>11）支持终端设备分组管理，支持在终端组中添加不同型号的终端设备，支持为分组启用座位编号管理。</w:t>
            </w:r>
          </w:p>
          <w:p>
            <w:pPr>
              <w:keepNext w:val="0"/>
              <w:keepLines w:val="0"/>
              <w:widowControl/>
              <w:suppressLineNumbers w:val="0"/>
              <w:jc w:val="left"/>
              <w:textAlignment w:val="center"/>
              <w:rPr>
                <w:rFonts w:hint="eastAsia"/>
                <w:color w:val="auto"/>
                <w:highlight w:val="none"/>
              </w:rPr>
            </w:pPr>
            <w:r>
              <w:rPr>
                <w:rFonts w:hint="eastAsia"/>
                <w:color w:val="auto"/>
                <w:highlight w:val="none"/>
              </w:rPr>
              <w:t>12）支持批量修改计算机名、IP地址；支持对使用Windows系统的终端，统一设置群组的计算机名，也支持单独设置群组内某一终端的计算机名。</w:t>
            </w:r>
          </w:p>
          <w:p>
            <w:pPr>
              <w:keepNext w:val="0"/>
              <w:keepLines w:val="0"/>
              <w:widowControl/>
              <w:suppressLineNumbers w:val="0"/>
              <w:jc w:val="left"/>
              <w:textAlignment w:val="center"/>
              <w:rPr>
                <w:rFonts w:hint="eastAsia"/>
                <w:color w:val="auto"/>
                <w:highlight w:val="none"/>
              </w:rPr>
            </w:pPr>
            <w:r>
              <w:rPr>
                <w:rFonts w:hint="eastAsia"/>
                <w:color w:val="auto"/>
                <w:highlight w:val="none"/>
              </w:rPr>
              <w:t>13）支持终端批量配置，通过管理平台批量修改终端设备的所属组织（学校、校区）、设备名称、网络IP、上电自启BIOS配置、时间自动同步等设置，无需逐台配置。（</w:t>
            </w:r>
            <w:r>
              <w:rPr>
                <w:rFonts w:hint="eastAsia"/>
                <w:color w:val="auto"/>
                <w:highlight w:val="none"/>
                <w:lang w:eastAsia="zh-CN"/>
              </w:rPr>
              <w:t>投标文件中须提供</w:t>
            </w:r>
            <w:r>
              <w:rPr>
                <w:rFonts w:hint="eastAsia"/>
                <w:color w:val="auto"/>
                <w:highlight w:val="none"/>
              </w:rPr>
              <w:t>国家认可的第三方检测机构出具的关于该功能检测报告复印件，并加盖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14）支持日志信息管理，对终端、镜像等操作信息进行汇总，方便对常见问题的判断追查；支持保留桌面下发记录，包括终端名称，镜像名称，状态等信息。</w:t>
            </w:r>
          </w:p>
          <w:p>
            <w:pPr>
              <w:keepNext w:val="0"/>
              <w:keepLines w:val="0"/>
              <w:widowControl/>
              <w:suppressLineNumbers w:val="0"/>
              <w:jc w:val="left"/>
              <w:textAlignment w:val="center"/>
              <w:rPr>
                <w:rFonts w:hint="eastAsia"/>
                <w:color w:val="auto"/>
                <w:highlight w:val="none"/>
              </w:rPr>
            </w:pPr>
            <w:r>
              <w:rPr>
                <w:rFonts w:hint="eastAsia"/>
                <w:color w:val="auto"/>
                <w:highlight w:val="none"/>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r>
              <w:rPr>
                <w:rFonts w:hint="eastAsia"/>
                <w:color w:val="auto"/>
                <w:highlight w:val="none"/>
                <w:lang w:eastAsia="zh-CN"/>
              </w:rPr>
              <w:t>投标文件中须提供</w:t>
            </w:r>
            <w:r>
              <w:rPr>
                <w:rFonts w:hint="eastAsia"/>
                <w:color w:val="auto"/>
                <w:highlight w:val="none"/>
              </w:rPr>
              <w:t>国家认可的第三方检测机构出具的关于该功能检测报告复印件，并加盖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16）支持通过账号登录、手机扫码登录、无账号访客登录启动的云桌面镜像均可访问公共数据分区（D盘）。</w:t>
            </w:r>
          </w:p>
          <w:p>
            <w:pPr>
              <w:keepNext w:val="0"/>
              <w:keepLines w:val="0"/>
              <w:widowControl/>
              <w:suppressLineNumbers w:val="0"/>
              <w:jc w:val="left"/>
              <w:textAlignment w:val="center"/>
              <w:rPr>
                <w:rFonts w:hint="eastAsia"/>
                <w:color w:val="auto"/>
                <w:highlight w:val="none"/>
              </w:rPr>
            </w:pPr>
            <w:r>
              <w:rPr>
                <w:rFonts w:hint="eastAsia"/>
                <w:color w:val="auto"/>
                <w:highlight w:val="none"/>
              </w:rPr>
              <w:t>17）支持终端云桌面系统升级，开启自动升级后，终端自动下载最新的终端版本并升级安装</w:t>
            </w:r>
          </w:p>
          <w:p>
            <w:pPr>
              <w:keepNext w:val="0"/>
              <w:keepLines w:val="0"/>
              <w:widowControl/>
              <w:suppressLineNumbers w:val="0"/>
              <w:jc w:val="left"/>
              <w:textAlignment w:val="center"/>
              <w:rPr>
                <w:rFonts w:hint="eastAsia"/>
                <w:color w:val="auto"/>
                <w:highlight w:val="none"/>
              </w:rPr>
            </w:pPr>
            <w:r>
              <w:rPr>
                <w:rFonts w:hint="eastAsia"/>
                <w:color w:val="auto"/>
                <w:highlight w:val="none"/>
              </w:rPr>
              <w:t>18）可由管理平台指定启动镜像且多个镜像系统环境可快速切换。</w:t>
            </w:r>
          </w:p>
          <w:p>
            <w:pPr>
              <w:keepNext w:val="0"/>
              <w:keepLines w:val="0"/>
              <w:widowControl/>
              <w:suppressLineNumbers w:val="0"/>
              <w:jc w:val="left"/>
              <w:textAlignment w:val="center"/>
              <w:rPr>
                <w:rFonts w:hint="eastAsia"/>
                <w:color w:val="auto"/>
                <w:highlight w:val="none"/>
              </w:rPr>
            </w:pPr>
            <w:r>
              <w:rPr>
                <w:rFonts w:hint="eastAsia"/>
                <w:color w:val="auto"/>
                <w:highlight w:val="none"/>
              </w:rPr>
              <w:t>19）支持远程还原终端设备，在终端设备在云桌面镜像系统无法启动、系统异常时，可远程操作系统恢复；同时可选清空终端设备的公共数据分区（D盘）的数据。</w:t>
            </w:r>
          </w:p>
          <w:p>
            <w:pPr>
              <w:keepNext w:val="0"/>
              <w:keepLines w:val="0"/>
              <w:widowControl/>
              <w:suppressLineNumbers w:val="0"/>
              <w:jc w:val="left"/>
              <w:textAlignment w:val="center"/>
              <w:rPr>
                <w:rFonts w:hint="eastAsia"/>
                <w:color w:val="auto"/>
                <w:highlight w:val="none"/>
              </w:rPr>
            </w:pPr>
            <w:r>
              <w:rPr>
                <w:rFonts w:hint="eastAsia"/>
                <w:color w:val="auto"/>
                <w:highlight w:val="none"/>
              </w:rPr>
              <w:t>20）支持配置终端设备的使用方式统一配置，可配置成开机自动启动云桌面镜像或进入云桌面系统。</w:t>
            </w:r>
          </w:p>
          <w:p>
            <w:pPr>
              <w:keepNext w:val="0"/>
              <w:keepLines w:val="0"/>
              <w:widowControl/>
              <w:suppressLineNumbers w:val="0"/>
              <w:jc w:val="left"/>
              <w:textAlignment w:val="center"/>
              <w:rPr>
                <w:rFonts w:hint="eastAsia"/>
                <w:color w:val="auto"/>
                <w:highlight w:val="none"/>
              </w:rPr>
            </w:pPr>
            <w:r>
              <w:rPr>
                <w:rFonts w:hint="eastAsia"/>
                <w:color w:val="auto"/>
                <w:highlight w:val="none"/>
              </w:rPr>
              <w:t>21）支持配置终端设备使用鉴权方式统一配置，可配置成仅使用无账号登录、仅使用有账号登录、同时启用两种登录方式，支持同时配置不同登录方式的还原设置。（</w:t>
            </w:r>
            <w:r>
              <w:rPr>
                <w:rFonts w:hint="eastAsia"/>
                <w:color w:val="auto"/>
                <w:highlight w:val="none"/>
                <w:lang w:eastAsia="zh-CN"/>
              </w:rPr>
              <w:t>投标文件中须提供</w:t>
            </w:r>
            <w:r>
              <w:rPr>
                <w:rFonts w:hint="eastAsia"/>
                <w:color w:val="auto"/>
                <w:highlight w:val="none"/>
              </w:rPr>
              <w:t>国家认可的第三方检测机构出具的关于该功能检测报告复印件，并加盖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22）支持分别配置无账号登录、有账号登录方式的还原模式，开启还原后终端设备的云桌面镜像系统的使用记录与数据将不被保留。</w:t>
            </w:r>
          </w:p>
          <w:p>
            <w:pPr>
              <w:keepNext w:val="0"/>
              <w:keepLines w:val="0"/>
              <w:widowControl/>
              <w:suppressLineNumbers w:val="0"/>
              <w:jc w:val="left"/>
              <w:textAlignment w:val="center"/>
              <w:rPr>
                <w:rFonts w:hint="eastAsia"/>
                <w:color w:val="auto"/>
                <w:highlight w:val="none"/>
              </w:rPr>
            </w:pPr>
            <w:r>
              <w:rPr>
                <w:rFonts w:hint="eastAsia"/>
                <w:color w:val="auto"/>
                <w:highlight w:val="none"/>
              </w:rPr>
              <w:t>23）支持策略生命周期管理，包括新建、删除、启用、停用。</w:t>
            </w:r>
          </w:p>
          <w:p>
            <w:pPr>
              <w:keepNext w:val="0"/>
              <w:keepLines w:val="0"/>
              <w:widowControl/>
              <w:suppressLineNumbers w:val="0"/>
              <w:jc w:val="left"/>
              <w:textAlignment w:val="center"/>
              <w:rPr>
                <w:rFonts w:hint="eastAsia"/>
                <w:color w:val="auto"/>
                <w:highlight w:val="none"/>
              </w:rPr>
            </w:pPr>
            <w:r>
              <w:rPr>
                <w:rFonts w:hint="eastAsia"/>
                <w:color w:val="auto"/>
                <w:highlight w:val="none"/>
              </w:rPr>
              <w:t>24）支持设备计划关机，支持按照全部设备、指定分组、指定设备，设置终端关机操作，并可设置某时间单次执行或周期循环执行。</w:t>
            </w:r>
          </w:p>
          <w:p>
            <w:pPr>
              <w:keepNext w:val="0"/>
              <w:keepLines w:val="0"/>
              <w:widowControl/>
              <w:suppressLineNumbers w:val="0"/>
              <w:jc w:val="left"/>
              <w:textAlignment w:val="center"/>
              <w:rPr>
                <w:rFonts w:hint="eastAsia"/>
                <w:color w:val="auto"/>
                <w:highlight w:val="none"/>
              </w:rPr>
            </w:pPr>
            <w:r>
              <w:rPr>
                <w:rFonts w:hint="eastAsia"/>
                <w:color w:val="auto"/>
                <w:highlight w:val="none"/>
              </w:rPr>
              <w:t>25）支持一键打开管理平台的帮助手册。</w:t>
            </w:r>
          </w:p>
          <w:p>
            <w:pPr>
              <w:keepNext w:val="0"/>
              <w:keepLines w:val="0"/>
              <w:widowControl/>
              <w:suppressLineNumbers w:val="0"/>
              <w:jc w:val="left"/>
              <w:textAlignment w:val="center"/>
              <w:rPr>
                <w:rFonts w:hint="eastAsia"/>
                <w:color w:val="auto"/>
                <w:highlight w:val="none"/>
              </w:rPr>
            </w:pPr>
            <w:r>
              <w:rPr>
                <w:rFonts w:hint="eastAsia"/>
                <w:color w:val="auto"/>
                <w:highlight w:val="none"/>
              </w:rPr>
              <w:t>26）提供组织管理员管理功能，包括：管理员添加、移除和转移，同时支持设置管理员的管理权限，包括：组织管理，系统管理员管理，角色权限，工作台配置，应用管理，区域语言和操作日志。</w:t>
            </w:r>
          </w:p>
          <w:p>
            <w:pPr>
              <w:keepNext w:val="0"/>
              <w:keepLines w:val="0"/>
              <w:widowControl/>
              <w:suppressLineNumbers w:val="0"/>
              <w:jc w:val="left"/>
              <w:textAlignment w:val="center"/>
              <w:rPr>
                <w:rFonts w:hint="eastAsia"/>
                <w:color w:val="auto"/>
                <w:highlight w:val="none"/>
              </w:rPr>
            </w:pPr>
            <w:r>
              <w:rPr>
                <w:rFonts w:hint="eastAsia"/>
                <w:color w:val="auto"/>
                <w:highlight w:val="none"/>
              </w:rPr>
              <w:t>27）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p>
            <w:pPr>
              <w:keepNext w:val="0"/>
              <w:keepLines w:val="0"/>
              <w:widowControl/>
              <w:suppressLineNumbers w:val="0"/>
              <w:jc w:val="left"/>
              <w:textAlignment w:val="center"/>
              <w:rPr>
                <w:rFonts w:hint="eastAsia"/>
                <w:color w:val="auto"/>
                <w:highlight w:val="none"/>
              </w:rPr>
            </w:pPr>
            <w:r>
              <w:rPr>
                <w:rFonts w:hint="eastAsia"/>
                <w:color w:val="auto"/>
                <w:highlight w:val="none"/>
              </w:rPr>
              <w:t>14.应用软件</w:t>
            </w:r>
          </w:p>
          <w:p>
            <w:pPr>
              <w:keepNext w:val="0"/>
              <w:keepLines w:val="0"/>
              <w:widowControl/>
              <w:suppressLineNumbers w:val="0"/>
              <w:jc w:val="left"/>
              <w:textAlignment w:val="center"/>
              <w:rPr>
                <w:rFonts w:hint="eastAsia"/>
                <w:color w:val="auto"/>
                <w:highlight w:val="none"/>
              </w:rPr>
            </w:pPr>
            <w:r>
              <w:rPr>
                <w:rFonts w:hint="eastAsia"/>
                <w:color w:val="auto"/>
                <w:highlight w:val="none"/>
              </w:rPr>
              <w:t>1）登录方式多样性：支持帐号/密码和手机微信扫码两种登录方式。用户首次登录时绑定微信ID与帐号的对应关系，绑定后可通过微信扫码登录，无需再次输入帐号/密码。</w:t>
            </w:r>
          </w:p>
          <w:p>
            <w:pPr>
              <w:keepNext w:val="0"/>
              <w:keepLines w:val="0"/>
              <w:widowControl/>
              <w:suppressLineNumbers w:val="0"/>
              <w:jc w:val="left"/>
              <w:textAlignment w:val="center"/>
              <w:rPr>
                <w:rFonts w:hint="eastAsia"/>
                <w:color w:val="auto"/>
                <w:highlight w:val="none"/>
              </w:rPr>
            </w:pPr>
            <w:r>
              <w:rPr>
                <w:rFonts w:hint="eastAsia"/>
                <w:color w:val="auto"/>
                <w:highlight w:val="none"/>
              </w:rPr>
              <w:t>2）终端关联设备：设备通过微信扫码可绑定学校的设备管理系统，能设置当前设备类型与归属用户。</w:t>
            </w:r>
          </w:p>
          <w:p>
            <w:pPr>
              <w:keepNext w:val="0"/>
              <w:keepLines w:val="0"/>
              <w:widowControl/>
              <w:suppressLineNumbers w:val="0"/>
              <w:jc w:val="left"/>
              <w:textAlignment w:val="center"/>
              <w:rPr>
                <w:rFonts w:hint="eastAsia"/>
                <w:color w:val="auto"/>
                <w:highlight w:val="none"/>
              </w:rPr>
            </w:pPr>
            <w:r>
              <w:rPr>
                <w:rFonts w:hint="eastAsia"/>
                <w:color w:val="auto"/>
                <w:highlight w:val="none"/>
              </w:rPr>
              <w:t>3）设备详情：能查看当前设备的硬件信息和和系统信息。可查看的硬件信息包CPU、主板、显卡、硬盘、显示器、网卡、声卡。可查看的系统信息包括操作系统、系统激活状态、连接ID、SN号、MAC地址、内外网IP。</w:t>
            </w:r>
          </w:p>
          <w:p>
            <w:pPr>
              <w:keepNext w:val="0"/>
              <w:keepLines w:val="0"/>
              <w:widowControl/>
              <w:suppressLineNumbers w:val="0"/>
              <w:jc w:val="left"/>
              <w:textAlignment w:val="center"/>
              <w:rPr>
                <w:rFonts w:hint="eastAsia"/>
                <w:color w:val="auto"/>
                <w:highlight w:val="none"/>
              </w:rPr>
            </w:pPr>
            <w:r>
              <w:rPr>
                <w:rFonts w:hint="eastAsia"/>
                <w:color w:val="auto"/>
                <w:highlight w:val="none"/>
              </w:rPr>
              <w:t>4）设备运行状态：能查看当前设备的内存、CPU、硬盘、系统盘、网速的实时占用状态信息。</w:t>
            </w:r>
          </w:p>
          <w:p>
            <w:pPr>
              <w:keepNext w:val="0"/>
              <w:keepLines w:val="0"/>
              <w:widowControl/>
              <w:suppressLineNumbers w:val="0"/>
              <w:jc w:val="left"/>
              <w:textAlignment w:val="center"/>
              <w:rPr>
                <w:rFonts w:hint="eastAsia"/>
                <w:color w:val="auto"/>
                <w:highlight w:val="none"/>
              </w:rPr>
            </w:pPr>
            <w:r>
              <w:rPr>
                <w:rFonts w:hint="eastAsia"/>
                <w:color w:val="auto"/>
                <w:highlight w:val="none"/>
              </w:rPr>
              <w:t>5）整体描述：发送端软件发送文件至接收端软件。</w:t>
            </w:r>
          </w:p>
          <w:p>
            <w:pPr>
              <w:keepNext w:val="0"/>
              <w:keepLines w:val="0"/>
              <w:widowControl/>
              <w:suppressLineNumbers w:val="0"/>
              <w:jc w:val="left"/>
              <w:textAlignment w:val="center"/>
              <w:rPr>
                <w:rFonts w:hint="eastAsia"/>
                <w:color w:val="auto"/>
                <w:highlight w:val="none"/>
              </w:rPr>
            </w:pPr>
            <w:r>
              <w:rPr>
                <w:rFonts w:hint="eastAsia"/>
                <w:color w:val="auto"/>
                <w:highlight w:val="none"/>
              </w:rPr>
              <w:t>6）文件条件：支持一次发送多个文件；可发送图片、视频、文档等类型的文件。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7）文件发送：可以从不同的文件夹拖动或选择文件至发送区；能查看待发送的文件列表，并可移除选择错误的文件。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8）快捷发送：支持拖动文件至发送区进行文件发送。</w:t>
            </w:r>
          </w:p>
          <w:p>
            <w:pPr>
              <w:keepNext w:val="0"/>
              <w:keepLines w:val="0"/>
              <w:widowControl/>
              <w:suppressLineNumbers w:val="0"/>
              <w:jc w:val="left"/>
              <w:textAlignment w:val="center"/>
              <w:rPr>
                <w:rFonts w:hint="eastAsia"/>
                <w:color w:val="auto"/>
                <w:highlight w:val="none"/>
              </w:rPr>
            </w:pPr>
            <w:r>
              <w:rPr>
                <w:rFonts w:hint="eastAsia"/>
                <w:color w:val="auto"/>
                <w:highlight w:val="none"/>
              </w:rPr>
              <w:t>9）离线暂存：支持一次发送文件给多个接收端设备。接收端离线时文件能够暂存在云端，接收端设备在线后可进行自动下载。（</w:t>
            </w:r>
            <w:r>
              <w:rPr>
                <w:rFonts w:hint="eastAsia"/>
                <w:color w:val="auto"/>
                <w:highlight w:val="none"/>
                <w:lang w:eastAsia="zh-CN"/>
              </w:rPr>
              <w:t>投标文件中须提供</w:t>
            </w:r>
            <w:r>
              <w:rPr>
                <w:rFonts w:hint="eastAsia"/>
                <w:color w:val="auto"/>
                <w:highlight w:val="none"/>
              </w:rPr>
              <w:t>国家认可的第三方检测机构出具的检测报告复印件，并加盖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10）其他：支持查看发送进度；</w:t>
            </w:r>
          </w:p>
          <w:p>
            <w:pPr>
              <w:keepNext w:val="0"/>
              <w:keepLines w:val="0"/>
              <w:widowControl/>
              <w:suppressLineNumbers w:val="0"/>
              <w:jc w:val="left"/>
              <w:textAlignment w:val="center"/>
              <w:rPr>
                <w:rFonts w:hint="eastAsia"/>
                <w:color w:val="auto"/>
                <w:highlight w:val="none"/>
              </w:rPr>
            </w:pPr>
            <w:r>
              <w:rPr>
                <w:rFonts w:hint="eastAsia"/>
                <w:color w:val="auto"/>
                <w:highlight w:val="none"/>
              </w:rPr>
              <w:t>11）个性接收夹：在接收端设备上能够创建自己独立的文件接收夹。可个性化定义文件的名称与图标颜色；接收到新文件时有提示新文件；（</w:t>
            </w:r>
            <w:r>
              <w:rPr>
                <w:rFonts w:hint="eastAsia"/>
                <w:color w:val="auto"/>
                <w:highlight w:val="none"/>
                <w:lang w:eastAsia="zh-CN"/>
              </w:rPr>
              <w:t>投标文件中须提供</w:t>
            </w:r>
            <w:r>
              <w:rPr>
                <w:rFonts w:hint="eastAsia"/>
                <w:color w:val="auto"/>
                <w:highlight w:val="none"/>
              </w:rPr>
              <w:t>国家认可的第三方检测机构出具的检测报告复印件，并加盖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12）文件列表：支接收端设备可查看当前已接收的文件列表，包括文件名称、接收时间、接收状态信息；可直接打开已下载的文件，能手动下载未下载或下载失败的文件；支持查看单个文件下载进度与总进度。</w:t>
            </w:r>
          </w:p>
          <w:p>
            <w:pPr>
              <w:keepNext w:val="0"/>
              <w:keepLines w:val="0"/>
              <w:widowControl/>
              <w:suppressLineNumbers w:val="0"/>
              <w:jc w:val="left"/>
              <w:textAlignment w:val="center"/>
              <w:rPr>
                <w:rFonts w:hint="eastAsia"/>
                <w:color w:val="auto"/>
                <w:highlight w:val="none"/>
              </w:rPr>
            </w:pPr>
            <w:r>
              <w:rPr>
                <w:rFonts w:hint="eastAsia"/>
                <w:color w:val="auto"/>
                <w:highlight w:val="none"/>
              </w:rPr>
              <w:t>13）自动下载：支持接收端设备在线状态下可自动接收发送端设备发送的文件。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14）自动清理：支持自动清理超过14天的文件。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15）状态查看：支持展示电脑实时的数据信息，包括CPU、内存、系统盘、总存储、实时网速数据信息，离线的设备展示最后的数据信息。</w:t>
            </w:r>
          </w:p>
          <w:p>
            <w:pPr>
              <w:keepNext w:val="0"/>
              <w:keepLines w:val="0"/>
              <w:widowControl/>
              <w:suppressLineNumbers w:val="0"/>
              <w:jc w:val="left"/>
              <w:textAlignment w:val="center"/>
              <w:rPr>
                <w:rFonts w:hint="eastAsia"/>
                <w:color w:val="auto"/>
                <w:highlight w:val="none"/>
              </w:rPr>
            </w:pPr>
            <w:r>
              <w:rPr>
                <w:rFonts w:hint="eastAsia"/>
                <w:color w:val="auto"/>
                <w:highlight w:val="none"/>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pPr>
              <w:keepNext w:val="0"/>
              <w:keepLines w:val="0"/>
              <w:widowControl/>
              <w:suppressLineNumbers w:val="0"/>
              <w:jc w:val="left"/>
              <w:textAlignment w:val="center"/>
              <w:rPr>
                <w:rFonts w:hint="eastAsia"/>
                <w:color w:val="auto"/>
                <w:highlight w:val="none"/>
              </w:rPr>
            </w:pPr>
            <w:r>
              <w:rPr>
                <w:rFonts w:hint="eastAsia"/>
                <w:color w:val="auto"/>
                <w:highlight w:val="none"/>
              </w:rPr>
              <w:t>17）编辑：用户可在任意路径节点创建文件夹，并且可以自定义文件夹名称；用户可以对上传的文件和文件夹进行重命名；支持用户对文件和文件夹进行移动和批量移动；支持用户删除文件和文件夹。</w:t>
            </w:r>
          </w:p>
          <w:p>
            <w:pPr>
              <w:keepNext w:val="0"/>
              <w:keepLines w:val="0"/>
              <w:widowControl/>
              <w:suppressLineNumbers w:val="0"/>
              <w:jc w:val="left"/>
              <w:textAlignment w:val="center"/>
              <w:rPr>
                <w:rFonts w:hint="eastAsia"/>
                <w:color w:val="auto"/>
                <w:highlight w:val="none"/>
              </w:rPr>
            </w:pPr>
            <w:r>
              <w:rPr>
                <w:rFonts w:hint="eastAsia"/>
                <w:color w:val="auto"/>
                <w:highlight w:val="none"/>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19）预览：能够在线预览图片、音视频、文档；支持预览的格式，包括，图片：BMP、GIF、JPE、JPEG、JPG、PNG；音频：WAV、MP3、OGG；视频：3GP、F4V、M4V、MKV、MP4、OGV、MOV；文档：DOC、DOCX、PDF、PPT、XLS、XLSX。</w:t>
            </w:r>
          </w:p>
          <w:p>
            <w:pPr>
              <w:keepNext w:val="0"/>
              <w:keepLines w:val="0"/>
              <w:widowControl/>
              <w:suppressLineNumbers w:val="0"/>
              <w:jc w:val="left"/>
              <w:textAlignment w:val="center"/>
              <w:rPr>
                <w:rFonts w:hint="eastAsia"/>
                <w:color w:val="auto"/>
                <w:highlight w:val="none"/>
              </w:rPr>
            </w:pPr>
            <w:r>
              <w:rPr>
                <w:rFonts w:hint="eastAsia"/>
                <w:color w:val="auto"/>
                <w:highlight w:val="none"/>
              </w:rPr>
              <w:t>20）发送到班级：用户可在资料夹中把多个文件发送至接收端软件中，发送的文件不限格式，接收端软件自动下载该文件。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r>
              <w:rPr>
                <w:rFonts w:hint="eastAsia"/>
                <w:color w:val="auto"/>
                <w:highlight w:val="none"/>
                <w:lang w:eastAsia="zh-CN"/>
              </w:rPr>
              <w:t>投标文件中须提供</w:t>
            </w:r>
            <w:r>
              <w:rPr>
                <w:rFonts w:hint="eastAsia"/>
                <w:color w:val="auto"/>
                <w:highlight w:val="none"/>
              </w:rPr>
              <w:t>国家认可的第三方检测机构出具的检测报告复印件，并加盖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22）最近使用课件：助手栏展示最近使用的前3条课件，点击课件支持在发送端软件内打开和编辑。</w:t>
            </w:r>
          </w:p>
          <w:p>
            <w:pPr>
              <w:keepNext w:val="0"/>
              <w:keepLines w:val="0"/>
              <w:widowControl/>
              <w:suppressLineNumbers w:val="0"/>
              <w:jc w:val="left"/>
              <w:textAlignment w:val="center"/>
              <w:rPr>
                <w:rFonts w:hint="eastAsia"/>
                <w:color w:val="auto"/>
                <w:highlight w:val="none"/>
              </w:rPr>
            </w:pPr>
            <w:r>
              <w:rPr>
                <w:rFonts w:hint="eastAsia"/>
                <w:color w:val="auto"/>
                <w:highlight w:val="none"/>
              </w:rPr>
              <w:t>23）编辑：用户可自定义助手栏展示的内容，根据自己的需求能对内容进行移除、添加、移动位置，变更后数据会跟随当前登陆的账号，登录另一台电脑时会同步当前编辑的结果。</w:t>
            </w:r>
          </w:p>
          <w:p>
            <w:pPr>
              <w:keepNext w:val="0"/>
              <w:keepLines w:val="0"/>
              <w:widowControl/>
              <w:suppressLineNumbers w:val="0"/>
              <w:jc w:val="left"/>
              <w:textAlignment w:val="center"/>
              <w:rPr>
                <w:rFonts w:hint="eastAsia"/>
                <w:color w:val="auto"/>
                <w:highlight w:val="none"/>
              </w:rPr>
            </w:pPr>
            <w:r>
              <w:rPr>
                <w:rFonts w:hint="eastAsia"/>
                <w:color w:val="auto"/>
                <w:highlight w:val="none"/>
              </w:rPr>
              <w:t>24）网站：支持用户主动添加网址，添加的网站会呈现在助手栏中，点击即可在发送端软件打开。</w:t>
            </w:r>
          </w:p>
          <w:p>
            <w:pPr>
              <w:keepNext w:val="0"/>
              <w:keepLines w:val="0"/>
              <w:widowControl/>
              <w:suppressLineNumbers w:val="0"/>
              <w:jc w:val="left"/>
              <w:textAlignment w:val="center"/>
              <w:rPr>
                <w:rFonts w:hint="eastAsia"/>
                <w:color w:val="auto"/>
                <w:highlight w:val="none"/>
              </w:rPr>
            </w:pPr>
            <w:r>
              <w:rPr>
                <w:rFonts w:hint="eastAsia"/>
                <w:color w:val="auto"/>
                <w:highlight w:val="none"/>
              </w:rPr>
              <w:t>25）移动：用户能拖动助手栏到屏幕的任意位置，当用户拖动助手栏靠近屏幕边缘时会自动收到侧边；鼠标悬浮在侧边的时候，会弹出该助手栏，再次拖动助手栏会取消收起。</w:t>
            </w:r>
          </w:p>
          <w:p>
            <w:pPr>
              <w:keepNext w:val="0"/>
              <w:keepLines w:val="0"/>
              <w:widowControl/>
              <w:suppressLineNumbers w:val="0"/>
              <w:jc w:val="left"/>
              <w:textAlignment w:val="center"/>
              <w:rPr>
                <w:rFonts w:hint="eastAsia"/>
                <w:color w:val="auto"/>
                <w:highlight w:val="none"/>
              </w:rPr>
            </w:pPr>
            <w:r>
              <w:rPr>
                <w:rFonts w:hint="eastAsia"/>
                <w:color w:val="auto"/>
                <w:highlight w:val="none"/>
              </w:rPr>
              <w:t>26）对话式生成：根据输入的文字生成文本，并通过类人类对话的形式表达，还支持根据上下文进行多轮连续对话。</w:t>
            </w:r>
          </w:p>
          <w:p>
            <w:pPr>
              <w:keepNext w:val="0"/>
              <w:keepLines w:val="0"/>
              <w:widowControl/>
              <w:suppressLineNumbers w:val="0"/>
              <w:jc w:val="left"/>
              <w:textAlignment w:val="center"/>
              <w:rPr>
                <w:rFonts w:hint="eastAsia"/>
                <w:color w:val="auto"/>
                <w:highlight w:val="none"/>
              </w:rPr>
            </w:pPr>
            <w:r>
              <w:rPr>
                <w:rFonts w:hint="eastAsia"/>
                <w:color w:val="auto"/>
                <w:highlight w:val="none"/>
              </w:rPr>
              <w:t>27）写作：支持输入主题一键生成活动感想、发言稿、活动策划；支持选择生成的文字数量。（</w:t>
            </w:r>
            <w:r>
              <w:rPr>
                <w:rFonts w:hint="eastAsia"/>
                <w:color w:val="auto"/>
                <w:highlight w:val="none"/>
                <w:lang w:eastAsia="zh-CN"/>
              </w:rPr>
              <w:t>投标文件中须提供</w:t>
            </w:r>
            <w:r>
              <w:rPr>
                <w:rFonts w:hint="eastAsia"/>
                <w:color w:val="auto"/>
                <w:highlight w:val="none"/>
              </w:rPr>
              <w:t>国家认可的第三方检测机构出具的检测报告复印件，并加盖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28）评价：支持根据输入的学生姓名与评价维度生成评语。</w:t>
            </w:r>
          </w:p>
          <w:p>
            <w:pPr>
              <w:keepNext w:val="0"/>
              <w:keepLines w:val="0"/>
              <w:widowControl/>
              <w:suppressLineNumbers w:val="0"/>
              <w:jc w:val="left"/>
              <w:textAlignment w:val="center"/>
              <w:rPr>
                <w:rFonts w:hint="eastAsia"/>
                <w:color w:val="auto"/>
                <w:highlight w:val="none"/>
              </w:rPr>
            </w:pPr>
            <w:r>
              <w:rPr>
                <w:rFonts w:hint="eastAsia"/>
                <w:color w:val="auto"/>
                <w:highlight w:val="none"/>
              </w:rPr>
              <w:t>29）提示词：支持进入百宝箱后默认展示3条提示词，一键问询AI问题。</w:t>
            </w:r>
          </w:p>
          <w:p>
            <w:pPr>
              <w:keepNext w:val="0"/>
              <w:keepLines w:val="0"/>
              <w:widowControl/>
              <w:suppressLineNumbers w:val="0"/>
              <w:jc w:val="left"/>
              <w:textAlignment w:val="center"/>
              <w:rPr>
                <w:rFonts w:hint="eastAsia"/>
                <w:color w:val="auto"/>
                <w:highlight w:val="none"/>
              </w:rPr>
            </w:pPr>
            <w:r>
              <w:rPr>
                <w:rFonts w:hint="eastAsia"/>
                <w:color w:val="auto"/>
                <w:highlight w:val="none"/>
              </w:rPr>
              <w:t>30）生成编辑：支持对AI生成的内容复制或重新生成。</w:t>
            </w:r>
          </w:p>
          <w:p>
            <w:pPr>
              <w:keepNext w:val="0"/>
              <w:keepLines w:val="0"/>
              <w:widowControl/>
              <w:suppressLineNumbers w:val="0"/>
              <w:jc w:val="left"/>
              <w:textAlignment w:val="center"/>
              <w:rPr>
                <w:rFonts w:hint="eastAsia"/>
                <w:color w:val="auto"/>
                <w:highlight w:val="none"/>
              </w:rPr>
            </w:pPr>
            <w:r>
              <w:rPr>
                <w:rFonts w:hint="eastAsia"/>
                <w:color w:val="auto"/>
                <w:highlight w:val="none"/>
              </w:rPr>
              <w:t>31）批量生成：支持批量生成学生的奖状，并可对奖状内容、奖励称号、颁奖人/单位、颁发日期、印章内容进行自定义编辑；支持选择生成的奖状模板。（</w:t>
            </w:r>
            <w:r>
              <w:rPr>
                <w:rFonts w:hint="eastAsia"/>
                <w:color w:val="auto"/>
                <w:highlight w:val="none"/>
                <w:lang w:eastAsia="zh-CN"/>
              </w:rPr>
              <w:t>投标文件中须提供</w:t>
            </w:r>
            <w:r>
              <w:rPr>
                <w:rFonts w:hint="eastAsia"/>
                <w:color w:val="auto"/>
                <w:highlight w:val="none"/>
              </w:rPr>
              <w:t>国家认可的第三方检测机构出具的检测报告复印件，并加盖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32）下载：支持将生成的奖状一键下载到本地。</w:t>
            </w:r>
          </w:p>
          <w:p>
            <w:pPr>
              <w:keepNext w:val="0"/>
              <w:keepLines w:val="0"/>
              <w:widowControl/>
              <w:suppressLineNumbers w:val="0"/>
              <w:jc w:val="left"/>
              <w:textAlignment w:val="center"/>
              <w:rPr>
                <w:rFonts w:hint="eastAsia"/>
                <w:color w:val="auto"/>
                <w:highlight w:val="none"/>
              </w:rPr>
            </w:pPr>
            <w:r>
              <w:rPr>
                <w:rFonts w:hint="eastAsia"/>
                <w:color w:val="auto"/>
                <w:highlight w:val="none"/>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34）录屏：支持对全屏/区域的屏幕内容、电脑的声音、麦克风声音、摄像头内容进行录制；支持切换录制的分辨率。</w:t>
            </w:r>
          </w:p>
          <w:p>
            <w:pPr>
              <w:keepNext w:val="0"/>
              <w:keepLines w:val="0"/>
              <w:widowControl/>
              <w:suppressLineNumbers w:val="0"/>
              <w:jc w:val="left"/>
              <w:textAlignment w:val="center"/>
              <w:rPr>
                <w:rFonts w:hint="eastAsia"/>
                <w:color w:val="auto"/>
                <w:highlight w:val="none"/>
              </w:rPr>
            </w:pPr>
            <w:r>
              <w:rPr>
                <w:rFonts w:hint="eastAsia"/>
                <w:color w:val="auto"/>
                <w:highlight w:val="none"/>
              </w:rPr>
              <w:t>35）录制中：支持录制过程中进行画笔标注与擦除；支持中途暂停录制和继续录制。</w:t>
            </w:r>
          </w:p>
          <w:p>
            <w:pPr>
              <w:keepNext w:val="0"/>
              <w:keepLines w:val="0"/>
              <w:widowControl/>
              <w:suppressLineNumbers w:val="0"/>
              <w:jc w:val="left"/>
              <w:textAlignment w:val="center"/>
              <w:rPr>
                <w:rFonts w:hint="eastAsia"/>
                <w:color w:val="auto"/>
                <w:highlight w:val="none"/>
              </w:rPr>
            </w:pPr>
            <w:r>
              <w:rPr>
                <w:rFonts w:hint="eastAsia"/>
                <w:color w:val="auto"/>
                <w:highlight w:val="none"/>
              </w:rPr>
              <w:t>36）录制结束：支持录制结束后进行文字快剪、视频编辑。</w:t>
            </w:r>
          </w:p>
          <w:p>
            <w:pPr>
              <w:keepNext w:val="0"/>
              <w:keepLines w:val="0"/>
              <w:widowControl/>
              <w:suppressLineNumbers w:val="0"/>
              <w:jc w:val="left"/>
              <w:textAlignment w:val="center"/>
              <w:rPr>
                <w:rFonts w:hint="eastAsia"/>
                <w:color w:val="auto"/>
                <w:highlight w:val="none"/>
              </w:rPr>
            </w:pPr>
            <w:r>
              <w:rPr>
                <w:rFonts w:hint="eastAsia"/>
                <w:color w:val="auto"/>
                <w:highlight w:val="none"/>
              </w:rPr>
              <w:t>37）传屏：支持把发送端设备的屏幕同步到班班通设备；传屏成功后支持在班班通设备反向触控发送端设备。（</w:t>
            </w:r>
            <w:r>
              <w:rPr>
                <w:rFonts w:hint="eastAsia"/>
                <w:color w:val="auto"/>
                <w:highlight w:val="none"/>
                <w:lang w:eastAsia="zh-CN"/>
              </w:rPr>
              <w:t>投标文件中须提供</w:t>
            </w:r>
            <w:r>
              <w:rPr>
                <w:rFonts w:hint="eastAsia"/>
                <w:color w:val="auto"/>
                <w:highlight w:val="none"/>
              </w:rPr>
              <w:t>国家认可的第三方检测机构出具的检测报告复印件，并加盖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38）设备连接：支持通过连接码的方式与班班通设备建立传屏关系；支持自动发现附近的班班通设备，一键连接班班通设备。</w:t>
            </w:r>
          </w:p>
          <w:p>
            <w:pPr>
              <w:keepNext w:val="0"/>
              <w:keepLines w:val="0"/>
              <w:widowControl/>
              <w:suppressLineNumbers w:val="0"/>
              <w:jc w:val="left"/>
              <w:textAlignment w:val="center"/>
              <w:rPr>
                <w:rFonts w:hint="eastAsia"/>
                <w:color w:val="auto"/>
                <w:highlight w:val="none"/>
              </w:rPr>
            </w:pPr>
            <w:r>
              <w:rPr>
                <w:rFonts w:hint="eastAsia"/>
                <w:color w:val="auto"/>
                <w:highlight w:val="none"/>
              </w:rPr>
              <w:t>39）指令下发：支持对单个电脑或批量设备下发关机与重启指令、移动分组、移除设备。</w:t>
            </w:r>
          </w:p>
          <w:p>
            <w:pPr>
              <w:keepNext w:val="0"/>
              <w:keepLines w:val="0"/>
              <w:widowControl/>
              <w:suppressLineNumbers w:val="0"/>
              <w:jc w:val="left"/>
              <w:textAlignment w:val="center"/>
              <w:rPr>
                <w:rFonts w:hint="eastAsia"/>
                <w:color w:val="auto"/>
                <w:highlight w:val="none"/>
              </w:rPr>
            </w:pPr>
            <w:r>
              <w:rPr>
                <w:rFonts w:hint="eastAsia"/>
                <w:color w:val="auto"/>
                <w:highlight w:val="none"/>
              </w:rPr>
              <w:t>40）PDF格式转化：支持在线对PDF的文件进行转换格式，转换为XLSX、DOCX、PPT;转换后文件内容的排布与源PDF保持基本一致；支持对转换后的文件进行编辑，包括(编辑文本、编辑表格、编辑图片);转换后支持下载文件至电脑本地。（</w:t>
            </w:r>
            <w:r>
              <w:rPr>
                <w:rFonts w:hint="eastAsia"/>
                <w:color w:val="auto"/>
                <w:highlight w:val="none"/>
                <w:lang w:eastAsia="zh-CN"/>
              </w:rPr>
              <w:t>投标文件中须提供</w:t>
            </w:r>
            <w:r>
              <w:rPr>
                <w:rFonts w:hint="eastAsia"/>
                <w:color w:val="auto"/>
                <w:highlight w:val="none"/>
              </w:rPr>
              <w:t>国家认可的第三方检测机构出具的检测报告复印件，并加盖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41）图片转格式：支持对图片进行在线转换格式，图片原始格式为bmp、jpg、jpeg、png、tif、webp、heic;转换为jpg、png;转换后支持下载图片到电脑本地。（</w:t>
            </w:r>
            <w:r>
              <w:rPr>
                <w:rFonts w:hint="eastAsia"/>
                <w:color w:val="auto"/>
                <w:highlight w:val="none"/>
                <w:lang w:eastAsia="zh-CN"/>
              </w:rPr>
              <w:t>投标文件中须提供</w:t>
            </w:r>
            <w:r>
              <w:rPr>
                <w:rFonts w:hint="eastAsia"/>
                <w:color w:val="auto"/>
                <w:highlight w:val="none"/>
              </w:rPr>
              <w:t>国家认可的第三方检测机构出具的检测报告复印件，并加盖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42）提取文字：支持对图片进行在线文字识别；识别后支持对文字进行复制。</w:t>
            </w:r>
          </w:p>
          <w:p>
            <w:pPr>
              <w:keepNext w:val="0"/>
              <w:keepLines w:val="0"/>
              <w:widowControl/>
              <w:suppressLineNumbers w:val="0"/>
              <w:jc w:val="left"/>
              <w:textAlignment w:val="center"/>
              <w:rPr>
                <w:rFonts w:hint="eastAsia"/>
                <w:color w:val="auto"/>
                <w:highlight w:val="none"/>
              </w:rPr>
            </w:pPr>
            <w:r>
              <w:rPr>
                <w:rFonts w:hint="eastAsia"/>
                <w:color w:val="auto"/>
                <w:highlight w:val="none"/>
              </w:rPr>
              <w:t>43）文字快剪：支持提取视频的声音并转换成文字，自动识别出语气词，用户可选择删除，支持手动删除文字从而达到剪辑的目的。（</w:t>
            </w:r>
            <w:r>
              <w:rPr>
                <w:rFonts w:hint="eastAsia"/>
                <w:color w:val="auto"/>
                <w:highlight w:val="none"/>
                <w:lang w:eastAsia="zh-CN"/>
              </w:rPr>
              <w:t>投标文件中须提供</w:t>
            </w:r>
            <w:r>
              <w:rPr>
                <w:rFonts w:hint="eastAsia"/>
                <w:color w:val="auto"/>
                <w:highlight w:val="none"/>
              </w:rPr>
              <w:t>国家认可的第三方检测机构出具的检测报告复印件，并加盖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r>
              <w:rPr>
                <w:rFonts w:hint="eastAsia"/>
                <w:color w:val="auto"/>
                <w:highlight w:val="none"/>
                <w:lang w:eastAsia="zh-CN"/>
              </w:rPr>
              <w:t>投标文件中须提供</w:t>
            </w:r>
            <w:r>
              <w:rPr>
                <w:rFonts w:hint="eastAsia"/>
                <w:color w:val="auto"/>
                <w:highlight w:val="none"/>
              </w:rPr>
              <w:t>国家认可的第三方检测机构出具的检测报告复印件，并加盖</w:t>
            </w:r>
            <w:r>
              <w:rPr>
                <w:rFonts w:hint="eastAsia"/>
                <w:color w:val="auto"/>
                <w:highlight w:val="none"/>
                <w:lang w:eastAsia="zh-CN"/>
              </w:rPr>
              <w:t>供应商公章</w:t>
            </w:r>
            <w:r>
              <w:rPr>
                <w:rFonts w:hint="eastAsia"/>
                <w:color w:val="auto"/>
                <w:highlight w:val="none"/>
              </w:rPr>
              <w:t>。）</w:t>
            </w:r>
          </w:p>
          <w:p>
            <w:pPr>
              <w:keepNext w:val="0"/>
              <w:keepLines w:val="0"/>
              <w:widowControl/>
              <w:suppressLineNumbers w:val="0"/>
              <w:jc w:val="left"/>
              <w:textAlignment w:val="center"/>
              <w:rPr>
                <w:rFonts w:hint="eastAsia"/>
                <w:color w:val="auto"/>
                <w:highlight w:val="none"/>
              </w:rPr>
            </w:pPr>
            <w:r>
              <w:rPr>
                <w:rFonts w:hint="eastAsia"/>
                <w:color w:val="auto"/>
                <w:highlight w:val="none"/>
              </w:rPr>
              <w:t>45）退出关联：支持学校管理员可通过手机微信扫描接收端软件的二维码退出学校。退出后普通老师无法在该学校对该设备远程创建接收夹；</w:t>
            </w:r>
          </w:p>
          <w:p>
            <w:pPr>
              <w:keepNext w:val="0"/>
              <w:keepLines w:val="0"/>
              <w:widowControl/>
              <w:suppressLineNumbers w:val="0"/>
              <w:jc w:val="left"/>
              <w:textAlignment w:val="center"/>
              <w:rPr>
                <w:rFonts w:hint="eastAsia"/>
                <w:color w:val="auto"/>
                <w:highlight w:val="none"/>
              </w:rPr>
            </w:pPr>
            <w:r>
              <w:rPr>
                <w:rFonts w:hint="eastAsia"/>
                <w:color w:val="auto"/>
                <w:highlight w:val="none"/>
              </w:rPr>
              <w:t>46）设备管理：支持查看当前学校的电脑列表，包括电脑在线状态、归属用户、操作系统、IP地址、上线时间与最后在线时间；支持对设备进行分组管理；支持通过设备名称与归属用户进行搜索。</w:t>
            </w:r>
          </w:p>
          <w:p>
            <w:pPr>
              <w:keepNext w:val="0"/>
              <w:keepLines w:val="0"/>
              <w:widowControl/>
              <w:suppressLineNumbers w:val="0"/>
              <w:jc w:val="left"/>
              <w:textAlignment w:val="center"/>
              <w:rPr>
                <w:rFonts w:hint="eastAsia"/>
                <w:color w:val="auto"/>
                <w:highlight w:val="none"/>
              </w:rPr>
            </w:pPr>
            <w:r>
              <w:rPr>
                <w:rFonts w:hint="eastAsia"/>
                <w:color w:val="auto"/>
                <w:highlight w:val="none"/>
              </w:rPr>
              <w:t>47）设备信息：支持查看单个电脑的硬件信息与系统信息。</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二十四、存储设备可靠性</w:t>
            </w:r>
          </w:p>
          <w:p>
            <w:pPr>
              <w:keepNext w:val="0"/>
              <w:keepLines w:val="0"/>
              <w:widowControl/>
              <w:suppressLineNumbers w:val="0"/>
              <w:jc w:val="left"/>
              <w:textAlignment w:val="center"/>
              <w:rPr>
                <w:rFonts w:hint="eastAsia"/>
                <w:color w:val="auto"/>
                <w:highlight w:val="none"/>
              </w:rPr>
            </w:pPr>
            <w:r>
              <w:rPr>
                <w:rFonts w:hint="eastAsia"/>
                <w:color w:val="auto"/>
                <w:highlight w:val="none"/>
              </w:rPr>
              <w:t>1.固态存储寿命：TBW ≥80TB（条件：256GB 硬盘容量）；</w:t>
            </w:r>
          </w:p>
          <w:p>
            <w:pPr>
              <w:keepNext w:val="0"/>
              <w:keepLines w:val="0"/>
              <w:widowControl/>
              <w:suppressLineNumbers w:val="0"/>
              <w:jc w:val="left"/>
              <w:textAlignment w:val="center"/>
              <w:rPr>
                <w:rFonts w:hint="eastAsia"/>
                <w:color w:val="auto"/>
                <w:highlight w:val="none"/>
              </w:rPr>
            </w:pPr>
            <w:r>
              <w:rPr>
                <w:rFonts w:hint="eastAsia"/>
                <w:color w:val="auto"/>
                <w:highlight w:val="none"/>
              </w:rPr>
              <w:t>2.机械硬盘寿命：通电时间≥5万小时；</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二十五、显示设备可靠性</w:t>
            </w:r>
          </w:p>
          <w:p>
            <w:pPr>
              <w:keepNext w:val="0"/>
              <w:keepLines w:val="0"/>
              <w:widowControl/>
              <w:suppressLineNumbers w:val="0"/>
              <w:jc w:val="left"/>
              <w:textAlignment w:val="center"/>
              <w:rPr>
                <w:rFonts w:hint="eastAsia"/>
                <w:color w:val="auto"/>
                <w:highlight w:val="none"/>
              </w:rPr>
            </w:pPr>
            <w:r>
              <w:rPr>
                <w:rFonts w:hint="eastAsia"/>
                <w:color w:val="auto"/>
                <w:highlight w:val="none"/>
              </w:rPr>
              <w:t>显示屏屏幕失效点符合 GB/T 9813.2 的要求。</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二十六、外设可靠性</w:t>
            </w:r>
          </w:p>
          <w:p>
            <w:pPr>
              <w:keepNext w:val="0"/>
              <w:keepLines w:val="0"/>
              <w:widowControl/>
              <w:suppressLineNumbers w:val="0"/>
              <w:jc w:val="left"/>
              <w:textAlignment w:val="center"/>
              <w:rPr>
                <w:rFonts w:hint="eastAsia"/>
                <w:color w:val="auto"/>
                <w:highlight w:val="none"/>
              </w:rPr>
            </w:pPr>
            <w:r>
              <w:rPr>
                <w:rFonts w:hint="eastAsia"/>
                <w:color w:val="auto"/>
                <w:highlight w:val="none"/>
              </w:rPr>
              <w:t>1.键盘按键寿命：≥1000 万次；</w:t>
            </w:r>
          </w:p>
          <w:p>
            <w:pPr>
              <w:keepNext w:val="0"/>
              <w:keepLines w:val="0"/>
              <w:widowControl/>
              <w:suppressLineNumbers w:val="0"/>
              <w:jc w:val="left"/>
              <w:textAlignment w:val="center"/>
              <w:rPr>
                <w:rFonts w:hint="eastAsia"/>
                <w:color w:val="auto"/>
                <w:highlight w:val="none"/>
              </w:rPr>
            </w:pPr>
            <w:r>
              <w:rPr>
                <w:rFonts w:hint="eastAsia"/>
                <w:color w:val="auto"/>
                <w:highlight w:val="none"/>
              </w:rPr>
              <w:t>2.鼠标按键寿命：≥500 万次；</w:t>
            </w:r>
          </w:p>
          <w:p>
            <w:pPr>
              <w:keepNext w:val="0"/>
              <w:keepLines w:val="0"/>
              <w:widowControl/>
              <w:suppressLineNumbers w:val="0"/>
              <w:jc w:val="left"/>
              <w:textAlignment w:val="center"/>
              <w:rPr>
                <w:rFonts w:hint="eastAsia"/>
                <w:color w:val="auto"/>
                <w:highlight w:val="none"/>
              </w:rPr>
            </w:pPr>
            <w:r>
              <w:rPr>
                <w:rFonts w:hint="eastAsia"/>
                <w:color w:val="auto"/>
                <w:highlight w:val="none"/>
              </w:rPr>
              <w:t>3.键盘鼠标线材寿命：键盘鼠标所用线材经±60°弯折不低于 3000 次，功能、外观完好；</w:t>
            </w:r>
          </w:p>
          <w:p>
            <w:pPr>
              <w:keepNext w:val="0"/>
              <w:keepLines w:val="0"/>
              <w:widowControl/>
              <w:suppressLineNumbers w:val="0"/>
              <w:jc w:val="left"/>
              <w:textAlignment w:val="center"/>
              <w:rPr>
                <w:rFonts w:hint="eastAsia"/>
                <w:color w:val="auto"/>
                <w:highlight w:val="none"/>
              </w:rPr>
            </w:pPr>
            <w:r>
              <w:rPr>
                <w:rFonts w:hint="eastAsia"/>
                <w:color w:val="auto"/>
                <w:highlight w:val="none"/>
              </w:rPr>
              <w:t>4.风扇寿命：≥4 万小时；</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二十七、整机可靠性要求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1.电磁兼容性要求的抗扰度：符合 GB/T 9254.2-2022 的规定；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2.环境条件要求的气候环境适应性：符合 GB/T 9813.1-2016 中规定；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3.环境条件要求的振动适应性：符合 GB/T 9813.1-2016 中规定；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4.环境条件要求的冲击适应性：符合 GB/T 9813.1-2016 中规定；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5.环境条件要求的碰撞适应性：符合 GB/T 9813.1 -2016中规定；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6.环境条件要求的运输包装件跌落适应性：符合 GB/T 9813.1-2016 中规定；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7.静音舒适性：考虑工作环境的静音舒适，要求设备的噪声声功率级≤3.03Bel，噪声声压级≤23.86dB；</w:t>
            </w:r>
          </w:p>
          <w:p>
            <w:pPr>
              <w:keepNext w:val="0"/>
              <w:keepLines w:val="0"/>
              <w:widowControl/>
              <w:suppressLineNumbers w:val="0"/>
              <w:jc w:val="left"/>
              <w:textAlignment w:val="center"/>
              <w:rPr>
                <w:rFonts w:hint="eastAsia"/>
                <w:color w:val="auto"/>
                <w:highlight w:val="none"/>
              </w:rPr>
            </w:pPr>
            <w:r>
              <w:rPr>
                <w:rFonts w:hint="eastAsia"/>
                <w:color w:val="auto"/>
                <w:highlight w:val="none"/>
              </w:rPr>
              <w:t>8.MTBF测试：MTBF(m1)≥3万小时。</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二十八、兼容要求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1.常用软件兼容：支持流式软件、版式软件、浏览器、邮件采购人端、解压软件、多媒体、图形图像处理等常用软件；</w:t>
            </w:r>
          </w:p>
          <w:p>
            <w:pPr>
              <w:keepNext w:val="0"/>
              <w:keepLines w:val="0"/>
              <w:widowControl/>
              <w:suppressLineNumbers w:val="0"/>
              <w:jc w:val="left"/>
              <w:textAlignment w:val="center"/>
              <w:rPr>
                <w:rFonts w:hint="eastAsia"/>
                <w:color w:val="auto"/>
                <w:highlight w:val="none"/>
              </w:rPr>
            </w:pPr>
            <w:r>
              <w:rPr>
                <w:rFonts w:hint="eastAsia"/>
                <w:color w:val="auto"/>
                <w:highlight w:val="none"/>
              </w:rPr>
              <w:t>2.数据库兼容：兼容 3 个及以上厂商的数据库产品；</w:t>
            </w:r>
          </w:p>
          <w:p>
            <w:pPr>
              <w:keepNext w:val="0"/>
              <w:keepLines w:val="0"/>
              <w:widowControl/>
              <w:suppressLineNumbers w:val="0"/>
              <w:jc w:val="left"/>
              <w:textAlignment w:val="center"/>
              <w:rPr>
                <w:rFonts w:hint="eastAsia"/>
                <w:color w:val="auto"/>
                <w:highlight w:val="none"/>
              </w:rPr>
            </w:pPr>
            <w:r>
              <w:rPr>
                <w:rFonts w:hint="eastAsia"/>
                <w:color w:val="auto"/>
                <w:highlight w:val="none"/>
              </w:rPr>
              <w:t>3.中间件兼容：兼容 3 个及以上厂商中间件产品；</w:t>
            </w:r>
          </w:p>
          <w:p>
            <w:pPr>
              <w:keepNext w:val="0"/>
              <w:keepLines w:val="0"/>
              <w:widowControl/>
              <w:suppressLineNumbers w:val="0"/>
              <w:jc w:val="left"/>
              <w:textAlignment w:val="center"/>
              <w:rPr>
                <w:rFonts w:hint="eastAsia"/>
                <w:color w:val="auto"/>
                <w:highlight w:val="none"/>
              </w:rPr>
            </w:pPr>
            <w:r>
              <w:rPr>
                <w:rFonts w:hint="eastAsia"/>
                <w:color w:val="auto"/>
                <w:highlight w:val="none"/>
              </w:rPr>
              <w:t>4.平台软件兼容：兼容 3 个及以上厂商云计算及大数据平台。</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二十九、包装及运输要求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标志、包装、运输和贮存：符合 GB/T 9813.1-2016 和商品包装政府采购需求标准的相关规定。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三十、服务要求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1.配置检查工具：供应商提供自检测试工具；</w:t>
            </w:r>
          </w:p>
          <w:p>
            <w:pPr>
              <w:keepNext w:val="0"/>
              <w:keepLines w:val="0"/>
              <w:widowControl/>
              <w:suppressLineNumbers w:val="0"/>
              <w:jc w:val="left"/>
              <w:textAlignment w:val="center"/>
              <w:rPr>
                <w:rFonts w:hint="eastAsia"/>
                <w:color w:val="auto"/>
                <w:highlight w:val="none"/>
              </w:rPr>
            </w:pPr>
            <w:r>
              <w:rPr>
                <w:rFonts w:hint="eastAsia"/>
                <w:color w:val="auto"/>
                <w:highlight w:val="none"/>
              </w:rPr>
              <w:t>2.服务响应：</w:t>
            </w:r>
          </w:p>
          <w:p>
            <w:pPr>
              <w:keepNext w:val="0"/>
              <w:keepLines w:val="0"/>
              <w:widowControl/>
              <w:suppressLineNumbers w:val="0"/>
              <w:jc w:val="left"/>
              <w:textAlignment w:val="center"/>
              <w:rPr>
                <w:rFonts w:hint="eastAsia"/>
                <w:color w:val="auto"/>
                <w:highlight w:val="none"/>
              </w:rPr>
            </w:pPr>
            <w:r>
              <w:rPr>
                <w:rFonts w:hint="eastAsia"/>
                <w:color w:val="auto"/>
                <w:highlight w:val="none"/>
              </w:rPr>
              <w:t>a)供应商服务周期内提供电话、电子邮件、远程连接等多种形式服务；</w:t>
            </w:r>
          </w:p>
          <w:p>
            <w:pPr>
              <w:keepNext w:val="0"/>
              <w:keepLines w:val="0"/>
              <w:widowControl/>
              <w:suppressLineNumbers w:val="0"/>
              <w:jc w:val="left"/>
              <w:textAlignment w:val="center"/>
              <w:rPr>
                <w:rFonts w:hint="eastAsia"/>
                <w:color w:val="auto"/>
                <w:highlight w:val="none"/>
              </w:rPr>
            </w:pPr>
            <w:r>
              <w:rPr>
                <w:rFonts w:hint="eastAsia"/>
                <w:color w:val="auto"/>
                <w:highlight w:val="none"/>
              </w:rPr>
              <w:t>b)供应商服务周期内提供同城 4小时响应、异地 12小时 技术响应服务，2 个工作日解决问题，对于未能解决的问题和故障应提供可行的升级方案，并提供周转设备或更换设备；</w:t>
            </w:r>
          </w:p>
          <w:p>
            <w:pPr>
              <w:keepNext w:val="0"/>
              <w:keepLines w:val="0"/>
              <w:widowControl/>
              <w:suppressLineNumbers w:val="0"/>
              <w:jc w:val="left"/>
              <w:textAlignment w:val="center"/>
              <w:rPr>
                <w:rFonts w:hint="eastAsia"/>
                <w:color w:val="auto"/>
                <w:highlight w:val="none"/>
              </w:rPr>
            </w:pPr>
            <w:r>
              <w:rPr>
                <w:rFonts w:hint="eastAsia"/>
                <w:color w:val="auto"/>
                <w:highlight w:val="none"/>
              </w:rPr>
              <w:t>c)建立全国技术服务体系和服务团体，符合专业服务体系标准要求，服务周期内提供原厂中文服务；</w:t>
            </w:r>
          </w:p>
          <w:p>
            <w:pPr>
              <w:keepNext w:val="0"/>
              <w:keepLines w:val="0"/>
              <w:widowControl/>
              <w:suppressLineNumbers w:val="0"/>
              <w:jc w:val="left"/>
              <w:textAlignment w:val="center"/>
              <w:rPr>
                <w:rFonts w:hint="eastAsia"/>
                <w:color w:val="auto"/>
                <w:highlight w:val="none"/>
              </w:rPr>
            </w:pPr>
            <w:r>
              <w:rPr>
                <w:rFonts w:hint="eastAsia"/>
                <w:color w:val="auto"/>
                <w:highlight w:val="none"/>
              </w:rPr>
              <w:t>d)服务周期内提供产品的维修、换件和升级服务；</w:t>
            </w:r>
          </w:p>
          <w:p>
            <w:pPr>
              <w:keepNext w:val="0"/>
              <w:keepLines w:val="0"/>
              <w:widowControl/>
              <w:suppressLineNumbers w:val="0"/>
              <w:jc w:val="left"/>
              <w:textAlignment w:val="center"/>
              <w:rPr>
                <w:rFonts w:hint="eastAsia"/>
                <w:color w:val="auto"/>
                <w:highlight w:val="none"/>
              </w:rPr>
            </w:pPr>
            <w:r>
              <w:rPr>
                <w:rFonts w:hint="eastAsia"/>
                <w:color w:val="auto"/>
                <w:highlight w:val="none"/>
              </w:rPr>
              <w:t>3.服务周期：</w:t>
            </w:r>
          </w:p>
          <w:p>
            <w:pPr>
              <w:keepNext w:val="0"/>
              <w:keepLines w:val="0"/>
              <w:widowControl/>
              <w:suppressLineNumbers w:val="0"/>
              <w:jc w:val="left"/>
              <w:textAlignment w:val="center"/>
              <w:rPr>
                <w:rFonts w:hint="eastAsia"/>
                <w:color w:val="auto"/>
                <w:highlight w:val="none"/>
              </w:rPr>
            </w:pPr>
            <w:r>
              <w:rPr>
                <w:rFonts w:hint="eastAsia"/>
                <w:color w:val="auto"/>
                <w:highlight w:val="none"/>
              </w:rPr>
              <w:t>a) 设备停产后应继续提供质量保障服务（含备品备件.，服务终止时间与最后一批设备交付时间间隔不低于6年；</w:t>
            </w:r>
          </w:p>
          <w:p>
            <w:pPr>
              <w:keepNext w:val="0"/>
              <w:keepLines w:val="0"/>
              <w:widowControl/>
              <w:suppressLineNumbers w:val="0"/>
              <w:jc w:val="left"/>
              <w:textAlignment w:val="center"/>
              <w:rPr>
                <w:rFonts w:hint="eastAsia"/>
                <w:color w:val="auto"/>
                <w:highlight w:val="none"/>
              </w:rPr>
            </w:pPr>
            <w:r>
              <w:rPr>
                <w:rFonts w:hint="eastAsia"/>
                <w:color w:val="auto"/>
                <w:highlight w:val="none"/>
              </w:rPr>
              <w:t>b) 产品停止服务时间应提前 1 年告知；</w:t>
            </w:r>
          </w:p>
          <w:p>
            <w:pPr>
              <w:keepNext w:val="0"/>
              <w:keepLines w:val="0"/>
              <w:widowControl/>
              <w:suppressLineNumbers w:val="0"/>
              <w:jc w:val="left"/>
              <w:textAlignment w:val="center"/>
              <w:rPr>
                <w:rFonts w:hint="eastAsia"/>
                <w:color w:val="auto"/>
                <w:highlight w:val="none"/>
              </w:rPr>
            </w:pPr>
            <w:r>
              <w:rPr>
                <w:rFonts w:hint="eastAsia"/>
                <w:color w:val="auto"/>
                <w:highlight w:val="none"/>
              </w:rPr>
              <w:t>c) 应明确产品发布日期；</w:t>
            </w:r>
          </w:p>
          <w:p>
            <w:pPr>
              <w:keepNext w:val="0"/>
              <w:keepLines w:val="0"/>
              <w:widowControl/>
              <w:suppressLineNumbers w:val="0"/>
              <w:jc w:val="left"/>
              <w:textAlignment w:val="center"/>
              <w:rPr>
                <w:rFonts w:hint="eastAsia"/>
                <w:color w:val="auto"/>
                <w:highlight w:val="none"/>
              </w:rPr>
            </w:pPr>
            <w:r>
              <w:rPr>
                <w:rFonts w:hint="eastAsia"/>
                <w:color w:val="auto"/>
                <w:highlight w:val="none"/>
              </w:rPr>
              <w:t>4.预装操作系统：预装符合桌面操作系统政府采购需求标准的正版操作系统；</w:t>
            </w:r>
          </w:p>
          <w:p>
            <w:pPr>
              <w:keepNext w:val="0"/>
              <w:keepLines w:val="0"/>
              <w:widowControl/>
              <w:suppressLineNumbers w:val="0"/>
              <w:jc w:val="left"/>
              <w:textAlignment w:val="center"/>
              <w:rPr>
                <w:rFonts w:hint="eastAsia"/>
                <w:color w:val="auto"/>
                <w:highlight w:val="none"/>
              </w:rPr>
            </w:pPr>
            <w:r>
              <w:rPr>
                <w:rFonts w:hint="eastAsia"/>
                <w:color w:val="auto"/>
                <w:highlight w:val="none"/>
              </w:rPr>
              <w:t>5.培训服务：供应商提供培训材料、产品手册、培训视频等培训相关内容；</w:t>
            </w:r>
          </w:p>
          <w:p>
            <w:pPr>
              <w:keepNext w:val="0"/>
              <w:keepLines w:val="0"/>
              <w:widowControl/>
              <w:suppressLineNumbers w:val="0"/>
              <w:jc w:val="left"/>
              <w:textAlignment w:val="center"/>
              <w:rPr>
                <w:rFonts w:hint="eastAsia"/>
                <w:color w:val="auto"/>
                <w:highlight w:val="none"/>
              </w:rPr>
            </w:pPr>
            <w:r>
              <w:rPr>
                <w:rFonts w:hint="eastAsia"/>
                <w:color w:val="auto"/>
                <w:highlight w:val="none"/>
              </w:rPr>
              <w:t>6.典型问题解决手册：供应商提供典型问题解决说明文档或视频；</w:t>
            </w:r>
          </w:p>
          <w:p>
            <w:pPr>
              <w:keepNext w:val="0"/>
              <w:keepLines w:val="0"/>
              <w:widowControl/>
              <w:suppressLineNumbers w:val="0"/>
              <w:jc w:val="left"/>
              <w:textAlignment w:val="center"/>
              <w:rPr>
                <w:rFonts w:hint="eastAsia"/>
                <w:color w:val="auto"/>
                <w:highlight w:val="none"/>
              </w:rPr>
            </w:pPr>
            <w:r>
              <w:rPr>
                <w:rFonts w:hint="eastAsia"/>
                <w:color w:val="auto"/>
                <w:highlight w:val="none"/>
              </w:rPr>
              <w:t>7.厂家升级软件与扩容服务：供应商提供上门升级部件/软件与扩容的增值服务；</w:t>
            </w:r>
          </w:p>
          <w:p>
            <w:pPr>
              <w:keepNext w:val="0"/>
              <w:keepLines w:val="0"/>
              <w:widowControl/>
              <w:suppressLineNumbers w:val="0"/>
              <w:jc w:val="left"/>
              <w:textAlignment w:val="center"/>
              <w:rPr>
                <w:rFonts w:hint="eastAsia"/>
                <w:color w:val="auto"/>
                <w:highlight w:val="none"/>
              </w:rPr>
            </w:pPr>
            <w:r>
              <w:rPr>
                <w:rFonts w:hint="eastAsia"/>
                <w:color w:val="auto"/>
                <w:highlight w:val="none"/>
              </w:rPr>
              <w:t>8.整机质量服务要求：负责服务周期（含换件和维修）应不小于3年；</w:t>
            </w:r>
          </w:p>
          <w:p>
            <w:pPr>
              <w:keepNext w:val="0"/>
              <w:keepLines w:val="0"/>
              <w:widowControl/>
              <w:suppressLineNumbers w:val="0"/>
              <w:jc w:val="left"/>
              <w:textAlignment w:val="center"/>
              <w:rPr>
                <w:rFonts w:hint="eastAsia"/>
                <w:color w:val="auto"/>
                <w:highlight w:val="none"/>
              </w:rPr>
            </w:pPr>
            <w:r>
              <w:rPr>
                <w:rFonts w:hint="eastAsia"/>
                <w:color w:val="auto"/>
                <w:highlight w:val="none"/>
              </w:rPr>
              <w:t>9.合格证书要求：供应商提供产品合格证；</w:t>
            </w:r>
          </w:p>
          <w:p>
            <w:pPr>
              <w:keepNext w:val="0"/>
              <w:keepLines w:val="0"/>
              <w:widowControl/>
              <w:suppressLineNumbers w:val="0"/>
              <w:jc w:val="left"/>
              <w:textAlignment w:val="center"/>
              <w:rPr>
                <w:rFonts w:hint="eastAsia"/>
                <w:color w:val="auto"/>
                <w:highlight w:val="none"/>
              </w:rPr>
            </w:pPr>
            <w:r>
              <w:rPr>
                <w:rFonts w:hint="eastAsia"/>
                <w:color w:val="auto"/>
                <w:highlight w:val="none"/>
              </w:rPr>
              <w:t>10.开箱组装/使用指导要求：供应商提供开箱组装/使用指导；</w:t>
            </w:r>
          </w:p>
          <w:p>
            <w:pPr>
              <w:keepNext w:val="0"/>
              <w:keepLines w:val="0"/>
              <w:widowControl/>
              <w:suppressLineNumbers w:val="0"/>
              <w:jc w:val="left"/>
              <w:textAlignment w:val="center"/>
              <w:rPr>
                <w:rFonts w:hint="eastAsia"/>
                <w:color w:val="auto"/>
                <w:highlight w:val="none"/>
              </w:rPr>
            </w:pPr>
            <w:r>
              <w:rPr>
                <w:rFonts w:hint="eastAsia"/>
                <w:color w:val="auto"/>
                <w:highlight w:val="none"/>
              </w:rPr>
              <w:t>11.驱动下载服务要求：供应商提供驱动光盘或下载方式；</w:t>
            </w:r>
          </w:p>
          <w:p>
            <w:pPr>
              <w:keepNext w:val="0"/>
              <w:keepLines w:val="0"/>
              <w:widowControl/>
              <w:suppressLineNumbers w:val="0"/>
              <w:jc w:val="left"/>
              <w:textAlignment w:val="center"/>
              <w:rPr>
                <w:rFonts w:hint="eastAsia"/>
                <w:color w:val="auto"/>
                <w:highlight w:val="none"/>
              </w:rPr>
            </w:pPr>
            <w:r>
              <w:rPr>
                <w:rFonts w:hint="eastAsia"/>
                <w:color w:val="auto"/>
                <w:highlight w:val="none"/>
              </w:rPr>
              <w:t>12.兼容适配软件下载服务要求：供应商提供兼容适配软件下载渠道（光盘、网站）；</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三十一、供应链合规性</w:t>
            </w:r>
          </w:p>
          <w:p>
            <w:pPr>
              <w:keepNext w:val="0"/>
              <w:keepLines w:val="0"/>
              <w:widowControl/>
              <w:suppressLineNumbers w:val="0"/>
              <w:jc w:val="left"/>
              <w:textAlignment w:val="center"/>
              <w:rPr>
                <w:rFonts w:hint="eastAsia"/>
                <w:color w:val="auto"/>
                <w:highlight w:val="none"/>
              </w:rPr>
            </w:pPr>
            <w:r>
              <w:rPr>
                <w:rFonts w:hint="eastAsia"/>
                <w:color w:val="auto"/>
                <w:highlight w:val="none"/>
              </w:rPr>
              <w:t>1. 产品部件保障：供应商保障产品主要部件，提供 6 年的备件服务能力（自购买之日起.，或提供可兼容原设备的升级换代产品；</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三十二、供应链质量</w:t>
            </w:r>
          </w:p>
          <w:p>
            <w:pPr>
              <w:keepNext w:val="0"/>
              <w:keepLines w:val="0"/>
              <w:widowControl/>
              <w:suppressLineNumbers w:val="0"/>
              <w:jc w:val="left"/>
              <w:textAlignment w:val="center"/>
              <w:rPr>
                <w:rFonts w:hint="eastAsia"/>
                <w:color w:val="auto"/>
                <w:highlight w:val="none"/>
              </w:rPr>
            </w:pPr>
            <w:r>
              <w:rPr>
                <w:rFonts w:hint="eastAsia"/>
                <w:color w:val="auto"/>
                <w:highlight w:val="none"/>
              </w:rPr>
              <w:t>1.抗干扰性：当产品部件出现供应风险时，供应商应通知采购人并提供风险应对方案确保产品的服务保障；</w:t>
            </w:r>
          </w:p>
          <w:p>
            <w:pPr>
              <w:keepNext w:val="0"/>
              <w:keepLines w:val="0"/>
              <w:widowControl/>
              <w:suppressLineNumbers w:val="0"/>
              <w:jc w:val="left"/>
              <w:textAlignment w:val="center"/>
              <w:rPr>
                <w:rFonts w:hint="eastAsia"/>
                <w:color w:val="auto"/>
                <w:highlight w:val="none"/>
              </w:rPr>
            </w:pPr>
            <w:r>
              <w:rPr>
                <w:rFonts w:hint="eastAsia"/>
                <w:color w:val="auto"/>
                <w:highlight w:val="none"/>
              </w:rPr>
              <w:t>2.供应能力证明：供应商承诺提供稳定的供应链，确保产品的部件在产品服务周期内稳定供货。</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三十三、关键部件安全</w:t>
            </w:r>
          </w:p>
          <w:p>
            <w:pPr>
              <w:keepNext w:val="0"/>
              <w:keepLines w:val="0"/>
              <w:widowControl/>
              <w:suppressLineNumbers w:val="0"/>
              <w:jc w:val="left"/>
              <w:textAlignment w:val="center"/>
              <w:rPr>
                <w:rFonts w:hint="eastAsia"/>
                <w:color w:val="auto"/>
                <w:highlight w:val="none"/>
              </w:rPr>
            </w:pPr>
            <w:r>
              <w:rPr>
                <w:rFonts w:hint="eastAsia"/>
                <w:color w:val="auto"/>
                <w:highlight w:val="none"/>
              </w:rPr>
              <w:t>关键部件安全要求：CPU安全可靠等级≥Ⅱ级， 操作系统安全可靠等级≥Ⅰ级，其他关键部件应当符合安全可靠测评要求；通过中国信息安全测评中心和国家保密科技测评中心网站查看安全可靠测评结果。</w:t>
            </w:r>
          </w:p>
          <w:p>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三十四、整机安全性要求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1.密码算法实现：CPU 芯片应符合 GM/T 0008-2012 的相关规定，或芯片密码模块应符合 GB/T 37092-2018或 GM/T 0028-2014 的相关规定；通过商用密码检测机构检测并经商用密码认证机构认证合格。</w:t>
            </w:r>
          </w:p>
          <w:p>
            <w:pPr>
              <w:keepNext w:val="0"/>
              <w:keepLines w:val="0"/>
              <w:widowControl/>
              <w:suppressLineNumbers w:val="0"/>
              <w:jc w:val="left"/>
              <w:textAlignment w:val="center"/>
              <w:rPr>
                <w:rFonts w:hint="eastAsia"/>
                <w:color w:val="auto"/>
                <w:highlight w:val="none"/>
              </w:rPr>
            </w:pPr>
            <w:r>
              <w:rPr>
                <w:rFonts w:hint="eastAsia"/>
                <w:color w:val="auto"/>
                <w:highlight w:val="none"/>
              </w:rPr>
              <w:t>2.信息安全基本要求：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a) 产品应符合 GB/T 39276-2020 的 5.2 的规定；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b) 生产厂商应建立漏洞跟踪表，保证产品版本涉及到的漏洞(如驱动程序等)可查看；</w:t>
            </w:r>
          </w:p>
          <w:p>
            <w:pPr>
              <w:keepNext w:val="0"/>
              <w:keepLines w:val="0"/>
              <w:widowControl/>
              <w:suppressLineNumbers w:val="0"/>
              <w:jc w:val="left"/>
              <w:textAlignment w:val="center"/>
              <w:rPr>
                <w:rFonts w:hint="eastAsia"/>
                <w:color w:val="auto"/>
                <w:highlight w:val="none"/>
              </w:rPr>
            </w:pPr>
            <w:r>
              <w:rPr>
                <w:rFonts w:hint="eastAsia"/>
                <w:color w:val="auto"/>
                <w:highlight w:val="none"/>
              </w:rPr>
              <w:t>c) 产品不得包含已知的恶意代码或漏洞，不存在未声明的指令、功能、接口；</w:t>
            </w:r>
          </w:p>
          <w:p>
            <w:pPr>
              <w:keepNext w:val="0"/>
              <w:keepLines w:val="0"/>
              <w:widowControl/>
              <w:suppressLineNumbers w:val="0"/>
              <w:jc w:val="left"/>
              <w:textAlignment w:val="center"/>
              <w:rPr>
                <w:rFonts w:hint="eastAsia"/>
                <w:color w:val="auto"/>
                <w:highlight w:val="none"/>
              </w:rPr>
            </w:pPr>
            <w:r>
              <w:rPr>
                <w:rFonts w:hint="eastAsia"/>
                <w:color w:val="auto"/>
                <w:highlight w:val="none"/>
              </w:rPr>
              <w:t>3.固件安全启动：支持固件安全启动功能，固件启动过程中只有通过启动校验才能正常启动；</w:t>
            </w:r>
          </w:p>
          <w:p>
            <w:pPr>
              <w:keepNext w:val="0"/>
              <w:keepLines w:val="0"/>
              <w:widowControl/>
              <w:suppressLineNumbers w:val="0"/>
              <w:jc w:val="left"/>
              <w:textAlignment w:val="center"/>
              <w:rPr>
                <w:rFonts w:hint="eastAsia"/>
                <w:color w:val="auto"/>
                <w:highlight w:val="none"/>
              </w:rPr>
            </w:pPr>
            <w:r>
              <w:rPr>
                <w:rFonts w:hint="eastAsia"/>
                <w:color w:val="auto"/>
                <w:highlight w:val="none"/>
              </w:rPr>
              <w:t>4.限用物质的限量要求：符合 GB/T 26572-2011 中规定；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三十五、其他要求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1.供货时，须提供由生产厂家针对本项目的有效供货证明及售后服务承诺书。</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2.成交后要求有本地化服务。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4</w:t>
            </w:r>
          </w:p>
        </w:tc>
        <w:tc>
          <w:tcPr>
            <w:tcW w:w="39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教师控制终端</w:t>
            </w:r>
          </w:p>
        </w:tc>
        <w:tc>
          <w:tcPr>
            <w:tcW w:w="22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1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806" w:type="pct"/>
            <w:shd w:val="clear" w:color="auto" w:fill="FFFFFF"/>
            <w:noWrap w:val="0"/>
            <w:vAlign w:val="center"/>
          </w:tcPr>
          <w:p>
            <w:pPr>
              <w:keepNext w:val="0"/>
              <w:keepLines w:val="0"/>
              <w:widowControl/>
              <w:suppressLineNumbers w:val="0"/>
              <w:jc w:val="left"/>
              <w:textAlignment w:val="center"/>
              <w:rPr>
                <w:rFonts w:hint="eastAsia"/>
                <w:color w:val="auto"/>
                <w:highlight w:val="none"/>
              </w:rPr>
            </w:pPr>
            <w:r>
              <w:rPr>
                <w:rFonts w:hint="eastAsia"/>
                <w:color w:val="auto"/>
                <w:highlight w:val="none"/>
              </w:rPr>
              <w:t>▲1、处理器规格：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1）CPU内核≥  8  核；</w:t>
            </w:r>
          </w:p>
          <w:p>
            <w:pPr>
              <w:keepNext w:val="0"/>
              <w:keepLines w:val="0"/>
              <w:widowControl/>
              <w:suppressLineNumbers w:val="0"/>
              <w:jc w:val="left"/>
              <w:textAlignment w:val="center"/>
              <w:rPr>
                <w:rFonts w:hint="eastAsia"/>
                <w:color w:val="auto"/>
                <w:highlight w:val="none"/>
              </w:rPr>
            </w:pPr>
            <w:r>
              <w:rPr>
                <w:rFonts w:hint="eastAsia"/>
                <w:color w:val="auto"/>
                <w:highlight w:val="none"/>
              </w:rPr>
              <w:t>2）主频≥  3.0  GHz；</w:t>
            </w:r>
          </w:p>
          <w:p>
            <w:pPr>
              <w:keepNext w:val="0"/>
              <w:keepLines w:val="0"/>
              <w:widowControl/>
              <w:suppressLineNumbers w:val="0"/>
              <w:jc w:val="left"/>
              <w:textAlignment w:val="center"/>
              <w:rPr>
                <w:rFonts w:hint="eastAsia"/>
                <w:color w:val="auto"/>
                <w:highlight w:val="none"/>
              </w:rPr>
            </w:pPr>
            <w:r>
              <w:rPr>
                <w:rFonts w:hint="eastAsia"/>
                <w:color w:val="auto"/>
                <w:highlight w:val="none"/>
              </w:rPr>
              <w:t>3）末级缓存容量≥  16  MB；</w:t>
            </w:r>
          </w:p>
          <w:p>
            <w:pPr>
              <w:keepNext w:val="0"/>
              <w:keepLines w:val="0"/>
              <w:widowControl/>
              <w:suppressLineNumbers w:val="0"/>
              <w:jc w:val="left"/>
              <w:textAlignment w:val="center"/>
              <w:rPr>
                <w:rFonts w:hint="eastAsia"/>
                <w:color w:val="auto"/>
                <w:highlight w:val="none"/>
              </w:rPr>
            </w:pPr>
            <w:r>
              <w:rPr>
                <w:rFonts w:hint="eastAsia"/>
                <w:color w:val="auto"/>
                <w:highlight w:val="none"/>
              </w:rPr>
              <w:t>4）CPU PCle通道总数≥  32；</w:t>
            </w:r>
          </w:p>
          <w:p>
            <w:pPr>
              <w:keepNext w:val="0"/>
              <w:keepLines w:val="0"/>
              <w:widowControl/>
              <w:suppressLineNumbers w:val="0"/>
              <w:jc w:val="left"/>
              <w:textAlignment w:val="center"/>
              <w:rPr>
                <w:rFonts w:hint="eastAsia"/>
                <w:color w:val="auto"/>
                <w:highlight w:val="none"/>
              </w:rPr>
            </w:pPr>
            <w:r>
              <w:rPr>
                <w:rFonts w:hint="eastAsia"/>
                <w:color w:val="auto"/>
                <w:highlight w:val="none"/>
              </w:rPr>
              <w:t>5）CPU线程≥  16；</w:t>
            </w:r>
          </w:p>
          <w:p>
            <w:pPr>
              <w:keepNext w:val="0"/>
              <w:keepLines w:val="0"/>
              <w:widowControl/>
              <w:suppressLineNumbers w:val="0"/>
              <w:jc w:val="left"/>
              <w:textAlignment w:val="center"/>
              <w:rPr>
                <w:rFonts w:hint="eastAsia"/>
                <w:color w:val="auto"/>
                <w:highlight w:val="none"/>
              </w:rPr>
            </w:pPr>
            <w:r>
              <w:rPr>
                <w:rFonts w:hint="eastAsia"/>
                <w:color w:val="auto"/>
                <w:highlight w:val="none"/>
              </w:rPr>
              <w:t>6）CPU基本功率≥  65  W；</w:t>
            </w:r>
          </w:p>
          <w:p>
            <w:pPr>
              <w:keepNext w:val="0"/>
              <w:keepLines w:val="0"/>
              <w:widowControl/>
              <w:suppressLineNumbers w:val="0"/>
              <w:jc w:val="left"/>
              <w:textAlignment w:val="center"/>
              <w:rPr>
                <w:rFonts w:hint="eastAsia"/>
                <w:color w:val="auto"/>
                <w:highlight w:val="none"/>
              </w:rPr>
            </w:pPr>
            <w:r>
              <w:rPr>
                <w:rFonts w:hint="eastAsia"/>
                <w:color w:val="auto"/>
                <w:highlight w:val="none"/>
              </w:rPr>
              <w:t>7）CPU芯片应符合 GM/T 0008的相关规定，或芯片密码模块应符合 GB/T 37092或 GM/T 0028 的相关规定，通过商用密码检测机构检测并经商用密码认证机构认证合格；</w:t>
            </w:r>
          </w:p>
          <w:p>
            <w:pPr>
              <w:keepNext w:val="0"/>
              <w:keepLines w:val="0"/>
              <w:widowControl/>
              <w:suppressLineNumbers w:val="0"/>
              <w:jc w:val="left"/>
              <w:textAlignment w:val="center"/>
              <w:rPr>
                <w:rFonts w:hint="eastAsia"/>
                <w:color w:val="auto"/>
                <w:highlight w:val="none"/>
              </w:rPr>
            </w:pPr>
            <w:r>
              <w:rPr>
                <w:rFonts w:hint="eastAsia"/>
                <w:color w:val="auto"/>
                <w:highlight w:val="none"/>
              </w:rPr>
              <w:t>8）符合安全可靠测评要求，应在政府有关部门指定中国信息安全测评中心和国家保密科技测评中心网站公布安全可靠测评结果的名单清单内。</w:t>
            </w:r>
          </w:p>
          <w:p>
            <w:pPr>
              <w:keepNext w:val="0"/>
              <w:keepLines w:val="0"/>
              <w:widowControl/>
              <w:suppressLineNumbers w:val="0"/>
              <w:jc w:val="left"/>
              <w:textAlignment w:val="center"/>
              <w:rPr>
                <w:rFonts w:hint="eastAsia"/>
                <w:color w:val="auto"/>
                <w:highlight w:val="none"/>
              </w:rPr>
            </w:pPr>
            <w:r>
              <w:rPr>
                <w:rFonts w:hint="eastAsia"/>
                <w:color w:val="auto"/>
                <w:highlight w:val="none"/>
              </w:rPr>
              <w:t>▲2、内存规格：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1）内存类型支持 DDR4及以上内存类型；</w:t>
            </w:r>
          </w:p>
          <w:p>
            <w:pPr>
              <w:keepNext w:val="0"/>
              <w:keepLines w:val="0"/>
              <w:widowControl/>
              <w:suppressLineNumbers w:val="0"/>
              <w:jc w:val="left"/>
              <w:textAlignment w:val="center"/>
              <w:rPr>
                <w:rFonts w:hint="eastAsia"/>
                <w:color w:val="auto"/>
                <w:highlight w:val="none"/>
              </w:rPr>
            </w:pPr>
            <w:r>
              <w:rPr>
                <w:rFonts w:hint="eastAsia"/>
                <w:color w:val="auto"/>
                <w:highlight w:val="none"/>
              </w:rPr>
              <w:t>2）内存条配置数量（板载内存不涉及）≥  2  ；</w:t>
            </w:r>
          </w:p>
          <w:p>
            <w:pPr>
              <w:keepNext w:val="0"/>
              <w:keepLines w:val="0"/>
              <w:widowControl/>
              <w:suppressLineNumbers w:val="0"/>
              <w:jc w:val="left"/>
              <w:textAlignment w:val="center"/>
              <w:rPr>
                <w:rFonts w:hint="eastAsia"/>
                <w:color w:val="auto"/>
                <w:highlight w:val="none"/>
              </w:rPr>
            </w:pPr>
            <w:r>
              <w:rPr>
                <w:rFonts w:hint="eastAsia"/>
                <w:color w:val="auto"/>
                <w:highlight w:val="none"/>
              </w:rPr>
              <w:t>3）内存读写速率≥  3200  MT/s；</w:t>
            </w:r>
          </w:p>
          <w:p>
            <w:pPr>
              <w:keepNext w:val="0"/>
              <w:keepLines w:val="0"/>
              <w:widowControl/>
              <w:suppressLineNumbers w:val="0"/>
              <w:jc w:val="left"/>
              <w:textAlignment w:val="center"/>
              <w:rPr>
                <w:rFonts w:hint="eastAsia"/>
                <w:color w:val="auto"/>
                <w:highlight w:val="none"/>
              </w:rPr>
            </w:pPr>
            <w:r>
              <w:rPr>
                <w:rFonts w:hint="eastAsia"/>
                <w:color w:val="auto"/>
                <w:highlight w:val="none"/>
              </w:rPr>
              <w:t>3）内存总容量≥  16 GB；</w:t>
            </w:r>
          </w:p>
          <w:p>
            <w:pPr>
              <w:keepNext w:val="0"/>
              <w:keepLines w:val="0"/>
              <w:widowControl/>
              <w:suppressLineNumbers w:val="0"/>
              <w:jc w:val="left"/>
              <w:textAlignment w:val="center"/>
              <w:rPr>
                <w:rFonts w:hint="eastAsia"/>
                <w:color w:val="auto"/>
                <w:highlight w:val="none"/>
              </w:rPr>
            </w:pPr>
            <w:r>
              <w:rPr>
                <w:rFonts w:hint="eastAsia"/>
                <w:color w:val="auto"/>
                <w:highlight w:val="none"/>
              </w:rPr>
              <w:t>4）单条内存容量≥  8  GB。</w:t>
            </w:r>
          </w:p>
          <w:p>
            <w:pPr>
              <w:keepNext w:val="0"/>
              <w:keepLines w:val="0"/>
              <w:widowControl/>
              <w:suppressLineNumbers w:val="0"/>
              <w:jc w:val="left"/>
              <w:textAlignment w:val="center"/>
              <w:rPr>
                <w:rFonts w:hint="eastAsia"/>
                <w:color w:val="auto"/>
                <w:highlight w:val="none"/>
              </w:rPr>
            </w:pPr>
            <w:r>
              <w:rPr>
                <w:rFonts w:hint="eastAsia"/>
                <w:color w:val="auto"/>
                <w:highlight w:val="none"/>
              </w:rPr>
              <w:t>▲3、主板规格：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1）主板集成模块集成资源扩展模块、计算处理模块、音频扩展模块等，主板的互联拓扑可通过处理器或交换电路实现；</w:t>
            </w:r>
          </w:p>
          <w:p>
            <w:pPr>
              <w:keepNext w:val="0"/>
              <w:keepLines w:val="0"/>
              <w:widowControl/>
              <w:suppressLineNumbers w:val="0"/>
              <w:jc w:val="left"/>
              <w:textAlignment w:val="center"/>
              <w:rPr>
                <w:rFonts w:hint="eastAsia"/>
                <w:color w:val="auto"/>
                <w:highlight w:val="none"/>
              </w:rPr>
            </w:pPr>
            <w:r>
              <w:rPr>
                <w:rFonts w:hint="eastAsia"/>
                <w:color w:val="auto"/>
                <w:highlight w:val="none"/>
              </w:rPr>
              <w:t>2）主板支持的 CPU和内存情况：≥8核16线程，主频≥3.0GHz，末级缓存≥16M，内存≥双通道DDR4-3200，热设计功耗≤65W，位宽≥64位；内存条数量≥1；</w:t>
            </w:r>
          </w:p>
          <w:p>
            <w:pPr>
              <w:keepNext w:val="0"/>
              <w:keepLines w:val="0"/>
              <w:widowControl/>
              <w:suppressLineNumbers w:val="0"/>
              <w:jc w:val="left"/>
              <w:textAlignment w:val="center"/>
              <w:rPr>
                <w:rFonts w:hint="eastAsia"/>
                <w:color w:val="auto"/>
                <w:highlight w:val="none"/>
              </w:rPr>
            </w:pPr>
            <w:r>
              <w:rPr>
                <w:rFonts w:hint="eastAsia"/>
                <w:color w:val="auto"/>
                <w:highlight w:val="none"/>
              </w:rPr>
              <w:t>3）主板内置PCIe 插槽数量≥  2  ；</w:t>
            </w:r>
          </w:p>
          <w:p>
            <w:pPr>
              <w:keepNext w:val="0"/>
              <w:keepLines w:val="0"/>
              <w:widowControl/>
              <w:suppressLineNumbers w:val="0"/>
              <w:jc w:val="left"/>
              <w:textAlignment w:val="center"/>
              <w:rPr>
                <w:rFonts w:hint="eastAsia"/>
                <w:color w:val="auto"/>
                <w:highlight w:val="none"/>
              </w:rPr>
            </w:pPr>
            <w:r>
              <w:rPr>
                <w:rFonts w:hint="eastAsia"/>
                <w:color w:val="auto"/>
                <w:highlight w:val="none"/>
              </w:rPr>
              <w:t>4）内存扩展接口（板载内存不涉及）≥  2  个；</w:t>
            </w:r>
          </w:p>
          <w:p>
            <w:pPr>
              <w:keepNext w:val="0"/>
              <w:keepLines w:val="0"/>
              <w:widowControl/>
              <w:suppressLineNumbers w:val="0"/>
              <w:jc w:val="left"/>
              <w:textAlignment w:val="center"/>
              <w:rPr>
                <w:rFonts w:hint="eastAsia"/>
                <w:color w:val="auto"/>
                <w:highlight w:val="none"/>
              </w:rPr>
            </w:pPr>
            <w:r>
              <w:rPr>
                <w:rFonts w:hint="eastAsia"/>
                <w:color w:val="auto"/>
                <w:highlight w:val="none"/>
              </w:rPr>
              <w:t>5）主板 USB支持瞬间过流保护功能；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6）支持防静电保护功能；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7）I/O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p>
            <w:pPr>
              <w:keepNext w:val="0"/>
              <w:keepLines w:val="0"/>
              <w:widowControl/>
              <w:suppressLineNumbers w:val="0"/>
              <w:jc w:val="left"/>
              <w:textAlignment w:val="center"/>
              <w:rPr>
                <w:rFonts w:hint="eastAsia"/>
                <w:color w:val="auto"/>
                <w:highlight w:val="none"/>
              </w:rPr>
            </w:pPr>
            <w:r>
              <w:rPr>
                <w:rFonts w:hint="eastAsia"/>
                <w:color w:val="auto"/>
                <w:highlight w:val="none"/>
              </w:rPr>
              <w:t>8）特殊孔位及接口：接口工作电压 5V，最大过电流应不小于 3A，预留多功能导入装置板卡安装孔位，采用内置方式与主机一体化集成，容量不小于 145mm×125mm×16.5mm （长×宽×高）（±5mm）；</w:t>
            </w:r>
          </w:p>
          <w:p>
            <w:pPr>
              <w:keepNext w:val="0"/>
              <w:keepLines w:val="0"/>
              <w:widowControl/>
              <w:suppressLineNumbers w:val="0"/>
              <w:jc w:val="left"/>
              <w:textAlignment w:val="center"/>
              <w:rPr>
                <w:rFonts w:hint="eastAsia"/>
                <w:color w:val="auto"/>
                <w:highlight w:val="none"/>
              </w:rPr>
            </w:pPr>
            <w:r>
              <w:rPr>
                <w:rFonts w:hint="eastAsia"/>
                <w:color w:val="auto"/>
                <w:highlight w:val="none"/>
              </w:rPr>
              <w:t>9）主板其他内置接口：≥4个SATA接口；≥M.2接口*1，≥USB接口*7，固态硬盘占用M.2接口*1，机械硬盘占用SATA接口*1</w:t>
            </w:r>
          </w:p>
          <w:p>
            <w:pPr>
              <w:keepNext w:val="0"/>
              <w:keepLines w:val="0"/>
              <w:widowControl/>
              <w:suppressLineNumbers w:val="0"/>
              <w:jc w:val="left"/>
              <w:textAlignment w:val="center"/>
              <w:rPr>
                <w:rFonts w:hint="eastAsia"/>
                <w:color w:val="auto"/>
                <w:highlight w:val="none"/>
              </w:rPr>
            </w:pPr>
            <w:r>
              <w:rPr>
                <w:rFonts w:hint="eastAsia"/>
                <w:color w:val="auto"/>
                <w:highlight w:val="none"/>
              </w:rPr>
              <w:t>▲4、存储设备规格：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1.固态盘数量：≥1 个； </w:t>
            </w:r>
          </w:p>
          <w:p>
            <w:pPr>
              <w:keepNext w:val="0"/>
              <w:keepLines w:val="0"/>
              <w:widowControl/>
              <w:suppressLineNumbers w:val="0"/>
              <w:jc w:val="left"/>
              <w:textAlignment w:val="center"/>
              <w:rPr>
                <w:rFonts w:hint="eastAsia"/>
                <w:color w:val="auto"/>
                <w:highlight w:val="none"/>
              </w:rPr>
            </w:pPr>
            <w:r>
              <w:rPr>
                <w:rFonts w:hint="eastAsia"/>
                <w:color w:val="auto"/>
                <w:highlight w:val="none"/>
              </w:rPr>
              <w:t>2.固态存储容量：≥256GB；</w:t>
            </w:r>
          </w:p>
          <w:p>
            <w:pPr>
              <w:keepNext w:val="0"/>
              <w:keepLines w:val="0"/>
              <w:widowControl/>
              <w:suppressLineNumbers w:val="0"/>
              <w:jc w:val="left"/>
              <w:textAlignment w:val="center"/>
              <w:rPr>
                <w:rFonts w:hint="eastAsia"/>
                <w:color w:val="auto"/>
                <w:highlight w:val="none"/>
              </w:rPr>
            </w:pPr>
            <w:r>
              <w:rPr>
                <w:rFonts w:hint="eastAsia"/>
                <w:color w:val="auto"/>
                <w:highlight w:val="none"/>
              </w:rPr>
              <w:t>3.机械硬盘数量：≥1 个；</w:t>
            </w:r>
          </w:p>
          <w:p>
            <w:pPr>
              <w:keepNext w:val="0"/>
              <w:keepLines w:val="0"/>
              <w:widowControl/>
              <w:suppressLineNumbers w:val="0"/>
              <w:jc w:val="left"/>
              <w:textAlignment w:val="center"/>
              <w:rPr>
                <w:rFonts w:hint="eastAsia"/>
                <w:color w:val="auto"/>
                <w:highlight w:val="none"/>
              </w:rPr>
            </w:pPr>
            <w:r>
              <w:rPr>
                <w:rFonts w:hint="eastAsia"/>
                <w:color w:val="auto"/>
                <w:highlight w:val="none"/>
              </w:rPr>
              <w:t>4.机械硬盘总容量：≥1TB；</w:t>
            </w:r>
          </w:p>
          <w:p>
            <w:pPr>
              <w:keepNext w:val="0"/>
              <w:keepLines w:val="0"/>
              <w:widowControl/>
              <w:suppressLineNumbers w:val="0"/>
              <w:jc w:val="left"/>
              <w:textAlignment w:val="center"/>
              <w:rPr>
                <w:rFonts w:hint="eastAsia"/>
                <w:color w:val="auto"/>
                <w:highlight w:val="none"/>
              </w:rPr>
            </w:pPr>
            <w:r>
              <w:rPr>
                <w:rFonts w:hint="eastAsia"/>
                <w:color w:val="auto"/>
                <w:highlight w:val="none"/>
              </w:rPr>
              <w:t>5.机械硬盘转速：≥5400rpm；</w:t>
            </w:r>
          </w:p>
          <w:p>
            <w:pPr>
              <w:keepNext w:val="0"/>
              <w:keepLines w:val="0"/>
              <w:widowControl/>
              <w:suppressLineNumbers w:val="0"/>
              <w:jc w:val="left"/>
              <w:textAlignment w:val="center"/>
              <w:rPr>
                <w:rFonts w:hint="eastAsia"/>
                <w:color w:val="auto"/>
                <w:highlight w:val="none"/>
              </w:rPr>
            </w:pPr>
            <w:r>
              <w:rPr>
                <w:rFonts w:hint="eastAsia"/>
                <w:color w:val="auto"/>
                <w:highlight w:val="none"/>
              </w:rPr>
              <w:t>6.机械硬盘形态：2.5 英寸或 3.5 英寸等；</w:t>
            </w:r>
          </w:p>
          <w:p>
            <w:pPr>
              <w:keepNext w:val="0"/>
              <w:keepLines w:val="0"/>
              <w:widowControl/>
              <w:suppressLineNumbers w:val="0"/>
              <w:jc w:val="left"/>
              <w:textAlignment w:val="center"/>
              <w:rPr>
                <w:rFonts w:hint="eastAsia"/>
                <w:color w:val="auto"/>
                <w:highlight w:val="none"/>
              </w:rPr>
            </w:pPr>
            <w:r>
              <w:rPr>
                <w:rFonts w:hint="eastAsia"/>
                <w:color w:val="auto"/>
                <w:highlight w:val="none"/>
              </w:rPr>
              <w:t>7.固态存储形态：采用插卡或板载等形态，可选用符合M.2或2.5寸SATA或mSATA等标准的插卡形态；</w:t>
            </w:r>
          </w:p>
          <w:p>
            <w:pPr>
              <w:keepNext w:val="0"/>
              <w:keepLines w:val="0"/>
              <w:widowControl/>
              <w:suppressLineNumbers w:val="0"/>
              <w:jc w:val="left"/>
              <w:textAlignment w:val="center"/>
              <w:rPr>
                <w:rFonts w:hint="eastAsia"/>
                <w:color w:val="auto"/>
                <w:highlight w:val="none"/>
              </w:rPr>
            </w:pPr>
            <w:r>
              <w:rPr>
                <w:rFonts w:hint="eastAsia"/>
                <w:color w:val="auto"/>
                <w:highlight w:val="none"/>
              </w:rPr>
              <w:t>8.存储设备其他参数要求：a)固态盘应符合SJ/T 11654相关规定；b)机械硬盘准备时间应不大于30s；侧面固定螺丝孔数量可为 4 孔或 6 孔；工作状态环境温度应满足5℃-55℃；其它参数应符合GB/T 12628相关规定。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▲5、显卡规格：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1）显卡类型：独立显卡；</w:t>
            </w:r>
          </w:p>
          <w:p>
            <w:pPr>
              <w:keepNext w:val="0"/>
              <w:keepLines w:val="0"/>
              <w:widowControl/>
              <w:suppressLineNumbers w:val="0"/>
              <w:jc w:val="left"/>
              <w:textAlignment w:val="center"/>
              <w:rPr>
                <w:rFonts w:hint="eastAsia"/>
                <w:color w:val="auto"/>
                <w:highlight w:val="none"/>
              </w:rPr>
            </w:pPr>
            <w:r>
              <w:rPr>
                <w:rFonts w:hint="eastAsia"/>
                <w:color w:val="auto"/>
                <w:highlight w:val="none"/>
              </w:rPr>
              <w:t>2）独立显卡显存≥ LPDDR4  型；</w:t>
            </w:r>
          </w:p>
          <w:p>
            <w:pPr>
              <w:keepNext w:val="0"/>
              <w:keepLines w:val="0"/>
              <w:widowControl/>
              <w:suppressLineNumbers w:val="0"/>
              <w:jc w:val="left"/>
              <w:textAlignment w:val="center"/>
              <w:rPr>
                <w:rFonts w:hint="eastAsia"/>
                <w:color w:val="auto"/>
                <w:highlight w:val="none"/>
              </w:rPr>
            </w:pPr>
            <w:r>
              <w:rPr>
                <w:rFonts w:hint="eastAsia"/>
                <w:color w:val="auto"/>
                <w:highlight w:val="none"/>
              </w:rPr>
              <w:t>3）独立显卡显存位宽≥  64  位；</w:t>
            </w:r>
          </w:p>
          <w:p>
            <w:pPr>
              <w:keepNext w:val="0"/>
              <w:keepLines w:val="0"/>
              <w:widowControl/>
              <w:suppressLineNumbers w:val="0"/>
              <w:jc w:val="left"/>
              <w:textAlignment w:val="center"/>
              <w:rPr>
                <w:rFonts w:hint="eastAsia"/>
                <w:color w:val="auto"/>
                <w:highlight w:val="none"/>
              </w:rPr>
            </w:pPr>
            <w:r>
              <w:rPr>
                <w:rFonts w:hint="eastAsia"/>
                <w:color w:val="auto"/>
                <w:highlight w:val="none"/>
              </w:rPr>
              <w:t>4）独立显卡显存容量≥  2 GB；</w:t>
            </w:r>
          </w:p>
          <w:p>
            <w:pPr>
              <w:keepNext w:val="0"/>
              <w:keepLines w:val="0"/>
              <w:widowControl/>
              <w:suppressLineNumbers w:val="0"/>
              <w:jc w:val="left"/>
              <w:textAlignment w:val="center"/>
              <w:rPr>
                <w:rFonts w:hint="eastAsia"/>
                <w:color w:val="auto"/>
                <w:highlight w:val="none"/>
              </w:rPr>
            </w:pPr>
            <w:r>
              <w:rPr>
                <w:rFonts w:hint="eastAsia"/>
                <w:color w:val="auto"/>
                <w:highlight w:val="none"/>
              </w:rPr>
              <w:t>5）独立显卡接口协议支持 PCIe 协议版本大于等于 3.0 的独立显卡接口协议；</w:t>
            </w:r>
          </w:p>
          <w:p>
            <w:pPr>
              <w:keepNext w:val="0"/>
              <w:keepLines w:val="0"/>
              <w:widowControl/>
              <w:suppressLineNumbers w:val="0"/>
              <w:jc w:val="left"/>
              <w:textAlignment w:val="center"/>
              <w:rPr>
                <w:rFonts w:hint="eastAsia"/>
                <w:color w:val="auto"/>
                <w:highlight w:val="none"/>
              </w:rPr>
            </w:pPr>
            <w:r>
              <w:rPr>
                <w:rFonts w:hint="eastAsia"/>
                <w:color w:val="auto"/>
                <w:highlight w:val="none"/>
              </w:rPr>
              <w:t>6）显卡显示分辨率≥  1920*1080  ；</w:t>
            </w:r>
          </w:p>
          <w:p>
            <w:pPr>
              <w:keepNext w:val="0"/>
              <w:keepLines w:val="0"/>
              <w:widowControl/>
              <w:suppressLineNumbers w:val="0"/>
              <w:jc w:val="left"/>
              <w:textAlignment w:val="center"/>
              <w:rPr>
                <w:rFonts w:hint="eastAsia"/>
                <w:color w:val="auto"/>
                <w:highlight w:val="none"/>
              </w:rPr>
            </w:pPr>
            <w:r>
              <w:rPr>
                <w:rFonts w:hint="eastAsia"/>
                <w:color w:val="auto"/>
                <w:highlight w:val="none"/>
              </w:rPr>
              <w:t>7）显卡显示芯片核心频率≥  1350M   Hz；</w:t>
            </w:r>
          </w:p>
          <w:p>
            <w:pPr>
              <w:keepNext w:val="0"/>
              <w:keepLines w:val="0"/>
              <w:widowControl/>
              <w:suppressLineNumbers w:val="0"/>
              <w:jc w:val="left"/>
              <w:textAlignment w:val="center"/>
              <w:rPr>
                <w:rFonts w:hint="eastAsia"/>
                <w:color w:val="auto"/>
                <w:highlight w:val="none"/>
              </w:rPr>
            </w:pPr>
            <w:r>
              <w:rPr>
                <w:rFonts w:hint="eastAsia"/>
                <w:color w:val="auto"/>
                <w:highlight w:val="none"/>
              </w:rPr>
              <w:t>8）显卡显存等效频率≥  3733  MT/s；</w:t>
            </w:r>
          </w:p>
          <w:p>
            <w:pPr>
              <w:keepNext w:val="0"/>
              <w:keepLines w:val="0"/>
              <w:widowControl/>
              <w:suppressLineNumbers w:val="0"/>
              <w:jc w:val="left"/>
              <w:textAlignment w:val="center"/>
              <w:rPr>
                <w:rFonts w:hint="eastAsia"/>
                <w:color w:val="auto"/>
                <w:highlight w:val="none"/>
              </w:rPr>
            </w:pPr>
            <w:r>
              <w:rPr>
                <w:rFonts w:hint="eastAsia"/>
                <w:color w:val="auto"/>
                <w:highlight w:val="none"/>
              </w:rPr>
              <w:t>9）显卡可支持多屏同时显示数量≥  2  块屏且分辨率应不低于 1920×1080  ；</w:t>
            </w:r>
          </w:p>
          <w:p>
            <w:pPr>
              <w:keepNext w:val="0"/>
              <w:keepLines w:val="0"/>
              <w:widowControl/>
              <w:suppressLineNumbers w:val="0"/>
              <w:jc w:val="left"/>
              <w:textAlignment w:val="center"/>
              <w:rPr>
                <w:rFonts w:hint="eastAsia"/>
                <w:color w:val="auto"/>
                <w:highlight w:val="none"/>
              </w:rPr>
            </w:pPr>
            <w:r>
              <w:rPr>
                <w:rFonts w:hint="eastAsia"/>
                <w:color w:val="auto"/>
                <w:highlight w:val="none"/>
              </w:rPr>
              <w:t>10）显卡外接显示接口至少支持 VGA、HDMI、DVI、DP、Type-C 中 1 种显示接口，并与显示器接口相匹配。</w:t>
            </w:r>
          </w:p>
          <w:p>
            <w:pPr>
              <w:keepNext w:val="0"/>
              <w:keepLines w:val="0"/>
              <w:widowControl/>
              <w:suppressLineNumbers w:val="0"/>
              <w:jc w:val="left"/>
              <w:textAlignment w:val="center"/>
              <w:rPr>
                <w:rFonts w:hint="eastAsia"/>
                <w:color w:val="auto"/>
                <w:highlight w:val="none"/>
              </w:rPr>
            </w:pPr>
            <w:r>
              <w:rPr>
                <w:rFonts w:hint="eastAsia"/>
                <w:color w:val="auto"/>
                <w:highlight w:val="none"/>
              </w:rPr>
              <w:t>6、显示设备规格：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1）显示屏屏占比≥  88  %；</w:t>
            </w:r>
          </w:p>
          <w:p>
            <w:pPr>
              <w:keepNext w:val="0"/>
              <w:keepLines w:val="0"/>
              <w:widowControl/>
              <w:suppressLineNumbers w:val="0"/>
              <w:jc w:val="left"/>
              <w:textAlignment w:val="center"/>
              <w:rPr>
                <w:rFonts w:hint="eastAsia"/>
                <w:color w:val="auto"/>
                <w:highlight w:val="none"/>
              </w:rPr>
            </w:pPr>
            <w:r>
              <w:rPr>
                <w:rFonts w:hint="eastAsia"/>
                <w:color w:val="auto"/>
                <w:highlight w:val="none"/>
              </w:rPr>
              <w:t>2）显示屏分辨率≥  1920x1080  ；</w:t>
            </w:r>
          </w:p>
          <w:p>
            <w:pPr>
              <w:keepNext w:val="0"/>
              <w:keepLines w:val="0"/>
              <w:widowControl/>
              <w:suppressLineNumbers w:val="0"/>
              <w:jc w:val="left"/>
              <w:textAlignment w:val="center"/>
              <w:rPr>
                <w:rFonts w:hint="eastAsia"/>
                <w:color w:val="auto"/>
                <w:highlight w:val="none"/>
              </w:rPr>
            </w:pPr>
            <w:r>
              <w:rPr>
                <w:rFonts w:hint="eastAsia"/>
                <w:color w:val="auto"/>
                <w:highlight w:val="none"/>
              </w:rPr>
              <w:t>3）显示屏尺寸≥  23  英寸；</w:t>
            </w:r>
          </w:p>
          <w:p>
            <w:pPr>
              <w:keepNext w:val="0"/>
              <w:keepLines w:val="0"/>
              <w:widowControl/>
              <w:suppressLineNumbers w:val="0"/>
              <w:jc w:val="left"/>
              <w:textAlignment w:val="center"/>
              <w:rPr>
                <w:rFonts w:hint="eastAsia"/>
                <w:color w:val="auto"/>
                <w:highlight w:val="none"/>
              </w:rPr>
            </w:pPr>
            <w:r>
              <w:rPr>
                <w:rFonts w:hint="eastAsia"/>
                <w:color w:val="auto"/>
                <w:highlight w:val="none"/>
              </w:rPr>
              <w:t>4）显示屏屏幕比例：  16:9  ；</w:t>
            </w:r>
          </w:p>
          <w:p>
            <w:pPr>
              <w:keepNext w:val="0"/>
              <w:keepLines w:val="0"/>
              <w:widowControl/>
              <w:suppressLineNumbers w:val="0"/>
              <w:jc w:val="left"/>
              <w:textAlignment w:val="center"/>
              <w:rPr>
                <w:rFonts w:hint="eastAsia"/>
                <w:color w:val="auto"/>
                <w:highlight w:val="none"/>
              </w:rPr>
            </w:pPr>
            <w:r>
              <w:rPr>
                <w:rFonts w:hint="eastAsia"/>
                <w:color w:val="auto"/>
                <w:highlight w:val="none"/>
              </w:rPr>
              <w:t>5）显示器外观颜色：  黑色  ；</w:t>
            </w:r>
          </w:p>
          <w:p>
            <w:pPr>
              <w:keepNext w:val="0"/>
              <w:keepLines w:val="0"/>
              <w:widowControl/>
              <w:suppressLineNumbers w:val="0"/>
              <w:jc w:val="left"/>
              <w:textAlignment w:val="center"/>
              <w:rPr>
                <w:rFonts w:hint="eastAsia"/>
                <w:color w:val="auto"/>
                <w:highlight w:val="none"/>
              </w:rPr>
            </w:pPr>
            <w:r>
              <w:rPr>
                <w:rFonts w:hint="eastAsia"/>
                <w:color w:val="auto"/>
                <w:highlight w:val="none"/>
              </w:rPr>
              <w:t>6）显示屏支持防蓝光模式，蓝光加权辐射亮度比应≤  0.0010  W/（·cd·sr）（瓦每坎特拉每球面度）可参照 SJ/T11841.2.2-2022标准；显示屏应支持低频闪≤  -35  dB；</w:t>
            </w:r>
          </w:p>
          <w:p>
            <w:pPr>
              <w:keepNext w:val="0"/>
              <w:keepLines w:val="0"/>
              <w:widowControl/>
              <w:suppressLineNumbers w:val="0"/>
              <w:jc w:val="left"/>
              <w:textAlignment w:val="center"/>
              <w:rPr>
                <w:rFonts w:hint="eastAsia"/>
                <w:color w:val="auto"/>
                <w:highlight w:val="none"/>
              </w:rPr>
            </w:pPr>
            <w:r>
              <w:rPr>
                <w:rFonts w:hint="eastAsia"/>
                <w:color w:val="auto"/>
                <w:highlight w:val="none"/>
              </w:rPr>
              <w:t>7）显示屏镜面反射率≤  4.5 %；</w:t>
            </w:r>
          </w:p>
          <w:p>
            <w:pPr>
              <w:keepNext w:val="0"/>
              <w:keepLines w:val="0"/>
              <w:widowControl/>
              <w:suppressLineNumbers w:val="0"/>
              <w:jc w:val="left"/>
              <w:textAlignment w:val="center"/>
              <w:rPr>
                <w:rFonts w:hint="eastAsia"/>
                <w:color w:val="auto"/>
                <w:highlight w:val="none"/>
              </w:rPr>
            </w:pPr>
            <w:r>
              <w:rPr>
                <w:rFonts w:hint="eastAsia"/>
                <w:color w:val="auto"/>
                <w:highlight w:val="none"/>
              </w:rPr>
              <w:t>8）显示屏刷新率≥ 100 Hz；</w:t>
            </w:r>
          </w:p>
          <w:p>
            <w:pPr>
              <w:keepNext w:val="0"/>
              <w:keepLines w:val="0"/>
              <w:widowControl/>
              <w:suppressLineNumbers w:val="0"/>
              <w:jc w:val="left"/>
              <w:textAlignment w:val="center"/>
              <w:rPr>
                <w:rFonts w:hint="eastAsia"/>
                <w:color w:val="auto"/>
                <w:highlight w:val="none"/>
              </w:rPr>
            </w:pPr>
            <w:r>
              <w:rPr>
                <w:rFonts w:hint="eastAsia"/>
                <w:color w:val="auto"/>
                <w:highlight w:val="none"/>
              </w:rPr>
              <w:t>9）显示屏位深≥  8  位；</w:t>
            </w:r>
          </w:p>
          <w:p>
            <w:pPr>
              <w:keepNext w:val="0"/>
              <w:keepLines w:val="0"/>
              <w:widowControl/>
              <w:suppressLineNumbers w:val="0"/>
              <w:jc w:val="left"/>
              <w:textAlignment w:val="center"/>
              <w:rPr>
                <w:rFonts w:hint="eastAsia"/>
                <w:color w:val="auto"/>
                <w:highlight w:val="none"/>
              </w:rPr>
            </w:pPr>
            <w:r>
              <w:rPr>
                <w:rFonts w:hint="eastAsia"/>
                <w:color w:val="auto"/>
                <w:highlight w:val="none"/>
              </w:rPr>
              <w:t>10）显示屏色域≥  99%   sRGB；</w:t>
            </w:r>
          </w:p>
          <w:p>
            <w:pPr>
              <w:keepNext w:val="0"/>
              <w:keepLines w:val="0"/>
              <w:widowControl/>
              <w:suppressLineNumbers w:val="0"/>
              <w:jc w:val="left"/>
              <w:textAlignment w:val="center"/>
              <w:rPr>
                <w:rFonts w:hint="eastAsia"/>
                <w:color w:val="auto"/>
                <w:highlight w:val="none"/>
              </w:rPr>
            </w:pPr>
            <w:r>
              <w:rPr>
                <w:rFonts w:hint="eastAsia"/>
                <w:color w:val="auto"/>
                <w:highlight w:val="none"/>
              </w:rPr>
              <w:t>11）显示屏色准△E ≤  4  ；</w:t>
            </w:r>
          </w:p>
          <w:p>
            <w:pPr>
              <w:keepNext w:val="0"/>
              <w:keepLines w:val="0"/>
              <w:widowControl/>
              <w:suppressLineNumbers w:val="0"/>
              <w:jc w:val="left"/>
              <w:textAlignment w:val="center"/>
              <w:rPr>
                <w:rFonts w:hint="eastAsia"/>
                <w:color w:val="auto"/>
                <w:highlight w:val="none"/>
              </w:rPr>
            </w:pPr>
            <w:r>
              <w:rPr>
                <w:rFonts w:hint="eastAsia"/>
                <w:color w:val="auto"/>
                <w:highlight w:val="none"/>
              </w:rPr>
              <w:t>12）显示屏响应时间≤  7 ms；</w:t>
            </w:r>
          </w:p>
          <w:p>
            <w:pPr>
              <w:keepNext w:val="0"/>
              <w:keepLines w:val="0"/>
              <w:widowControl/>
              <w:suppressLineNumbers w:val="0"/>
              <w:jc w:val="left"/>
              <w:textAlignment w:val="center"/>
              <w:rPr>
                <w:rFonts w:hint="eastAsia"/>
                <w:color w:val="auto"/>
                <w:highlight w:val="none"/>
              </w:rPr>
            </w:pPr>
            <w:r>
              <w:rPr>
                <w:rFonts w:hint="eastAsia"/>
                <w:color w:val="auto"/>
                <w:highlight w:val="none"/>
              </w:rPr>
              <w:t>13）显示屏亮度≥  300  尼特；</w:t>
            </w:r>
          </w:p>
          <w:p>
            <w:pPr>
              <w:keepNext w:val="0"/>
              <w:keepLines w:val="0"/>
              <w:widowControl/>
              <w:suppressLineNumbers w:val="0"/>
              <w:jc w:val="left"/>
              <w:textAlignment w:val="center"/>
              <w:rPr>
                <w:rFonts w:hint="eastAsia"/>
                <w:color w:val="auto"/>
                <w:highlight w:val="none"/>
              </w:rPr>
            </w:pPr>
            <w:r>
              <w:rPr>
                <w:rFonts w:hint="eastAsia"/>
                <w:color w:val="auto"/>
                <w:highlight w:val="none"/>
              </w:rPr>
              <w:t>14）显示屏亮度一致性≥  75   %；</w:t>
            </w:r>
          </w:p>
          <w:p>
            <w:pPr>
              <w:keepNext w:val="0"/>
              <w:keepLines w:val="0"/>
              <w:widowControl/>
              <w:suppressLineNumbers w:val="0"/>
              <w:jc w:val="left"/>
              <w:textAlignment w:val="center"/>
              <w:rPr>
                <w:rFonts w:hint="eastAsia"/>
                <w:color w:val="auto"/>
                <w:highlight w:val="none"/>
              </w:rPr>
            </w:pPr>
            <w:r>
              <w:rPr>
                <w:rFonts w:hint="eastAsia"/>
                <w:color w:val="auto"/>
                <w:highlight w:val="none"/>
              </w:rPr>
              <w:t>15）显示屏对比度≥  1000：1   ；</w:t>
            </w:r>
          </w:p>
          <w:p>
            <w:pPr>
              <w:keepNext w:val="0"/>
              <w:keepLines w:val="0"/>
              <w:widowControl/>
              <w:suppressLineNumbers w:val="0"/>
              <w:jc w:val="left"/>
              <w:textAlignment w:val="center"/>
              <w:rPr>
                <w:rFonts w:hint="eastAsia"/>
                <w:color w:val="auto"/>
                <w:highlight w:val="none"/>
              </w:rPr>
            </w:pPr>
            <w:r>
              <w:rPr>
                <w:rFonts w:hint="eastAsia"/>
                <w:color w:val="auto"/>
                <w:highlight w:val="none"/>
              </w:rPr>
              <w:t>16）显示器接口应与显卡外接显示接口匹配；</w:t>
            </w:r>
          </w:p>
          <w:p>
            <w:pPr>
              <w:keepNext w:val="0"/>
              <w:keepLines w:val="0"/>
              <w:widowControl/>
              <w:suppressLineNumbers w:val="0"/>
              <w:jc w:val="left"/>
              <w:textAlignment w:val="center"/>
              <w:rPr>
                <w:rFonts w:hint="eastAsia"/>
                <w:color w:val="auto"/>
                <w:highlight w:val="none"/>
              </w:rPr>
            </w:pPr>
            <w:r>
              <w:rPr>
                <w:rFonts w:hint="eastAsia"/>
                <w:color w:val="auto"/>
                <w:highlight w:val="none"/>
              </w:rPr>
              <w:t>17）显示器应提供显示器支架；</w:t>
            </w:r>
          </w:p>
          <w:p>
            <w:pPr>
              <w:keepNext w:val="0"/>
              <w:keepLines w:val="0"/>
              <w:widowControl/>
              <w:suppressLineNumbers w:val="0"/>
              <w:jc w:val="left"/>
              <w:textAlignment w:val="center"/>
              <w:rPr>
                <w:rFonts w:hint="eastAsia"/>
                <w:color w:val="auto"/>
                <w:highlight w:val="none"/>
              </w:rPr>
            </w:pPr>
            <w:r>
              <w:rPr>
                <w:rFonts w:hint="eastAsia"/>
                <w:color w:val="auto"/>
                <w:highlight w:val="none"/>
              </w:rPr>
              <w:t>18）显示器参数调节：提供 OSD 选单按钮用于调节色彩、模式等，支持色温、亮度、对比度调节；</w:t>
            </w:r>
          </w:p>
          <w:p>
            <w:pPr>
              <w:keepNext w:val="0"/>
              <w:keepLines w:val="0"/>
              <w:widowControl/>
              <w:suppressLineNumbers w:val="0"/>
              <w:jc w:val="left"/>
              <w:textAlignment w:val="center"/>
              <w:rPr>
                <w:rFonts w:hint="eastAsia"/>
                <w:color w:val="auto"/>
                <w:highlight w:val="none"/>
              </w:rPr>
            </w:pPr>
            <w:r>
              <w:rPr>
                <w:rFonts w:hint="eastAsia"/>
                <w:color w:val="auto"/>
                <w:highlight w:val="none"/>
              </w:rPr>
              <w:t>19）显示屏其他参数应符合 SJ/T 11292 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7、外设规格：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1）鼠标数量≥  1  个（有线或无线）；</w:t>
            </w:r>
          </w:p>
          <w:p>
            <w:pPr>
              <w:keepNext w:val="0"/>
              <w:keepLines w:val="0"/>
              <w:widowControl/>
              <w:suppressLineNumbers w:val="0"/>
              <w:jc w:val="left"/>
              <w:textAlignment w:val="center"/>
              <w:rPr>
                <w:rFonts w:hint="eastAsia"/>
                <w:color w:val="auto"/>
                <w:highlight w:val="none"/>
              </w:rPr>
            </w:pPr>
            <w:r>
              <w:rPr>
                <w:rFonts w:hint="eastAsia"/>
                <w:color w:val="auto"/>
                <w:highlight w:val="none"/>
              </w:rPr>
              <w:t>2）键盘数量≥  1  个（有线或无线）；</w:t>
            </w:r>
          </w:p>
          <w:p>
            <w:pPr>
              <w:keepNext w:val="0"/>
              <w:keepLines w:val="0"/>
              <w:widowControl/>
              <w:suppressLineNumbers w:val="0"/>
              <w:jc w:val="left"/>
              <w:textAlignment w:val="center"/>
              <w:rPr>
                <w:rFonts w:hint="eastAsia"/>
                <w:color w:val="auto"/>
                <w:highlight w:val="none"/>
              </w:rPr>
            </w:pPr>
            <w:r>
              <w:rPr>
                <w:rFonts w:hint="eastAsia"/>
                <w:color w:val="auto"/>
                <w:highlight w:val="none"/>
              </w:rPr>
              <w:t>3）键盘按键数目  104   键）；</w:t>
            </w:r>
          </w:p>
          <w:p>
            <w:pPr>
              <w:keepNext w:val="0"/>
              <w:keepLines w:val="0"/>
              <w:widowControl/>
              <w:suppressLineNumbers w:val="0"/>
              <w:jc w:val="left"/>
              <w:textAlignment w:val="center"/>
              <w:rPr>
                <w:rFonts w:hint="eastAsia"/>
                <w:color w:val="auto"/>
                <w:highlight w:val="none"/>
              </w:rPr>
            </w:pPr>
            <w:r>
              <w:rPr>
                <w:rFonts w:hint="eastAsia"/>
                <w:color w:val="auto"/>
                <w:highlight w:val="none"/>
              </w:rPr>
              <w:t>4）键盘键程：2.3mm ~ 4.0mm，键盘按键压力应在 0.54 N±0.14N；</w:t>
            </w:r>
          </w:p>
          <w:p>
            <w:pPr>
              <w:keepNext w:val="0"/>
              <w:keepLines w:val="0"/>
              <w:widowControl/>
              <w:suppressLineNumbers w:val="0"/>
              <w:jc w:val="left"/>
              <w:textAlignment w:val="center"/>
              <w:rPr>
                <w:rFonts w:hint="eastAsia"/>
                <w:color w:val="auto"/>
                <w:highlight w:val="none"/>
              </w:rPr>
            </w:pPr>
            <w:r>
              <w:rPr>
                <w:rFonts w:hint="eastAsia"/>
                <w:color w:val="auto"/>
                <w:highlight w:val="none"/>
              </w:rPr>
              <w:t>5）有线键盘连接线≥  1.5  米；</w:t>
            </w:r>
          </w:p>
          <w:p>
            <w:pPr>
              <w:keepNext w:val="0"/>
              <w:keepLines w:val="0"/>
              <w:widowControl/>
              <w:suppressLineNumbers w:val="0"/>
              <w:jc w:val="left"/>
              <w:textAlignment w:val="center"/>
              <w:rPr>
                <w:rFonts w:hint="eastAsia"/>
                <w:color w:val="auto"/>
                <w:highlight w:val="none"/>
              </w:rPr>
            </w:pPr>
            <w:r>
              <w:rPr>
                <w:rFonts w:hint="eastAsia"/>
                <w:color w:val="auto"/>
                <w:highlight w:val="none"/>
              </w:rPr>
              <w:t>6）键盘颜色：  黑色  ；</w:t>
            </w:r>
          </w:p>
          <w:p>
            <w:pPr>
              <w:keepNext w:val="0"/>
              <w:keepLines w:val="0"/>
              <w:widowControl/>
              <w:suppressLineNumbers w:val="0"/>
              <w:jc w:val="left"/>
              <w:textAlignment w:val="center"/>
              <w:rPr>
                <w:rFonts w:hint="eastAsia"/>
                <w:color w:val="auto"/>
                <w:highlight w:val="none"/>
              </w:rPr>
            </w:pPr>
            <w:r>
              <w:rPr>
                <w:rFonts w:hint="eastAsia"/>
                <w:color w:val="auto"/>
                <w:highlight w:val="none"/>
              </w:rPr>
              <w:t>7）鼠标 DPI分辨率≥  800~1600   DPI；</w:t>
            </w:r>
          </w:p>
          <w:p>
            <w:pPr>
              <w:keepNext w:val="0"/>
              <w:keepLines w:val="0"/>
              <w:widowControl/>
              <w:suppressLineNumbers w:val="0"/>
              <w:jc w:val="left"/>
              <w:textAlignment w:val="center"/>
              <w:rPr>
                <w:rFonts w:hint="eastAsia"/>
                <w:color w:val="auto"/>
                <w:highlight w:val="none"/>
              </w:rPr>
            </w:pPr>
            <w:r>
              <w:rPr>
                <w:rFonts w:hint="eastAsia"/>
                <w:color w:val="auto"/>
                <w:highlight w:val="none"/>
              </w:rPr>
              <w:t>8）鼠标颜色：  黑色  ；</w:t>
            </w:r>
          </w:p>
          <w:p>
            <w:pPr>
              <w:keepNext w:val="0"/>
              <w:keepLines w:val="0"/>
              <w:widowControl/>
              <w:suppressLineNumbers w:val="0"/>
              <w:jc w:val="left"/>
              <w:textAlignment w:val="center"/>
              <w:rPr>
                <w:rFonts w:hint="eastAsia"/>
                <w:color w:val="auto"/>
                <w:highlight w:val="none"/>
              </w:rPr>
            </w:pPr>
            <w:r>
              <w:rPr>
                <w:rFonts w:hint="eastAsia"/>
                <w:color w:val="auto"/>
                <w:highlight w:val="none"/>
              </w:rPr>
              <w:t>9）鼠标其他要求应符合 GB/T 26245 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10）键盘按键寿命≥  1000  万次；</w:t>
            </w:r>
          </w:p>
          <w:p>
            <w:pPr>
              <w:keepNext w:val="0"/>
              <w:keepLines w:val="0"/>
              <w:widowControl/>
              <w:suppressLineNumbers w:val="0"/>
              <w:jc w:val="left"/>
              <w:textAlignment w:val="center"/>
              <w:rPr>
                <w:rFonts w:hint="eastAsia"/>
                <w:color w:val="auto"/>
                <w:highlight w:val="none"/>
              </w:rPr>
            </w:pPr>
            <w:r>
              <w:rPr>
                <w:rFonts w:hint="eastAsia"/>
                <w:color w:val="auto"/>
                <w:highlight w:val="none"/>
              </w:rPr>
              <w:t>11）鼠标按键寿命≥  500  万次；</w:t>
            </w:r>
          </w:p>
          <w:p>
            <w:pPr>
              <w:keepNext w:val="0"/>
              <w:keepLines w:val="0"/>
              <w:widowControl/>
              <w:suppressLineNumbers w:val="0"/>
              <w:jc w:val="left"/>
              <w:textAlignment w:val="center"/>
              <w:rPr>
                <w:rFonts w:hint="eastAsia"/>
                <w:color w:val="auto"/>
                <w:highlight w:val="none"/>
              </w:rPr>
            </w:pPr>
            <w:r>
              <w:rPr>
                <w:rFonts w:hint="eastAsia"/>
                <w:color w:val="auto"/>
                <w:highlight w:val="none"/>
              </w:rPr>
              <w:t>12）键盘鼠标线材寿命键盘鼠标所用线材经±60°弯折不低于3000次，功能、外观完好；</w:t>
            </w:r>
          </w:p>
          <w:p>
            <w:pPr>
              <w:keepNext w:val="0"/>
              <w:keepLines w:val="0"/>
              <w:widowControl/>
              <w:suppressLineNumbers w:val="0"/>
              <w:jc w:val="left"/>
              <w:textAlignment w:val="center"/>
              <w:rPr>
                <w:rFonts w:hint="eastAsia"/>
                <w:color w:val="auto"/>
                <w:highlight w:val="none"/>
              </w:rPr>
            </w:pPr>
            <w:r>
              <w:rPr>
                <w:rFonts w:hint="eastAsia"/>
                <w:color w:val="auto"/>
                <w:highlight w:val="none"/>
              </w:rPr>
              <w:t>13）风扇寿命≥  4  万小时。</w:t>
            </w:r>
          </w:p>
          <w:p>
            <w:pPr>
              <w:keepNext w:val="0"/>
              <w:keepLines w:val="0"/>
              <w:widowControl/>
              <w:suppressLineNumbers w:val="0"/>
              <w:jc w:val="left"/>
              <w:textAlignment w:val="center"/>
              <w:rPr>
                <w:rFonts w:hint="eastAsia"/>
                <w:color w:val="auto"/>
                <w:highlight w:val="none"/>
              </w:rPr>
            </w:pPr>
            <w:r>
              <w:rPr>
                <w:rFonts w:hint="eastAsia"/>
                <w:color w:val="auto"/>
                <w:highlight w:val="none"/>
              </w:rPr>
              <w:t>▲8、网络设备规格：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1）有线网卡数量≥  1  ；</w:t>
            </w:r>
          </w:p>
          <w:p>
            <w:pPr>
              <w:keepNext w:val="0"/>
              <w:keepLines w:val="0"/>
              <w:widowControl/>
              <w:suppressLineNumbers w:val="0"/>
              <w:jc w:val="left"/>
              <w:textAlignment w:val="center"/>
              <w:rPr>
                <w:rFonts w:hint="eastAsia"/>
                <w:color w:val="auto"/>
                <w:highlight w:val="none"/>
              </w:rPr>
            </w:pPr>
            <w:r>
              <w:rPr>
                <w:rFonts w:hint="eastAsia"/>
                <w:color w:val="auto"/>
                <w:highlight w:val="none"/>
              </w:rPr>
              <w:t>2）有线网卡速率：最高速率应不低于 1000Mbps，应支持10Mbps、100Mbps、1000Mbps 速率自适应；</w:t>
            </w:r>
          </w:p>
          <w:p>
            <w:pPr>
              <w:keepNext w:val="0"/>
              <w:keepLines w:val="0"/>
              <w:widowControl/>
              <w:suppressLineNumbers w:val="0"/>
              <w:jc w:val="left"/>
              <w:textAlignment w:val="center"/>
              <w:rPr>
                <w:rFonts w:hint="eastAsia"/>
                <w:color w:val="auto"/>
                <w:highlight w:val="none"/>
              </w:rPr>
            </w:pPr>
            <w:r>
              <w:rPr>
                <w:rFonts w:hint="eastAsia"/>
                <w:color w:val="auto"/>
                <w:highlight w:val="none"/>
              </w:rPr>
              <w:t>3）支持网络连接、网络开启/关闭功能；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4）支持访问网络和数据交换功能；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5）支持数据传输能力，并提供数据流量和异常日志记录功能；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6）支持 RJ45 接口≥  1  ；</w:t>
            </w:r>
          </w:p>
          <w:p>
            <w:pPr>
              <w:keepNext w:val="0"/>
              <w:keepLines w:val="0"/>
              <w:widowControl/>
              <w:suppressLineNumbers w:val="0"/>
              <w:jc w:val="left"/>
              <w:textAlignment w:val="center"/>
              <w:rPr>
                <w:rFonts w:hint="eastAsia"/>
                <w:color w:val="auto"/>
                <w:highlight w:val="none"/>
              </w:rPr>
            </w:pPr>
            <w:r>
              <w:rPr>
                <w:rFonts w:hint="eastAsia"/>
                <w:color w:val="auto"/>
                <w:highlight w:val="none"/>
              </w:rPr>
              <w:t>7）支持物理拆装，包括无线网卡和蓝牙模块等。</w:t>
            </w:r>
          </w:p>
          <w:p>
            <w:pPr>
              <w:keepNext w:val="0"/>
              <w:keepLines w:val="0"/>
              <w:widowControl/>
              <w:suppressLineNumbers w:val="0"/>
              <w:jc w:val="left"/>
              <w:textAlignment w:val="center"/>
              <w:rPr>
                <w:rFonts w:hint="eastAsia"/>
                <w:color w:val="auto"/>
                <w:highlight w:val="none"/>
              </w:rPr>
            </w:pPr>
            <w:r>
              <w:rPr>
                <w:rFonts w:hint="eastAsia"/>
                <w:color w:val="auto"/>
                <w:highlight w:val="none"/>
              </w:rPr>
              <w:t>▲9、外部接口规格：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1）USB 接口数量机箱前面板应提供不少于  3  个USB 接口（含2个USB3.0 及以上接口）；</w:t>
            </w:r>
          </w:p>
          <w:p>
            <w:pPr>
              <w:keepNext w:val="0"/>
              <w:keepLines w:val="0"/>
              <w:widowControl/>
              <w:suppressLineNumbers w:val="0"/>
              <w:jc w:val="left"/>
              <w:textAlignment w:val="center"/>
              <w:rPr>
                <w:rFonts w:hint="eastAsia"/>
                <w:color w:val="auto"/>
                <w:highlight w:val="none"/>
              </w:rPr>
            </w:pPr>
            <w:r>
              <w:rPr>
                <w:rFonts w:hint="eastAsia"/>
                <w:color w:val="auto"/>
                <w:highlight w:val="none"/>
              </w:rPr>
              <w:t>2）视频接口数量≥  2 ，视频接口类型至少支持 VGA、HDMI、DVI、DP、Type-C中 1 种显示接口，若提供 HDMI 或 DP或 Type-C作为显示接口，应支持音频和视频同步输出；</w:t>
            </w:r>
          </w:p>
          <w:p>
            <w:pPr>
              <w:keepNext w:val="0"/>
              <w:keepLines w:val="0"/>
              <w:widowControl/>
              <w:suppressLineNumbers w:val="0"/>
              <w:jc w:val="left"/>
              <w:textAlignment w:val="center"/>
              <w:rPr>
                <w:rFonts w:hint="eastAsia"/>
                <w:color w:val="auto"/>
                <w:highlight w:val="none"/>
              </w:rPr>
            </w:pPr>
            <w:r>
              <w:rPr>
                <w:rFonts w:hint="eastAsia"/>
                <w:color w:val="auto"/>
                <w:highlight w:val="none"/>
              </w:rPr>
              <w:t>3）音频接口数量≥  5 ，音频接口类型支持 3.5mm孔径3段式或4段式接口。</w:t>
            </w:r>
          </w:p>
          <w:p>
            <w:pPr>
              <w:keepNext w:val="0"/>
              <w:keepLines w:val="0"/>
              <w:widowControl/>
              <w:suppressLineNumbers w:val="0"/>
              <w:jc w:val="left"/>
              <w:textAlignment w:val="center"/>
              <w:rPr>
                <w:rFonts w:hint="eastAsia"/>
                <w:color w:val="auto"/>
                <w:highlight w:val="none"/>
              </w:rPr>
            </w:pPr>
            <w:r>
              <w:rPr>
                <w:rFonts w:hint="eastAsia"/>
                <w:color w:val="auto"/>
                <w:highlight w:val="none"/>
              </w:rPr>
              <w:t>▲10、整机基础规格：</w:t>
            </w:r>
          </w:p>
          <w:p>
            <w:pPr>
              <w:keepNext w:val="0"/>
              <w:keepLines w:val="0"/>
              <w:widowControl/>
              <w:suppressLineNumbers w:val="0"/>
              <w:jc w:val="left"/>
              <w:textAlignment w:val="center"/>
              <w:rPr>
                <w:rFonts w:hint="eastAsia"/>
                <w:color w:val="auto"/>
                <w:highlight w:val="none"/>
              </w:rPr>
            </w:pPr>
            <w:r>
              <w:rPr>
                <w:rFonts w:hint="eastAsia"/>
                <w:color w:val="auto"/>
                <w:highlight w:val="none"/>
              </w:rPr>
              <w:t>整机外观：</w:t>
            </w:r>
          </w:p>
          <w:p>
            <w:pPr>
              <w:keepNext w:val="0"/>
              <w:keepLines w:val="0"/>
              <w:widowControl/>
              <w:suppressLineNumbers w:val="0"/>
              <w:jc w:val="left"/>
              <w:textAlignment w:val="center"/>
              <w:rPr>
                <w:rFonts w:hint="eastAsia"/>
                <w:color w:val="auto"/>
                <w:highlight w:val="none"/>
              </w:rPr>
            </w:pPr>
            <w:r>
              <w:rPr>
                <w:rFonts w:hint="eastAsia"/>
                <w:color w:val="auto"/>
                <w:highlight w:val="none"/>
              </w:rPr>
              <w:t>1）产品表面不应有凹痕、划伤、裂缝、变形和污染等。表面涂层均匀，不应起泡、龟裂、脱落和磨损，金属零部件无锈蚀及其它机械损伤；</w:t>
            </w:r>
          </w:p>
          <w:p>
            <w:pPr>
              <w:keepNext w:val="0"/>
              <w:keepLines w:val="0"/>
              <w:widowControl/>
              <w:suppressLineNumbers w:val="0"/>
              <w:jc w:val="left"/>
              <w:textAlignment w:val="center"/>
              <w:rPr>
                <w:rFonts w:hint="eastAsia"/>
                <w:color w:val="auto"/>
                <w:highlight w:val="none"/>
              </w:rPr>
            </w:pPr>
            <w:r>
              <w:rPr>
                <w:rFonts w:hint="eastAsia"/>
                <w:color w:val="auto"/>
                <w:highlight w:val="none"/>
              </w:rPr>
              <w:t>2）产品表面说明功能的文字、符号、标志，应清晰、端正、牢固；</w:t>
            </w:r>
          </w:p>
          <w:p>
            <w:pPr>
              <w:keepNext w:val="0"/>
              <w:keepLines w:val="0"/>
              <w:widowControl/>
              <w:suppressLineNumbers w:val="0"/>
              <w:jc w:val="left"/>
              <w:textAlignment w:val="center"/>
              <w:rPr>
                <w:rFonts w:hint="eastAsia"/>
                <w:color w:val="auto"/>
                <w:highlight w:val="none"/>
              </w:rPr>
            </w:pPr>
            <w:r>
              <w:rPr>
                <w:rFonts w:hint="eastAsia"/>
                <w:color w:val="auto"/>
                <w:highlight w:val="none"/>
              </w:rPr>
              <w:t>3）状态指示灯：在产品显著位置提供状态指示功能，如运行状态，电源指示灯亮起则代表开机、电源指示灯熄灭则代表未开机</w:t>
            </w:r>
          </w:p>
          <w:p>
            <w:pPr>
              <w:keepNext w:val="0"/>
              <w:keepLines w:val="0"/>
              <w:widowControl/>
              <w:suppressLineNumbers w:val="0"/>
              <w:jc w:val="left"/>
              <w:textAlignment w:val="center"/>
              <w:rPr>
                <w:rFonts w:hint="eastAsia"/>
                <w:color w:val="auto"/>
                <w:highlight w:val="none"/>
              </w:rPr>
            </w:pPr>
            <w:r>
              <w:rPr>
                <w:rFonts w:hint="eastAsia"/>
                <w:color w:val="auto"/>
                <w:highlight w:val="none"/>
              </w:rPr>
              <w:t>4）整机结构：</w:t>
            </w:r>
          </w:p>
          <w:p>
            <w:pPr>
              <w:keepNext w:val="0"/>
              <w:keepLines w:val="0"/>
              <w:widowControl/>
              <w:suppressLineNumbers w:val="0"/>
              <w:jc w:val="left"/>
              <w:textAlignment w:val="center"/>
              <w:rPr>
                <w:rFonts w:hint="eastAsia"/>
                <w:color w:val="auto"/>
                <w:highlight w:val="none"/>
              </w:rPr>
            </w:pPr>
            <w:r>
              <w:rPr>
                <w:rFonts w:hint="eastAsia"/>
                <w:color w:val="auto"/>
                <w:highlight w:val="none"/>
              </w:rPr>
              <w:t>a) 机箱符合 GB/T 4208、GB/T 26246的相关规定；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b) 产品内部结构符合通用部件的安装需求；</w:t>
            </w:r>
          </w:p>
          <w:p>
            <w:pPr>
              <w:keepNext w:val="0"/>
              <w:keepLines w:val="0"/>
              <w:widowControl/>
              <w:suppressLineNumbers w:val="0"/>
              <w:jc w:val="left"/>
              <w:textAlignment w:val="center"/>
              <w:rPr>
                <w:rFonts w:hint="eastAsia"/>
                <w:color w:val="auto"/>
                <w:highlight w:val="none"/>
              </w:rPr>
            </w:pPr>
            <w:r>
              <w:rPr>
                <w:rFonts w:hint="eastAsia"/>
                <w:color w:val="auto"/>
                <w:highlight w:val="none"/>
              </w:rPr>
              <w:t>c) 所有输入输出接口符合相关国家或行业标准；</w:t>
            </w:r>
          </w:p>
          <w:p>
            <w:pPr>
              <w:keepNext w:val="0"/>
              <w:keepLines w:val="0"/>
              <w:widowControl/>
              <w:suppressLineNumbers w:val="0"/>
              <w:jc w:val="left"/>
              <w:textAlignment w:val="center"/>
              <w:rPr>
                <w:rFonts w:hint="eastAsia"/>
                <w:color w:val="auto"/>
                <w:highlight w:val="none"/>
              </w:rPr>
            </w:pPr>
            <w:r>
              <w:rPr>
                <w:rFonts w:hint="eastAsia"/>
                <w:color w:val="auto"/>
                <w:highlight w:val="none"/>
              </w:rPr>
              <w:t>d) 产品零部件紧固无松动，可插拔部件可靠连接，开关、按钮和其它控制部件灵活可靠，布局方便使用；</w:t>
            </w:r>
          </w:p>
          <w:p>
            <w:pPr>
              <w:keepNext w:val="0"/>
              <w:keepLines w:val="0"/>
              <w:widowControl/>
              <w:suppressLineNumbers w:val="0"/>
              <w:jc w:val="left"/>
              <w:textAlignment w:val="center"/>
              <w:rPr>
                <w:rFonts w:hint="eastAsia"/>
                <w:color w:val="auto"/>
                <w:highlight w:val="none"/>
              </w:rPr>
            </w:pPr>
            <w:r>
              <w:rPr>
                <w:rFonts w:hint="eastAsia"/>
                <w:color w:val="auto"/>
                <w:highlight w:val="none"/>
              </w:rPr>
              <w:t>e) 所有 I/O 连接器及需插接线缆的部位预留采购人操作空间，方便插拔解锁与插拔线缆；</w:t>
            </w:r>
          </w:p>
          <w:p>
            <w:pPr>
              <w:keepNext w:val="0"/>
              <w:keepLines w:val="0"/>
              <w:widowControl/>
              <w:suppressLineNumbers w:val="0"/>
              <w:jc w:val="left"/>
              <w:textAlignment w:val="center"/>
              <w:rPr>
                <w:rFonts w:hint="eastAsia"/>
                <w:color w:val="auto"/>
                <w:highlight w:val="none"/>
              </w:rPr>
            </w:pPr>
            <w:r>
              <w:rPr>
                <w:rFonts w:hint="eastAsia"/>
                <w:color w:val="auto"/>
                <w:highlight w:val="none"/>
              </w:rPr>
              <w:t>f) 可插拔板卡插槽部位预留安装、拆卸或更换板卡空间；</w:t>
            </w:r>
          </w:p>
          <w:p>
            <w:pPr>
              <w:keepNext w:val="0"/>
              <w:keepLines w:val="0"/>
              <w:widowControl/>
              <w:suppressLineNumbers w:val="0"/>
              <w:jc w:val="left"/>
              <w:textAlignment w:val="center"/>
              <w:rPr>
                <w:rFonts w:hint="eastAsia"/>
                <w:color w:val="auto"/>
                <w:highlight w:val="none"/>
              </w:rPr>
            </w:pPr>
            <w:r>
              <w:rPr>
                <w:rFonts w:hint="eastAsia"/>
                <w:color w:val="auto"/>
                <w:highlight w:val="none"/>
              </w:rPr>
              <w:t>g) 拆装可能接触到的金属剪口或金属尖角部位做防划伤处理，以保证安全；</w:t>
            </w:r>
          </w:p>
          <w:p>
            <w:pPr>
              <w:keepNext w:val="0"/>
              <w:keepLines w:val="0"/>
              <w:widowControl/>
              <w:suppressLineNumbers w:val="0"/>
              <w:jc w:val="left"/>
              <w:textAlignment w:val="center"/>
              <w:rPr>
                <w:rFonts w:hint="eastAsia"/>
                <w:color w:val="auto"/>
                <w:highlight w:val="none"/>
              </w:rPr>
            </w:pPr>
            <w:r>
              <w:rPr>
                <w:rFonts w:hint="eastAsia"/>
                <w:color w:val="auto"/>
                <w:highlight w:val="none"/>
              </w:rPr>
              <w:t>h) 整机内部走线规整，固线结构和位置要合理可靠并做防割线处理，需便于理线和插拔操作，走线不影响系统各主要部件组装和拆卸；</w:t>
            </w:r>
          </w:p>
          <w:p>
            <w:pPr>
              <w:keepNext w:val="0"/>
              <w:keepLines w:val="0"/>
              <w:widowControl/>
              <w:suppressLineNumbers w:val="0"/>
              <w:jc w:val="left"/>
              <w:textAlignment w:val="center"/>
              <w:rPr>
                <w:rFonts w:hint="eastAsia"/>
                <w:color w:val="auto"/>
                <w:highlight w:val="none"/>
              </w:rPr>
            </w:pPr>
            <w:r>
              <w:rPr>
                <w:rFonts w:hint="eastAsia"/>
                <w:color w:val="auto"/>
                <w:highlight w:val="none"/>
              </w:rPr>
              <w:t>i) 如需通过孔走线，过线孔做防割线处理；</w:t>
            </w:r>
          </w:p>
          <w:p>
            <w:pPr>
              <w:keepNext w:val="0"/>
              <w:keepLines w:val="0"/>
              <w:widowControl/>
              <w:suppressLineNumbers w:val="0"/>
              <w:jc w:val="left"/>
              <w:textAlignment w:val="center"/>
              <w:rPr>
                <w:rFonts w:hint="eastAsia"/>
                <w:color w:val="auto"/>
                <w:highlight w:val="none"/>
              </w:rPr>
            </w:pPr>
            <w:r>
              <w:rPr>
                <w:rFonts w:hint="eastAsia"/>
                <w:color w:val="auto"/>
                <w:highlight w:val="none"/>
              </w:rPr>
              <w:t>j) 各插头位置和插拔方向合理，做到插拔无障碍设计，具备防呆设计，有效避免误操作；</w:t>
            </w:r>
          </w:p>
          <w:p>
            <w:pPr>
              <w:keepNext w:val="0"/>
              <w:keepLines w:val="0"/>
              <w:widowControl/>
              <w:suppressLineNumbers w:val="0"/>
              <w:jc w:val="left"/>
              <w:textAlignment w:val="center"/>
              <w:rPr>
                <w:rFonts w:hint="eastAsia"/>
                <w:color w:val="auto"/>
                <w:highlight w:val="none"/>
              </w:rPr>
            </w:pPr>
            <w:r>
              <w:rPr>
                <w:rFonts w:hint="eastAsia"/>
                <w:color w:val="auto"/>
                <w:highlight w:val="none"/>
              </w:rPr>
              <w:t>k) 各主要部件拆装无障碍，使用常规工具拆装，无特殊拆装工具需求；</w:t>
            </w:r>
          </w:p>
          <w:p>
            <w:pPr>
              <w:keepNext w:val="0"/>
              <w:keepLines w:val="0"/>
              <w:widowControl/>
              <w:suppressLineNumbers w:val="0"/>
              <w:jc w:val="left"/>
              <w:textAlignment w:val="center"/>
              <w:rPr>
                <w:rFonts w:hint="eastAsia"/>
                <w:color w:val="auto"/>
                <w:highlight w:val="none"/>
              </w:rPr>
            </w:pPr>
            <w:r>
              <w:rPr>
                <w:rFonts w:hint="eastAsia"/>
                <w:color w:val="auto"/>
                <w:highlight w:val="none"/>
              </w:rPr>
              <w:t>l) 各主要部件拆装步骤要少，各自拆装需避免相互干扰；</w:t>
            </w:r>
          </w:p>
          <w:p>
            <w:pPr>
              <w:keepNext w:val="0"/>
              <w:keepLines w:val="0"/>
              <w:widowControl/>
              <w:suppressLineNumbers w:val="0"/>
              <w:jc w:val="left"/>
              <w:textAlignment w:val="center"/>
              <w:rPr>
                <w:rFonts w:hint="eastAsia"/>
                <w:color w:val="auto"/>
                <w:highlight w:val="none"/>
              </w:rPr>
            </w:pPr>
            <w:r>
              <w:rPr>
                <w:rFonts w:hint="eastAsia"/>
                <w:color w:val="auto"/>
                <w:highlight w:val="none"/>
              </w:rPr>
              <w:t>m) 对于整机或零部件外表面为高亮面的，粘贴保护膜，保护膜需粘贴牢固，运输、组装等过程不易脱落，撕下无残留；</w:t>
            </w:r>
          </w:p>
          <w:p>
            <w:pPr>
              <w:keepNext w:val="0"/>
              <w:keepLines w:val="0"/>
              <w:widowControl/>
              <w:suppressLineNumbers w:val="0"/>
              <w:jc w:val="left"/>
              <w:textAlignment w:val="center"/>
              <w:rPr>
                <w:rFonts w:hint="eastAsia"/>
                <w:color w:val="auto"/>
                <w:highlight w:val="none"/>
              </w:rPr>
            </w:pPr>
            <w:r>
              <w:rPr>
                <w:rFonts w:hint="eastAsia"/>
                <w:color w:val="auto"/>
                <w:highlight w:val="none"/>
              </w:rPr>
              <w:t>n) 其它要求符合 GB/T 9813.1 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5）机箱应符合 GB/T 4208 中 IP20 防护要求；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6）产品工作在空闲状态下，产品的声功率级应不超过 4.5 Bel；</w:t>
            </w:r>
          </w:p>
          <w:p>
            <w:pPr>
              <w:keepNext w:val="0"/>
              <w:keepLines w:val="0"/>
              <w:widowControl/>
              <w:suppressLineNumbers w:val="0"/>
              <w:jc w:val="left"/>
              <w:textAlignment w:val="center"/>
              <w:rPr>
                <w:rFonts w:hint="eastAsia"/>
                <w:color w:val="auto"/>
                <w:highlight w:val="none"/>
              </w:rPr>
            </w:pPr>
            <w:r>
              <w:rPr>
                <w:rFonts w:hint="eastAsia"/>
                <w:color w:val="auto"/>
                <w:highlight w:val="none"/>
              </w:rPr>
              <w:t>7）整机散热在环境温度 25℃及处理器满载情况下，产品表面温度应符合如下要求：出风口在机箱后面板情况下，出风口温度不高于55℃；可触及面温度不高于45℃；显示器表面温度：显示屏不高于38℃，显示屏上下灯带位置温度（如涉及）不高于40℃，出风口温度不高于45℃；</w:t>
            </w:r>
          </w:p>
          <w:p>
            <w:pPr>
              <w:keepNext w:val="0"/>
              <w:keepLines w:val="0"/>
              <w:widowControl/>
              <w:suppressLineNumbers w:val="0"/>
              <w:jc w:val="left"/>
              <w:textAlignment w:val="center"/>
              <w:rPr>
                <w:rFonts w:hint="eastAsia"/>
                <w:color w:val="auto"/>
                <w:highlight w:val="none"/>
              </w:rPr>
            </w:pPr>
            <w:r>
              <w:rPr>
                <w:rFonts w:hint="eastAsia"/>
                <w:color w:val="auto"/>
                <w:highlight w:val="none"/>
              </w:rPr>
              <w:t>8）产品能效限定值应达到GB 28380-2012标准中能效等级 2 级及以上；</w:t>
            </w:r>
          </w:p>
          <w:p>
            <w:pPr>
              <w:keepNext w:val="0"/>
              <w:keepLines w:val="0"/>
              <w:widowControl/>
              <w:suppressLineNumbers w:val="0"/>
              <w:jc w:val="left"/>
              <w:textAlignment w:val="center"/>
              <w:rPr>
                <w:rFonts w:hint="eastAsia"/>
                <w:color w:val="auto"/>
                <w:highlight w:val="none"/>
              </w:rPr>
            </w:pPr>
            <w:r>
              <w:rPr>
                <w:rFonts w:hint="eastAsia"/>
                <w:color w:val="auto"/>
                <w:highlight w:val="none"/>
              </w:rPr>
              <w:t>9）机身材质：塑料/金属等；</w:t>
            </w:r>
          </w:p>
          <w:p>
            <w:pPr>
              <w:keepNext w:val="0"/>
              <w:keepLines w:val="0"/>
              <w:widowControl/>
              <w:suppressLineNumbers w:val="0"/>
              <w:jc w:val="left"/>
              <w:textAlignment w:val="center"/>
              <w:rPr>
                <w:rFonts w:hint="eastAsia"/>
                <w:color w:val="auto"/>
                <w:highlight w:val="none"/>
              </w:rPr>
            </w:pPr>
            <w:r>
              <w:rPr>
                <w:rFonts w:hint="eastAsia"/>
                <w:color w:val="auto"/>
                <w:highlight w:val="none"/>
              </w:rPr>
              <w:t>10）机身颜色：灰色/黑色等商务色系；</w:t>
            </w:r>
          </w:p>
          <w:p>
            <w:pPr>
              <w:keepNext w:val="0"/>
              <w:keepLines w:val="0"/>
              <w:widowControl/>
              <w:suppressLineNumbers w:val="0"/>
              <w:jc w:val="left"/>
              <w:textAlignment w:val="center"/>
              <w:rPr>
                <w:rFonts w:hint="eastAsia"/>
                <w:color w:val="auto"/>
                <w:highlight w:val="none"/>
              </w:rPr>
            </w:pPr>
            <w:r>
              <w:rPr>
                <w:rFonts w:hint="eastAsia"/>
                <w:color w:val="auto"/>
                <w:highlight w:val="none"/>
              </w:rPr>
              <w:t>11）机箱尺寸容量：机箱体积应不大于 15L；</w:t>
            </w:r>
          </w:p>
          <w:p>
            <w:pPr>
              <w:keepNext w:val="0"/>
              <w:keepLines w:val="0"/>
              <w:widowControl/>
              <w:suppressLineNumbers w:val="0"/>
              <w:jc w:val="left"/>
              <w:textAlignment w:val="center"/>
              <w:rPr>
                <w:rFonts w:hint="eastAsia"/>
                <w:color w:val="auto"/>
                <w:highlight w:val="none"/>
              </w:rPr>
            </w:pPr>
            <w:r>
              <w:rPr>
                <w:rFonts w:hint="eastAsia"/>
                <w:color w:val="auto"/>
                <w:highlight w:val="none"/>
              </w:rPr>
              <w:t>▲11、电源：</w:t>
            </w:r>
          </w:p>
          <w:p>
            <w:pPr>
              <w:keepNext w:val="0"/>
              <w:keepLines w:val="0"/>
              <w:widowControl/>
              <w:suppressLineNumbers w:val="0"/>
              <w:jc w:val="left"/>
              <w:textAlignment w:val="center"/>
              <w:rPr>
                <w:rFonts w:hint="eastAsia"/>
                <w:color w:val="auto"/>
                <w:highlight w:val="none"/>
              </w:rPr>
            </w:pPr>
            <w:r>
              <w:rPr>
                <w:rFonts w:hint="eastAsia"/>
                <w:color w:val="auto"/>
                <w:highlight w:val="none"/>
              </w:rPr>
              <w:t>1）功率≥200W；</w:t>
            </w:r>
          </w:p>
          <w:p>
            <w:pPr>
              <w:keepNext w:val="0"/>
              <w:keepLines w:val="0"/>
              <w:widowControl/>
              <w:suppressLineNumbers w:val="0"/>
              <w:jc w:val="left"/>
              <w:textAlignment w:val="center"/>
              <w:rPr>
                <w:rFonts w:hint="eastAsia"/>
                <w:color w:val="auto"/>
                <w:highlight w:val="none"/>
              </w:rPr>
            </w:pPr>
            <w:r>
              <w:rPr>
                <w:rFonts w:hint="eastAsia"/>
                <w:color w:val="auto"/>
                <w:highlight w:val="none"/>
              </w:rPr>
              <w:t>2）电源适配器电线组件应符合GB/T15934的要求，可拆线的插头和连接器可以不做要求。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12、操作系统及软件功能：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1）中文信息处理要求：符合GB18030的相关规定；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2）操作系统备份及还原功能：支持操作系统备份及还原功能；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3）固件备份还原能力：支持备份及还原固件的功能；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4）操作系统及驱动升级：支持通过网络、闪存盘等方式对操作系统、驱动进行升级；</w:t>
            </w:r>
          </w:p>
          <w:p>
            <w:pPr>
              <w:keepNext w:val="0"/>
              <w:keepLines w:val="0"/>
              <w:widowControl/>
              <w:suppressLineNumbers w:val="0"/>
              <w:jc w:val="left"/>
              <w:textAlignment w:val="center"/>
              <w:rPr>
                <w:rFonts w:hint="eastAsia"/>
                <w:color w:val="auto"/>
                <w:highlight w:val="none"/>
              </w:rPr>
            </w:pPr>
            <w:r>
              <w:rPr>
                <w:rFonts w:hint="eastAsia"/>
                <w:color w:val="auto"/>
                <w:highlight w:val="none"/>
              </w:rPr>
              <w:t>5）固件升级：支持通过网络、闪存盘等方式对固件进行升级；</w:t>
            </w:r>
          </w:p>
          <w:p>
            <w:pPr>
              <w:keepNext w:val="0"/>
              <w:keepLines w:val="0"/>
              <w:widowControl/>
              <w:suppressLineNumbers w:val="0"/>
              <w:jc w:val="left"/>
              <w:textAlignment w:val="center"/>
              <w:rPr>
                <w:rFonts w:hint="eastAsia"/>
                <w:color w:val="auto"/>
                <w:highlight w:val="none"/>
              </w:rPr>
            </w:pPr>
            <w:r>
              <w:rPr>
                <w:rFonts w:hint="eastAsia"/>
                <w:color w:val="auto"/>
                <w:highlight w:val="none"/>
              </w:rPr>
              <w:t>6）BIOS支持关闭通讯接口：支持BIOS关闭以太网及USB接口；7）固件查看信息：支持查看固件版本、内存信息、主板信息、处理器信息和系统时间信息等功能；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8）固件设置启动顺序：支持设置启动顺序功能，并按照设置的启动顺序启动；</w:t>
            </w:r>
          </w:p>
          <w:p>
            <w:pPr>
              <w:keepNext w:val="0"/>
              <w:keepLines w:val="0"/>
              <w:widowControl/>
              <w:suppressLineNumbers w:val="0"/>
              <w:jc w:val="left"/>
              <w:textAlignment w:val="center"/>
              <w:rPr>
                <w:rFonts w:hint="eastAsia"/>
                <w:color w:val="auto"/>
                <w:highlight w:val="none"/>
              </w:rPr>
            </w:pPr>
            <w:r>
              <w:rPr>
                <w:rFonts w:hint="eastAsia"/>
                <w:color w:val="auto"/>
                <w:highlight w:val="none"/>
              </w:rPr>
              <w:t>9）固件设置口令：支持设置口令、修改口令、验证口令功能；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10）固件设置网络引导：支持网络引导启动和关闭功能；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11）备授课平台：</w:t>
            </w:r>
          </w:p>
          <w:p>
            <w:pPr>
              <w:keepNext w:val="0"/>
              <w:keepLines w:val="0"/>
              <w:widowControl/>
              <w:suppressLineNumbers w:val="0"/>
              <w:jc w:val="left"/>
              <w:textAlignment w:val="center"/>
              <w:rPr>
                <w:rFonts w:hint="eastAsia"/>
                <w:color w:val="auto"/>
                <w:highlight w:val="none"/>
              </w:rPr>
            </w:pPr>
            <w:r>
              <w:rPr>
                <w:rFonts w:hint="eastAsia"/>
                <w:color w:val="auto"/>
                <w:highlight w:val="none"/>
              </w:rPr>
              <w:t>1.教学平台为全校教师提供可扩展，易于学校管理，安全可靠的云存储空间，根据每名教师使用时长与教学资料制作频率提供可扩展升级至不小于200G的个人云空间。</w:t>
            </w:r>
          </w:p>
          <w:p>
            <w:pPr>
              <w:keepNext w:val="0"/>
              <w:keepLines w:val="0"/>
              <w:widowControl/>
              <w:suppressLineNumbers w:val="0"/>
              <w:jc w:val="left"/>
              <w:textAlignment w:val="center"/>
              <w:rPr>
                <w:rFonts w:hint="eastAsia"/>
                <w:color w:val="auto"/>
                <w:highlight w:val="none"/>
              </w:rPr>
            </w:pPr>
            <w:r>
              <w:rPr>
                <w:rFonts w:hint="eastAsia"/>
                <w:color w:val="auto"/>
                <w:highlight w:val="none"/>
              </w:rPr>
              <w:t>2.PPT小工具：支持小组端进入PPT放映模式后提供批注、黑板、橡皮、撤销、批注分享等工具，满足学生小组研讨的使用</w:t>
            </w:r>
          </w:p>
          <w:p>
            <w:pPr>
              <w:keepNext w:val="0"/>
              <w:keepLines w:val="0"/>
              <w:widowControl/>
              <w:suppressLineNumbers w:val="0"/>
              <w:jc w:val="left"/>
              <w:textAlignment w:val="center"/>
              <w:rPr>
                <w:rFonts w:hint="eastAsia"/>
                <w:color w:val="auto"/>
                <w:highlight w:val="none"/>
              </w:rPr>
            </w:pPr>
            <w:r>
              <w:rPr>
                <w:rFonts w:hint="eastAsia"/>
                <w:color w:val="auto"/>
                <w:highlight w:val="none"/>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pPr>
              <w:keepNext w:val="0"/>
              <w:keepLines w:val="0"/>
              <w:widowControl/>
              <w:suppressLineNumbers w:val="0"/>
              <w:jc w:val="left"/>
              <w:textAlignment w:val="center"/>
              <w:rPr>
                <w:rFonts w:hint="eastAsia"/>
                <w:color w:val="auto"/>
                <w:highlight w:val="none"/>
              </w:rPr>
            </w:pPr>
            <w:r>
              <w:rPr>
                <w:rFonts w:hint="eastAsia"/>
                <w:color w:val="auto"/>
                <w:highlight w:val="none"/>
              </w:rPr>
              <w:t>4.一键开课：教师可一键开课生成课程海报；学生扫描课程海报微信二维码即可加入直播课堂，无需额外安装APP（投标文件中须提供国家认可的第三方检测机构出具的检测报告复印件）</w:t>
            </w:r>
          </w:p>
          <w:p>
            <w:pPr>
              <w:keepNext w:val="0"/>
              <w:keepLines w:val="0"/>
              <w:widowControl/>
              <w:suppressLineNumbers w:val="0"/>
              <w:jc w:val="left"/>
              <w:textAlignment w:val="center"/>
              <w:rPr>
                <w:rFonts w:hint="eastAsia"/>
                <w:color w:val="auto"/>
                <w:highlight w:val="none"/>
              </w:rPr>
            </w:pPr>
            <w:r>
              <w:rPr>
                <w:rFonts w:hint="eastAsia"/>
                <w:color w:val="auto"/>
                <w:highlight w:val="none"/>
              </w:rPr>
              <w:t>5.剪辑重录：支持按照课件页面片段剪辑和重录微课，支持一键上传至云端保存。</w:t>
            </w:r>
          </w:p>
          <w:p>
            <w:pPr>
              <w:keepNext w:val="0"/>
              <w:keepLines w:val="0"/>
              <w:widowControl/>
              <w:suppressLineNumbers w:val="0"/>
              <w:jc w:val="left"/>
              <w:textAlignment w:val="center"/>
              <w:rPr>
                <w:rFonts w:hint="eastAsia"/>
                <w:color w:val="auto"/>
                <w:highlight w:val="none"/>
              </w:rPr>
            </w:pPr>
            <w:r>
              <w:rPr>
                <w:rFonts w:hint="eastAsia"/>
                <w:color w:val="auto"/>
                <w:highlight w:val="none"/>
              </w:rPr>
              <w:t>6.课程回放：课程结束后自动生成直播回放，报名课程的学生可反复学习；回放课程自动保存在云端，支持人工删除。（投标文件中须提供国家认可的第三方检测机构出具的检测报告复印件）</w:t>
            </w:r>
          </w:p>
          <w:p>
            <w:pPr>
              <w:keepNext w:val="0"/>
              <w:keepLines w:val="0"/>
              <w:widowControl/>
              <w:suppressLineNumbers w:val="0"/>
              <w:jc w:val="left"/>
              <w:textAlignment w:val="center"/>
              <w:rPr>
                <w:rFonts w:hint="eastAsia"/>
                <w:color w:val="auto"/>
                <w:highlight w:val="none"/>
              </w:rPr>
            </w:pPr>
          </w:p>
          <w:p>
            <w:pPr>
              <w:keepNext w:val="0"/>
              <w:keepLines w:val="0"/>
              <w:widowControl/>
              <w:suppressLineNumbers w:val="0"/>
              <w:jc w:val="left"/>
              <w:textAlignment w:val="center"/>
              <w:rPr>
                <w:rFonts w:hint="eastAsia"/>
                <w:color w:val="auto"/>
                <w:highlight w:val="none"/>
              </w:rPr>
            </w:pPr>
            <w:r>
              <w:rPr>
                <w:rFonts w:hint="eastAsia"/>
                <w:color w:val="auto"/>
                <w:highlight w:val="none"/>
              </w:rPr>
              <w:t>7.发起集备：支持选择教案、课件、胶囊资源上传发起集备研讨，支持设置多重访问权限，通过手机号搜索即可邀请外校老师，可用于跨校教研场景。</w:t>
            </w:r>
          </w:p>
          <w:p>
            <w:pPr>
              <w:keepNext w:val="0"/>
              <w:keepLines w:val="0"/>
              <w:widowControl/>
              <w:suppressLineNumbers w:val="0"/>
              <w:jc w:val="left"/>
              <w:textAlignment w:val="center"/>
              <w:rPr>
                <w:rFonts w:hint="eastAsia"/>
                <w:color w:val="auto"/>
                <w:highlight w:val="none"/>
              </w:rPr>
            </w:pPr>
            <w:r>
              <w:rPr>
                <w:rFonts w:hint="eastAsia"/>
                <w:color w:val="auto"/>
                <w:highlight w:val="none"/>
              </w:rPr>
              <w:t>8.听课评课数据详情：全校听评课数据统一汇总，数据包含全校本月评课节数，本月评课次数，累计评课节数和累计评课次数，了解听评课教研活动的开展情况。支持按评课人数/评课平均分查看全校排行详细数据。（投标文件中须提供国家认可的第三方检测机构出具的检测报告复印件）</w:t>
            </w:r>
          </w:p>
          <w:p>
            <w:pPr>
              <w:keepNext w:val="0"/>
              <w:keepLines w:val="0"/>
              <w:widowControl/>
              <w:suppressLineNumbers w:val="0"/>
              <w:jc w:val="left"/>
              <w:textAlignment w:val="center"/>
              <w:rPr>
                <w:rFonts w:hint="eastAsia"/>
                <w:color w:val="auto"/>
                <w:highlight w:val="none"/>
              </w:rPr>
            </w:pPr>
            <w:r>
              <w:rPr>
                <w:rFonts w:hint="eastAsia"/>
                <w:color w:val="auto"/>
                <w:highlight w:val="none"/>
              </w:rPr>
              <w:t>12）应用软件</w:t>
            </w:r>
          </w:p>
          <w:p>
            <w:pPr>
              <w:keepNext w:val="0"/>
              <w:keepLines w:val="0"/>
              <w:widowControl/>
              <w:suppressLineNumbers w:val="0"/>
              <w:jc w:val="left"/>
              <w:textAlignment w:val="center"/>
              <w:rPr>
                <w:rFonts w:hint="eastAsia"/>
                <w:color w:val="auto"/>
                <w:highlight w:val="none"/>
              </w:rPr>
            </w:pPr>
            <w:r>
              <w:rPr>
                <w:rFonts w:hint="eastAsia"/>
                <w:color w:val="auto"/>
                <w:highlight w:val="none"/>
              </w:rPr>
              <w:t>1.登录方式多样性：支持帐号/密码和手机微信扫码两种登录方式。用户首次登录时绑定微信ID与帐号的对应关系，绑定后可通过微信扫码登录，无需再次输入帐号/密码。</w:t>
            </w:r>
          </w:p>
          <w:p>
            <w:pPr>
              <w:keepNext w:val="0"/>
              <w:keepLines w:val="0"/>
              <w:widowControl/>
              <w:suppressLineNumbers w:val="0"/>
              <w:jc w:val="left"/>
              <w:textAlignment w:val="center"/>
              <w:rPr>
                <w:rFonts w:hint="eastAsia"/>
                <w:color w:val="auto"/>
                <w:highlight w:val="none"/>
              </w:rPr>
            </w:pPr>
            <w:r>
              <w:rPr>
                <w:rFonts w:hint="eastAsia"/>
                <w:color w:val="auto"/>
                <w:highlight w:val="none"/>
              </w:rPr>
              <w:t>2.终端关联设备：设备通过微信扫码可绑定学校的设备管理系统，能设置当前设备类型与归属用户。</w:t>
            </w:r>
          </w:p>
          <w:p>
            <w:pPr>
              <w:keepNext w:val="0"/>
              <w:keepLines w:val="0"/>
              <w:widowControl/>
              <w:suppressLineNumbers w:val="0"/>
              <w:jc w:val="left"/>
              <w:textAlignment w:val="center"/>
              <w:rPr>
                <w:rFonts w:hint="eastAsia"/>
                <w:color w:val="auto"/>
                <w:highlight w:val="none"/>
              </w:rPr>
            </w:pPr>
            <w:r>
              <w:rPr>
                <w:rFonts w:hint="eastAsia"/>
                <w:color w:val="auto"/>
                <w:highlight w:val="none"/>
              </w:rPr>
              <w:t>3.设备详情：能查看当前设备的硬件信息和和系统信息。可查看的硬件信息包CPU、主板、显卡、硬盘、显示器、网卡、声卡。可查看的系统信息包括操作系统、系统激活状态、连接ID、SN号、MAC地址、内外网IP。</w:t>
            </w:r>
          </w:p>
          <w:p>
            <w:pPr>
              <w:keepNext w:val="0"/>
              <w:keepLines w:val="0"/>
              <w:widowControl/>
              <w:suppressLineNumbers w:val="0"/>
              <w:jc w:val="left"/>
              <w:textAlignment w:val="center"/>
              <w:rPr>
                <w:rFonts w:hint="eastAsia"/>
                <w:color w:val="auto"/>
                <w:highlight w:val="none"/>
              </w:rPr>
            </w:pPr>
            <w:r>
              <w:rPr>
                <w:rFonts w:hint="eastAsia"/>
                <w:color w:val="auto"/>
                <w:highlight w:val="none"/>
              </w:rPr>
              <w:t>4.设备运行状态：能查看当前设备的内存、CPU、硬盘、系统盘、网速的实时占用状态信息。</w:t>
            </w:r>
          </w:p>
          <w:p>
            <w:pPr>
              <w:keepNext w:val="0"/>
              <w:keepLines w:val="0"/>
              <w:widowControl/>
              <w:suppressLineNumbers w:val="0"/>
              <w:jc w:val="left"/>
              <w:textAlignment w:val="center"/>
              <w:rPr>
                <w:rFonts w:hint="eastAsia"/>
                <w:color w:val="auto"/>
                <w:highlight w:val="none"/>
              </w:rPr>
            </w:pPr>
            <w:r>
              <w:rPr>
                <w:rFonts w:hint="eastAsia"/>
                <w:color w:val="auto"/>
                <w:highlight w:val="none"/>
              </w:rPr>
              <w:t>5.整体描述：发送端软件发送文件至接收端软件。</w:t>
            </w:r>
          </w:p>
          <w:p>
            <w:pPr>
              <w:keepNext w:val="0"/>
              <w:keepLines w:val="0"/>
              <w:widowControl/>
              <w:suppressLineNumbers w:val="0"/>
              <w:jc w:val="left"/>
              <w:textAlignment w:val="center"/>
              <w:rPr>
                <w:rFonts w:hint="eastAsia"/>
                <w:color w:val="auto"/>
                <w:highlight w:val="none"/>
              </w:rPr>
            </w:pPr>
            <w:r>
              <w:rPr>
                <w:rFonts w:hint="eastAsia"/>
                <w:color w:val="auto"/>
                <w:highlight w:val="none"/>
              </w:rPr>
              <w:t>6.文件条件：支持一次发送多个文件；可发送图片、视频、文档等类型的文件。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7.文件发送：可以从不同的文件夹拖动或选择文件至发送区；能查看待发送的文件列表，并可移除选择错误的文件。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8.快捷发送：支持拖动文件至发送区进行文件发送。</w:t>
            </w:r>
          </w:p>
          <w:p>
            <w:pPr>
              <w:keepNext w:val="0"/>
              <w:keepLines w:val="0"/>
              <w:widowControl/>
              <w:suppressLineNumbers w:val="0"/>
              <w:jc w:val="left"/>
              <w:textAlignment w:val="center"/>
              <w:rPr>
                <w:rFonts w:hint="eastAsia"/>
                <w:color w:val="auto"/>
                <w:highlight w:val="none"/>
              </w:rPr>
            </w:pPr>
            <w:r>
              <w:rPr>
                <w:rFonts w:hint="eastAsia"/>
                <w:color w:val="auto"/>
                <w:highlight w:val="none"/>
              </w:rPr>
              <w:t>9.离线暂存：支持一次发送文件给多个接收端设备。接收端离线时文件能够暂存在云端，接收端设备在线后可进行自动下载。</w:t>
            </w:r>
          </w:p>
          <w:p>
            <w:pPr>
              <w:keepNext w:val="0"/>
              <w:keepLines w:val="0"/>
              <w:widowControl/>
              <w:suppressLineNumbers w:val="0"/>
              <w:jc w:val="left"/>
              <w:textAlignment w:val="center"/>
              <w:rPr>
                <w:rFonts w:hint="eastAsia"/>
                <w:color w:val="auto"/>
                <w:highlight w:val="none"/>
              </w:rPr>
            </w:pPr>
            <w:r>
              <w:rPr>
                <w:rFonts w:hint="eastAsia"/>
                <w:color w:val="auto"/>
                <w:highlight w:val="none"/>
              </w:rPr>
              <w:t>10.其他：支持查看发送进度；</w:t>
            </w:r>
          </w:p>
          <w:p>
            <w:pPr>
              <w:keepNext w:val="0"/>
              <w:keepLines w:val="0"/>
              <w:widowControl/>
              <w:suppressLineNumbers w:val="0"/>
              <w:jc w:val="left"/>
              <w:textAlignment w:val="center"/>
              <w:rPr>
                <w:rFonts w:hint="eastAsia"/>
                <w:color w:val="auto"/>
                <w:highlight w:val="none"/>
              </w:rPr>
            </w:pPr>
            <w:r>
              <w:rPr>
                <w:rFonts w:hint="eastAsia"/>
                <w:color w:val="auto"/>
                <w:highlight w:val="none"/>
              </w:rPr>
              <w:t>11.个性接收夹：在接收端设备上能够创建自己独立的文件接收夹。可个性化定义文件的名称与图标颜色；接收到新文件时有提示新文件；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12.文件列表：支接收端设备可查看当前已接收的文件列表，包括文件名称、接收时间、接收状态信息；可直接打开已下载的文件，能手动下载未下载或下载失败的文件；支持查看单个文件下载进度与总进度。</w:t>
            </w:r>
          </w:p>
          <w:p>
            <w:pPr>
              <w:keepNext w:val="0"/>
              <w:keepLines w:val="0"/>
              <w:widowControl/>
              <w:suppressLineNumbers w:val="0"/>
              <w:jc w:val="left"/>
              <w:textAlignment w:val="center"/>
              <w:rPr>
                <w:rFonts w:hint="eastAsia"/>
                <w:color w:val="auto"/>
                <w:highlight w:val="none"/>
              </w:rPr>
            </w:pPr>
            <w:r>
              <w:rPr>
                <w:rFonts w:hint="eastAsia"/>
                <w:color w:val="auto"/>
                <w:highlight w:val="none"/>
              </w:rPr>
              <w:t>13.自动下载：支持接收端设备在线状态下可自动接收发送端设备发送的文件。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14.自动清理：支持自动清理超过14天的文件。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15.状态查看：支持展示电脑实时的数据信息，包括CPU、内存、系统盘、总存储、实时网速数据信息，离线的设备展示最后的数据信息。</w:t>
            </w:r>
          </w:p>
          <w:p>
            <w:pPr>
              <w:keepNext w:val="0"/>
              <w:keepLines w:val="0"/>
              <w:widowControl/>
              <w:suppressLineNumbers w:val="0"/>
              <w:jc w:val="left"/>
              <w:textAlignment w:val="center"/>
              <w:rPr>
                <w:rFonts w:hint="eastAsia"/>
                <w:color w:val="auto"/>
                <w:highlight w:val="none"/>
              </w:rPr>
            </w:pPr>
            <w:r>
              <w:rPr>
                <w:rFonts w:hint="eastAsia"/>
                <w:color w:val="auto"/>
                <w:highlight w:val="none"/>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pPr>
              <w:keepNext w:val="0"/>
              <w:keepLines w:val="0"/>
              <w:widowControl/>
              <w:suppressLineNumbers w:val="0"/>
              <w:jc w:val="left"/>
              <w:textAlignment w:val="center"/>
              <w:rPr>
                <w:rFonts w:hint="eastAsia"/>
                <w:color w:val="auto"/>
                <w:highlight w:val="none"/>
              </w:rPr>
            </w:pPr>
            <w:r>
              <w:rPr>
                <w:rFonts w:hint="eastAsia"/>
                <w:color w:val="auto"/>
                <w:highlight w:val="none"/>
              </w:rPr>
              <w:t>17.编辑：用户可在任意路径节点创建文件夹，并且可以自定义文件夹名称；用户可以对上传的文件和文件夹进行重命名；支持用户对文件和文件夹进行移动和批量移动；支持用户删除文件和文件夹。</w:t>
            </w:r>
          </w:p>
          <w:p>
            <w:pPr>
              <w:keepNext w:val="0"/>
              <w:keepLines w:val="0"/>
              <w:widowControl/>
              <w:suppressLineNumbers w:val="0"/>
              <w:jc w:val="left"/>
              <w:textAlignment w:val="center"/>
              <w:rPr>
                <w:rFonts w:hint="eastAsia"/>
                <w:color w:val="auto"/>
                <w:highlight w:val="none"/>
              </w:rPr>
            </w:pPr>
            <w:r>
              <w:rPr>
                <w:rFonts w:hint="eastAsia"/>
                <w:color w:val="auto"/>
                <w:highlight w:val="none"/>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19.预览：能够在线预览图片、音视频、文档；支持预览的格式，包括，图片：BMP、GIF、JPE、JPEG、JPG、PNG；音频：WAV、MP3、OGG；视频：3GP、F4V、M4V、MKV、MP4、OGV、MOV；文档：DOC、DOCX、PDF、PPT、XLS、XLSX。</w:t>
            </w:r>
          </w:p>
          <w:p>
            <w:pPr>
              <w:keepNext w:val="0"/>
              <w:keepLines w:val="0"/>
              <w:widowControl/>
              <w:suppressLineNumbers w:val="0"/>
              <w:jc w:val="left"/>
              <w:textAlignment w:val="center"/>
              <w:rPr>
                <w:rFonts w:hint="eastAsia"/>
                <w:color w:val="auto"/>
                <w:highlight w:val="none"/>
              </w:rPr>
            </w:pPr>
            <w:r>
              <w:rPr>
                <w:rFonts w:hint="eastAsia"/>
                <w:color w:val="auto"/>
                <w:highlight w:val="none"/>
              </w:rPr>
              <w:t>20.发送到班级：用户可在资料夹中把多个文件发送至接收端软件中，发送的文件不限格式，接收端软件自动下载该文件。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pPr>
              <w:keepNext w:val="0"/>
              <w:keepLines w:val="0"/>
              <w:widowControl/>
              <w:suppressLineNumbers w:val="0"/>
              <w:jc w:val="left"/>
              <w:textAlignment w:val="center"/>
              <w:rPr>
                <w:rFonts w:hint="eastAsia"/>
                <w:color w:val="auto"/>
                <w:highlight w:val="none"/>
              </w:rPr>
            </w:pPr>
            <w:r>
              <w:rPr>
                <w:rFonts w:hint="eastAsia"/>
                <w:color w:val="auto"/>
                <w:highlight w:val="none"/>
              </w:rPr>
              <w:t>22.最近使用课件：助手栏展示最近使用的前3条课件，点击课件支持在发送端软件内打开和编辑。</w:t>
            </w:r>
          </w:p>
          <w:p>
            <w:pPr>
              <w:keepNext w:val="0"/>
              <w:keepLines w:val="0"/>
              <w:widowControl/>
              <w:suppressLineNumbers w:val="0"/>
              <w:jc w:val="left"/>
              <w:textAlignment w:val="center"/>
              <w:rPr>
                <w:rFonts w:hint="eastAsia"/>
                <w:color w:val="auto"/>
                <w:highlight w:val="none"/>
              </w:rPr>
            </w:pPr>
            <w:r>
              <w:rPr>
                <w:rFonts w:hint="eastAsia"/>
                <w:color w:val="auto"/>
                <w:highlight w:val="none"/>
              </w:rPr>
              <w:t>23.编辑：用户可自定义助手栏展示的内容，根据自己的需求能对内容进行移除、添加、移动位置，变更后数据会跟随当前登陆的账号，登录另一台电脑时会同步当前编辑的结果。</w:t>
            </w:r>
          </w:p>
          <w:p>
            <w:pPr>
              <w:keepNext w:val="0"/>
              <w:keepLines w:val="0"/>
              <w:widowControl/>
              <w:suppressLineNumbers w:val="0"/>
              <w:jc w:val="left"/>
              <w:textAlignment w:val="center"/>
              <w:rPr>
                <w:rFonts w:hint="eastAsia"/>
                <w:color w:val="auto"/>
                <w:highlight w:val="none"/>
              </w:rPr>
            </w:pPr>
            <w:r>
              <w:rPr>
                <w:rFonts w:hint="eastAsia"/>
                <w:color w:val="auto"/>
                <w:highlight w:val="none"/>
              </w:rPr>
              <w:t>24.网站：支持用户主动添加网址，添加的网站会呈现在助手栏中，点击即可在发送端软件打开。</w:t>
            </w:r>
          </w:p>
          <w:p>
            <w:pPr>
              <w:keepNext w:val="0"/>
              <w:keepLines w:val="0"/>
              <w:widowControl/>
              <w:suppressLineNumbers w:val="0"/>
              <w:jc w:val="left"/>
              <w:textAlignment w:val="center"/>
              <w:rPr>
                <w:rFonts w:hint="eastAsia"/>
                <w:color w:val="auto"/>
                <w:highlight w:val="none"/>
              </w:rPr>
            </w:pPr>
            <w:r>
              <w:rPr>
                <w:rFonts w:hint="eastAsia"/>
                <w:color w:val="auto"/>
                <w:highlight w:val="none"/>
              </w:rPr>
              <w:t>25.移动：用户能拖动助手栏到屏幕的任意位置，当用户拖动助手栏靠近屏幕边缘时会自动收到侧边；鼠标悬浮在侧边的时候，会弹出该助手栏，再次拖动助手栏会取消收起。</w:t>
            </w:r>
          </w:p>
          <w:p>
            <w:pPr>
              <w:keepNext w:val="0"/>
              <w:keepLines w:val="0"/>
              <w:widowControl/>
              <w:suppressLineNumbers w:val="0"/>
              <w:jc w:val="left"/>
              <w:textAlignment w:val="center"/>
              <w:rPr>
                <w:rFonts w:hint="eastAsia"/>
                <w:color w:val="auto"/>
                <w:highlight w:val="none"/>
              </w:rPr>
            </w:pPr>
            <w:r>
              <w:rPr>
                <w:rFonts w:hint="eastAsia"/>
                <w:color w:val="auto"/>
                <w:highlight w:val="none"/>
              </w:rPr>
              <w:t>26.对话式生成：根据输入的文字生成文本，并通过类人类对话的形式表达，还支持根据上下文进行多轮连续对话。</w:t>
            </w:r>
          </w:p>
          <w:p>
            <w:pPr>
              <w:keepNext w:val="0"/>
              <w:keepLines w:val="0"/>
              <w:widowControl/>
              <w:suppressLineNumbers w:val="0"/>
              <w:jc w:val="left"/>
              <w:textAlignment w:val="center"/>
              <w:rPr>
                <w:rFonts w:hint="eastAsia"/>
                <w:color w:val="auto"/>
                <w:highlight w:val="none"/>
              </w:rPr>
            </w:pPr>
            <w:r>
              <w:rPr>
                <w:rFonts w:hint="eastAsia"/>
                <w:color w:val="auto"/>
                <w:highlight w:val="none"/>
              </w:rPr>
              <w:t>27.写作：支持输入主题一键生成活动感想、发言稿、活动策划；支持选择生成的文字数量。（</w:t>
            </w:r>
            <w:r>
              <w:rPr>
                <w:rFonts w:hint="eastAsia"/>
                <w:color w:val="auto"/>
                <w:highlight w:val="none"/>
                <w:lang w:eastAsia="zh-CN"/>
              </w:rPr>
              <w:t>投标文件中须提供</w:t>
            </w:r>
            <w:r>
              <w:rPr>
                <w:rFonts w:hint="eastAsia"/>
                <w:color w:val="auto"/>
                <w:highlight w:val="none"/>
              </w:rPr>
              <w:t>国家认可的第三方检测机构出具的关于该功能检测报告复印件）</w:t>
            </w:r>
          </w:p>
          <w:p>
            <w:pPr>
              <w:keepNext w:val="0"/>
              <w:keepLines w:val="0"/>
              <w:widowControl/>
              <w:suppressLineNumbers w:val="0"/>
              <w:jc w:val="left"/>
              <w:textAlignment w:val="center"/>
              <w:rPr>
                <w:rFonts w:hint="eastAsia"/>
                <w:color w:val="auto"/>
                <w:highlight w:val="none"/>
              </w:rPr>
            </w:pPr>
            <w:r>
              <w:rPr>
                <w:rFonts w:hint="eastAsia"/>
                <w:color w:val="auto"/>
                <w:highlight w:val="none"/>
              </w:rPr>
              <w:t>28.评价：支持根据输入的学生姓名与评价维度生成评语。</w:t>
            </w:r>
          </w:p>
          <w:p>
            <w:pPr>
              <w:keepNext w:val="0"/>
              <w:keepLines w:val="0"/>
              <w:widowControl/>
              <w:suppressLineNumbers w:val="0"/>
              <w:jc w:val="left"/>
              <w:textAlignment w:val="center"/>
              <w:rPr>
                <w:rFonts w:hint="eastAsia"/>
                <w:color w:val="auto"/>
                <w:highlight w:val="none"/>
              </w:rPr>
            </w:pPr>
            <w:r>
              <w:rPr>
                <w:rFonts w:hint="eastAsia"/>
                <w:color w:val="auto"/>
                <w:highlight w:val="none"/>
              </w:rPr>
              <w:t>29.提示词：支持进入百宝箱后默认展示3条提示词，一键问询AI问题。</w:t>
            </w:r>
          </w:p>
          <w:p>
            <w:pPr>
              <w:keepNext w:val="0"/>
              <w:keepLines w:val="0"/>
              <w:widowControl/>
              <w:suppressLineNumbers w:val="0"/>
              <w:jc w:val="left"/>
              <w:textAlignment w:val="center"/>
              <w:rPr>
                <w:rFonts w:hint="eastAsia"/>
                <w:color w:val="auto"/>
                <w:highlight w:val="none"/>
              </w:rPr>
            </w:pPr>
            <w:r>
              <w:rPr>
                <w:rFonts w:hint="eastAsia"/>
                <w:color w:val="auto"/>
                <w:highlight w:val="none"/>
              </w:rPr>
              <w:t>30.生成编辑：支持对AI生成的内容复制或重新生成。</w:t>
            </w:r>
          </w:p>
          <w:p>
            <w:pPr>
              <w:keepNext w:val="0"/>
              <w:keepLines w:val="0"/>
              <w:widowControl/>
              <w:suppressLineNumbers w:val="0"/>
              <w:jc w:val="left"/>
              <w:textAlignment w:val="center"/>
              <w:rPr>
                <w:rFonts w:hint="eastAsia"/>
                <w:color w:val="auto"/>
                <w:highlight w:val="none"/>
              </w:rPr>
            </w:pPr>
            <w:r>
              <w:rPr>
                <w:rFonts w:hint="eastAsia"/>
                <w:color w:val="auto"/>
                <w:highlight w:val="none"/>
              </w:rPr>
              <w:t>31.批量生成：支持批量生成学生的奖状，并可对奖状内容、奖励称号、颁奖人/单位、颁发日期、印章内容进行自定义编辑；支持选择生成的奖状模板。（</w:t>
            </w:r>
            <w:r>
              <w:rPr>
                <w:rFonts w:hint="eastAsia"/>
                <w:color w:val="auto"/>
                <w:highlight w:val="none"/>
                <w:lang w:eastAsia="zh-CN"/>
              </w:rPr>
              <w:t>投标文件中须提供</w:t>
            </w:r>
            <w:r>
              <w:rPr>
                <w:rFonts w:hint="eastAsia"/>
                <w:color w:val="auto"/>
                <w:highlight w:val="none"/>
              </w:rPr>
              <w:t>国家认可的第三方检测机构出具的关于该功能检测报告复印件）</w:t>
            </w:r>
          </w:p>
          <w:p>
            <w:pPr>
              <w:keepNext w:val="0"/>
              <w:keepLines w:val="0"/>
              <w:widowControl/>
              <w:suppressLineNumbers w:val="0"/>
              <w:jc w:val="left"/>
              <w:textAlignment w:val="center"/>
              <w:rPr>
                <w:rFonts w:hint="eastAsia"/>
                <w:color w:val="auto"/>
                <w:highlight w:val="none"/>
              </w:rPr>
            </w:pPr>
            <w:r>
              <w:rPr>
                <w:rFonts w:hint="eastAsia"/>
                <w:color w:val="auto"/>
                <w:highlight w:val="none"/>
              </w:rPr>
              <w:t>32.下载：支持将生成的奖状一键下载到本地。</w:t>
            </w:r>
          </w:p>
          <w:p>
            <w:pPr>
              <w:keepNext w:val="0"/>
              <w:keepLines w:val="0"/>
              <w:widowControl/>
              <w:suppressLineNumbers w:val="0"/>
              <w:jc w:val="left"/>
              <w:textAlignment w:val="center"/>
              <w:rPr>
                <w:rFonts w:hint="eastAsia"/>
                <w:color w:val="auto"/>
                <w:highlight w:val="none"/>
              </w:rPr>
            </w:pPr>
            <w:r>
              <w:rPr>
                <w:rFonts w:hint="eastAsia"/>
                <w:color w:val="auto"/>
                <w:highlight w:val="none"/>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pPr>
              <w:keepNext w:val="0"/>
              <w:keepLines w:val="0"/>
              <w:widowControl/>
              <w:suppressLineNumbers w:val="0"/>
              <w:jc w:val="left"/>
              <w:textAlignment w:val="center"/>
              <w:rPr>
                <w:rFonts w:hint="eastAsia"/>
                <w:color w:val="auto"/>
                <w:highlight w:val="none"/>
              </w:rPr>
            </w:pPr>
            <w:r>
              <w:rPr>
                <w:rFonts w:hint="eastAsia"/>
                <w:color w:val="auto"/>
                <w:highlight w:val="none"/>
              </w:rPr>
              <w:t>34.录屏：支持对全屏/区域的屏幕内容、电脑的声音、麦克风声音、摄像头内容进行录制；支持切换录制的分辨率。</w:t>
            </w:r>
          </w:p>
          <w:p>
            <w:pPr>
              <w:keepNext w:val="0"/>
              <w:keepLines w:val="0"/>
              <w:widowControl/>
              <w:suppressLineNumbers w:val="0"/>
              <w:jc w:val="left"/>
              <w:textAlignment w:val="center"/>
              <w:rPr>
                <w:rFonts w:hint="eastAsia"/>
                <w:color w:val="auto"/>
                <w:highlight w:val="none"/>
              </w:rPr>
            </w:pPr>
            <w:r>
              <w:rPr>
                <w:rFonts w:hint="eastAsia"/>
                <w:color w:val="auto"/>
                <w:highlight w:val="none"/>
              </w:rPr>
              <w:t>35.录制中：支持录制过程中进行画笔标注与擦除；支持中途暂停录制和继续录制。</w:t>
            </w:r>
          </w:p>
          <w:p>
            <w:pPr>
              <w:keepNext w:val="0"/>
              <w:keepLines w:val="0"/>
              <w:widowControl/>
              <w:suppressLineNumbers w:val="0"/>
              <w:jc w:val="left"/>
              <w:textAlignment w:val="center"/>
              <w:rPr>
                <w:rFonts w:hint="eastAsia"/>
                <w:color w:val="auto"/>
                <w:highlight w:val="none"/>
              </w:rPr>
            </w:pPr>
            <w:r>
              <w:rPr>
                <w:rFonts w:hint="eastAsia"/>
                <w:color w:val="auto"/>
                <w:highlight w:val="none"/>
              </w:rPr>
              <w:t>36.录制结束：支持录制结束后进行文字快剪、视频编辑。</w:t>
            </w:r>
          </w:p>
          <w:p>
            <w:pPr>
              <w:keepNext w:val="0"/>
              <w:keepLines w:val="0"/>
              <w:widowControl/>
              <w:suppressLineNumbers w:val="0"/>
              <w:jc w:val="left"/>
              <w:textAlignment w:val="center"/>
              <w:rPr>
                <w:rFonts w:hint="eastAsia"/>
                <w:color w:val="auto"/>
                <w:highlight w:val="none"/>
              </w:rPr>
            </w:pPr>
            <w:r>
              <w:rPr>
                <w:rFonts w:hint="eastAsia"/>
                <w:color w:val="auto"/>
                <w:highlight w:val="none"/>
              </w:rPr>
              <w:t>37.传屏：支持把发送端设备的屏幕同步到班班通设备；传屏成功后支持在班班通设备反向触控发送端设备。</w:t>
            </w:r>
          </w:p>
          <w:p>
            <w:pPr>
              <w:keepNext w:val="0"/>
              <w:keepLines w:val="0"/>
              <w:widowControl/>
              <w:suppressLineNumbers w:val="0"/>
              <w:jc w:val="left"/>
              <w:textAlignment w:val="center"/>
              <w:rPr>
                <w:rFonts w:hint="eastAsia"/>
                <w:color w:val="auto"/>
                <w:highlight w:val="none"/>
              </w:rPr>
            </w:pPr>
            <w:r>
              <w:rPr>
                <w:rFonts w:hint="eastAsia"/>
                <w:color w:val="auto"/>
                <w:highlight w:val="none"/>
              </w:rPr>
              <w:t>38.设备连接：支持通过连接码的方式与班班通设备建立传屏关系；支持自动发现附近的班班通设备，一键连接班班通设备。</w:t>
            </w:r>
          </w:p>
          <w:p>
            <w:pPr>
              <w:keepNext w:val="0"/>
              <w:keepLines w:val="0"/>
              <w:widowControl/>
              <w:suppressLineNumbers w:val="0"/>
              <w:jc w:val="left"/>
              <w:textAlignment w:val="center"/>
              <w:rPr>
                <w:rFonts w:hint="eastAsia"/>
                <w:color w:val="auto"/>
                <w:highlight w:val="none"/>
              </w:rPr>
            </w:pPr>
            <w:r>
              <w:rPr>
                <w:rFonts w:hint="eastAsia"/>
                <w:color w:val="auto"/>
                <w:highlight w:val="none"/>
              </w:rPr>
              <w:t>39.指令下发：支持对单个电脑或批量设备下发关机与重启指令、移动分组、移除设备。</w:t>
            </w:r>
          </w:p>
          <w:p>
            <w:pPr>
              <w:keepNext w:val="0"/>
              <w:keepLines w:val="0"/>
              <w:widowControl/>
              <w:suppressLineNumbers w:val="0"/>
              <w:jc w:val="left"/>
              <w:textAlignment w:val="center"/>
              <w:rPr>
                <w:rFonts w:hint="eastAsia"/>
                <w:color w:val="auto"/>
                <w:highlight w:val="none"/>
              </w:rPr>
            </w:pPr>
            <w:r>
              <w:rPr>
                <w:rFonts w:hint="eastAsia"/>
                <w:color w:val="auto"/>
                <w:highlight w:val="none"/>
              </w:rPr>
              <w:t>40.PDF格式转化：支持在线对PDF的文件进行转换格式，转换为XLSX、DOCX、PPT;转换后文件内容的排布与源PDF保持基本一致；支持对转换后的文件进行编辑，包括(编辑文本、编辑表格、编辑图片.;转换后支持下载文件至电脑本地。（</w:t>
            </w:r>
            <w:r>
              <w:rPr>
                <w:rFonts w:hint="eastAsia"/>
                <w:color w:val="auto"/>
                <w:highlight w:val="none"/>
                <w:lang w:eastAsia="zh-CN"/>
              </w:rPr>
              <w:t>投标文件中须提供</w:t>
            </w:r>
            <w:r>
              <w:rPr>
                <w:rFonts w:hint="eastAsia"/>
                <w:color w:val="auto"/>
                <w:highlight w:val="none"/>
              </w:rPr>
              <w:t>国家认可的第三方检测机构出具的关于该功能检测报告复印件）</w:t>
            </w:r>
          </w:p>
          <w:p>
            <w:pPr>
              <w:keepNext w:val="0"/>
              <w:keepLines w:val="0"/>
              <w:widowControl/>
              <w:suppressLineNumbers w:val="0"/>
              <w:jc w:val="left"/>
              <w:textAlignment w:val="center"/>
              <w:rPr>
                <w:rFonts w:hint="eastAsia"/>
                <w:color w:val="auto"/>
                <w:highlight w:val="none"/>
              </w:rPr>
            </w:pPr>
            <w:r>
              <w:rPr>
                <w:rFonts w:hint="eastAsia"/>
                <w:color w:val="auto"/>
                <w:highlight w:val="none"/>
              </w:rPr>
              <w:t>41.图片转格式：支持对图片进行在线转换格式，图片原始格式为bmp、jpg、jpeg、png、tif、webp、heic;转换为jpg、png;转换后支持下载图片到电脑本地。（</w:t>
            </w:r>
            <w:r>
              <w:rPr>
                <w:rFonts w:hint="eastAsia"/>
                <w:color w:val="auto"/>
                <w:highlight w:val="none"/>
                <w:lang w:eastAsia="zh-CN"/>
              </w:rPr>
              <w:t>投标文件中须提供</w:t>
            </w:r>
            <w:r>
              <w:rPr>
                <w:rFonts w:hint="eastAsia"/>
                <w:color w:val="auto"/>
                <w:highlight w:val="none"/>
              </w:rPr>
              <w:t>国家认可的第三方检测机构出具的关于该功能检测报告复印件）</w:t>
            </w:r>
          </w:p>
          <w:p>
            <w:pPr>
              <w:keepNext w:val="0"/>
              <w:keepLines w:val="0"/>
              <w:widowControl/>
              <w:suppressLineNumbers w:val="0"/>
              <w:jc w:val="left"/>
              <w:textAlignment w:val="center"/>
              <w:rPr>
                <w:rFonts w:hint="eastAsia"/>
                <w:color w:val="auto"/>
                <w:highlight w:val="none"/>
              </w:rPr>
            </w:pPr>
            <w:r>
              <w:rPr>
                <w:rFonts w:hint="eastAsia"/>
                <w:color w:val="auto"/>
                <w:highlight w:val="none"/>
              </w:rPr>
              <w:t>42.提取文字：支持对图片进行在线文字识别；识别后支持对文字进行复制。</w:t>
            </w:r>
          </w:p>
          <w:p>
            <w:pPr>
              <w:keepNext w:val="0"/>
              <w:keepLines w:val="0"/>
              <w:widowControl/>
              <w:suppressLineNumbers w:val="0"/>
              <w:jc w:val="left"/>
              <w:textAlignment w:val="center"/>
              <w:rPr>
                <w:rFonts w:hint="eastAsia"/>
                <w:color w:val="auto"/>
                <w:highlight w:val="none"/>
              </w:rPr>
            </w:pPr>
            <w:r>
              <w:rPr>
                <w:rFonts w:hint="eastAsia"/>
                <w:color w:val="auto"/>
                <w:highlight w:val="none"/>
              </w:rPr>
              <w:t>43.文字快剪：支持提取视频的声音并转换成文字，自动识别出语气词，用户可选择删除，支持手动删除文字从而达到剪辑的目的。（</w:t>
            </w:r>
            <w:r>
              <w:rPr>
                <w:rFonts w:hint="eastAsia"/>
                <w:color w:val="auto"/>
                <w:highlight w:val="none"/>
                <w:lang w:eastAsia="zh-CN"/>
              </w:rPr>
              <w:t>投标文件中须提供</w:t>
            </w:r>
            <w:r>
              <w:rPr>
                <w:rFonts w:hint="eastAsia"/>
                <w:color w:val="auto"/>
                <w:highlight w:val="none"/>
              </w:rPr>
              <w:t>国家认可的第三方检测机构出具的关于该功能检测报告复印件）</w:t>
            </w:r>
          </w:p>
          <w:p>
            <w:pPr>
              <w:keepNext w:val="0"/>
              <w:keepLines w:val="0"/>
              <w:widowControl/>
              <w:suppressLineNumbers w:val="0"/>
              <w:jc w:val="left"/>
              <w:textAlignment w:val="center"/>
              <w:rPr>
                <w:rFonts w:hint="eastAsia"/>
                <w:color w:val="auto"/>
                <w:highlight w:val="none"/>
              </w:rPr>
            </w:pPr>
            <w:r>
              <w:rPr>
                <w:rFonts w:hint="eastAsia"/>
                <w:color w:val="auto"/>
                <w:highlight w:val="none"/>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pPr>
              <w:keepNext w:val="0"/>
              <w:keepLines w:val="0"/>
              <w:widowControl/>
              <w:suppressLineNumbers w:val="0"/>
              <w:jc w:val="left"/>
              <w:textAlignment w:val="center"/>
              <w:rPr>
                <w:rFonts w:hint="eastAsia"/>
                <w:color w:val="auto"/>
                <w:highlight w:val="none"/>
              </w:rPr>
            </w:pPr>
            <w:r>
              <w:rPr>
                <w:rFonts w:hint="eastAsia"/>
                <w:color w:val="auto"/>
                <w:highlight w:val="none"/>
              </w:rPr>
              <w:t>45.退出关联：支持学校管理员可通过手机微信扫描接收端软件的二维码退出学校。退出后普通老师无法在该学校对该设备远程创建接收夹；</w:t>
            </w:r>
          </w:p>
          <w:p>
            <w:pPr>
              <w:keepNext w:val="0"/>
              <w:keepLines w:val="0"/>
              <w:widowControl/>
              <w:suppressLineNumbers w:val="0"/>
              <w:jc w:val="left"/>
              <w:textAlignment w:val="center"/>
              <w:rPr>
                <w:rFonts w:hint="eastAsia"/>
                <w:color w:val="auto"/>
                <w:highlight w:val="none"/>
              </w:rPr>
            </w:pPr>
            <w:r>
              <w:rPr>
                <w:rFonts w:hint="eastAsia"/>
                <w:color w:val="auto"/>
                <w:highlight w:val="none"/>
              </w:rPr>
              <w:t>46.设备管理：支持查看当前学校的电脑列表，包括电脑在线状态、归属用户、操作系统、IP地址、上线时间与最后在线时间；支持对设备进行分组管理；支持通过设备名称与归属用户进行搜索。</w:t>
            </w:r>
          </w:p>
          <w:p>
            <w:pPr>
              <w:keepNext w:val="0"/>
              <w:keepLines w:val="0"/>
              <w:widowControl/>
              <w:suppressLineNumbers w:val="0"/>
              <w:jc w:val="left"/>
              <w:textAlignment w:val="center"/>
              <w:rPr>
                <w:rFonts w:hint="eastAsia"/>
                <w:color w:val="auto"/>
                <w:highlight w:val="none"/>
              </w:rPr>
            </w:pPr>
            <w:r>
              <w:rPr>
                <w:rFonts w:hint="eastAsia"/>
                <w:color w:val="auto"/>
                <w:highlight w:val="none"/>
              </w:rPr>
              <w:t>47.设备信息：支持查看单个电脑的硬件信息与系统信息。</w:t>
            </w:r>
          </w:p>
          <w:p>
            <w:pPr>
              <w:keepNext w:val="0"/>
              <w:keepLines w:val="0"/>
              <w:widowControl/>
              <w:suppressLineNumbers w:val="0"/>
              <w:jc w:val="left"/>
              <w:textAlignment w:val="center"/>
              <w:rPr>
                <w:rFonts w:hint="eastAsia"/>
                <w:color w:val="auto"/>
                <w:highlight w:val="none"/>
              </w:rPr>
            </w:pPr>
          </w:p>
          <w:p>
            <w:pPr>
              <w:keepNext w:val="0"/>
              <w:keepLines w:val="0"/>
              <w:widowControl/>
              <w:suppressLineNumbers w:val="0"/>
              <w:jc w:val="left"/>
              <w:textAlignment w:val="center"/>
              <w:rPr>
                <w:rFonts w:hint="eastAsia"/>
                <w:color w:val="auto"/>
                <w:highlight w:val="none"/>
              </w:rPr>
            </w:pPr>
            <w:r>
              <w:rPr>
                <w:rFonts w:hint="eastAsia"/>
                <w:color w:val="auto"/>
                <w:highlight w:val="none"/>
              </w:rPr>
              <w:t>▲13、服务要求：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1）配置检查工具：供应商提供自检测试工具；</w:t>
            </w:r>
          </w:p>
          <w:p>
            <w:pPr>
              <w:keepNext w:val="0"/>
              <w:keepLines w:val="0"/>
              <w:widowControl/>
              <w:suppressLineNumbers w:val="0"/>
              <w:jc w:val="left"/>
              <w:textAlignment w:val="center"/>
              <w:rPr>
                <w:rFonts w:hint="eastAsia"/>
                <w:color w:val="auto"/>
                <w:highlight w:val="none"/>
              </w:rPr>
            </w:pPr>
            <w:r>
              <w:rPr>
                <w:rFonts w:hint="eastAsia"/>
                <w:color w:val="auto"/>
                <w:highlight w:val="none"/>
              </w:rPr>
              <w:t>2）服务响应：</w:t>
            </w:r>
          </w:p>
          <w:p>
            <w:pPr>
              <w:keepNext w:val="0"/>
              <w:keepLines w:val="0"/>
              <w:widowControl/>
              <w:suppressLineNumbers w:val="0"/>
              <w:jc w:val="left"/>
              <w:textAlignment w:val="center"/>
              <w:rPr>
                <w:rFonts w:hint="eastAsia"/>
                <w:color w:val="auto"/>
                <w:highlight w:val="none"/>
              </w:rPr>
            </w:pPr>
            <w:r>
              <w:rPr>
                <w:rFonts w:hint="eastAsia"/>
                <w:color w:val="auto"/>
                <w:highlight w:val="none"/>
              </w:rPr>
              <w:t>a)供应商提供电话、电子邮件、远程连接等多种形式服务；</w:t>
            </w:r>
          </w:p>
          <w:p>
            <w:pPr>
              <w:keepNext w:val="0"/>
              <w:keepLines w:val="0"/>
              <w:widowControl/>
              <w:suppressLineNumbers w:val="0"/>
              <w:jc w:val="left"/>
              <w:textAlignment w:val="center"/>
              <w:rPr>
                <w:rFonts w:hint="eastAsia"/>
                <w:color w:val="auto"/>
                <w:highlight w:val="none"/>
              </w:rPr>
            </w:pPr>
            <w:r>
              <w:rPr>
                <w:rFonts w:hint="eastAsia"/>
                <w:color w:val="auto"/>
                <w:highlight w:val="none"/>
              </w:rPr>
              <w:t>b)供应商提供同城4小时、异地12小时技术响应服务，2个工作日解决问题，对于未能解决的问题和故障应提供可行的升级方案，并提供周转设备或更换设备；</w:t>
            </w:r>
          </w:p>
          <w:p>
            <w:pPr>
              <w:keepNext w:val="0"/>
              <w:keepLines w:val="0"/>
              <w:widowControl/>
              <w:suppressLineNumbers w:val="0"/>
              <w:jc w:val="left"/>
              <w:textAlignment w:val="center"/>
              <w:rPr>
                <w:rFonts w:hint="eastAsia"/>
                <w:color w:val="auto"/>
                <w:highlight w:val="none"/>
              </w:rPr>
            </w:pPr>
            <w:r>
              <w:rPr>
                <w:rFonts w:hint="eastAsia"/>
                <w:color w:val="auto"/>
                <w:highlight w:val="none"/>
              </w:rPr>
              <w:t>c)建立全国技术服务体系和服务团体，符合专业服务体系标准要求，提供原厂中文服务。</w:t>
            </w:r>
          </w:p>
          <w:p>
            <w:pPr>
              <w:keepNext w:val="0"/>
              <w:keepLines w:val="0"/>
              <w:widowControl/>
              <w:suppressLineNumbers w:val="0"/>
              <w:jc w:val="left"/>
              <w:textAlignment w:val="center"/>
              <w:rPr>
                <w:rFonts w:hint="eastAsia"/>
                <w:color w:val="auto"/>
                <w:highlight w:val="none"/>
              </w:rPr>
            </w:pPr>
            <w:r>
              <w:rPr>
                <w:rFonts w:hint="eastAsia"/>
                <w:color w:val="auto"/>
                <w:highlight w:val="none"/>
              </w:rPr>
              <w:t>3）服务周期：</w:t>
            </w:r>
          </w:p>
          <w:p>
            <w:pPr>
              <w:keepNext w:val="0"/>
              <w:keepLines w:val="0"/>
              <w:widowControl/>
              <w:suppressLineNumbers w:val="0"/>
              <w:jc w:val="left"/>
              <w:textAlignment w:val="center"/>
              <w:rPr>
                <w:rFonts w:hint="eastAsia"/>
                <w:color w:val="auto"/>
                <w:highlight w:val="none"/>
              </w:rPr>
            </w:pPr>
            <w:r>
              <w:rPr>
                <w:rFonts w:hint="eastAsia"/>
                <w:color w:val="auto"/>
                <w:highlight w:val="none"/>
              </w:rPr>
              <w:t>a)设备停产后应继续提供质量保障服务（含备品备件）；</w:t>
            </w:r>
          </w:p>
          <w:p>
            <w:pPr>
              <w:keepNext w:val="0"/>
              <w:keepLines w:val="0"/>
              <w:widowControl/>
              <w:suppressLineNumbers w:val="0"/>
              <w:jc w:val="left"/>
              <w:textAlignment w:val="center"/>
              <w:rPr>
                <w:rFonts w:hint="eastAsia"/>
                <w:color w:val="auto"/>
                <w:highlight w:val="none"/>
              </w:rPr>
            </w:pPr>
            <w:r>
              <w:rPr>
                <w:rFonts w:hint="eastAsia"/>
                <w:color w:val="auto"/>
                <w:highlight w:val="none"/>
              </w:rPr>
              <w:t>b)产品停止服务时间应提前 1 年告知；</w:t>
            </w:r>
          </w:p>
          <w:p>
            <w:pPr>
              <w:keepNext w:val="0"/>
              <w:keepLines w:val="0"/>
              <w:widowControl/>
              <w:suppressLineNumbers w:val="0"/>
              <w:jc w:val="left"/>
              <w:textAlignment w:val="center"/>
              <w:rPr>
                <w:rFonts w:hint="eastAsia"/>
                <w:color w:val="auto"/>
                <w:highlight w:val="none"/>
              </w:rPr>
            </w:pPr>
            <w:r>
              <w:rPr>
                <w:rFonts w:hint="eastAsia"/>
                <w:color w:val="auto"/>
                <w:highlight w:val="none"/>
              </w:rPr>
              <w:t>c)应明确产品发布日期；</w:t>
            </w:r>
          </w:p>
          <w:p>
            <w:pPr>
              <w:keepNext w:val="0"/>
              <w:keepLines w:val="0"/>
              <w:widowControl/>
              <w:suppressLineNumbers w:val="0"/>
              <w:jc w:val="left"/>
              <w:textAlignment w:val="center"/>
              <w:rPr>
                <w:rFonts w:hint="eastAsia"/>
                <w:color w:val="auto"/>
                <w:highlight w:val="none"/>
              </w:rPr>
            </w:pPr>
            <w:r>
              <w:rPr>
                <w:rFonts w:hint="eastAsia"/>
                <w:color w:val="auto"/>
                <w:highlight w:val="none"/>
              </w:rPr>
              <w:t>d)服务周期内提供产品的维修、换件和升级服务；</w:t>
            </w:r>
          </w:p>
          <w:p>
            <w:pPr>
              <w:keepNext w:val="0"/>
              <w:keepLines w:val="0"/>
              <w:widowControl/>
              <w:suppressLineNumbers w:val="0"/>
              <w:jc w:val="left"/>
              <w:textAlignment w:val="center"/>
              <w:rPr>
                <w:rFonts w:hint="eastAsia"/>
                <w:color w:val="auto"/>
                <w:highlight w:val="none"/>
              </w:rPr>
            </w:pPr>
            <w:r>
              <w:rPr>
                <w:rFonts w:hint="eastAsia"/>
                <w:color w:val="auto"/>
                <w:highlight w:val="none"/>
              </w:rPr>
              <w:t>4）培训服务：供应商提供培训材料、产品手册、培训视频等培训相关内容；</w:t>
            </w:r>
          </w:p>
          <w:p>
            <w:pPr>
              <w:keepNext w:val="0"/>
              <w:keepLines w:val="0"/>
              <w:widowControl/>
              <w:suppressLineNumbers w:val="0"/>
              <w:jc w:val="left"/>
              <w:textAlignment w:val="center"/>
              <w:rPr>
                <w:rFonts w:hint="eastAsia"/>
                <w:color w:val="auto"/>
                <w:highlight w:val="none"/>
              </w:rPr>
            </w:pPr>
            <w:r>
              <w:rPr>
                <w:rFonts w:hint="eastAsia"/>
                <w:color w:val="auto"/>
                <w:highlight w:val="none"/>
              </w:rPr>
              <w:t>5）典型问题解决手册：供应商提供典型问题解决说明文档或视频；</w:t>
            </w:r>
          </w:p>
          <w:p>
            <w:pPr>
              <w:keepNext w:val="0"/>
              <w:keepLines w:val="0"/>
              <w:widowControl/>
              <w:suppressLineNumbers w:val="0"/>
              <w:jc w:val="left"/>
              <w:textAlignment w:val="center"/>
              <w:rPr>
                <w:rFonts w:hint="eastAsia"/>
                <w:color w:val="auto"/>
                <w:highlight w:val="none"/>
              </w:rPr>
            </w:pPr>
            <w:r>
              <w:rPr>
                <w:rFonts w:hint="eastAsia"/>
                <w:color w:val="auto"/>
                <w:highlight w:val="none"/>
              </w:rPr>
              <w:t>6）厂家升级软件与扩容服务：供应商提供上门升级部件/软件与扩容的增值服务；</w:t>
            </w:r>
          </w:p>
          <w:p>
            <w:pPr>
              <w:keepNext w:val="0"/>
              <w:keepLines w:val="0"/>
              <w:widowControl/>
              <w:suppressLineNumbers w:val="0"/>
              <w:jc w:val="left"/>
              <w:textAlignment w:val="center"/>
              <w:rPr>
                <w:rFonts w:hint="eastAsia"/>
                <w:color w:val="auto"/>
                <w:highlight w:val="none"/>
              </w:rPr>
            </w:pPr>
            <w:r>
              <w:rPr>
                <w:rFonts w:hint="eastAsia"/>
                <w:color w:val="auto"/>
                <w:highlight w:val="none"/>
              </w:rPr>
              <w:t>7）厂家升级软件与扩容服务：供应商提供上门升级部件/软件与扩容的增值服务；</w:t>
            </w:r>
          </w:p>
          <w:p>
            <w:pPr>
              <w:keepNext w:val="0"/>
              <w:keepLines w:val="0"/>
              <w:widowControl/>
              <w:suppressLineNumbers w:val="0"/>
              <w:jc w:val="left"/>
              <w:textAlignment w:val="center"/>
              <w:rPr>
                <w:rFonts w:hint="eastAsia"/>
                <w:color w:val="auto"/>
                <w:highlight w:val="none"/>
              </w:rPr>
            </w:pPr>
            <w:r>
              <w:rPr>
                <w:rFonts w:hint="eastAsia"/>
                <w:color w:val="auto"/>
                <w:highlight w:val="none"/>
              </w:rPr>
              <w:t>8）整机质量服务要求：服务周期（含换件和维修）≥3年；</w:t>
            </w:r>
          </w:p>
          <w:p>
            <w:pPr>
              <w:keepNext w:val="0"/>
              <w:keepLines w:val="0"/>
              <w:widowControl/>
              <w:suppressLineNumbers w:val="0"/>
              <w:jc w:val="left"/>
              <w:textAlignment w:val="center"/>
              <w:rPr>
                <w:rFonts w:hint="eastAsia"/>
                <w:color w:val="auto"/>
                <w:highlight w:val="none"/>
              </w:rPr>
            </w:pPr>
            <w:r>
              <w:rPr>
                <w:rFonts w:hint="eastAsia"/>
                <w:color w:val="auto"/>
                <w:highlight w:val="none"/>
              </w:rPr>
              <w:t>9）供应商提供产品合格证；</w:t>
            </w:r>
          </w:p>
          <w:p>
            <w:pPr>
              <w:keepNext w:val="0"/>
              <w:keepLines w:val="0"/>
              <w:widowControl/>
              <w:suppressLineNumbers w:val="0"/>
              <w:jc w:val="left"/>
              <w:textAlignment w:val="center"/>
              <w:rPr>
                <w:rFonts w:hint="eastAsia"/>
                <w:color w:val="auto"/>
                <w:highlight w:val="none"/>
              </w:rPr>
            </w:pPr>
            <w:r>
              <w:rPr>
                <w:rFonts w:hint="eastAsia"/>
                <w:color w:val="auto"/>
                <w:highlight w:val="none"/>
              </w:rPr>
              <w:t>10）供应商提供开箱组装/使用指导；</w:t>
            </w:r>
          </w:p>
          <w:p>
            <w:pPr>
              <w:keepNext w:val="0"/>
              <w:keepLines w:val="0"/>
              <w:widowControl/>
              <w:suppressLineNumbers w:val="0"/>
              <w:jc w:val="left"/>
              <w:textAlignment w:val="center"/>
              <w:rPr>
                <w:rFonts w:hint="eastAsia"/>
                <w:color w:val="auto"/>
                <w:highlight w:val="none"/>
              </w:rPr>
            </w:pPr>
            <w:r>
              <w:rPr>
                <w:rFonts w:hint="eastAsia"/>
                <w:color w:val="auto"/>
                <w:highlight w:val="none"/>
              </w:rPr>
              <w:t>11）供应商提供驱动光盘或下载方式；</w:t>
            </w:r>
          </w:p>
          <w:p>
            <w:pPr>
              <w:keepNext w:val="0"/>
              <w:keepLines w:val="0"/>
              <w:widowControl/>
              <w:suppressLineNumbers w:val="0"/>
              <w:jc w:val="left"/>
              <w:textAlignment w:val="center"/>
              <w:rPr>
                <w:rFonts w:hint="eastAsia"/>
                <w:color w:val="auto"/>
                <w:highlight w:val="none"/>
              </w:rPr>
            </w:pPr>
            <w:r>
              <w:rPr>
                <w:rFonts w:hint="eastAsia"/>
                <w:color w:val="auto"/>
                <w:highlight w:val="none"/>
              </w:rPr>
              <w:t>12）供应商提供兼容适配软件下载渠道（光盘、网站）；</w:t>
            </w:r>
          </w:p>
          <w:p>
            <w:pPr>
              <w:keepNext w:val="0"/>
              <w:keepLines w:val="0"/>
              <w:widowControl/>
              <w:suppressLineNumbers w:val="0"/>
              <w:jc w:val="left"/>
              <w:textAlignment w:val="center"/>
              <w:rPr>
                <w:rFonts w:hint="eastAsia"/>
                <w:color w:val="auto"/>
                <w:highlight w:val="none"/>
              </w:rPr>
            </w:pPr>
            <w:r>
              <w:rPr>
                <w:rFonts w:hint="eastAsia"/>
                <w:color w:val="auto"/>
                <w:highlight w:val="none"/>
              </w:rPr>
              <w:t>13）供应商保障产品主要部件，或提供可兼容原设备的升级换代产品；</w:t>
            </w:r>
          </w:p>
          <w:p>
            <w:pPr>
              <w:keepNext w:val="0"/>
              <w:keepLines w:val="0"/>
              <w:widowControl/>
              <w:suppressLineNumbers w:val="0"/>
              <w:jc w:val="left"/>
              <w:textAlignment w:val="center"/>
              <w:rPr>
                <w:rFonts w:hint="eastAsia"/>
                <w:color w:val="auto"/>
                <w:highlight w:val="none"/>
              </w:rPr>
            </w:pPr>
            <w:r>
              <w:rPr>
                <w:rFonts w:hint="eastAsia"/>
                <w:color w:val="auto"/>
                <w:highlight w:val="none"/>
              </w:rPr>
              <w:t>14）当产品部件出现供应风险时，供应商应通知采购人并提供风险应对方案确保产品的服务保障；</w:t>
            </w:r>
          </w:p>
          <w:p>
            <w:pPr>
              <w:keepNext w:val="0"/>
              <w:keepLines w:val="0"/>
              <w:widowControl/>
              <w:suppressLineNumbers w:val="0"/>
              <w:jc w:val="left"/>
              <w:textAlignment w:val="center"/>
              <w:rPr>
                <w:rFonts w:hint="eastAsia"/>
                <w:color w:val="auto"/>
                <w:highlight w:val="none"/>
              </w:rPr>
            </w:pPr>
            <w:r>
              <w:rPr>
                <w:rFonts w:hint="eastAsia"/>
                <w:color w:val="auto"/>
                <w:highlight w:val="none"/>
              </w:rPr>
              <w:t>15）供应商提供供应链稳定承诺书，确保产品的部件在产品服务周期内稳定供货。</w:t>
            </w:r>
          </w:p>
          <w:p>
            <w:pPr>
              <w:keepNext w:val="0"/>
              <w:keepLines w:val="0"/>
              <w:widowControl/>
              <w:suppressLineNumbers w:val="0"/>
              <w:jc w:val="left"/>
              <w:textAlignment w:val="center"/>
              <w:rPr>
                <w:rFonts w:hint="eastAsia"/>
                <w:color w:val="auto"/>
                <w:highlight w:val="none"/>
              </w:rPr>
            </w:pPr>
            <w:r>
              <w:rPr>
                <w:rFonts w:hint="eastAsia"/>
                <w:color w:val="auto"/>
                <w:highlight w:val="none"/>
              </w:rPr>
              <w:t>▲14、安全要求：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1）信息安全基本要求：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a)产品应符合GB/T 39276的5.2的规定；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b) 生产厂商应建立漏洞跟踪表，保证产品版本涉及到的漏洞(如驱动程序等)可查看；</w:t>
            </w:r>
          </w:p>
          <w:p>
            <w:pPr>
              <w:keepNext w:val="0"/>
              <w:keepLines w:val="0"/>
              <w:widowControl/>
              <w:suppressLineNumbers w:val="0"/>
              <w:jc w:val="left"/>
              <w:textAlignment w:val="center"/>
              <w:rPr>
                <w:rFonts w:hint="eastAsia"/>
                <w:color w:val="auto"/>
                <w:highlight w:val="none"/>
              </w:rPr>
            </w:pPr>
            <w:r>
              <w:rPr>
                <w:rFonts w:hint="eastAsia"/>
                <w:color w:val="auto"/>
                <w:highlight w:val="none"/>
              </w:rPr>
              <w:t>c)产品不得包含已知的恶意代码或漏洞，不存在未声明的指令、功能、接口；2）支持固件安全启动功能，固件启动过程中只有通过启动校验才能正常启动；</w:t>
            </w:r>
          </w:p>
          <w:p>
            <w:pPr>
              <w:keepNext w:val="0"/>
              <w:keepLines w:val="0"/>
              <w:widowControl/>
              <w:suppressLineNumbers w:val="0"/>
              <w:jc w:val="left"/>
              <w:textAlignment w:val="center"/>
              <w:rPr>
                <w:rFonts w:hint="eastAsia"/>
                <w:color w:val="auto"/>
                <w:highlight w:val="none"/>
              </w:rPr>
            </w:pPr>
            <w:r>
              <w:rPr>
                <w:rFonts w:hint="eastAsia"/>
                <w:color w:val="auto"/>
                <w:highlight w:val="none"/>
              </w:rPr>
              <w:t>3）限用物质的限量要求符合 GB/T 26572 中规定。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15、其他要求：</w:t>
            </w:r>
          </w:p>
          <w:p>
            <w:pPr>
              <w:keepNext w:val="0"/>
              <w:keepLines w:val="0"/>
              <w:widowControl/>
              <w:suppressLineNumbers w:val="0"/>
              <w:jc w:val="left"/>
              <w:textAlignment w:val="center"/>
              <w:rPr>
                <w:rFonts w:hint="eastAsia"/>
                <w:color w:val="auto"/>
                <w:highlight w:val="none"/>
              </w:rPr>
            </w:pPr>
            <w:r>
              <w:rPr>
                <w:rFonts w:hint="eastAsia"/>
                <w:color w:val="auto"/>
                <w:highlight w:val="none"/>
              </w:rPr>
              <w:t>1）环境条件要求的气候环境适应性、电磁兼容性要求的抗扰度、环境条件要求的振动适、环境条件要求的冲击适应性、环境条件要求的碰撞适应性、环境条件要求的运输包装件跌落适应性应性符合 GB/T 9813.1 中规定；</w:t>
            </w:r>
          </w:p>
          <w:p>
            <w:pPr>
              <w:keepNext w:val="0"/>
              <w:keepLines w:val="0"/>
              <w:widowControl/>
              <w:suppressLineNumbers w:val="0"/>
              <w:jc w:val="left"/>
              <w:textAlignment w:val="center"/>
              <w:rPr>
                <w:rFonts w:hint="eastAsia"/>
                <w:color w:val="auto"/>
                <w:highlight w:val="none"/>
              </w:rPr>
            </w:pPr>
            <w:r>
              <w:rPr>
                <w:rFonts w:hint="eastAsia"/>
                <w:color w:val="auto"/>
                <w:highlight w:val="none"/>
              </w:rPr>
              <w:t>2）MTBF测试：MTBF(m1)≥  30  万小时；</w:t>
            </w:r>
          </w:p>
          <w:p>
            <w:pPr>
              <w:keepNext w:val="0"/>
              <w:keepLines w:val="0"/>
              <w:widowControl/>
              <w:suppressLineNumbers w:val="0"/>
              <w:jc w:val="left"/>
              <w:textAlignment w:val="center"/>
              <w:rPr>
                <w:rFonts w:hint="eastAsia"/>
                <w:color w:val="auto"/>
                <w:highlight w:val="none"/>
              </w:rPr>
            </w:pPr>
            <w:r>
              <w:rPr>
                <w:rFonts w:hint="eastAsia"/>
                <w:color w:val="auto"/>
                <w:highlight w:val="none"/>
              </w:rPr>
              <w:t>3）常用软件兼容：支持流式软件、版式软件、浏览器、邮件采购人端、解压软件、多媒体、图形图像处理等常用软件；</w:t>
            </w:r>
          </w:p>
          <w:p>
            <w:pPr>
              <w:keepNext w:val="0"/>
              <w:keepLines w:val="0"/>
              <w:widowControl/>
              <w:suppressLineNumbers w:val="0"/>
              <w:jc w:val="left"/>
              <w:textAlignment w:val="center"/>
              <w:rPr>
                <w:rFonts w:hint="eastAsia"/>
                <w:color w:val="auto"/>
                <w:highlight w:val="none"/>
              </w:rPr>
            </w:pPr>
            <w:r>
              <w:rPr>
                <w:rFonts w:hint="eastAsia"/>
                <w:color w:val="auto"/>
                <w:highlight w:val="none"/>
              </w:rPr>
              <w:t>4）数据库兼容：兼容3个及以上厂商的数据库产品；</w:t>
            </w:r>
          </w:p>
          <w:p>
            <w:pPr>
              <w:keepNext w:val="0"/>
              <w:keepLines w:val="0"/>
              <w:widowControl/>
              <w:suppressLineNumbers w:val="0"/>
              <w:jc w:val="left"/>
              <w:textAlignment w:val="center"/>
              <w:rPr>
                <w:rFonts w:hint="eastAsia"/>
                <w:color w:val="auto"/>
                <w:highlight w:val="none"/>
              </w:rPr>
            </w:pPr>
            <w:r>
              <w:rPr>
                <w:rFonts w:hint="eastAsia"/>
                <w:color w:val="auto"/>
                <w:highlight w:val="none"/>
              </w:rPr>
              <w:t>5）中间件兼容：兼容3个及以上厂商中间件产品；</w:t>
            </w:r>
          </w:p>
          <w:p>
            <w:pPr>
              <w:keepNext w:val="0"/>
              <w:keepLines w:val="0"/>
              <w:widowControl/>
              <w:suppressLineNumbers w:val="0"/>
              <w:jc w:val="left"/>
              <w:textAlignment w:val="center"/>
              <w:rPr>
                <w:rFonts w:hint="eastAsia"/>
                <w:color w:val="auto"/>
                <w:highlight w:val="none"/>
              </w:rPr>
            </w:pPr>
            <w:r>
              <w:rPr>
                <w:rFonts w:hint="eastAsia"/>
                <w:color w:val="auto"/>
                <w:highlight w:val="none"/>
              </w:rPr>
              <w:t>6）平台软件兼容：兼容3个及以上厂商云计算及大数据平台；</w:t>
            </w:r>
          </w:p>
          <w:p>
            <w:pPr>
              <w:keepNext w:val="0"/>
              <w:keepLines w:val="0"/>
              <w:widowControl/>
              <w:suppressLineNumbers w:val="0"/>
              <w:jc w:val="left"/>
              <w:textAlignment w:val="center"/>
              <w:rPr>
                <w:rFonts w:hint="eastAsia"/>
                <w:color w:val="auto"/>
                <w:highlight w:val="none"/>
              </w:rPr>
            </w:pPr>
            <w:r>
              <w:rPr>
                <w:rFonts w:hint="eastAsia"/>
                <w:color w:val="auto"/>
                <w:highlight w:val="none"/>
              </w:rPr>
              <w:t>7）标志、包装、运输和贮存：符合 GB/T 9813.1 和商品包装政府采购需求标准的相关规定。</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5</w:t>
            </w:r>
          </w:p>
        </w:tc>
        <w:tc>
          <w:tcPr>
            <w:tcW w:w="39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机柜</w:t>
            </w:r>
          </w:p>
        </w:tc>
        <w:tc>
          <w:tcPr>
            <w:tcW w:w="22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806"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1、尺寸约：高1000mm*宽600mm*深500mm/2、钢化玻璃们，支持18U、钢面脱脂，酸洗，磷化，静电喷塑/4、材料：SPCC优质冷轧钢板制作5、产品特点：方便快速安装，带落地滚轮。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w:t>
            </w:r>
          </w:p>
        </w:tc>
        <w:tc>
          <w:tcPr>
            <w:tcW w:w="39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教师电脑桌椅</w:t>
            </w:r>
          </w:p>
        </w:tc>
        <w:tc>
          <w:tcPr>
            <w:tcW w:w="22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1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806"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规格：约1200W600D750H（±2mm）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面采用25mm厚优质密度板双面三聚氰饰面，其余板材采用15mm厚优质密度板双面三聚氰胺饰面，抗弯力强，不易变形；耐磨性强，承载能力强，绿色环保，也没有有害物质溢出。面板封边采用1.5mm厚3:1配料PVC经模具生产封边,其余采用1.0mm厚3:1配料PVC封边,所有封经高温全自动机器封边，经久耐用全自动热熔封边机封边，封边牢固、整洁、无毛刺，线条平直，接缝吻合。键盘托采用二节导轨，桌子主机位抽屉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椅子要求：*1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规格为：不小于长340×宽300×高420mm；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钢架采用不小于25mm×25mm冷轧无缝钢管，管壁厚不低于1.2mm，钢管表面喷涂前经酸洗、磷化、除油、脱水、热固化喷塑；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面板采用优质中密度纤维板, 双贴面灰白色三聚氰胺板，板材厚度不小于25mm，不小于1.5mm厚pvc细麻型全自动机器封边。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w:t>
            </w:r>
          </w:p>
        </w:tc>
        <w:tc>
          <w:tcPr>
            <w:tcW w:w="39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学生桌椅</w:t>
            </w:r>
          </w:p>
        </w:tc>
        <w:tc>
          <w:tcPr>
            <w:tcW w:w="22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3806"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子：规格约1200*600*750mm；全部板材采用15mm厚优质密度板双面三聚氰胺饰面，桌面四方加厚至25mm，面板封边采用1.5mm厚3:1配料PVC经模具生产封边,其余采用1.0mm厚3:1配料PVC封边,所有封经高温全自动机器封边，经久耐用，键盘托采用二节导轨，桌子整体结构采用连接板固定，桌子后方预留有走线槽，双键盘托双主机位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凳子：*2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规格为：不小于长340×宽300×高420mm；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钢架采用不小于25mm×25mm冷轧无缝钢管，管壁厚不低于1.2mm，钢管表面喷涂前经酸洗、磷化、除油、脱水、热固化喷塑；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面板采用优质中密度纤维板, 双贴面灰白色三聚氰胺板，板材厚度不小于25mm，不小于1.5mm厚pvc细麻型全自动机器封边。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w:t>
            </w:r>
          </w:p>
        </w:tc>
        <w:tc>
          <w:tcPr>
            <w:tcW w:w="39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网络交换机</w:t>
            </w:r>
          </w:p>
        </w:tc>
        <w:tc>
          <w:tcPr>
            <w:tcW w:w="22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1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806"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提供24个10/100/1000Mbps自适应以太网端口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w:t>
            </w:r>
          </w:p>
        </w:tc>
        <w:tc>
          <w:tcPr>
            <w:tcW w:w="39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路由设备</w:t>
            </w:r>
          </w:p>
        </w:tc>
        <w:tc>
          <w:tcPr>
            <w:tcW w:w="22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1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806"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1个10/100/1000Base-T WAN口，2个10/100/1000Base-T LAN 口以上，最大管理数量100台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10</w:t>
            </w:r>
          </w:p>
        </w:tc>
        <w:tc>
          <w:tcPr>
            <w:tcW w:w="39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施工材料</w:t>
            </w:r>
          </w:p>
        </w:tc>
        <w:tc>
          <w:tcPr>
            <w:tcW w:w="22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c>
          <w:tcPr>
            <w:tcW w:w="31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806"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优质六类三件套千兆水晶头:金属接触点镀金、空气开关、电源插座、纯铜电源线：铜线的正常额定负载是所带负载峰值功率的2倍以上（峰值功率小于1000w，按照1000w计算）、抗踩踏铁皮线槽、钉子、胶布等一批满足本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11</w:t>
            </w:r>
          </w:p>
        </w:tc>
        <w:tc>
          <w:tcPr>
            <w:tcW w:w="39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系统集成</w:t>
            </w:r>
          </w:p>
        </w:tc>
        <w:tc>
          <w:tcPr>
            <w:tcW w:w="22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c>
          <w:tcPr>
            <w:tcW w:w="31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806"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计算机教室桌凳安装服务器部署安装；每台计算机（终端）及网络布设安装；过道耐压弧形走线槽等工程所需配件的安装调试；网络交换机、机柜、电源空开、网线、电源电缆、线槽、电源插排等布设安装；系统软件、教学应用软件、教学资源等安装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2.所有货物到各个项目学校的运输、培训服务。</w:t>
            </w:r>
          </w:p>
        </w:tc>
      </w:tr>
    </w:tbl>
    <w:p>
      <w:pPr>
        <w:pStyle w:val="23"/>
        <w:rPr>
          <w:color w:val="auto"/>
          <w:highlight w:val="none"/>
          <w:lang w:val="en-US"/>
        </w:rPr>
        <w:sectPr>
          <w:pgSz w:w="11906" w:h="16838"/>
          <w:pgMar w:top="1247" w:right="849" w:bottom="1247" w:left="1418" w:header="851" w:footer="992" w:gutter="0"/>
          <w:cols w:space="720" w:num="1"/>
          <w:titlePg/>
          <w:docGrid w:type="lines" w:linePitch="312" w:charSpace="0"/>
        </w:sectPr>
      </w:pPr>
    </w:p>
    <w:p>
      <w:pPr>
        <w:spacing w:line="360" w:lineRule="auto"/>
        <w:ind w:firstLine="181" w:firstLineChars="50"/>
        <w:jc w:val="center"/>
        <w:outlineLvl w:val="0"/>
        <w:rPr>
          <w:rFonts w:ascii="宋体" w:hAnsi="宋体" w:cs="宋体"/>
          <w:b/>
          <w:color w:val="auto"/>
          <w:sz w:val="36"/>
          <w:szCs w:val="36"/>
          <w:highlight w:val="none"/>
        </w:rPr>
      </w:pPr>
      <w:bookmarkStart w:id="80" w:name="_Toc176343851"/>
      <w:bookmarkStart w:id="81" w:name="_Toc176185122"/>
      <w:r>
        <w:rPr>
          <w:rFonts w:hint="eastAsia" w:ascii="宋体" w:hAnsi="宋体" w:cs="宋体"/>
          <w:b/>
          <w:color w:val="auto"/>
          <w:sz w:val="36"/>
          <w:szCs w:val="36"/>
          <w:highlight w:val="none"/>
        </w:rPr>
        <w:t xml:space="preserve">第四部分  </w:t>
      </w:r>
      <w:bookmarkStart w:id="82" w:name="_Toc184310294"/>
      <w:bookmarkEnd w:id="82"/>
      <w:bookmarkStart w:id="83" w:name="_Toc184310305"/>
      <w:bookmarkEnd w:id="83"/>
      <w:bookmarkStart w:id="84" w:name="_Toc184310309"/>
      <w:bookmarkEnd w:id="84"/>
      <w:bookmarkStart w:id="85" w:name="_Toc184313253"/>
      <w:bookmarkEnd w:id="85"/>
      <w:bookmarkStart w:id="86" w:name="_Toc184308074"/>
      <w:bookmarkEnd w:id="86"/>
      <w:bookmarkStart w:id="87" w:name="_Toc184314465"/>
      <w:bookmarkEnd w:id="87"/>
      <w:bookmarkStart w:id="88" w:name="_Toc184308078"/>
      <w:bookmarkEnd w:id="88"/>
      <w:bookmarkStart w:id="89" w:name="_Toc184312107"/>
      <w:bookmarkEnd w:id="89"/>
      <w:bookmarkStart w:id="90" w:name="_Toc184308051"/>
      <w:bookmarkEnd w:id="90"/>
      <w:bookmarkStart w:id="91" w:name="_Toc184312128"/>
      <w:bookmarkEnd w:id="91"/>
      <w:bookmarkStart w:id="92" w:name="_Toc184310298"/>
      <w:bookmarkEnd w:id="92"/>
      <w:bookmarkStart w:id="93" w:name="_Toc184314455"/>
      <w:bookmarkEnd w:id="93"/>
      <w:bookmarkStart w:id="94" w:name="_Toc184310330"/>
      <w:bookmarkEnd w:id="94"/>
      <w:bookmarkStart w:id="95" w:name="_Toc184313247"/>
      <w:bookmarkEnd w:id="95"/>
      <w:bookmarkStart w:id="96" w:name="_Toc184310327"/>
      <w:bookmarkEnd w:id="96"/>
      <w:bookmarkStart w:id="97" w:name="_Toc184313278"/>
      <w:bookmarkEnd w:id="97"/>
      <w:bookmarkStart w:id="98" w:name="_Toc184310307"/>
      <w:bookmarkEnd w:id="98"/>
      <w:bookmarkStart w:id="99" w:name="_Toc184308099"/>
      <w:bookmarkEnd w:id="99"/>
      <w:bookmarkStart w:id="100" w:name="_Toc184312112"/>
      <w:bookmarkEnd w:id="100"/>
      <w:bookmarkStart w:id="101" w:name="_Toc184308098"/>
      <w:bookmarkEnd w:id="101"/>
      <w:bookmarkStart w:id="102" w:name="_Toc184308073"/>
      <w:bookmarkEnd w:id="102"/>
      <w:bookmarkStart w:id="103" w:name="_Toc184313255"/>
      <w:bookmarkEnd w:id="103"/>
      <w:bookmarkStart w:id="104" w:name="_Toc184308037"/>
      <w:bookmarkEnd w:id="104"/>
      <w:bookmarkStart w:id="105" w:name="_Toc184310332"/>
      <w:bookmarkEnd w:id="105"/>
      <w:bookmarkStart w:id="106" w:name="_Toc184312113"/>
      <w:bookmarkEnd w:id="106"/>
      <w:bookmarkStart w:id="107" w:name="_Toc184313292"/>
      <w:bookmarkEnd w:id="107"/>
      <w:bookmarkStart w:id="108" w:name="_Toc184310339"/>
      <w:bookmarkEnd w:id="108"/>
      <w:bookmarkStart w:id="109" w:name="_Toc184310293"/>
      <w:bookmarkEnd w:id="109"/>
      <w:bookmarkStart w:id="110" w:name="_Toc184312096"/>
      <w:bookmarkEnd w:id="110"/>
      <w:bookmarkStart w:id="111" w:name="_Toc184308059"/>
      <w:bookmarkEnd w:id="111"/>
      <w:bookmarkStart w:id="112" w:name="_Toc184313265"/>
      <w:bookmarkEnd w:id="112"/>
      <w:bookmarkStart w:id="113" w:name="_Toc184312125"/>
      <w:bookmarkEnd w:id="113"/>
      <w:bookmarkStart w:id="114" w:name="_Toc184308050"/>
      <w:bookmarkEnd w:id="114"/>
      <w:bookmarkStart w:id="115" w:name="_Toc184312135"/>
      <w:bookmarkEnd w:id="115"/>
      <w:bookmarkStart w:id="116" w:name="_Toc184312083"/>
      <w:bookmarkEnd w:id="116"/>
      <w:bookmarkStart w:id="117" w:name="_Toc184312088"/>
      <w:bookmarkEnd w:id="117"/>
      <w:bookmarkStart w:id="118" w:name="_Toc184313239"/>
      <w:bookmarkEnd w:id="118"/>
      <w:bookmarkStart w:id="119" w:name="_Toc184314481"/>
      <w:bookmarkEnd w:id="119"/>
      <w:bookmarkStart w:id="120" w:name="_Toc184314479"/>
      <w:bookmarkEnd w:id="120"/>
      <w:bookmarkStart w:id="121" w:name="_Toc184310288"/>
      <w:bookmarkEnd w:id="121"/>
      <w:bookmarkStart w:id="122" w:name="_Toc184308090"/>
      <w:bookmarkEnd w:id="122"/>
      <w:bookmarkStart w:id="123" w:name="_Toc184310323"/>
      <w:bookmarkEnd w:id="123"/>
      <w:bookmarkStart w:id="124" w:name="_Toc184308065"/>
      <w:bookmarkEnd w:id="124"/>
      <w:bookmarkStart w:id="125" w:name="_Toc184308094"/>
      <w:bookmarkEnd w:id="125"/>
      <w:bookmarkStart w:id="126" w:name="_Toc184310317"/>
      <w:bookmarkEnd w:id="126"/>
      <w:bookmarkStart w:id="127" w:name="_Toc184308079"/>
      <w:bookmarkEnd w:id="127"/>
      <w:bookmarkStart w:id="128" w:name="_Toc184310308"/>
      <w:bookmarkEnd w:id="128"/>
      <w:bookmarkStart w:id="129" w:name="_Toc184312078"/>
      <w:bookmarkEnd w:id="129"/>
      <w:bookmarkStart w:id="130" w:name="_Toc184314472"/>
      <w:bookmarkEnd w:id="130"/>
      <w:bookmarkStart w:id="131" w:name="_Toc184312137"/>
      <w:bookmarkEnd w:id="131"/>
      <w:bookmarkStart w:id="132" w:name="_Toc184308086"/>
      <w:bookmarkEnd w:id="132"/>
      <w:bookmarkStart w:id="133" w:name="_Toc184310316"/>
      <w:bookmarkEnd w:id="133"/>
      <w:bookmarkStart w:id="134" w:name="_Toc184314415"/>
      <w:bookmarkEnd w:id="134"/>
      <w:bookmarkStart w:id="135" w:name="_Toc184313244"/>
      <w:bookmarkEnd w:id="135"/>
      <w:bookmarkStart w:id="136" w:name="_Toc184314428"/>
      <w:bookmarkEnd w:id="136"/>
      <w:bookmarkStart w:id="137" w:name="_Toc184313283"/>
      <w:bookmarkEnd w:id="137"/>
      <w:bookmarkStart w:id="138" w:name="_Toc184314433"/>
      <w:bookmarkEnd w:id="138"/>
      <w:bookmarkStart w:id="139" w:name="_Toc184308096"/>
      <w:bookmarkEnd w:id="139"/>
      <w:bookmarkStart w:id="140" w:name="_Toc184308108"/>
      <w:bookmarkEnd w:id="140"/>
      <w:bookmarkStart w:id="141" w:name="_Toc184310272"/>
      <w:bookmarkEnd w:id="141"/>
      <w:bookmarkStart w:id="142" w:name="_Toc184310342"/>
      <w:bookmarkEnd w:id="142"/>
      <w:bookmarkStart w:id="143" w:name="_Toc184313295"/>
      <w:bookmarkEnd w:id="143"/>
      <w:bookmarkStart w:id="144" w:name="_Toc184313238"/>
      <w:bookmarkEnd w:id="144"/>
      <w:bookmarkStart w:id="145" w:name="_Toc184314461"/>
      <w:bookmarkEnd w:id="145"/>
      <w:bookmarkStart w:id="146" w:name="_Toc184312102"/>
      <w:bookmarkEnd w:id="146"/>
      <w:bookmarkStart w:id="147" w:name="_Toc184313272"/>
      <w:bookmarkEnd w:id="147"/>
      <w:bookmarkStart w:id="148" w:name="_Toc184312075"/>
      <w:bookmarkEnd w:id="148"/>
      <w:bookmarkStart w:id="149" w:name="_Toc184310303"/>
      <w:bookmarkEnd w:id="149"/>
      <w:bookmarkStart w:id="150" w:name="_Toc184314432"/>
      <w:bookmarkEnd w:id="150"/>
      <w:bookmarkStart w:id="151" w:name="_Toc184312129"/>
      <w:bookmarkEnd w:id="151"/>
      <w:bookmarkStart w:id="152" w:name="_Toc184314447"/>
      <w:bookmarkEnd w:id="152"/>
      <w:bookmarkStart w:id="153" w:name="_Toc184313301"/>
      <w:bookmarkEnd w:id="153"/>
      <w:bookmarkStart w:id="154" w:name="_Toc184312067"/>
      <w:bookmarkEnd w:id="154"/>
      <w:bookmarkStart w:id="155" w:name="_Toc184308062"/>
      <w:bookmarkEnd w:id="155"/>
      <w:bookmarkStart w:id="156" w:name="_Toc184314434"/>
      <w:bookmarkEnd w:id="156"/>
      <w:bookmarkStart w:id="157" w:name="_Toc184314470"/>
      <w:bookmarkEnd w:id="157"/>
      <w:bookmarkStart w:id="158" w:name="_Toc184314473"/>
      <w:bookmarkEnd w:id="158"/>
      <w:bookmarkStart w:id="159" w:name="_Toc184314458"/>
      <w:bookmarkEnd w:id="159"/>
      <w:bookmarkStart w:id="160" w:name="_Toc184314449"/>
      <w:bookmarkEnd w:id="160"/>
      <w:bookmarkStart w:id="161" w:name="_Toc184312071"/>
      <w:bookmarkEnd w:id="161"/>
      <w:bookmarkStart w:id="162" w:name="_Toc184314466"/>
      <w:bookmarkEnd w:id="162"/>
      <w:bookmarkStart w:id="163" w:name="_Toc184314414"/>
      <w:bookmarkEnd w:id="163"/>
      <w:bookmarkStart w:id="164" w:name="_Toc184314445"/>
      <w:bookmarkEnd w:id="164"/>
      <w:bookmarkStart w:id="165" w:name="_Toc184310319"/>
      <w:bookmarkEnd w:id="165"/>
      <w:bookmarkStart w:id="166" w:name="_Toc184310301"/>
      <w:bookmarkEnd w:id="166"/>
      <w:bookmarkStart w:id="167" w:name="_Toc184308105"/>
      <w:bookmarkEnd w:id="167"/>
      <w:bookmarkStart w:id="168" w:name="_Toc184312081"/>
      <w:bookmarkEnd w:id="168"/>
      <w:bookmarkStart w:id="169" w:name="_Toc184313257"/>
      <w:bookmarkEnd w:id="169"/>
      <w:bookmarkStart w:id="170" w:name="_Toc184313273"/>
      <w:bookmarkEnd w:id="170"/>
      <w:bookmarkStart w:id="171" w:name="_Toc184310291"/>
      <w:bookmarkEnd w:id="171"/>
      <w:bookmarkStart w:id="172" w:name="_Toc184308044"/>
      <w:bookmarkEnd w:id="172"/>
      <w:bookmarkStart w:id="173" w:name="_Toc184310331"/>
      <w:bookmarkEnd w:id="173"/>
      <w:bookmarkStart w:id="174" w:name="_Toc184308038"/>
      <w:bookmarkEnd w:id="174"/>
      <w:bookmarkStart w:id="175" w:name="_Toc184310335"/>
      <w:bookmarkEnd w:id="175"/>
      <w:bookmarkStart w:id="176" w:name="_Toc184308046"/>
      <w:bookmarkEnd w:id="176"/>
      <w:bookmarkStart w:id="177" w:name="_Toc184314480"/>
      <w:bookmarkEnd w:id="177"/>
      <w:bookmarkStart w:id="178" w:name="_Toc184313304"/>
      <w:bookmarkEnd w:id="178"/>
      <w:bookmarkStart w:id="179" w:name="_Toc184314412"/>
      <w:bookmarkEnd w:id="179"/>
      <w:bookmarkStart w:id="180" w:name="_Toc184312120"/>
      <w:bookmarkEnd w:id="180"/>
      <w:bookmarkStart w:id="181" w:name="_Toc184312077"/>
      <w:bookmarkEnd w:id="181"/>
      <w:bookmarkStart w:id="182" w:name="_Toc184310283"/>
      <w:bookmarkEnd w:id="182"/>
      <w:bookmarkStart w:id="183" w:name="_Toc184312082"/>
      <w:bookmarkEnd w:id="183"/>
      <w:bookmarkStart w:id="184" w:name="_Toc184310273"/>
      <w:bookmarkEnd w:id="184"/>
      <w:bookmarkStart w:id="185" w:name="_Toc184308081"/>
      <w:bookmarkEnd w:id="185"/>
      <w:bookmarkStart w:id="186" w:name="_Toc184308106"/>
      <w:bookmarkEnd w:id="186"/>
      <w:bookmarkStart w:id="187" w:name="_Toc184308091"/>
      <w:bookmarkEnd w:id="187"/>
      <w:bookmarkStart w:id="188" w:name="_Toc184313267"/>
      <w:bookmarkEnd w:id="188"/>
      <w:bookmarkStart w:id="189" w:name="_Toc184313254"/>
      <w:bookmarkEnd w:id="189"/>
      <w:bookmarkStart w:id="190" w:name="_Toc184312127"/>
      <w:bookmarkEnd w:id="190"/>
      <w:bookmarkStart w:id="191" w:name="_Toc184314453"/>
      <w:bookmarkEnd w:id="191"/>
      <w:bookmarkStart w:id="192" w:name="_Toc184312084"/>
      <w:bookmarkEnd w:id="192"/>
      <w:bookmarkStart w:id="193" w:name="_Toc184308083"/>
      <w:bookmarkEnd w:id="193"/>
      <w:bookmarkStart w:id="194" w:name="_Toc184313306"/>
      <w:bookmarkEnd w:id="194"/>
      <w:bookmarkStart w:id="195" w:name="_Toc184308045"/>
      <w:bookmarkEnd w:id="195"/>
      <w:bookmarkStart w:id="196" w:name="_Toc184308084"/>
      <w:bookmarkEnd w:id="196"/>
      <w:bookmarkStart w:id="197" w:name="_Toc184313300"/>
      <w:bookmarkEnd w:id="197"/>
      <w:bookmarkStart w:id="198" w:name="_Toc184314420"/>
      <w:bookmarkEnd w:id="198"/>
      <w:bookmarkStart w:id="199" w:name="_Toc184310279"/>
      <w:bookmarkEnd w:id="199"/>
      <w:bookmarkStart w:id="200" w:name="_Toc184313282"/>
      <w:bookmarkEnd w:id="200"/>
      <w:bookmarkStart w:id="201" w:name="_Toc184314438"/>
      <w:bookmarkEnd w:id="201"/>
      <w:bookmarkStart w:id="202" w:name="_Toc184314444"/>
      <w:bookmarkEnd w:id="202"/>
      <w:bookmarkStart w:id="203" w:name="_Toc184312099"/>
      <w:bookmarkEnd w:id="203"/>
      <w:bookmarkStart w:id="204" w:name="_Toc184308100"/>
      <w:bookmarkEnd w:id="204"/>
      <w:bookmarkStart w:id="205" w:name="_Toc184312086"/>
      <w:bookmarkEnd w:id="205"/>
      <w:bookmarkStart w:id="206" w:name="_Toc184308042"/>
      <w:bookmarkEnd w:id="206"/>
      <w:bookmarkStart w:id="207" w:name="_Toc184312079"/>
      <w:bookmarkEnd w:id="207"/>
      <w:bookmarkStart w:id="208" w:name="_Toc184312138"/>
      <w:bookmarkEnd w:id="208"/>
      <w:bookmarkStart w:id="209" w:name="_Toc184314417"/>
      <w:bookmarkEnd w:id="209"/>
      <w:bookmarkStart w:id="210" w:name="_Toc184308087"/>
      <w:bookmarkEnd w:id="210"/>
      <w:bookmarkStart w:id="211" w:name="_Toc184310306"/>
      <w:bookmarkEnd w:id="211"/>
      <w:bookmarkStart w:id="212" w:name="_Toc184308066"/>
      <w:bookmarkEnd w:id="212"/>
      <w:bookmarkStart w:id="213" w:name="_Toc184314457"/>
      <w:bookmarkEnd w:id="213"/>
      <w:bookmarkStart w:id="214" w:name="_Toc184310314"/>
      <w:bookmarkEnd w:id="214"/>
      <w:bookmarkStart w:id="215" w:name="_Toc184314411"/>
      <w:bookmarkEnd w:id="215"/>
      <w:bookmarkStart w:id="216" w:name="_Toc184310341"/>
      <w:bookmarkEnd w:id="216"/>
      <w:bookmarkStart w:id="217" w:name="_Toc184312089"/>
      <w:bookmarkEnd w:id="217"/>
      <w:bookmarkStart w:id="218" w:name="_Toc184314418"/>
      <w:bookmarkEnd w:id="218"/>
      <w:bookmarkStart w:id="219" w:name="_Toc184312085"/>
      <w:bookmarkEnd w:id="219"/>
      <w:bookmarkStart w:id="220" w:name="_Toc184310274"/>
      <w:bookmarkEnd w:id="220"/>
      <w:bookmarkStart w:id="221" w:name="_Toc184313261"/>
      <w:bookmarkEnd w:id="221"/>
      <w:bookmarkStart w:id="222" w:name="_Toc184313246"/>
      <w:bookmarkEnd w:id="222"/>
      <w:bookmarkStart w:id="223" w:name="_Toc184310285"/>
      <w:bookmarkEnd w:id="223"/>
      <w:bookmarkStart w:id="224" w:name="_Toc184313262"/>
      <w:bookmarkEnd w:id="224"/>
      <w:bookmarkStart w:id="225" w:name="_Toc184310344"/>
      <w:bookmarkEnd w:id="225"/>
      <w:bookmarkStart w:id="226" w:name="_Toc184310311"/>
      <w:bookmarkEnd w:id="226"/>
      <w:bookmarkStart w:id="227" w:name="_Toc184312139"/>
      <w:bookmarkEnd w:id="227"/>
      <w:bookmarkStart w:id="228" w:name="_Toc184314482"/>
      <w:bookmarkEnd w:id="228"/>
      <w:bookmarkStart w:id="229" w:name="_Toc184314450"/>
      <w:bookmarkEnd w:id="229"/>
      <w:bookmarkStart w:id="230" w:name="_Toc184308089"/>
      <w:bookmarkEnd w:id="230"/>
      <w:bookmarkStart w:id="231" w:name="_Toc184314442"/>
      <w:bookmarkEnd w:id="231"/>
      <w:bookmarkStart w:id="232" w:name="_Toc184310326"/>
      <w:bookmarkEnd w:id="232"/>
      <w:bookmarkStart w:id="233" w:name="_Toc184312123"/>
      <w:bookmarkEnd w:id="233"/>
      <w:bookmarkStart w:id="234" w:name="_Toc184310278"/>
      <w:bookmarkEnd w:id="234"/>
      <w:bookmarkStart w:id="235" w:name="_Toc184310289"/>
      <w:bookmarkEnd w:id="235"/>
      <w:bookmarkStart w:id="236" w:name="_Toc184313263"/>
      <w:bookmarkEnd w:id="236"/>
      <w:bookmarkStart w:id="237" w:name="_Toc184313274"/>
      <w:bookmarkEnd w:id="237"/>
      <w:bookmarkStart w:id="238" w:name="_Toc184314439"/>
      <w:bookmarkEnd w:id="238"/>
      <w:bookmarkStart w:id="239" w:name="_Toc184310329"/>
      <w:bookmarkEnd w:id="239"/>
      <w:bookmarkStart w:id="240" w:name="_Toc184314424"/>
      <w:bookmarkEnd w:id="240"/>
      <w:bookmarkStart w:id="241" w:name="_Toc184308048"/>
      <w:bookmarkEnd w:id="241"/>
      <w:bookmarkStart w:id="242" w:name="_Toc184314451"/>
      <w:bookmarkEnd w:id="242"/>
      <w:bookmarkStart w:id="243" w:name="_Toc184310336"/>
      <w:bookmarkEnd w:id="243"/>
      <w:bookmarkStart w:id="244" w:name="_Toc184313288"/>
      <w:bookmarkEnd w:id="244"/>
      <w:bookmarkStart w:id="245" w:name="_Toc184308093"/>
      <w:bookmarkEnd w:id="245"/>
      <w:bookmarkStart w:id="246" w:name="_Toc184310340"/>
      <w:bookmarkEnd w:id="246"/>
      <w:bookmarkStart w:id="247" w:name="_Toc184312069"/>
      <w:bookmarkEnd w:id="247"/>
      <w:bookmarkStart w:id="248" w:name="_Toc184314469"/>
      <w:bookmarkEnd w:id="248"/>
      <w:bookmarkStart w:id="249" w:name="_Toc184310302"/>
      <w:bookmarkEnd w:id="249"/>
      <w:bookmarkStart w:id="250" w:name="_Toc184314425"/>
      <w:bookmarkEnd w:id="250"/>
      <w:bookmarkStart w:id="251" w:name="_Toc184310315"/>
      <w:bookmarkEnd w:id="251"/>
      <w:bookmarkStart w:id="252" w:name="_Toc184313289"/>
      <w:bookmarkEnd w:id="252"/>
      <w:bookmarkStart w:id="253" w:name="_Toc184313259"/>
      <w:bookmarkEnd w:id="253"/>
      <w:bookmarkStart w:id="254" w:name="_Toc184308049"/>
      <w:bookmarkEnd w:id="254"/>
      <w:bookmarkStart w:id="255" w:name="_Toc184312093"/>
      <w:bookmarkEnd w:id="255"/>
      <w:bookmarkStart w:id="256" w:name="_Toc184313252"/>
      <w:bookmarkEnd w:id="256"/>
      <w:bookmarkStart w:id="257" w:name="_Toc184308054"/>
      <w:bookmarkEnd w:id="257"/>
      <w:bookmarkStart w:id="258" w:name="_Toc184310299"/>
      <w:bookmarkEnd w:id="258"/>
      <w:bookmarkStart w:id="259" w:name="_Toc184312116"/>
      <w:bookmarkEnd w:id="259"/>
      <w:bookmarkStart w:id="260" w:name="_Toc184312090"/>
      <w:bookmarkEnd w:id="260"/>
      <w:bookmarkStart w:id="261" w:name="_Toc184312111"/>
      <w:bookmarkEnd w:id="261"/>
      <w:bookmarkStart w:id="262" w:name="_Toc184310310"/>
      <w:bookmarkEnd w:id="262"/>
      <w:bookmarkStart w:id="263" w:name="_Toc184314474"/>
      <w:bookmarkEnd w:id="263"/>
      <w:bookmarkStart w:id="264" w:name="_Toc184310277"/>
      <w:bookmarkEnd w:id="264"/>
      <w:bookmarkStart w:id="265" w:name="_Toc184310328"/>
      <w:bookmarkEnd w:id="265"/>
      <w:bookmarkStart w:id="266" w:name="_Toc184313290"/>
      <w:bookmarkEnd w:id="266"/>
      <w:bookmarkStart w:id="267" w:name="_Toc184310275"/>
      <w:bookmarkEnd w:id="267"/>
      <w:bookmarkStart w:id="268" w:name="_Toc184308071"/>
      <w:bookmarkEnd w:id="268"/>
      <w:bookmarkStart w:id="269" w:name="_Toc184310312"/>
      <w:bookmarkEnd w:id="269"/>
      <w:bookmarkStart w:id="270" w:name="_Toc184312119"/>
      <w:bookmarkEnd w:id="270"/>
      <w:bookmarkStart w:id="271" w:name="_Toc184312115"/>
      <w:bookmarkEnd w:id="271"/>
      <w:bookmarkStart w:id="272" w:name="_Toc184314436"/>
      <w:bookmarkEnd w:id="272"/>
      <w:bookmarkStart w:id="273" w:name="_Toc184314452"/>
      <w:bookmarkEnd w:id="273"/>
      <w:bookmarkStart w:id="274" w:name="_Toc184314462"/>
      <w:bookmarkEnd w:id="274"/>
      <w:bookmarkStart w:id="275" w:name="_Toc184310287"/>
      <w:bookmarkEnd w:id="275"/>
      <w:bookmarkStart w:id="276" w:name="_Toc184310343"/>
      <w:bookmarkEnd w:id="276"/>
      <w:bookmarkStart w:id="277" w:name="_Toc184312070"/>
      <w:bookmarkEnd w:id="277"/>
      <w:bookmarkStart w:id="278" w:name="_Toc184312080"/>
      <w:bookmarkEnd w:id="278"/>
      <w:bookmarkStart w:id="279" w:name="_Toc184310296"/>
      <w:bookmarkEnd w:id="279"/>
      <w:bookmarkStart w:id="280" w:name="_Toc184312133"/>
      <w:bookmarkEnd w:id="280"/>
      <w:bookmarkStart w:id="281" w:name="_Toc184308039"/>
      <w:bookmarkEnd w:id="281"/>
      <w:bookmarkStart w:id="282" w:name="_Toc184308077"/>
      <w:bookmarkEnd w:id="282"/>
      <w:bookmarkStart w:id="283" w:name="_Toc184308056"/>
      <w:bookmarkEnd w:id="283"/>
      <w:bookmarkStart w:id="284" w:name="_Toc184312094"/>
      <w:bookmarkEnd w:id="284"/>
      <w:bookmarkStart w:id="285" w:name="_Toc184313298"/>
      <w:bookmarkEnd w:id="285"/>
      <w:bookmarkStart w:id="286" w:name="_Toc184310324"/>
      <w:bookmarkEnd w:id="286"/>
      <w:bookmarkStart w:id="287" w:name="_Toc184314443"/>
      <w:bookmarkEnd w:id="287"/>
      <w:bookmarkStart w:id="288" w:name="_Toc184313275"/>
      <w:bookmarkEnd w:id="288"/>
      <w:bookmarkStart w:id="289" w:name="_Toc184308055"/>
      <w:bookmarkEnd w:id="289"/>
      <w:bookmarkStart w:id="290" w:name="_Toc184312076"/>
      <w:bookmarkEnd w:id="290"/>
      <w:bookmarkStart w:id="291" w:name="_Toc184310300"/>
      <w:bookmarkEnd w:id="291"/>
      <w:bookmarkStart w:id="292" w:name="_Toc184312130"/>
      <w:bookmarkEnd w:id="292"/>
      <w:bookmarkStart w:id="293" w:name="_Toc184313248"/>
      <w:bookmarkEnd w:id="293"/>
      <w:bookmarkStart w:id="294" w:name="_Toc184312114"/>
      <w:bookmarkEnd w:id="294"/>
      <w:bookmarkStart w:id="295" w:name="_Toc184312095"/>
      <w:bookmarkEnd w:id="295"/>
      <w:bookmarkStart w:id="296" w:name="_Toc184308102"/>
      <w:bookmarkEnd w:id="296"/>
      <w:bookmarkStart w:id="297" w:name="_Toc184314478"/>
      <w:bookmarkEnd w:id="297"/>
      <w:bookmarkStart w:id="298" w:name="_Toc184308104"/>
      <w:bookmarkEnd w:id="298"/>
      <w:bookmarkStart w:id="299" w:name="_Toc184314476"/>
      <w:bookmarkEnd w:id="299"/>
      <w:bookmarkStart w:id="300" w:name="_Toc184314448"/>
      <w:bookmarkEnd w:id="300"/>
      <w:bookmarkStart w:id="301" w:name="_Toc184314421"/>
      <w:bookmarkEnd w:id="301"/>
      <w:bookmarkStart w:id="302" w:name="_Toc184314413"/>
      <w:bookmarkEnd w:id="302"/>
      <w:bookmarkStart w:id="303" w:name="_Toc184313264"/>
      <w:bookmarkEnd w:id="303"/>
      <w:bookmarkStart w:id="304" w:name="_Toc184313284"/>
      <w:bookmarkEnd w:id="304"/>
      <w:bookmarkStart w:id="305" w:name="_Toc184312100"/>
      <w:bookmarkEnd w:id="305"/>
      <w:bookmarkStart w:id="306" w:name="_Toc184312134"/>
      <w:bookmarkEnd w:id="306"/>
      <w:bookmarkStart w:id="307" w:name="_Toc184313310"/>
      <w:bookmarkEnd w:id="307"/>
      <w:bookmarkStart w:id="308" w:name="_Toc184312098"/>
      <w:bookmarkEnd w:id="308"/>
      <w:bookmarkStart w:id="309" w:name="_Toc184312106"/>
      <w:bookmarkEnd w:id="309"/>
      <w:bookmarkStart w:id="310" w:name="_Toc184313293"/>
      <w:bookmarkEnd w:id="310"/>
      <w:bookmarkStart w:id="311" w:name="_Toc184308067"/>
      <w:bookmarkEnd w:id="311"/>
      <w:bookmarkStart w:id="312" w:name="_Toc184308060"/>
      <w:bookmarkEnd w:id="312"/>
      <w:bookmarkStart w:id="313" w:name="_Toc184313299"/>
      <w:bookmarkEnd w:id="313"/>
      <w:bookmarkStart w:id="314" w:name="_Toc184308058"/>
      <w:bookmarkEnd w:id="314"/>
      <w:bookmarkStart w:id="315" w:name="_Toc184313287"/>
      <w:bookmarkEnd w:id="315"/>
      <w:bookmarkStart w:id="316" w:name="_Toc184310280"/>
      <w:bookmarkEnd w:id="316"/>
      <w:bookmarkStart w:id="317" w:name="_Toc184314440"/>
      <w:bookmarkEnd w:id="317"/>
      <w:bookmarkStart w:id="318" w:name="_Toc184308075"/>
      <w:bookmarkEnd w:id="318"/>
      <w:bookmarkStart w:id="319" w:name="_Toc184312105"/>
      <w:bookmarkEnd w:id="319"/>
      <w:bookmarkStart w:id="320" w:name="_Toc184314419"/>
      <w:bookmarkEnd w:id="320"/>
      <w:bookmarkStart w:id="321" w:name="_Toc184308041"/>
      <w:bookmarkEnd w:id="321"/>
      <w:bookmarkStart w:id="322" w:name="_Toc184310282"/>
      <w:bookmarkEnd w:id="322"/>
      <w:bookmarkStart w:id="323" w:name="_Toc184308101"/>
      <w:bookmarkEnd w:id="323"/>
      <w:bookmarkStart w:id="324" w:name="_Toc184312110"/>
      <w:bookmarkEnd w:id="324"/>
      <w:bookmarkStart w:id="325" w:name="_Toc184310338"/>
      <w:bookmarkEnd w:id="325"/>
      <w:bookmarkStart w:id="326" w:name="_Toc184313277"/>
      <w:bookmarkEnd w:id="326"/>
      <w:bookmarkStart w:id="327" w:name="_Toc184312103"/>
      <w:bookmarkEnd w:id="327"/>
      <w:bookmarkStart w:id="328" w:name="_Toc184314431"/>
      <w:bookmarkEnd w:id="328"/>
      <w:bookmarkStart w:id="329" w:name="_Toc184314410"/>
      <w:bookmarkEnd w:id="329"/>
      <w:bookmarkStart w:id="330" w:name="_Toc184313242"/>
      <w:bookmarkEnd w:id="330"/>
      <w:bookmarkStart w:id="331" w:name="_Toc184312074"/>
      <w:bookmarkEnd w:id="331"/>
      <w:bookmarkStart w:id="332" w:name="_Toc184313243"/>
      <w:bookmarkEnd w:id="332"/>
      <w:bookmarkStart w:id="333" w:name="_Toc184312104"/>
      <w:bookmarkEnd w:id="333"/>
      <w:bookmarkStart w:id="334" w:name="_Toc184313286"/>
      <w:bookmarkEnd w:id="334"/>
      <w:bookmarkStart w:id="335" w:name="_Toc184314416"/>
      <w:bookmarkEnd w:id="335"/>
      <w:bookmarkStart w:id="336" w:name="_Toc184314441"/>
      <w:bookmarkEnd w:id="336"/>
      <w:bookmarkStart w:id="337" w:name="_Toc184310284"/>
      <w:bookmarkEnd w:id="337"/>
      <w:bookmarkStart w:id="338" w:name="_Toc184313279"/>
      <w:bookmarkEnd w:id="338"/>
      <w:bookmarkStart w:id="339" w:name="_Toc184312092"/>
      <w:bookmarkEnd w:id="339"/>
      <w:bookmarkStart w:id="340" w:name="_Toc184312121"/>
      <w:bookmarkEnd w:id="340"/>
      <w:bookmarkStart w:id="341" w:name="_Toc184312101"/>
      <w:bookmarkEnd w:id="341"/>
      <w:bookmarkStart w:id="342" w:name="_Toc184314429"/>
      <w:bookmarkEnd w:id="342"/>
      <w:bookmarkStart w:id="343" w:name="_Toc184313266"/>
      <w:bookmarkEnd w:id="343"/>
      <w:bookmarkStart w:id="344" w:name="_Toc184314477"/>
      <w:bookmarkEnd w:id="344"/>
      <w:bookmarkStart w:id="345" w:name="_Toc184308107"/>
      <w:bookmarkEnd w:id="345"/>
      <w:bookmarkStart w:id="346" w:name="_Toc184314426"/>
      <w:bookmarkEnd w:id="346"/>
      <w:bookmarkStart w:id="347" w:name="_Toc184312073"/>
      <w:bookmarkEnd w:id="347"/>
      <w:bookmarkStart w:id="348" w:name="_Toc184314427"/>
      <w:bookmarkEnd w:id="348"/>
      <w:bookmarkStart w:id="349" w:name="_Toc184308072"/>
      <w:bookmarkEnd w:id="349"/>
      <w:bookmarkStart w:id="350" w:name="_Toc184313251"/>
      <w:bookmarkEnd w:id="350"/>
      <w:bookmarkStart w:id="351" w:name="_Toc184308036"/>
      <w:bookmarkEnd w:id="351"/>
      <w:bookmarkStart w:id="352" w:name="_Toc184313276"/>
      <w:bookmarkEnd w:id="352"/>
      <w:bookmarkStart w:id="353" w:name="_Toc184310325"/>
      <w:bookmarkEnd w:id="353"/>
      <w:bookmarkStart w:id="354" w:name="_Toc184313269"/>
      <w:bookmarkEnd w:id="354"/>
      <w:bookmarkStart w:id="355" w:name="_Toc184310334"/>
      <w:bookmarkEnd w:id="355"/>
      <w:bookmarkStart w:id="356" w:name="_Toc184308061"/>
      <w:bookmarkEnd w:id="356"/>
      <w:bookmarkStart w:id="357" w:name="_Toc184308040"/>
      <w:bookmarkEnd w:id="357"/>
      <w:bookmarkStart w:id="358" w:name="_Toc184308057"/>
      <w:bookmarkEnd w:id="358"/>
      <w:bookmarkStart w:id="359" w:name="_Toc184314422"/>
      <w:bookmarkEnd w:id="359"/>
      <w:bookmarkStart w:id="360" w:name="_Toc184313271"/>
      <w:bookmarkEnd w:id="360"/>
      <w:bookmarkStart w:id="361" w:name="_Toc184312131"/>
      <w:bookmarkEnd w:id="361"/>
      <w:bookmarkStart w:id="362" w:name="_Toc184314423"/>
      <w:bookmarkEnd w:id="362"/>
      <w:bookmarkStart w:id="363" w:name="_Toc184314464"/>
      <w:bookmarkEnd w:id="363"/>
      <w:bookmarkStart w:id="364" w:name="_Toc184314437"/>
      <w:bookmarkEnd w:id="364"/>
      <w:bookmarkStart w:id="365" w:name="_Toc184310304"/>
      <w:bookmarkEnd w:id="365"/>
      <w:bookmarkStart w:id="366" w:name="_Toc184312122"/>
      <w:bookmarkEnd w:id="366"/>
      <w:bookmarkStart w:id="367" w:name="_Toc184308092"/>
      <w:bookmarkEnd w:id="367"/>
      <w:bookmarkStart w:id="368" w:name="_Toc184310290"/>
      <w:bookmarkEnd w:id="368"/>
      <w:bookmarkStart w:id="369" w:name="_Toc184308068"/>
      <w:bookmarkEnd w:id="369"/>
      <w:bookmarkStart w:id="370" w:name="_Toc184313285"/>
      <w:bookmarkEnd w:id="370"/>
      <w:bookmarkStart w:id="371" w:name="_Toc184308043"/>
      <w:bookmarkEnd w:id="371"/>
      <w:bookmarkStart w:id="372" w:name="_Toc184308080"/>
      <w:bookmarkEnd w:id="372"/>
      <w:bookmarkStart w:id="373" w:name="_Toc184313245"/>
      <w:bookmarkEnd w:id="373"/>
      <w:bookmarkStart w:id="374" w:name="_Toc184308064"/>
      <w:bookmarkEnd w:id="374"/>
      <w:bookmarkStart w:id="375" w:name="_Toc184312124"/>
      <w:bookmarkEnd w:id="375"/>
      <w:bookmarkStart w:id="376" w:name="_Toc184310337"/>
      <w:bookmarkEnd w:id="376"/>
      <w:bookmarkStart w:id="377" w:name="_Toc184308095"/>
      <w:bookmarkEnd w:id="377"/>
      <w:bookmarkStart w:id="378" w:name="_Toc184314459"/>
      <w:bookmarkEnd w:id="378"/>
      <w:bookmarkStart w:id="379" w:name="_Toc184313240"/>
      <w:bookmarkEnd w:id="379"/>
      <w:bookmarkStart w:id="380" w:name="_Toc184308069"/>
      <w:bookmarkEnd w:id="380"/>
      <w:bookmarkStart w:id="381" w:name="_Toc184313258"/>
      <w:bookmarkEnd w:id="381"/>
      <w:bookmarkStart w:id="382" w:name="_Toc184312117"/>
      <w:bookmarkEnd w:id="382"/>
      <w:bookmarkStart w:id="383" w:name="_Toc184312097"/>
      <w:bookmarkEnd w:id="383"/>
      <w:bookmarkStart w:id="384" w:name="_Toc184308085"/>
      <w:bookmarkEnd w:id="384"/>
      <w:bookmarkStart w:id="385" w:name="_Toc184308103"/>
      <w:bookmarkEnd w:id="385"/>
      <w:bookmarkStart w:id="386" w:name="_Toc184313241"/>
      <w:bookmarkEnd w:id="386"/>
      <w:bookmarkStart w:id="387" w:name="_Toc184312087"/>
      <w:bookmarkEnd w:id="387"/>
      <w:bookmarkStart w:id="388" w:name="_Toc184308070"/>
      <w:bookmarkEnd w:id="388"/>
      <w:bookmarkStart w:id="389" w:name="_Toc184310322"/>
      <w:bookmarkEnd w:id="389"/>
      <w:bookmarkStart w:id="390" w:name="_Toc184314463"/>
      <w:bookmarkEnd w:id="390"/>
      <w:bookmarkStart w:id="391" w:name="_Toc184314454"/>
      <w:bookmarkEnd w:id="391"/>
      <w:bookmarkStart w:id="392" w:name="_Toc184312109"/>
      <w:bookmarkEnd w:id="392"/>
      <w:bookmarkStart w:id="393" w:name="_Toc184312068"/>
      <w:bookmarkEnd w:id="393"/>
      <w:bookmarkStart w:id="394" w:name="_Toc184312072"/>
      <w:bookmarkEnd w:id="394"/>
      <w:bookmarkStart w:id="395" w:name="_Toc184314456"/>
      <w:bookmarkEnd w:id="395"/>
      <w:bookmarkStart w:id="396" w:name="_Toc184313256"/>
      <w:bookmarkEnd w:id="396"/>
      <w:bookmarkStart w:id="397" w:name="_Toc184312108"/>
      <w:bookmarkEnd w:id="397"/>
      <w:bookmarkStart w:id="398" w:name="_Toc184313303"/>
      <w:bookmarkEnd w:id="398"/>
      <w:bookmarkStart w:id="399" w:name="_Toc184313281"/>
      <w:bookmarkEnd w:id="399"/>
      <w:bookmarkStart w:id="400" w:name="_Toc184314446"/>
      <w:bookmarkEnd w:id="400"/>
      <w:bookmarkStart w:id="401" w:name="_Toc184310281"/>
      <w:bookmarkEnd w:id="401"/>
      <w:bookmarkStart w:id="402" w:name="_Toc184308088"/>
      <w:bookmarkEnd w:id="402"/>
      <w:bookmarkStart w:id="403" w:name="_Toc184310292"/>
      <w:bookmarkEnd w:id="403"/>
      <w:bookmarkStart w:id="404" w:name="_Toc184313270"/>
      <w:bookmarkEnd w:id="404"/>
      <w:bookmarkStart w:id="405" w:name="_Toc184313297"/>
      <w:bookmarkEnd w:id="405"/>
      <w:bookmarkStart w:id="406" w:name="_Toc184310286"/>
      <w:bookmarkEnd w:id="406"/>
      <w:bookmarkStart w:id="407" w:name="_Toc184310295"/>
      <w:bookmarkEnd w:id="407"/>
      <w:bookmarkStart w:id="408" w:name="_Toc184310321"/>
      <w:bookmarkEnd w:id="408"/>
      <w:bookmarkStart w:id="409" w:name="_Toc184314430"/>
      <w:bookmarkEnd w:id="409"/>
      <w:bookmarkStart w:id="410" w:name="_Toc184312132"/>
      <w:bookmarkEnd w:id="410"/>
      <w:bookmarkStart w:id="411" w:name="_Toc184313305"/>
      <w:bookmarkEnd w:id="411"/>
      <w:bookmarkStart w:id="412" w:name="_Toc184314435"/>
      <w:bookmarkEnd w:id="412"/>
      <w:bookmarkStart w:id="413" w:name="_Toc184308082"/>
      <w:bookmarkEnd w:id="413"/>
      <w:bookmarkStart w:id="414" w:name="_Toc184313308"/>
      <w:bookmarkEnd w:id="414"/>
      <w:bookmarkStart w:id="415" w:name="_Toc184312091"/>
      <w:bookmarkEnd w:id="415"/>
      <w:bookmarkStart w:id="416" w:name="_Toc184313291"/>
      <w:bookmarkEnd w:id="416"/>
      <w:bookmarkStart w:id="417" w:name="_Toc184308076"/>
      <w:bookmarkEnd w:id="417"/>
      <w:bookmarkStart w:id="418" w:name="_Toc184308097"/>
      <w:bookmarkEnd w:id="418"/>
      <w:bookmarkStart w:id="419" w:name="_Toc184310313"/>
      <w:bookmarkEnd w:id="419"/>
      <w:bookmarkStart w:id="420" w:name="_Toc184313296"/>
      <w:bookmarkEnd w:id="420"/>
      <w:bookmarkStart w:id="421" w:name="_Toc184313250"/>
      <w:bookmarkEnd w:id="421"/>
      <w:bookmarkStart w:id="422" w:name="_Toc184313309"/>
      <w:bookmarkEnd w:id="422"/>
      <w:bookmarkStart w:id="423" w:name="_Toc184308053"/>
      <w:bookmarkEnd w:id="423"/>
      <w:bookmarkStart w:id="424" w:name="_Toc184313280"/>
      <w:bookmarkEnd w:id="424"/>
      <w:bookmarkStart w:id="425" w:name="_Toc184313249"/>
      <w:bookmarkEnd w:id="425"/>
      <w:bookmarkStart w:id="426" w:name="_Toc184310320"/>
      <w:bookmarkEnd w:id="426"/>
      <w:bookmarkStart w:id="427" w:name="_Toc184308052"/>
      <w:bookmarkEnd w:id="427"/>
      <w:bookmarkStart w:id="428" w:name="_Toc184313294"/>
      <w:bookmarkEnd w:id="428"/>
      <w:bookmarkStart w:id="429" w:name="_Toc184312126"/>
      <w:bookmarkEnd w:id="429"/>
      <w:bookmarkStart w:id="430" w:name="_Toc184313307"/>
      <w:bookmarkEnd w:id="430"/>
      <w:bookmarkStart w:id="431" w:name="_Toc184310297"/>
      <w:bookmarkEnd w:id="431"/>
      <w:bookmarkStart w:id="432" w:name="_Toc184314468"/>
      <w:bookmarkEnd w:id="432"/>
      <w:bookmarkStart w:id="433" w:name="_Toc184314460"/>
      <w:bookmarkEnd w:id="433"/>
      <w:bookmarkStart w:id="434" w:name="_Toc184310276"/>
      <w:bookmarkEnd w:id="434"/>
      <w:bookmarkStart w:id="435" w:name="_Toc184313260"/>
      <w:bookmarkEnd w:id="435"/>
      <w:bookmarkStart w:id="436" w:name="_Toc184314467"/>
      <w:bookmarkEnd w:id="436"/>
      <w:bookmarkStart w:id="437" w:name="_Toc184308047"/>
      <w:bookmarkEnd w:id="437"/>
      <w:bookmarkStart w:id="438" w:name="_Toc184313268"/>
      <w:bookmarkEnd w:id="438"/>
      <w:bookmarkStart w:id="439" w:name="_Toc184312118"/>
      <w:bookmarkEnd w:id="439"/>
      <w:bookmarkStart w:id="440" w:name="_Toc184310333"/>
      <w:bookmarkEnd w:id="440"/>
      <w:bookmarkStart w:id="441" w:name="_Toc184308063"/>
      <w:bookmarkEnd w:id="441"/>
      <w:bookmarkStart w:id="442" w:name="_Toc184314471"/>
      <w:bookmarkEnd w:id="442"/>
      <w:bookmarkStart w:id="443" w:name="_Toc184310318"/>
      <w:bookmarkEnd w:id="443"/>
      <w:bookmarkStart w:id="444" w:name="_Toc184313302"/>
      <w:bookmarkEnd w:id="444"/>
      <w:bookmarkStart w:id="445" w:name="_Toc184314475"/>
      <w:bookmarkEnd w:id="445"/>
      <w:bookmarkStart w:id="446" w:name="_Toc184312136"/>
      <w:bookmarkEnd w:id="446"/>
      <w:r>
        <w:rPr>
          <w:rFonts w:hint="eastAsia" w:ascii="宋体" w:hAnsi="宋体" w:cs="宋体"/>
          <w:b/>
          <w:color w:val="auto"/>
          <w:sz w:val="36"/>
          <w:szCs w:val="36"/>
          <w:highlight w:val="none"/>
        </w:rPr>
        <w:t>评标办法</w:t>
      </w:r>
      <w:bookmarkEnd w:id="80"/>
      <w:bookmarkEnd w:id="81"/>
    </w:p>
    <w:p>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一、评标原则</w:t>
      </w:r>
    </w:p>
    <w:p>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（一）评委构成：评标委员会由采购人代表和评审专家组成，成员人数应当为5人以上单数，其中评审专家不得少于成员总数的三分之二。</w:t>
      </w:r>
    </w:p>
    <w:p>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 评标依据：评委将以招标文件和投标文件为评标依据，对投标人的投标文件按百分制打分。</w:t>
      </w:r>
    </w:p>
    <w:p>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 评标方式：以封闭方式进行。</w:t>
      </w:r>
    </w:p>
    <w:p>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二、评定方法</w:t>
      </w:r>
    </w:p>
    <w:p>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（一）对进入详评的，采用百分制综合评分法。</w:t>
      </w:r>
    </w:p>
    <w:tbl>
      <w:tblPr>
        <w:tblStyle w:val="62"/>
        <w:tblpPr w:leftFromText="180" w:rightFromText="180" w:vertAnchor="text" w:horzAnchor="page" w:tblpX="1410" w:tblpY="42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1521"/>
        <w:gridCol w:w="1397"/>
        <w:gridCol w:w="5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pct"/>
            <w:gridSpan w:val="2"/>
            <w:vAlign w:val="center"/>
          </w:tcPr>
          <w:p>
            <w:pPr>
              <w:keepNext w:val="0"/>
              <w:keepLines w:val="0"/>
              <w:pageBreakBefore w:val="0"/>
              <w:widowControl w:val="0"/>
              <w:kinsoku/>
              <w:wordWrap/>
              <w:overflowPunct/>
              <w:topLinePunct w:val="0"/>
              <w:autoSpaceDE/>
              <w:autoSpaceDN/>
              <w:bidi w:val="0"/>
              <w:adjustRightInd w:val="0"/>
              <w:spacing w:line="320" w:lineRule="exact"/>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752" w:type="pct"/>
            <w:vAlign w:val="center"/>
          </w:tcPr>
          <w:p>
            <w:pPr>
              <w:keepNext w:val="0"/>
              <w:keepLines w:val="0"/>
              <w:pageBreakBefore w:val="0"/>
              <w:widowControl w:val="0"/>
              <w:kinsoku/>
              <w:wordWrap/>
              <w:overflowPunct/>
              <w:topLinePunct w:val="0"/>
              <w:autoSpaceDE/>
              <w:autoSpaceDN/>
              <w:bidi w:val="0"/>
              <w:adjustRightInd w:val="0"/>
              <w:spacing w:line="320" w:lineRule="exact"/>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3189" w:type="pct"/>
            <w:vAlign w:val="center"/>
          </w:tcPr>
          <w:p>
            <w:pPr>
              <w:keepNext w:val="0"/>
              <w:keepLines w:val="0"/>
              <w:pageBreakBefore w:val="0"/>
              <w:widowControl w:val="0"/>
              <w:kinsoku/>
              <w:wordWrap/>
              <w:overflowPunct/>
              <w:topLinePunct w:val="0"/>
              <w:autoSpaceDE/>
              <w:autoSpaceDN/>
              <w:bidi w:val="0"/>
              <w:adjustRightInd w:val="0"/>
              <w:spacing w:line="320" w:lineRule="exact"/>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 w:type="pct"/>
            <w:vAlign w:val="center"/>
          </w:tcPr>
          <w:p>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818" w:type="pct"/>
            <w:vAlign w:val="center"/>
          </w:tcPr>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价格分</w:t>
            </w:r>
          </w:p>
          <w:p>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（满分30分）</w:t>
            </w: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tc>
        <w:tc>
          <w:tcPr>
            <w:tcW w:w="752" w:type="pct"/>
            <w:vAlign w:val="center"/>
          </w:tcPr>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投标报价</w:t>
            </w:r>
          </w:p>
        </w:tc>
        <w:tc>
          <w:tcPr>
            <w:tcW w:w="3189" w:type="pct"/>
            <w:vAlign w:val="center"/>
          </w:tcPr>
          <w:p>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（1）评标报价为投标人的投标报价进行政策性扣除后的价格，评标报价只是作为评标时使用。最终中标人的中标金额等于投标报价。</w:t>
            </w:r>
          </w:p>
          <w:p>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按照《广西壮族自治区财政厅关于进一步发挥政府采购政策功能促进企业发展的通知》（桂财采〔2022〕30号）的规定，投标的全部产品按政策文件要求认定为小型和微型企业产品的（提供《中小企业声明函》），对投标价给予20%的扣除，扣除后的价格为评标价。</w:t>
            </w:r>
          </w:p>
          <w:p>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政策性扣除计算方法：评标报价=投标报价×（1-20%）；除上述政策性扣除情况外，评标价=投标报价。</w:t>
            </w:r>
          </w:p>
          <w:p>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（3）满足招标文件要求且评标报价最低的评标报价为评标基准价，基准价报价得分为 30 分。</w:t>
            </w:r>
          </w:p>
          <w:p>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（4）价格分计算公式：价格分=(评标基准价／评标报价)×30分</w:t>
            </w:r>
          </w:p>
          <w:p>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报价属于采购文件规定异常低价情况之一，，评标委员会应当要求其在评标现场合理的时间内提供书面说明，必要时提交相关证明材料；投标人不能证明其报价合理性的，评标委员会将其作为无效投标处理。。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5" w:hRule="atLeast"/>
        </w:trPr>
        <w:tc>
          <w:tcPr>
            <w:tcW w:w="239" w:type="pct"/>
            <w:vMerge w:val="restart"/>
            <w:vAlign w:val="center"/>
          </w:tcPr>
          <w:p>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818" w:type="pct"/>
            <w:vMerge w:val="restart"/>
            <w:vAlign w:val="center"/>
          </w:tcPr>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技术分</w:t>
            </w:r>
          </w:p>
          <w:p>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（满分</w:t>
            </w:r>
            <w:r>
              <w:rPr>
                <w:rFonts w:hint="eastAsia" w:asciiTheme="minorEastAsia" w:hAnsiTheme="minorEastAsia" w:eastAsiaTheme="minorEastAsia" w:cstheme="minorEastAsia"/>
                <w:bCs/>
                <w:color w:val="auto"/>
                <w:sz w:val="21"/>
                <w:szCs w:val="21"/>
                <w:highlight w:val="none"/>
                <w:lang w:val="en-US" w:eastAsia="zh-CN"/>
              </w:rPr>
              <w:t>47</w:t>
            </w:r>
            <w:r>
              <w:rPr>
                <w:rFonts w:hint="eastAsia" w:asciiTheme="minorEastAsia" w:hAnsiTheme="minorEastAsia" w:eastAsiaTheme="minorEastAsia" w:cstheme="minorEastAsia"/>
                <w:bCs/>
                <w:color w:val="auto"/>
                <w:sz w:val="21"/>
                <w:szCs w:val="21"/>
                <w:highlight w:val="none"/>
              </w:rPr>
              <w:t>分）</w:t>
            </w:r>
          </w:p>
        </w:tc>
        <w:tc>
          <w:tcPr>
            <w:tcW w:w="752" w:type="pct"/>
            <w:vAlign w:val="center"/>
          </w:tcPr>
          <w:p>
            <w:pPr>
              <w:keepNext w:val="0"/>
              <w:keepLines w:val="0"/>
              <w:pageBreakBefore w:val="0"/>
              <w:widowControl w:val="0"/>
              <w:kinsoku/>
              <w:wordWrap/>
              <w:overflowPunct/>
              <w:topLinePunct w:val="0"/>
              <w:autoSpaceDE/>
              <w:autoSpaceDN/>
              <w:bidi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货物性能基本分</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27</w:t>
            </w:r>
            <w:r>
              <w:rPr>
                <w:rFonts w:hint="eastAsia" w:asciiTheme="minorEastAsia" w:hAnsiTheme="minorEastAsia" w:eastAsiaTheme="minorEastAsia" w:cstheme="minorEastAsia"/>
                <w:bCs/>
                <w:color w:val="auto"/>
                <w:sz w:val="21"/>
                <w:szCs w:val="21"/>
                <w:highlight w:val="none"/>
              </w:rPr>
              <w:t>分)</w:t>
            </w:r>
          </w:p>
          <w:p>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p>
        </w:tc>
        <w:tc>
          <w:tcPr>
            <w:tcW w:w="3189" w:type="pct"/>
            <w:vAlign w:val="center"/>
          </w:tcPr>
          <w:p>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基本分（满分</w:t>
            </w:r>
            <w:r>
              <w:rPr>
                <w:rFonts w:hint="eastAsia" w:asciiTheme="minorEastAsia" w:hAnsiTheme="minorEastAsia" w:eastAsiaTheme="minorEastAsia" w:cstheme="minorEastAsia"/>
                <w:bCs/>
                <w:color w:val="auto"/>
                <w:sz w:val="21"/>
                <w:szCs w:val="21"/>
                <w:highlight w:val="none"/>
                <w:lang w:val="en-US" w:eastAsia="zh-CN"/>
              </w:rPr>
              <w:t>19</w:t>
            </w:r>
            <w:r>
              <w:rPr>
                <w:rFonts w:hint="eastAsia" w:asciiTheme="minorEastAsia" w:hAnsiTheme="minorEastAsia" w:eastAsiaTheme="minorEastAsia" w:cstheme="minorEastAsia"/>
                <w:bCs/>
                <w:color w:val="auto"/>
                <w:sz w:val="21"/>
                <w:szCs w:val="21"/>
                <w:highlight w:val="none"/>
              </w:rPr>
              <w:t>分）</w:t>
            </w:r>
            <w:r>
              <w:rPr>
                <w:rFonts w:hint="eastAsia" w:asciiTheme="minorEastAsia" w:hAnsiTheme="minorEastAsia" w:eastAsiaTheme="minorEastAsia" w:cstheme="minorEastAsia"/>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完全满足招标文件要求得</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未标注“▲”号的一般参数及功能负偏离一项扣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分，漏项的每一项扣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分，最多扣完本项分值。</w:t>
            </w:r>
          </w:p>
          <w:p>
            <w:pPr>
              <w:keepNext w:val="0"/>
              <w:keepLines w:val="0"/>
              <w:pageBreakBefore w:val="0"/>
              <w:widowControl w:val="0"/>
              <w:kinsoku/>
              <w:wordWrap/>
              <w:overflowPunct/>
              <w:topLinePunct w:val="0"/>
              <w:autoSpaceDE/>
              <w:autoSpaceDN/>
              <w:bidi w:val="0"/>
              <w:adjustRightInd/>
              <w:spacing w:line="320" w:lineRule="exact"/>
              <w:ind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）安全性能分（满分</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w:t>
            </w:r>
          </w:p>
          <w:p>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A</w:t>
            </w:r>
            <w:r>
              <w:rPr>
                <w:rFonts w:hint="eastAsia" w:asciiTheme="minorEastAsia" w:hAnsiTheme="minorEastAsia" w:eastAsiaTheme="minorEastAsia" w:cstheme="minorEastAsia"/>
                <w:color w:val="auto"/>
                <w:sz w:val="21"/>
                <w:szCs w:val="21"/>
                <w:highlight w:val="none"/>
              </w:rPr>
              <w:t>.为确保师生教学数据信息安全，投标人或所投</w:t>
            </w:r>
            <w:r>
              <w:rPr>
                <w:rFonts w:hint="eastAsia" w:asciiTheme="minorEastAsia" w:hAnsiTheme="minorEastAsia" w:eastAsiaTheme="minorEastAsia" w:cstheme="minorEastAsia"/>
                <w:b/>
                <w:bCs/>
                <w:color w:val="auto"/>
                <w:kern w:val="0"/>
                <w:sz w:val="21"/>
                <w:szCs w:val="21"/>
                <w:highlight w:val="none"/>
                <w:lang w:eastAsia="zh-CN" w:bidi="ar"/>
              </w:rPr>
              <w:t>学生控制终端</w:t>
            </w:r>
            <w:r>
              <w:rPr>
                <w:rFonts w:hint="eastAsia" w:asciiTheme="minorEastAsia" w:hAnsiTheme="minorEastAsia" w:eastAsiaTheme="minorEastAsia" w:cstheme="minorEastAsia"/>
                <w:color w:val="auto"/>
                <w:sz w:val="21"/>
                <w:szCs w:val="21"/>
                <w:highlight w:val="none"/>
              </w:rPr>
              <w:t>教学</w:t>
            </w:r>
            <w:r>
              <w:rPr>
                <w:rFonts w:hint="eastAsia" w:asciiTheme="minorEastAsia" w:hAnsiTheme="minorEastAsia" w:eastAsiaTheme="minorEastAsia" w:cstheme="minorEastAsia"/>
                <w:snapToGrid w:val="0"/>
                <w:color w:val="auto"/>
                <w:kern w:val="0"/>
                <w:sz w:val="21"/>
                <w:szCs w:val="21"/>
                <w:highlight w:val="none"/>
              </w:rPr>
              <w:t>设备</w:t>
            </w:r>
            <w:r>
              <w:rPr>
                <w:rFonts w:hint="eastAsia" w:asciiTheme="minorEastAsia" w:hAnsiTheme="minorEastAsia" w:eastAsiaTheme="minorEastAsia" w:cstheme="minorEastAsia"/>
                <w:color w:val="auto"/>
                <w:sz w:val="21"/>
                <w:szCs w:val="21"/>
                <w:highlight w:val="none"/>
              </w:rPr>
              <w:t>制造商需通过ISO27001信息安全管理体系认证，提供认证证书复印件得2分，不提供或提供不全不得分。</w:t>
            </w:r>
          </w:p>
          <w:p>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rPr>
              <w:t>.为确保云端信息数据安全管理，投标人或所投</w:t>
            </w:r>
            <w:r>
              <w:rPr>
                <w:rFonts w:hint="eastAsia" w:asciiTheme="minorEastAsia" w:hAnsiTheme="minorEastAsia" w:eastAsiaTheme="minorEastAsia" w:cstheme="minorEastAsia"/>
                <w:b/>
                <w:bCs/>
                <w:color w:val="auto"/>
                <w:kern w:val="0"/>
                <w:sz w:val="21"/>
                <w:szCs w:val="21"/>
                <w:highlight w:val="none"/>
                <w:lang w:eastAsia="zh-CN" w:bidi="ar"/>
              </w:rPr>
              <w:t>学生控制终端</w:t>
            </w:r>
            <w:r>
              <w:rPr>
                <w:rFonts w:hint="eastAsia" w:asciiTheme="minorEastAsia" w:hAnsiTheme="minorEastAsia" w:eastAsiaTheme="minorEastAsia" w:cstheme="minorEastAsia"/>
                <w:snapToGrid w:val="0"/>
                <w:color w:val="auto"/>
                <w:kern w:val="0"/>
                <w:sz w:val="21"/>
                <w:szCs w:val="21"/>
                <w:highlight w:val="none"/>
              </w:rPr>
              <w:t>教学设备</w:t>
            </w:r>
            <w:r>
              <w:rPr>
                <w:rFonts w:hint="eastAsia" w:asciiTheme="minorEastAsia" w:hAnsiTheme="minorEastAsia" w:eastAsiaTheme="minorEastAsia" w:cstheme="minorEastAsia"/>
                <w:color w:val="auto"/>
                <w:sz w:val="21"/>
                <w:szCs w:val="21"/>
                <w:highlight w:val="none"/>
              </w:rPr>
              <w:t>产品生产者需通过ISO 27017云服务信息安全管理体系，提供认证证书复印件得2分，不提供或提供不全不得分。</w:t>
            </w:r>
          </w:p>
          <w:p>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C</w:t>
            </w:r>
            <w:r>
              <w:rPr>
                <w:rFonts w:hint="eastAsia" w:asciiTheme="minorEastAsia" w:hAnsiTheme="minorEastAsia" w:eastAsiaTheme="minorEastAsia" w:cstheme="minorEastAsia"/>
                <w:color w:val="auto"/>
                <w:sz w:val="21"/>
                <w:szCs w:val="21"/>
                <w:highlight w:val="none"/>
              </w:rPr>
              <w:t>.为确保校园教学核心信息安全，投标人或所投</w:t>
            </w:r>
            <w:r>
              <w:rPr>
                <w:rFonts w:hint="eastAsia" w:asciiTheme="minorEastAsia" w:hAnsiTheme="minorEastAsia" w:eastAsiaTheme="minorEastAsia" w:cstheme="minorEastAsia"/>
                <w:b/>
                <w:bCs/>
                <w:color w:val="auto"/>
                <w:kern w:val="0"/>
                <w:sz w:val="21"/>
                <w:szCs w:val="21"/>
                <w:highlight w:val="none"/>
                <w:lang w:eastAsia="zh-CN" w:bidi="ar"/>
              </w:rPr>
              <w:t>学生控制终端</w:t>
            </w:r>
            <w:r>
              <w:rPr>
                <w:rFonts w:hint="eastAsia" w:asciiTheme="minorEastAsia" w:hAnsiTheme="minorEastAsia" w:eastAsiaTheme="minorEastAsia" w:cstheme="minorEastAsia"/>
                <w:color w:val="auto"/>
                <w:kern w:val="0"/>
                <w:sz w:val="21"/>
                <w:szCs w:val="21"/>
                <w:highlight w:val="none"/>
              </w:rPr>
              <w:t>教学设备</w:t>
            </w:r>
            <w:r>
              <w:rPr>
                <w:rFonts w:hint="eastAsia" w:asciiTheme="minorEastAsia" w:hAnsiTheme="minorEastAsia" w:eastAsiaTheme="minorEastAsia" w:cstheme="minorEastAsia"/>
                <w:color w:val="auto"/>
                <w:sz w:val="21"/>
                <w:szCs w:val="21"/>
                <w:highlight w:val="none"/>
              </w:rPr>
              <w:t>制造商具有ISO 27701隐私信息管理体系认证证书，提供认证证书复印件得2分，不提供或提供不全不得分。</w:t>
            </w:r>
          </w:p>
          <w:p>
            <w:pPr>
              <w:keepNext w:val="0"/>
              <w:keepLines w:val="0"/>
              <w:pageBreakBefore w:val="0"/>
              <w:widowControl w:val="0"/>
              <w:kinsoku/>
              <w:wordWrap/>
              <w:overflowPunct/>
              <w:topLinePunct w:val="0"/>
              <w:autoSpaceDE/>
              <w:autoSpaceDN/>
              <w:bidi w:val="0"/>
              <w:spacing w:line="32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kern w:val="0"/>
                <w:sz w:val="21"/>
                <w:szCs w:val="21"/>
                <w:highlight w:val="none"/>
                <w:lang w:val="en-US" w:eastAsia="zh-CN"/>
              </w:rPr>
              <w:t>D.</w:t>
            </w:r>
            <w:r>
              <w:rPr>
                <w:rFonts w:hint="eastAsia" w:asciiTheme="minorEastAsia" w:hAnsiTheme="minorEastAsia" w:eastAsiaTheme="minorEastAsia" w:cstheme="minorEastAsia"/>
                <w:bCs/>
                <w:color w:val="auto"/>
                <w:kern w:val="0"/>
                <w:sz w:val="21"/>
                <w:szCs w:val="21"/>
                <w:highlight w:val="none"/>
              </w:rPr>
              <w:t>为响应国家节能减排政策号召，投标人或所投</w:t>
            </w:r>
            <w:r>
              <w:rPr>
                <w:rFonts w:hint="eastAsia" w:asciiTheme="minorEastAsia" w:hAnsiTheme="minorEastAsia" w:eastAsiaTheme="minorEastAsia" w:cstheme="minorEastAsia"/>
                <w:b/>
                <w:bCs/>
                <w:color w:val="auto"/>
                <w:kern w:val="0"/>
                <w:sz w:val="21"/>
                <w:szCs w:val="21"/>
                <w:highlight w:val="none"/>
                <w:lang w:eastAsia="zh-CN" w:bidi="ar"/>
              </w:rPr>
              <w:t>学生控制终端</w:t>
            </w:r>
            <w:r>
              <w:rPr>
                <w:rFonts w:hint="eastAsia" w:asciiTheme="minorEastAsia" w:hAnsiTheme="minorEastAsia" w:eastAsiaTheme="minorEastAsia" w:cstheme="minorEastAsia"/>
                <w:bCs/>
                <w:color w:val="auto"/>
                <w:kern w:val="0"/>
                <w:sz w:val="21"/>
                <w:szCs w:val="21"/>
                <w:highlight w:val="none"/>
              </w:rPr>
              <w:t>制造商通过ISO14064核准认证证书复印件及官网查询截图，得</w:t>
            </w:r>
            <w:r>
              <w:rPr>
                <w:rFonts w:hint="eastAsia" w:asciiTheme="minorEastAsia" w:hAnsiTheme="minorEastAsia" w:eastAsiaTheme="minorEastAsia" w:cstheme="minorEastAsia"/>
                <w:bCs/>
                <w:color w:val="auto"/>
                <w:kern w:val="0"/>
                <w:sz w:val="21"/>
                <w:szCs w:val="21"/>
                <w:highlight w:val="none"/>
                <w:lang w:val="en-US" w:eastAsia="zh-CN"/>
              </w:rPr>
              <w:t>2</w:t>
            </w:r>
            <w:r>
              <w:rPr>
                <w:rFonts w:hint="eastAsia" w:asciiTheme="minorEastAsia" w:hAnsiTheme="minorEastAsia" w:eastAsiaTheme="minorEastAsia" w:cstheme="minorEastAsia"/>
                <w:bCs/>
                <w:color w:val="auto"/>
                <w:kern w:val="0"/>
                <w:sz w:val="21"/>
                <w:szCs w:val="21"/>
                <w:highlight w:val="none"/>
              </w:rPr>
              <w:t>分；</w:t>
            </w:r>
          </w:p>
          <w:p>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 w:type="pct"/>
            <w:vMerge w:val="continue"/>
          </w:tcPr>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tc>
        <w:tc>
          <w:tcPr>
            <w:tcW w:w="818" w:type="pct"/>
            <w:vMerge w:val="continue"/>
          </w:tcPr>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tc>
        <w:tc>
          <w:tcPr>
            <w:tcW w:w="752" w:type="pct"/>
            <w:tcMar>
              <w:left w:w="57" w:type="dxa"/>
              <w:right w:w="57" w:type="dxa"/>
            </w:tcMar>
            <w:vAlign w:val="center"/>
          </w:tcPr>
          <w:p>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项目实施方案分（</w:t>
            </w:r>
            <w:r>
              <w:rPr>
                <w:rFonts w:hint="eastAsia" w:asciiTheme="minorEastAsia" w:hAnsiTheme="minorEastAsia" w:eastAsiaTheme="minorEastAsia" w:cstheme="minorEastAsia"/>
                <w:bCs/>
                <w:color w:val="auto"/>
                <w:sz w:val="21"/>
                <w:szCs w:val="21"/>
                <w:highlight w:val="none"/>
                <w:lang w:val="en-US" w:eastAsia="zh-CN"/>
              </w:rPr>
              <w:t>20</w:t>
            </w:r>
            <w:r>
              <w:rPr>
                <w:rFonts w:hint="eastAsia" w:asciiTheme="minorEastAsia" w:hAnsiTheme="minorEastAsia" w:eastAsiaTheme="minorEastAsia" w:cstheme="minorEastAsia"/>
                <w:bCs/>
                <w:color w:val="auto"/>
                <w:sz w:val="21"/>
                <w:szCs w:val="21"/>
                <w:highlight w:val="none"/>
              </w:rPr>
              <w:t>分）</w:t>
            </w:r>
          </w:p>
        </w:tc>
        <w:tc>
          <w:tcPr>
            <w:tcW w:w="3189" w:type="pct"/>
          </w:tcPr>
          <w:p>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由评委在打分前根据投标文件中的保证项目实施的技术力量和人力资源安排、技术服务、技术培训的服务内容和措施、建议的安装、调试、验收方法或方案等所属档次，然后评委在各档次内独立打分。</w:t>
            </w:r>
          </w:p>
          <w:p>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一档（5 分）：针对电脑教学需求基本了解，技术方案描述相对简单，提供基础备、授课教学应用软件，教学软件支持可扩展多教室互动课堂开课。</w:t>
            </w:r>
          </w:p>
          <w:p>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二档（10分）：满足一档的基础上，针对电脑教学需求了解相对准确，技术方案描述相对清晰，提供场景安装简要设计图，对本项目供货产品建设内容的详细介绍，具备基础教学运营保障机制；满足采购需求中的教学软件，具备较好的安装调试、系统服务能力以及提供关键性技术支撑。</w:t>
            </w:r>
          </w:p>
          <w:p>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三档（20分）：满足二档的基础上，针对电脑教学需求理解透彻，技术方案描述内容齐全，有对采购内容的详细介绍，贴合采购人的实际需求；提供场景安装简要设计图，对本项目供货产品建设内容的详细介绍，具备完善的教学运营保障机制，建立原厂供应商在本地化运营服务保障机制及产品讲师团队；具备教育数据托付管理能力、存储能力及信息安全能力，投标人或所投核心产品生产厂家通过GB/T36073-2018《数据管理能力成熟度评估模型》认定，提供相关证明复印件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9" w:type="pct"/>
            <w:vMerge w:val="restart"/>
            <w:vAlign w:val="center"/>
          </w:tcPr>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818" w:type="pct"/>
            <w:vMerge w:val="restart"/>
            <w:vAlign w:val="center"/>
          </w:tcPr>
          <w:p>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320" w:lineRule="exact"/>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商务分</w:t>
            </w:r>
          </w:p>
          <w:p>
            <w:pPr>
              <w:keepNext w:val="0"/>
              <w:keepLines w:val="0"/>
              <w:pageBreakBefore w:val="0"/>
              <w:widowControl w:val="0"/>
              <w:kinsoku/>
              <w:wordWrap/>
              <w:overflowPunct/>
              <w:topLinePunct w:val="0"/>
              <w:autoSpaceDE/>
              <w:autoSpaceDN/>
              <w:bidi w:val="0"/>
              <w:snapToGrid w:val="0"/>
              <w:spacing w:line="320" w:lineRule="exact"/>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（满分</w:t>
            </w:r>
            <w:r>
              <w:rPr>
                <w:rFonts w:hint="eastAsia" w:asciiTheme="minorEastAsia" w:hAnsiTheme="minorEastAsia" w:eastAsiaTheme="minorEastAsia" w:cstheme="minorEastAsia"/>
                <w:bCs/>
                <w:color w:val="auto"/>
                <w:sz w:val="21"/>
                <w:szCs w:val="21"/>
                <w:highlight w:val="none"/>
                <w:lang w:val="en-US" w:eastAsia="zh-CN"/>
              </w:rPr>
              <w:t>23</w:t>
            </w:r>
            <w:r>
              <w:rPr>
                <w:rFonts w:hint="eastAsia" w:asciiTheme="minorEastAsia" w:hAnsiTheme="minorEastAsia" w:eastAsiaTheme="minorEastAsia" w:cstheme="minorEastAsia"/>
                <w:bCs/>
                <w:color w:val="auto"/>
                <w:sz w:val="21"/>
                <w:szCs w:val="21"/>
                <w:highlight w:val="none"/>
              </w:rPr>
              <w:t>分）</w:t>
            </w:r>
          </w:p>
        </w:tc>
        <w:tc>
          <w:tcPr>
            <w:tcW w:w="752" w:type="pct"/>
            <w:vAlign w:val="center"/>
          </w:tcPr>
          <w:p>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售后服务承诺分（</w:t>
            </w:r>
            <w:r>
              <w:rPr>
                <w:rFonts w:hint="eastAsia" w:asciiTheme="minorEastAsia" w:hAnsiTheme="minorEastAsia" w:eastAsiaTheme="minorEastAsia" w:cstheme="minorEastAsia"/>
                <w:bCs/>
                <w:color w:val="auto"/>
                <w:sz w:val="21"/>
                <w:szCs w:val="21"/>
                <w:highlight w:val="none"/>
                <w:lang w:val="en-US" w:eastAsia="zh-CN"/>
              </w:rPr>
              <w:t>20</w:t>
            </w:r>
            <w:r>
              <w:rPr>
                <w:rFonts w:hint="eastAsia" w:asciiTheme="minorEastAsia" w:hAnsiTheme="minorEastAsia" w:eastAsiaTheme="minorEastAsia" w:cstheme="minorEastAsia"/>
                <w:bCs/>
                <w:color w:val="auto"/>
                <w:sz w:val="21"/>
                <w:szCs w:val="21"/>
                <w:highlight w:val="none"/>
              </w:rPr>
              <w:t xml:space="preserve">分） </w:t>
            </w:r>
          </w:p>
        </w:tc>
        <w:tc>
          <w:tcPr>
            <w:tcW w:w="3189" w:type="pct"/>
            <w:vAlign w:val="center"/>
          </w:tcPr>
          <w:p>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根据投标文件中售后服务承诺书内容的完整性、可行性， 到达故障现场时间、故障出现解决方案、定期维护(注明时间)、 免费技术培训方案、免费保修期（免费软件升级期）外维修方案、其他优惠措施、安装要求及方案等方面，综合评定其档次并在相应等级内独立打分。 </w:t>
            </w:r>
          </w:p>
          <w:p>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一档（5分）：售后服务承诺书内容的完整性、可行性不足，没有详细的售后服务承诺，售后服务流程、应急预案、质量保障等内容。</w:t>
            </w:r>
          </w:p>
          <w:p>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二档（10 分）：方案完整可行合理，有详细的售后服务承诺，售后服务流程、应急预案、质量保障等内容，售后保障措施完备，售后服务经验丰富，售后响应及时快速，为确保项目具有完整、良好的售后服务，具有完整可靠的售后服务团队。 </w:t>
            </w:r>
          </w:p>
          <w:p>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三档（</w:t>
            </w:r>
            <w:r>
              <w:rPr>
                <w:rFonts w:hint="eastAsia" w:asciiTheme="minorEastAsia" w:hAnsiTheme="minorEastAsia" w:eastAsiaTheme="minorEastAsia" w:cstheme="minorEastAsia"/>
                <w:bCs/>
                <w:color w:val="auto"/>
                <w:sz w:val="21"/>
                <w:szCs w:val="21"/>
                <w:highlight w:val="none"/>
                <w:lang w:val="en-US" w:eastAsia="zh-CN"/>
              </w:rPr>
              <w:t>20</w:t>
            </w:r>
            <w:r>
              <w:rPr>
                <w:rFonts w:hint="eastAsia" w:asciiTheme="minorEastAsia" w:hAnsiTheme="minorEastAsia" w:eastAsiaTheme="minorEastAsia" w:cstheme="minorEastAsia"/>
                <w:bCs/>
                <w:color w:val="auto"/>
                <w:sz w:val="21"/>
                <w:szCs w:val="21"/>
                <w:highlight w:val="none"/>
              </w:rPr>
              <w:t>分）：方案完整可行合理细致，均能满足项目要求，有详细的售后服务承诺，售后服务流程、应急预案、质量保障等内容，售后保障措施完备，售后服务经验丰富，售后响应及时快速，为确保项目具有完整、良好的售后服务，具有完整可靠的售后服务团队。且投标人或所投核心产品制造商通过GB/T27922-2011售后服务认证，服务体系等级不低于十二星级，提供相关证明复印件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 w:type="pct"/>
            <w:vMerge w:val="continue"/>
          </w:tcPr>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tc>
        <w:tc>
          <w:tcPr>
            <w:tcW w:w="818" w:type="pct"/>
            <w:vMerge w:val="continue"/>
          </w:tcPr>
          <w:p>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tc>
        <w:tc>
          <w:tcPr>
            <w:tcW w:w="752" w:type="pct"/>
            <w:tcMar>
              <w:left w:w="57" w:type="dxa"/>
              <w:right w:w="57" w:type="dxa"/>
            </w:tcMar>
            <w:vAlign w:val="center"/>
          </w:tcPr>
          <w:p>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政策功能分</w:t>
            </w:r>
          </w:p>
          <w:p>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分）</w:t>
            </w:r>
          </w:p>
        </w:tc>
        <w:tc>
          <w:tcPr>
            <w:tcW w:w="3189" w:type="pct"/>
          </w:tcPr>
          <w:p>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属于财政部《节能产品政府采购品目清单》内优先采购（清单内未标注“★”的品目）的产品[投标文件中提供有效的认证证书复印件及品目清单（标注出投标产品在品目清单中所属的品目），并加盖投标人公章]，根据其所占分标投标金额比例得0至1分，满分1分。</w:t>
            </w:r>
          </w:p>
          <w:p>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属于财政部《环境标志产品政府采购品目清单》内的产品[投标文件中提供有效的认证证书复印件及品目清单（标注出投标产品在品目清单中所属的品目），并加盖投标人公章]，根据其所占分标投标金额比例得0至1分，满分1分；</w:t>
            </w:r>
          </w:p>
          <w:p>
            <w:pPr>
              <w:keepNext w:val="0"/>
              <w:keepLines w:val="0"/>
              <w:pageBreakBefore w:val="0"/>
              <w:widowControl w:val="0"/>
              <w:kinsoku/>
              <w:wordWrap/>
              <w:overflowPunct/>
              <w:topLinePunct w:val="0"/>
              <w:autoSpaceDE/>
              <w:autoSpaceDN/>
              <w:bidi w:val="0"/>
              <w:adjustRightInd/>
              <w:spacing w:line="320" w:lineRule="exact"/>
              <w:ind w:firstLine="420"/>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sz w:val="21"/>
                <w:szCs w:val="21"/>
                <w:highlight w:val="none"/>
              </w:rPr>
              <w:t>（3）出具经由省级以上行业主管部门认定的符合创新要求的产品证明材料，每项产品给予0.5分，最多1分。</w:t>
            </w:r>
          </w:p>
          <w:p>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000" w:type="pct"/>
            <w:gridSpan w:val="4"/>
          </w:tcPr>
          <w:p>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总得分=1+2+3</w:t>
            </w:r>
          </w:p>
        </w:tc>
      </w:tr>
    </w:tbl>
    <w:p>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（二）计分办法(按四舍五入取至百分位)：</w:t>
      </w:r>
    </w:p>
    <w:p>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p>
    <w:p>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pPr>
        <w:adjustRightInd/>
        <w:spacing w:line="360" w:lineRule="auto"/>
        <w:outlineLvl w:val="1"/>
        <w:rPr>
          <w:rFonts w:ascii="宋体" w:hAnsi="宋体" w:cs="宋体"/>
          <w:b/>
          <w:color w:val="auto"/>
          <w:sz w:val="32"/>
          <w:highlight w:val="none"/>
        </w:rPr>
      </w:pPr>
      <w:r>
        <w:rPr>
          <w:rFonts w:hint="eastAsia" w:ascii="宋体" w:hAnsi="宋体" w:cs="宋体"/>
          <w:b/>
          <w:color w:val="auto"/>
          <w:sz w:val="32"/>
          <w:highlight w:val="none"/>
        </w:rPr>
        <w:t>一、评标方法</w:t>
      </w:r>
    </w:p>
    <w:p>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pPr>
        <w:adjustRightIn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B最低评标价法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color w:val="auto"/>
          <w:sz w:val="32"/>
          <w:szCs w:val="32"/>
          <w:highlight w:val="none"/>
        </w:rPr>
      </w:pPr>
      <w:r>
        <w:rPr>
          <w:rFonts w:hint="eastAsia" w:ascii="宋体" w:hAnsi="宋体" w:cs="宋体"/>
          <w:b/>
          <w:color w:val="auto"/>
          <w:sz w:val="32"/>
          <w:szCs w:val="32"/>
          <w:highlight w:val="none"/>
        </w:rPr>
        <w:t>三、评标程序</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3.4.1 投标文件报价出现前后不一致的，按照下列规定修正：</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3.4.1.1 投标文件中开标一览表(报价表)内容与投标文件中相应内容不一致的，以开标一览表(报价表)为准;</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3.4.1.2 大写金额和小写金额不一致的，以大写金额为准;</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3.4.1.3 单价金额小数点或者百分比有明显错位的，以开标一览表的总价为准，并修改单价;</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3.4.1.4 总价金额与按单价汇总金额不一致的，以单价金额计算结果为准。</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3.4.1.5 同时出现两种以上不一致的，按照3.4.1规定的顺序修正。修正后的报价按照财政部第87号令 《政府采购货物和服务招标投标管理办法》第五十一条第二款的规定经投标人确认后产生约束力。</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3.4.2 投标文件出现不是唯一的、有选择性投标报价的，投标无效。</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3.4.3 投标报价超过招标文件中规定的预算金额或者最高限价的，投标无效。</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 xml:space="preserve">3.4.4 政府采购评审中出现下列情形之一的，评审委员会应当启动异常低价投标（响应）审查程序: </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 xml:space="preserve">（1）投标（响应）报价低于全部通过符合性审查供应商投标（响应）报价平均值 50%的，即投标（响应）报价&lt;全部通过符合性审查供应商投标（响应）报价平均值×50%； </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 xml:space="preserve">（2）投标（响应）报价低于通过符合性审查且报价次低供应商投标（响应）报价 50%的，即投标（响应）报价&lt;通过符合性审查且报价次低供应商投标（响应）报价×50%； </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 xml:space="preserve">（3）投标（响应）报价低于采购项目最高限价 45%的，即投标（响应）报价&lt;采购项目最高限价×45%； </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 xml:space="preserve">（4）其他评审委员会认为供应商报价过低，有可能影响产品质量或者不能诚信履约的情形。 </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 xml:space="preserve">3.4.5审查工作流程。评审委员会严格按照评审现场说明、综合评估研判和出具处理结果三个步骤开展审查流程。 </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pStyle w:val="128"/>
        <w:spacing w:before="0"/>
        <w:ind w:firstLine="480"/>
        <w:rPr>
          <w:rFonts w:hint="eastAsia" w:ascii="宋体" w:hAnsi="宋体" w:cs="宋体"/>
          <w:color w:val="auto"/>
          <w:kern w:val="0"/>
          <w:highlight w:val="none"/>
        </w:rPr>
      </w:pPr>
      <w:r>
        <w:rPr>
          <w:rFonts w:hint="eastAsia" w:ascii="宋体" w:hAnsi="宋体" w:cs="宋体"/>
          <w:color w:val="auto"/>
          <w:kern w:val="0"/>
          <w:highlight w:val="none"/>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82"/>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pStyle w:val="82"/>
        <w:rPr>
          <w:color w:val="auto"/>
          <w:highlight w:val="none"/>
        </w:rPr>
      </w:pPr>
      <w:r>
        <w:rPr>
          <w:rFonts w:hint="eastAsia" w:cs="宋体"/>
          <w:color w:val="auto"/>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line="360" w:lineRule="auto"/>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pPr>
        <w:pStyle w:val="12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pPr>
        <w:pStyle w:val="82"/>
        <w:rPr>
          <w:rFonts w:hint="eastAsia"/>
          <w:color w:val="auto"/>
          <w:highlight w:val="none"/>
        </w:rPr>
      </w:pPr>
      <w:r>
        <w:rPr>
          <w:rFonts w:hint="eastAsia"/>
          <w:color w:val="auto"/>
          <w:highlight w:val="none"/>
        </w:rPr>
        <w:t>4.2.13 投标文件不满足招标文件的其它实质性要求的；</w:t>
      </w:r>
    </w:p>
    <w:p>
      <w:pPr>
        <w:pStyle w:val="82"/>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4.2.14参与同一个采购包（标段）的供应商存在下列情形之一且无法合理解释的，其投标（响应）文件无效：</w:t>
      </w:r>
    </w:p>
    <w:p>
      <w:pPr>
        <w:pStyle w:val="82"/>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（1）不同供应商的电子投标（响应）文件上传计算机的网卡MAC地址或硬盘序列号等硬件信息相同的；</w:t>
      </w:r>
    </w:p>
    <w:p>
      <w:pPr>
        <w:pStyle w:val="82"/>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（2）上传的电子投标（响应）文件若出现使用本项目其他投标（响应）供应商的数字证书加密的，或者加盖本项目其他投标（响应）供应商的电子印章的；</w:t>
      </w:r>
    </w:p>
    <w:p>
      <w:pPr>
        <w:pStyle w:val="82"/>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）不同供应商的投标（响应）文件的内容存在3处（含）以上错误一致的；</w:t>
      </w:r>
    </w:p>
    <w:p>
      <w:pPr>
        <w:pStyle w:val="82"/>
        <w:rPr>
          <w:rFonts w:hint="eastAsia" w:eastAsia="宋体"/>
          <w:color w:val="auto"/>
          <w:highlight w:val="none"/>
          <w:lang w:val="en-US" w:eastAsia="zh-CN"/>
        </w:rPr>
      </w:pPr>
      <w:r>
        <w:rPr>
          <w:rFonts w:hint="eastAsia"/>
          <w:color w:val="auto"/>
          <w:highlight w:val="none"/>
        </w:rPr>
        <w:t>（</w:t>
      </w:r>
      <w:r>
        <w:rPr>
          <w:rFonts w:hint="eastAsia"/>
          <w:color w:val="auto"/>
          <w:highlight w:val="none"/>
          <w:lang w:val="en-US" w:eastAsia="zh-CN"/>
        </w:rPr>
        <w:t>4</w:t>
      </w:r>
      <w:r>
        <w:rPr>
          <w:rFonts w:hint="eastAsia"/>
          <w:color w:val="auto"/>
          <w:highlight w:val="none"/>
        </w:rPr>
        <w:t>）不同供应商联系人为同一人或不同联系人的联系电话一致的。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法律、法规、规章（适用本市的）及省级以上规范性文件（适用本市的）规定的其他无效情形。</w:t>
      </w:r>
    </w:p>
    <w:p>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pPr>
        <w:pStyle w:val="24"/>
        <w:snapToGrid w:val="0"/>
        <w:spacing w:line="360" w:lineRule="auto"/>
        <w:rPr>
          <w:rFonts w:cs="宋体"/>
          <w:color w:val="auto"/>
          <w:highlight w:val="none"/>
        </w:rPr>
      </w:pPr>
      <w:r>
        <w:rPr>
          <w:rFonts w:hint="eastAsia" w:cs="宋体"/>
          <w:color w:val="auto"/>
          <w:highlight w:val="none"/>
        </w:rPr>
        <w:t>5.4因重大变故，采购任务取消的。</w:t>
      </w:r>
    </w:p>
    <w:p>
      <w:pPr>
        <w:pStyle w:val="24"/>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pPr>
        <w:pStyle w:val="24"/>
        <w:snapToGrid w:val="0"/>
        <w:spacing w:line="360" w:lineRule="auto"/>
        <w:ind w:firstLine="482"/>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pPr>
        <w:pStyle w:val="82"/>
        <w:ind w:firstLine="0"/>
        <w:rPr>
          <w:b/>
          <w:color w:val="auto"/>
          <w:sz w:val="32"/>
          <w:szCs w:val="32"/>
          <w:highlight w:val="none"/>
        </w:rPr>
      </w:pPr>
      <w:r>
        <w:rPr>
          <w:rFonts w:hint="eastAsia"/>
          <w:b/>
          <w:color w:val="auto"/>
          <w:sz w:val="32"/>
          <w:szCs w:val="32"/>
          <w:highlight w:val="none"/>
        </w:rPr>
        <w:t>五、评审过程的保密与录像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4"/>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74"/>
    <w:p>
      <w:pPr>
        <w:spacing w:line="360" w:lineRule="auto"/>
        <w:rPr>
          <w:rFonts w:ascii="宋体" w:hAnsi="宋体" w:cs="宋体"/>
          <w:b/>
          <w:color w:val="auto"/>
          <w:sz w:val="36"/>
          <w:szCs w:val="36"/>
          <w:highlight w:val="none"/>
        </w:rPr>
      </w:pPr>
      <w:bookmarkStart w:id="447" w:name="第五部分"/>
      <w:bookmarkStart w:id="448" w:name="_Toc86217003"/>
    </w:p>
    <w:p>
      <w:pPr>
        <w:spacing w:line="360" w:lineRule="auto"/>
        <w:jc w:val="center"/>
        <w:outlineLvl w:val="0"/>
        <w:rPr>
          <w:rFonts w:ascii="宋体" w:hAnsi="宋体" w:cs="宋体"/>
          <w:b/>
          <w:color w:val="auto"/>
          <w:sz w:val="36"/>
          <w:szCs w:val="36"/>
          <w:highlight w:val="none"/>
        </w:rPr>
      </w:pPr>
      <w:bookmarkStart w:id="449" w:name="_Toc176343852"/>
      <w:bookmarkStart w:id="450" w:name="_Toc176185125"/>
    </w:p>
    <w:p>
      <w:pPr>
        <w:spacing w:line="360" w:lineRule="auto"/>
        <w:jc w:val="center"/>
        <w:outlineLvl w:val="0"/>
        <w:rPr>
          <w:rFonts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p>
    <w:p>
      <w:pPr>
        <w:spacing w:line="360" w:lineRule="auto"/>
        <w:jc w:val="both"/>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bookmarkEnd w:id="449"/>
      <w:bookmarkEnd w:id="450"/>
    </w:p>
    <w:p>
      <w:pPr>
        <w:adjustRightInd/>
        <w:spacing w:line="600" w:lineRule="exact"/>
        <w:ind w:firstLine="1044"/>
        <w:rPr>
          <w:rFonts w:ascii="宋体" w:hAnsi="宋体" w:cs="宋体"/>
          <w:b/>
          <w:color w:val="auto"/>
          <w:kern w:val="0"/>
          <w:sz w:val="52"/>
          <w:szCs w:val="52"/>
          <w:highlight w:val="none"/>
        </w:rPr>
      </w:pPr>
    </w:p>
    <w:p>
      <w:pPr>
        <w:adjustRightInd/>
        <w:jc w:val="center"/>
        <w:rPr>
          <w:rFonts w:ascii="宋体" w:hAnsi="宋体" w:cs="宋体"/>
          <w:b/>
          <w:bCs/>
          <w:color w:val="auto"/>
          <w:spacing w:val="-20"/>
          <w:kern w:val="44"/>
          <w:sz w:val="48"/>
          <w:szCs w:val="48"/>
          <w:highlight w:val="none"/>
        </w:rPr>
      </w:pPr>
      <w:bookmarkStart w:id="451" w:name="_Toc3995"/>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pPr>
        <w:adjustRightInd/>
        <w:jc w:val="center"/>
        <w:rPr>
          <w:rFonts w:ascii="宋体" w:hAnsi="宋体" w:cs="宋体"/>
          <w:b/>
          <w:bCs/>
          <w:color w:val="auto"/>
          <w:spacing w:val="-20"/>
          <w:kern w:val="44"/>
          <w:sz w:val="36"/>
          <w:szCs w:val="36"/>
          <w:highlight w:val="none"/>
        </w:rPr>
      </w:pPr>
    </w:p>
    <w:p>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pPr>
        <w:adjustRightInd/>
        <w:rPr>
          <w:color w:val="auto"/>
          <w:highlight w:val="none"/>
        </w:rPr>
      </w:pPr>
    </w:p>
    <w:p>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451"/>
      <w:bookmarkStart w:id="452" w:name="_Toc22209"/>
      <w:r>
        <w:rPr>
          <w:rFonts w:hint="eastAsia" w:ascii="黑体" w:hAnsi="黑体" w:eastAsia="黑体"/>
          <w:color w:val="auto"/>
          <w:sz w:val="28"/>
          <w:szCs w:val="28"/>
          <w:highlight w:val="none"/>
        </w:rPr>
        <w:t>第一节 政府采购合同协议书</w:t>
      </w:r>
      <w:bookmarkEnd w:id="452"/>
    </w:p>
    <w:p>
      <w:pPr>
        <w:pStyle w:val="82"/>
        <w:rPr>
          <w:color w:val="auto"/>
          <w:highlight w:val="none"/>
        </w:rPr>
      </w:pPr>
    </w:p>
    <w:p>
      <w:pPr>
        <w:pStyle w:val="82"/>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pPr>
        <w:pStyle w:val="82"/>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pPr>
        <w:pStyle w:val="82"/>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pPr>
        <w:pStyle w:val="82"/>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pPr>
        <w:adjustRightInd/>
        <w:spacing w:line="400" w:lineRule="exact"/>
        <w:rPr>
          <w:color w:val="auto"/>
          <w:highlight w:val="none"/>
        </w:rPr>
      </w:pPr>
    </w:p>
    <w:p>
      <w:pPr>
        <w:pStyle w:val="82"/>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82"/>
        <w:ind w:firstLine="0"/>
        <w:rPr>
          <w:b/>
          <w:color w:val="auto"/>
          <w:highlight w:val="none"/>
        </w:rPr>
      </w:pPr>
      <w:r>
        <w:rPr>
          <w:rFonts w:hint="eastAsia"/>
          <w:b/>
          <w:color w:val="auto"/>
          <w:highlight w:val="none"/>
        </w:rPr>
        <w:t>1.项目信息</w:t>
      </w:r>
    </w:p>
    <w:p>
      <w:pPr>
        <w:pStyle w:val="82"/>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pPr>
        <w:pStyle w:val="82"/>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pPr>
        <w:pStyle w:val="82"/>
        <w:ind w:firstLine="480" w:firstLineChars="200"/>
        <w:rPr>
          <w:color w:val="auto"/>
          <w:highlight w:val="none"/>
        </w:rPr>
      </w:pPr>
      <w:r>
        <w:rPr>
          <w:rFonts w:hint="eastAsia"/>
          <w:color w:val="auto"/>
          <w:highlight w:val="none"/>
        </w:rPr>
        <w:t>（3）项目内容：</w:t>
      </w:r>
    </w:p>
    <w:p>
      <w:pPr>
        <w:pStyle w:val="82"/>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pPr>
        <w:pStyle w:val="82"/>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pPr>
        <w:pStyle w:val="82"/>
        <w:ind w:firstLine="480" w:firstLineChars="200"/>
        <w:rPr>
          <w:color w:val="auto"/>
          <w:highlight w:val="none"/>
          <w:u w:val="single"/>
        </w:rPr>
      </w:pPr>
      <w:r>
        <w:rPr>
          <w:rFonts w:hint="eastAsia"/>
          <w:color w:val="auto"/>
          <w:highlight w:val="none"/>
        </w:rPr>
        <w:t>采购标的的技术要求、商务要求具体见附件。</w:t>
      </w:r>
    </w:p>
    <w:p>
      <w:pPr>
        <w:pStyle w:val="82"/>
        <w:ind w:firstLine="480" w:firstLineChars="200"/>
        <w:rPr>
          <w:rFonts w:cs="宋体"/>
          <w:color w:val="auto"/>
          <w:highlight w:val="none"/>
        </w:rPr>
      </w:pPr>
      <w:r>
        <w:rPr>
          <w:rFonts w:hint="eastAsia" w:cs="宋体"/>
          <w:color w:val="auto"/>
          <w:highlight w:val="none"/>
        </w:rPr>
        <w:t>①涉及信息类产品，请填写该产品关键部件的品牌、型号：</w:t>
      </w:r>
    </w:p>
    <w:p>
      <w:pPr>
        <w:pStyle w:val="82"/>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pPr>
        <w:pStyle w:val="82"/>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82"/>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82"/>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pPr>
        <w:pStyle w:val="82"/>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pPr>
        <w:pStyle w:val="82"/>
        <w:ind w:firstLine="480" w:firstLineChars="200"/>
        <w:rPr>
          <w:rFonts w:cs="宋体"/>
          <w:color w:val="auto"/>
          <w:highlight w:val="none"/>
        </w:rPr>
      </w:pPr>
      <w:r>
        <w:rPr>
          <w:rFonts w:hint="eastAsia" w:cs="宋体"/>
          <w:color w:val="auto"/>
          <w:highlight w:val="none"/>
        </w:rPr>
        <w:t>②涉及车辆采购，请填写是否属于新能源汽车：</w:t>
      </w:r>
    </w:p>
    <w:p>
      <w:pPr>
        <w:pStyle w:val="82"/>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pPr>
        <w:pStyle w:val="82"/>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pPr>
        <w:pStyle w:val="82"/>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pPr>
        <w:pStyle w:val="82"/>
        <w:ind w:firstLine="480" w:firstLineChars="200"/>
        <w:rPr>
          <w:rFonts w:cs="宋体"/>
          <w:color w:val="auto"/>
          <w:highlight w:val="none"/>
        </w:rPr>
      </w:pPr>
      <w:r>
        <w:rPr>
          <w:rFonts w:hint="eastAsia" w:cs="宋体"/>
          <w:color w:val="auto"/>
          <w:highlight w:val="none"/>
        </w:rPr>
        <w:t>（注：在框架协议采购的第二阶段，可选择使用该合同文本）</w:t>
      </w:r>
    </w:p>
    <w:p>
      <w:pPr>
        <w:pStyle w:val="82"/>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pPr>
        <w:pStyle w:val="82"/>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2"/>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2"/>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2"/>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2"/>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2"/>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分包供应商/制造商名称（如供应商和制造商不同，请分别填写）：</w:t>
      </w:r>
    </w:p>
    <w:p>
      <w:pPr>
        <w:pStyle w:val="82"/>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分包供应商/制造商类型（如果供应商和制造商不同，只填写制造商类型）：</w:t>
      </w:r>
    </w:p>
    <w:p>
      <w:pPr>
        <w:pStyle w:val="82"/>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pPr>
        <w:pStyle w:val="82"/>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pPr>
        <w:pStyle w:val="82"/>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pPr>
        <w:pStyle w:val="82"/>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pPr>
        <w:pStyle w:val="82"/>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pPr>
        <w:pStyle w:val="82"/>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pPr>
        <w:pStyle w:val="82"/>
        <w:ind w:firstLine="480" w:firstLineChars="200"/>
        <w:rPr>
          <w:color w:val="auto"/>
          <w:highlight w:val="none"/>
        </w:rPr>
      </w:pPr>
      <w:r>
        <w:rPr>
          <w:color w:val="auto"/>
          <w:highlight w:val="none"/>
        </w:rPr>
        <w:sym w:font="Wingdings" w:char="F0A8"/>
      </w:r>
      <w:r>
        <w:rPr>
          <w:rFonts w:hint="eastAsia"/>
          <w:color w:val="auto"/>
          <w:highlight w:val="none"/>
        </w:rPr>
        <w:t>否</w:t>
      </w:r>
    </w:p>
    <w:p>
      <w:pPr>
        <w:pStyle w:val="82"/>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pPr>
        <w:pStyle w:val="82"/>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82"/>
        <w:ind w:firstLine="480" w:firstLineChars="200"/>
        <w:rPr>
          <w:color w:val="auto"/>
          <w:highlight w:val="none"/>
        </w:rPr>
      </w:pPr>
      <w:r>
        <w:rPr>
          <w:color w:val="auto"/>
          <w:highlight w:val="none"/>
        </w:rPr>
        <w:sym w:font="Wingdings" w:char="F0A8"/>
      </w:r>
      <w:r>
        <w:rPr>
          <w:rFonts w:hint="eastAsia"/>
          <w:color w:val="auto"/>
          <w:highlight w:val="none"/>
        </w:rPr>
        <w:t>否</w:t>
      </w:r>
    </w:p>
    <w:p>
      <w:pPr>
        <w:pStyle w:val="82"/>
        <w:ind w:firstLine="480" w:firstLineChars="200"/>
        <w:rPr>
          <w:color w:val="auto"/>
          <w:highlight w:val="none"/>
        </w:rPr>
      </w:pPr>
      <w:r>
        <w:rPr>
          <w:rFonts w:hint="eastAsia"/>
          <w:color w:val="auto"/>
          <w:highlight w:val="none"/>
        </w:rPr>
        <w:t>是否涉及环境标志产品：</w:t>
      </w:r>
    </w:p>
    <w:p>
      <w:pPr>
        <w:pStyle w:val="82"/>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82"/>
        <w:ind w:firstLine="480" w:firstLineChars="200"/>
        <w:rPr>
          <w:color w:val="auto"/>
          <w:highlight w:val="none"/>
        </w:rPr>
      </w:pPr>
      <w:r>
        <w:rPr>
          <w:color w:val="auto"/>
          <w:highlight w:val="none"/>
        </w:rPr>
        <w:sym w:font="Wingdings" w:char="F0A8"/>
      </w:r>
      <w:r>
        <w:rPr>
          <w:rFonts w:hint="eastAsia"/>
          <w:color w:val="auto"/>
          <w:highlight w:val="none"/>
        </w:rPr>
        <w:t>否</w:t>
      </w:r>
    </w:p>
    <w:p>
      <w:pPr>
        <w:pStyle w:val="82"/>
        <w:ind w:firstLine="480" w:firstLineChars="200"/>
        <w:rPr>
          <w:color w:val="auto"/>
          <w:highlight w:val="none"/>
        </w:rPr>
      </w:pPr>
      <w:r>
        <w:rPr>
          <w:rFonts w:hint="eastAsia"/>
          <w:color w:val="auto"/>
          <w:highlight w:val="none"/>
        </w:rPr>
        <w:t xml:space="preserve">是否涉及绿色产品： </w:t>
      </w:r>
    </w:p>
    <w:p>
      <w:pPr>
        <w:pStyle w:val="82"/>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82"/>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pPr>
        <w:pStyle w:val="82"/>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pPr>
        <w:pStyle w:val="82"/>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pPr>
        <w:pStyle w:val="82"/>
        <w:ind w:firstLineChars="200"/>
        <w:rPr>
          <w:b/>
          <w:color w:val="auto"/>
          <w:highlight w:val="none"/>
        </w:rPr>
      </w:pPr>
      <w:r>
        <w:rPr>
          <w:rFonts w:hint="eastAsia"/>
          <w:b/>
          <w:color w:val="auto"/>
          <w:highlight w:val="none"/>
        </w:rPr>
        <w:t>2.合同金额</w:t>
      </w:r>
    </w:p>
    <w:p>
      <w:pPr>
        <w:pStyle w:val="82"/>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pPr>
        <w:pStyle w:val="82"/>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pPr>
        <w:pStyle w:val="82"/>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 xml:space="preserve">    （注：固定单价合同应填写单价和最高限价）</w:t>
      </w:r>
    </w:p>
    <w:p>
      <w:pPr>
        <w:pStyle w:val="82"/>
        <w:ind w:firstLine="480" w:firstLineChars="200"/>
        <w:rPr>
          <w:color w:val="auto"/>
          <w:highlight w:val="none"/>
        </w:rPr>
      </w:pPr>
      <w:r>
        <w:rPr>
          <w:rFonts w:hint="eastAsia"/>
          <w:color w:val="auto"/>
          <w:highlight w:val="none"/>
        </w:rPr>
        <w:t>（2）合同定价方式（采用组合定价方式的，可以勾选多项）：</w:t>
      </w:r>
    </w:p>
    <w:p>
      <w:pPr>
        <w:pStyle w:val="82"/>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（3）付款方式（按项目实际勾选填写）：</w:t>
      </w:r>
    </w:p>
    <w:p>
      <w:pPr>
        <w:pStyle w:val="82"/>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pPr>
        <w:pStyle w:val="82"/>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pPr>
        <w:pStyle w:val="82"/>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pPr>
        <w:pStyle w:val="82"/>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pPr>
        <w:pStyle w:val="82"/>
        <w:ind w:firstLineChars="200"/>
        <w:rPr>
          <w:b/>
          <w:color w:val="auto"/>
          <w:highlight w:val="none"/>
          <w:u w:val="single"/>
        </w:rPr>
      </w:pPr>
      <w:r>
        <w:rPr>
          <w:rFonts w:hint="eastAsia"/>
          <w:b/>
          <w:color w:val="auto"/>
          <w:highlight w:val="none"/>
        </w:rPr>
        <w:t>3.合同履行</w:t>
      </w:r>
    </w:p>
    <w:p>
      <w:pPr>
        <w:pStyle w:val="82"/>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pPr>
        <w:pStyle w:val="82"/>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pPr>
        <w:pStyle w:val="82"/>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pPr>
        <w:pStyle w:val="82"/>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pPr>
        <w:pStyle w:val="82"/>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pPr>
        <w:pStyle w:val="82"/>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pPr>
        <w:pStyle w:val="82"/>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pPr>
        <w:pStyle w:val="82"/>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pPr>
        <w:pStyle w:val="82"/>
        <w:ind w:firstLineChars="200"/>
        <w:rPr>
          <w:b/>
          <w:color w:val="auto"/>
          <w:highlight w:val="none"/>
        </w:rPr>
      </w:pPr>
      <w:r>
        <w:rPr>
          <w:rFonts w:hint="eastAsia"/>
          <w:b/>
          <w:color w:val="auto"/>
          <w:highlight w:val="none"/>
        </w:rPr>
        <w:t>4.合同验收</w:t>
      </w:r>
    </w:p>
    <w:p>
      <w:pPr>
        <w:pStyle w:val="82"/>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pPr>
        <w:pStyle w:val="82"/>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pPr>
        <w:pStyle w:val="82"/>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pPr>
        <w:pStyle w:val="82"/>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pPr>
        <w:pStyle w:val="82"/>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pPr>
        <w:pStyle w:val="82"/>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pPr>
        <w:pStyle w:val="82"/>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pPr>
        <w:pStyle w:val="82"/>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pPr>
        <w:pStyle w:val="82"/>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pPr>
        <w:pStyle w:val="82"/>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pPr>
        <w:pStyle w:val="82"/>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pPr>
        <w:pStyle w:val="82"/>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pPr>
        <w:pStyle w:val="82"/>
        <w:ind w:firstLineChars="200"/>
        <w:rPr>
          <w:b/>
          <w:color w:val="auto"/>
          <w:highlight w:val="none"/>
        </w:rPr>
      </w:pPr>
      <w:r>
        <w:rPr>
          <w:rFonts w:hint="eastAsia"/>
          <w:b/>
          <w:color w:val="auto"/>
          <w:highlight w:val="none"/>
        </w:rPr>
        <w:t>5.组成合同的文件</w:t>
      </w:r>
    </w:p>
    <w:p>
      <w:pPr>
        <w:pStyle w:val="82"/>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pPr>
        <w:pStyle w:val="82"/>
        <w:ind w:firstLine="480" w:firstLineChars="200"/>
        <w:rPr>
          <w:color w:val="auto"/>
          <w:highlight w:val="none"/>
        </w:rPr>
      </w:pPr>
      <w:r>
        <w:rPr>
          <w:rFonts w:hint="eastAsia"/>
          <w:color w:val="auto"/>
          <w:highlight w:val="none"/>
        </w:rPr>
        <w:t>（1）政府采购合同协议书及其变更、补充协议</w:t>
      </w:r>
    </w:p>
    <w:p>
      <w:pPr>
        <w:pStyle w:val="82"/>
        <w:ind w:firstLine="480" w:firstLineChars="200"/>
        <w:rPr>
          <w:color w:val="auto"/>
          <w:highlight w:val="none"/>
        </w:rPr>
      </w:pPr>
      <w:r>
        <w:rPr>
          <w:rFonts w:hint="eastAsia"/>
          <w:color w:val="auto"/>
          <w:highlight w:val="none"/>
        </w:rPr>
        <w:t>（2）政府采购合同专用条款</w:t>
      </w:r>
    </w:p>
    <w:p>
      <w:pPr>
        <w:pStyle w:val="82"/>
        <w:ind w:firstLine="480" w:firstLineChars="200"/>
        <w:rPr>
          <w:color w:val="auto"/>
          <w:highlight w:val="none"/>
        </w:rPr>
      </w:pPr>
      <w:r>
        <w:rPr>
          <w:rFonts w:hint="eastAsia"/>
          <w:color w:val="auto"/>
          <w:highlight w:val="none"/>
        </w:rPr>
        <w:t>（3）政府采购合同通用条款</w:t>
      </w:r>
    </w:p>
    <w:p>
      <w:pPr>
        <w:pStyle w:val="82"/>
        <w:ind w:firstLine="480" w:firstLineChars="200"/>
        <w:rPr>
          <w:color w:val="auto"/>
          <w:highlight w:val="none"/>
        </w:rPr>
      </w:pPr>
      <w:r>
        <w:rPr>
          <w:rFonts w:hint="eastAsia"/>
          <w:color w:val="auto"/>
          <w:highlight w:val="none"/>
        </w:rPr>
        <w:t>（4）中标（成交）通知书</w:t>
      </w:r>
    </w:p>
    <w:p>
      <w:pPr>
        <w:pStyle w:val="82"/>
        <w:ind w:firstLine="480" w:firstLineChars="200"/>
        <w:rPr>
          <w:color w:val="auto"/>
          <w:highlight w:val="none"/>
        </w:rPr>
      </w:pPr>
      <w:r>
        <w:rPr>
          <w:rFonts w:hint="eastAsia"/>
          <w:color w:val="auto"/>
          <w:highlight w:val="none"/>
        </w:rPr>
        <w:t>（5）投标（响应）文件</w:t>
      </w:r>
    </w:p>
    <w:p>
      <w:pPr>
        <w:pStyle w:val="82"/>
        <w:ind w:firstLine="480" w:firstLineChars="200"/>
        <w:rPr>
          <w:color w:val="auto"/>
          <w:highlight w:val="none"/>
        </w:rPr>
      </w:pPr>
      <w:r>
        <w:rPr>
          <w:rFonts w:hint="eastAsia"/>
          <w:color w:val="auto"/>
          <w:highlight w:val="none"/>
        </w:rPr>
        <w:t>（6）采购文件</w:t>
      </w:r>
    </w:p>
    <w:p>
      <w:pPr>
        <w:pStyle w:val="82"/>
        <w:ind w:firstLine="480" w:firstLineChars="200"/>
        <w:rPr>
          <w:color w:val="auto"/>
          <w:highlight w:val="none"/>
        </w:rPr>
      </w:pPr>
      <w:r>
        <w:rPr>
          <w:rFonts w:hint="eastAsia"/>
          <w:color w:val="auto"/>
          <w:highlight w:val="none"/>
        </w:rPr>
        <w:t>（7）有关技术文件，图纸</w:t>
      </w:r>
    </w:p>
    <w:p>
      <w:pPr>
        <w:pStyle w:val="82"/>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pPr>
        <w:pStyle w:val="82"/>
        <w:ind w:firstLineChars="200"/>
        <w:rPr>
          <w:b/>
          <w:color w:val="auto"/>
          <w:highlight w:val="none"/>
        </w:rPr>
      </w:pPr>
      <w:r>
        <w:rPr>
          <w:rFonts w:hint="eastAsia"/>
          <w:b/>
          <w:color w:val="auto"/>
          <w:highlight w:val="none"/>
        </w:rPr>
        <w:t>6.合同生效</w:t>
      </w:r>
    </w:p>
    <w:p>
      <w:pPr>
        <w:pStyle w:val="82"/>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pPr>
        <w:pStyle w:val="82"/>
        <w:ind w:firstLineChars="200"/>
        <w:rPr>
          <w:b/>
          <w:color w:val="auto"/>
          <w:highlight w:val="none"/>
        </w:rPr>
      </w:pPr>
      <w:r>
        <w:rPr>
          <w:rFonts w:hint="eastAsia"/>
          <w:b/>
          <w:color w:val="auto"/>
          <w:highlight w:val="none"/>
        </w:rPr>
        <w:t>7.合同份数</w:t>
      </w:r>
    </w:p>
    <w:p>
      <w:pPr>
        <w:pStyle w:val="82"/>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pPr>
        <w:pStyle w:val="82"/>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82"/>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附件：具体标的及其技术要求和商务要求、联合协议、分包意向协议等。</w:t>
      </w:r>
    </w:p>
    <w:p>
      <w:pPr>
        <w:pStyle w:val="82"/>
        <w:rPr>
          <w:color w:val="auto"/>
          <w:highlight w:val="none"/>
        </w:rPr>
      </w:pPr>
    </w:p>
    <w:p>
      <w:pPr>
        <w:pStyle w:val="82"/>
        <w:rPr>
          <w:color w:val="auto"/>
          <w:szCs w:val="21"/>
          <w:highlight w:val="none"/>
        </w:rPr>
      </w:pPr>
      <w:r>
        <w:rPr>
          <w:color w:val="auto"/>
          <w:highlight w:val="none"/>
          <w:lang w:val="en"/>
        </w:rPr>
        <w:t xml:space="preserve">   </w:t>
      </w:r>
    </w:p>
    <w:p>
      <w:pPr>
        <w:adjustRightInd/>
        <w:rPr>
          <w:color w:val="auto"/>
          <w:highlight w:val="none"/>
        </w:rPr>
      </w:pPr>
      <w:r>
        <w:rPr>
          <w:color w:val="auto"/>
          <w:highlight w:val="none"/>
        </w:rPr>
        <w:br w:type="page"/>
      </w:r>
    </w:p>
    <w:p>
      <w:pPr>
        <w:adjustRightInd/>
        <w:ind w:firstLine="420" w:firstLineChars="200"/>
        <w:rPr>
          <w:color w:val="auto"/>
          <w:szCs w:val="21"/>
          <w:highlight w:val="none"/>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453" w:name="_Toc27624"/>
      <w:r>
        <w:rPr>
          <w:rFonts w:hint="eastAsia" w:ascii="黑体" w:hAnsi="黑体" w:eastAsia="黑体"/>
          <w:color w:val="auto"/>
          <w:sz w:val="28"/>
          <w:szCs w:val="28"/>
          <w:highlight w:val="none"/>
        </w:rPr>
        <w:t>第二节 政府采购合同通用条款</w:t>
      </w:r>
      <w:bookmarkEnd w:id="453"/>
    </w:p>
    <w:p>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454"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454"/>
      <w:r>
        <w:rPr>
          <w:rFonts w:hint="eastAsia" w:ascii="宋体" w:hAnsi="宋体"/>
          <w:color w:val="auto"/>
          <w:sz w:val="24"/>
          <w:highlight w:val="none"/>
        </w:rPr>
        <w:t>。</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455" w:name="_Toc20313"/>
      <w:r>
        <w:rPr>
          <w:rFonts w:hint="eastAsia" w:ascii="黑体" w:hAnsi="华文中宋" w:eastAsia="黑体"/>
          <w:color w:val="auto"/>
          <w:sz w:val="24"/>
          <w:highlight w:val="none"/>
        </w:rPr>
        <w:br w:type="page"/>
      </w:r>
    </w:p>
    <w:p>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455"/>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color w:val="auto"/>
                <w:sz w:val="24"/>
                <w:highlight w:val="none"/>
              </w:rPr>
            </w:pPr>
          </w:p>
        </w:tc>
      </w:tr>
    </w:tbl>
    <w:p>
      <w:pPr>
        <w:adjustRightInd/>
        <w:rPr>
          <w:color w:val="auto"/>
          <w:highlight w:val="none"/>
        </w:rPr>
      </w:pPr>
    </w:p>
    <w:p>
      <w:pPr>
        <w:adjustRightInd/>
        <w:rPr>
          <w:color w:val="auto"/>
          <w:highlight w:val="none"/>
        </w:rPr>
      </w:pPr>
    </w:p>
    <w:p>
      <w:pPr>
        <w:spacing w:line="360" w:lineRule="auto"/>
        <w:ind w:left="-420" w:leftChars="-200" w:right="-420" w:rightChars="-200"/>
        <w:rPr>
          <w:rFonts w:ascii="宋体" w:hAnsi="宋体" w:cs="宋体"/>
          <w:color w:val="auto"/>
          <w:sz w:val="24"/>
          <w:highlight w:val="none"/>
        </w:rPr>
      </w:pPr>
    </w:p>
    <w:p>
      <w:pPr>
        <w:pStyle w:val="3"/>
        <w:rPr>
          <w:color w:val="auto"/>
          <w:highlight w:val="none"/>
        </w:rPr>
      </w:pPr>
      <w:r>
        <w:rPr>
          <w:color w:val="auto"/>
          <w:highlight w:val="none"/>
        </w:rPr>
        <w:br w:type="page"/>
      </w:r>
    </w:p>
    <w:p>
      <w:pPr>
        <w:rPr>
          <w:color w:val="auto"/>
          <w:highlight w:val="none"/>
        </w:rPr>
      </w:pPr>
    </w:p>
    <w:p>
      <w:pPr>
        <w:spacing w:line="360" w:lineRule="auto"/>
        <w:ind w:left="720" w:firstLine="723" w:firstLineChars="200"/>
        <w:outlineLvl w:val="0"/>
        <w:rPr>
          <w:rFonts w:ascii="宋体" w:hAnsi="宋体" w:cs="宋体"/>
          <w:b/>
          <w:color w:val="auto"/>
          <w:sz w:val="36"/>
          <w:szCs w:val="20"/>
          <w:highlight w:val="none"/>
        </w:rPr>
      </w:pPr>
      <w:bookmarkStart w:id="456" w:name="_Toc176343853"/>
      <w:bookmarkStart w:id="457" w:name="_Toc176185126"/>
      <w:r>
        <w:rPr>
          <w:rFonts w:hint="eastAsia" w:ascii="宋体" w:hAnsi="宋体" w:cs="宋体"/>
          <w:b/>
          <w:color w:val="auto"/>
          <w:sz w:val="36"/>
          <w:szCs w:val="20"/>
          <w:highlight w:val="none"/>
        </w:rPr>
        <w:t>第六部分</w:t>
      </w:r>
      <w:bookmarkEnd w:id="447"/>
      <w:r>
        <w:rPr>
          <w:rFonts w:hint="eastAsia" w:ascii="宋体" w:hAnsi="宋体" w:cs="宋体"/>
          <w:b/>
          <w:color w:val="auto"/>
          <w:sz w:val="36"/>
          <w:szCs w:val="20"/>
          <w:highlight w:val="none"/>
        </w:rPr>
        <w:t xml:space="preserve"> </w:t>
      </w:r>
      <w:bookmarkEnd w:id="448"/>
      <w:r>
        <w:rPr>
          <w:rFonts w:hint="eastAsia" w:ascii="宋体" w:hAnsi="宋体" w:cs="宋体"/>
          <w:b/>
          <w:color w:val="auto"/>
          <w:sz w:val="36"/>
          <w:szCs w:val="20"/>
          <w:highlight w:val="none"/>
        </w:rPr>
        <w:t xml:space="preserve"> 应提交的有关格式范例</w:t>
      </w:r>
      <w:bookmarkEnd w:id="456"/>
      <w:bookmarkEnd w:id="457"/>
    </w:p>
    <w:p>
      <w:pPr>
        <w:pStyle w:val="82"/>
        <w:rPr>
          <w:color w:val="auto"/>
          <w:highlight w:val="none"/>
        </w:r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pStyle w:val="82"/>
        <w:rPr>
          <w:color w:val="auto"/>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（1）符合参加政府采购活动应当具备的一般条件的承诺函……………（页码）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tabs>
          <w:tab w:val="left" w:pos="284"/>
        </w:tabs>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napToGrid w:val="0"/>
        <w:spacing w:line="360" w:lineRule="auto"/>
        <w:ind w:right="480"/>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p>
    <w:p>
      <w:pPr>
        <w:rPr>
          <w:rFonts w:ascii="宋体" w:hAnsi="宋体" w:cs="宋体"/>
          <w:color w:val="auto"/>
          <w:highlight w:val="none"/>
        </w:rPr>
      </w:pPr>
    </w:p>
    <w:p>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ascii="宋体" w:hAnsi="宋体" w:cs="宋体"/>
          <w:color w:val="auto"/>
          <w:sz w:val="24"/>
          <w:highlight w:val="none"/>
        </w:rPr>
      </w:pPr>
    </w:p>
    <w:p>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pPr>
        <w:widowControl/>
        <w:spacing w:line="360" w:lineRule="auto"/>
        <w:ind w:left="150"/>
        <w:jc w:val="center"/>
        <w:rPr>
          <w:rFonts w:ascii="宋体" w:hAnsi="宋体" w:cs="宋体"/>
          <w:b/>
          <w:color w:val="auto"/>
          <w:kern w:val="0"/>
          <w:sz w:val="32"/>
          <w:szCs w:val="32"/>
          <w:highlight w:val="none"/>
        </w:rPr>
      </w:pPr>
    </w:p>
    <w:p>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ascii="宋体" w:hAnsi="宋体" w:cs="宋体"/>
          <w:color w:val="auto"/>
          <w:highlight w:val="none"/>
        </w:rPr>
      </w:pPr>
    </w:p>
    <w:p>
      <w:pPr>
        <w:widowControl/>
        <w:adjustRightInd/>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adjustRightInd/>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pPr>
        <w:snapToGrid w:val="0"/>
        <w:spacing w:line="360" w:lineRule="auto"/>
        <w:ind w:left="479" w:leftChars="228"/>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（1）投标函</w:t>
      </w:r>
      <w:r>
        <w:rPr>
          <w:rFonts w:hint="eastAsia" w:ascii="宋体" w:hAnsi="宋体" w:cs="宋体"/>
          <w:color w:val="auto"/>
          <w:highlight w:val="none"/>
        </w:rPr>
        <w:t>…………………………………………………………………………………（页码）</w:t>
      </w:r>
      <w:bookmarkStart w:id="458" w:name="_Hlk203408480"/>
      <w:r>
        <w:rPr>
          <w:rFonts w:hint="eastAsia" w:ascii="宋体" w:hAnsi="宋体" w:cs="宋体"/>
          <w:color w:val="auto"/>
          <w:szCs w:val="21"/>
          <w:highlight w:val="none"/>
        </w:rPr>
        <w:t>▲</w:t>
      </w:r>
      <w:bookmarkEnd w:id="458"/>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r>
        <w:rPr>
          <w:rFonts w:hint="eastAsia" w:ascii="宋体" w:hAnsi="宋体" w:cs="宋体"/>
          <w:color w:val="auto"/>
          <w:szCs w:val="21"/>
          <w:highlight w:val="none"/>
        </w:rPr>
        <w:t>▲</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bookmarkStart w:id="459" w:name="_Hlk203408512"/>
      <w:r>
        <w:rPr>
          <w:rFonts w:hint="eastAsia" w:ascii="宋体" w:hAnsi="宋体" w:cs="宋体"/>
          <w:color w:val="auto"/>
          <w:szCs w:val="21"/>
          <w:highlight w:val="none"/>
        </w:rPr>
        <w:t>▲</w:t>
      </w:r>
      <w:bookmarkEnd w:id="459"/>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bookmarkStart w:id="460" w:name="_Hlk203408516"/>
      <w:r>
        <w:rPr>
          <w:rFonts w:hint="eastAsia" w:ascii="宋体" w:hAnsi="宋体" w:cs="宋体"/>
          <w:color w:val="auto"/>
          <w:szCs w:val="21"/>
          <w:highlight w:val="none"/>
        </w:rPr>
        <w:t>▲</w:t>
      </w:r>
      <w:bookmarkEnd w:id="460"/>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）售后服务方案</w:t>
      </w:r>
      <w:r>
        <w:rPr>
          <w:rFonts w:hint="eastAsia" w:ascii="宋体" w:hAnsi="宋体" w:cs="宋体"/>
          <w:color w:val="auto"/>
          <w:highlight w:val="none"/>
        </w:rPr>
        <w:t>………………………………………………………………………（页码）</w:t>
      </w:r>
    </w:p>
    <w:p>
      <w:pPr>
        <w:pStyle w:val="82"/>
        <w:rPr>
          <w:color w:val="auto"/>
          <w:highlight w:val="none"/>
        </w:rPr>
      </w:pPr>
    </w:p>
    <w:p>
      <w:pPr>
        <w:snapToGrid w:val="0"/>
        <w:spacing w:line="360" w:lineRule="auto"/>
        <w:jc w:val="center"/>
        <w:rPr>
          <w:rFonts w:ascii="宋体" w:hAnsi="宋体" w:cs="宋体"/>
          <w:b/>
          <w:color w:val="auto"/>
          <w:kern w:val="0"/>
          <w:sz w:val="32"/>
          <w:szCs w:val="32"/>
          <w:highlight w:val="none"/>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rPr>
      </w:pPr>
    </w:p>
    <w:p>
      <w:pPr>
        <w:snapToGrid w:val="0"/>
        <w:spacing w:line="360" w:lineRule="auto"/>
        <w:jc w:val="center"/>
        <w:rPr>
          <w:rFonts w:ascii="宋体" w:hAnsi="宋体" w:cs="宋体"/>
          <w:b/>
          <w:color w:val="auto"/>
          <w:kern w:val="0"/>
          <w:sz w:val="32"/>
          <w:szCs w:val="32"/>
          <w:highlight w:val="none"/>
        </w:rPr>
      </w:pPr>
    </w:p>
    <w:p>
      <w:pPr>
        <w:pStyle w:val="82"/>
        <w:rPr>
          <w:color w:val="auto"/>
          <w:highlight w:val="none"/>
        </w:rPr>
      </w:pPr>
    </w:p>
    <w:p>
      <w:pPr>
        <w:rPr>
          <w:color w:val="auto"/>
          <w:highlight w:val="none"/>
        </w:rPr>
      </w:pPr>
    </w:p>
    <w:p>
      <w:pPr>
        <w:snapToGrid w:val="0"/>
        <w:spacing w:line="360" w:lineRule="auto"/>
        <w:ind w:firstLine="3855" w:firstLineChars="1200"/>
        <w:rPr>
          <w:rFonts w:ascii="宋体" w:hAnsi="宋体" w:cs="宋体"/>
          <w:b/>
          <w:color w:val="auto"/>
          <w:kern w:val="0"/>
          <w:sz w:val="32"/>
          <w:szCs w:val="32"/>
          <w:highlight w:val="none"/>
        </w:rPr>
      </w:pPr>
    </w:p>
    <w:p>
      <w:pPr>
        <w:snapToGrid w:val="0"/>
        <w:spacing w:line="360" w:lineRule="auto"/>
        <w:ind w:firstLine="3855" w:firstLineChars="1200"/>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ind w:firstLine="3855" w:firstLineChars="120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pPr>
        <w:pStyle w:val="82"/>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w:t>
      </w:r>
      <w:r>
        <w:rPr>
          <w:rFonts w:hint="eastAsia" w:cs="宋体"/>
          <w:color w:val="auto"/>
          <w:highlight w:val="none"/>
          <w:lang w:val="zh-CN"/>
        </w:rPr>
        <w:t>售后服务方案。</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jc w:val="center"/>
        <w:rPr>
          <w:rFonts w:ascii="宋体" w:hAnsi="宋体" w:cs="宋体"/>
          <w:b/>
          <w:color w:val="auto"/>
          <w:kern w:val="0"/>
          <w:sz w:val="32"/>
          <w:szCs w:val="32"/>
          <w:highlight w:val="none"/>
        </w:r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pStyle w:val="146"/>
        <w:spacing w:line="360" w:lineRule="auto"/>
        <w:rPr>
          <w:rFonts w:hAnsi="宋体"/>
          <w:color w:val="auto"/>
          <w:sz w:val="24"/>
          <w:highlight w:val="none"/>
        </w:rPr>
      </w:pPr>
    </w:p>
    <w:p>
      <w:pPr>
        <w:pStyle w:val="146"/>
        <w:spacing w:line="360" w:lineRule="auto"/>
        <w:rPr>
          <w:rFonts w:hAnsi="宋体" w:cs="宋体"/>
          <w:bCs/>
          <w:color w:val="auto"/>
          <w:sz w:val="24"/>
          <w:highlight w:val="none"/>
        </w:rPr>
      </w:pPr>
      <w:r>
        <w:rPr>
          <w:rFonts w:hint="eastAsia" w:hAnsi="宋体"/>
          <w:color w:val="auto"/>
          <w:sz w:val="24"/>
          <w:highlight w:val="none"/>
        </w:rPr>
        <w:t>委托代理人和法定代表人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6"/>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81"/>
          <w:color w:val="auto"/>
          <w:highlight w:val="none"/>
        </w:rPr>
      </w:pPr>
      <w:r>
        <w:rPr>
          <w:rStyle w:val="81"/>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81"/>
          <w:rFonts w:hint="eastAsia"/>
          <w:color w:val="auto"/>
          <w:highlight w:val="none"/>
        </w:rPr>
        <w:t>联合体成</w:t>
      </w:r>
      <w:r>
        <w:rPr>
          <w:rFonts w:hint="eastAsia" w:ascii="宋体" w:hAnsi="宋体" w:cs="宋体"/>
          <w:color w:val="auto"/>
          <w:kern w:val="0"/>
          <w:sz w:val="24"/>
          <w:highlight w:val="none"/>
          <w:lang w:val="zh-CN"/>
        </w:rPr>
        <w:t>员名称(公章)：</w:t>
      </w:r>
    </w:p>
    <w:p>
      <w:pPr>
        <w:pStyle w:val="82"/>
        <w:ind w:firstLine="5040" w:firstLineChars="2100"/>
        <w:rPr>
          <w:color w:val="auto"/>
          <w:highlight w:val="none"/>
        </w:rPr>
      </w:pPr>
      <w:r>
        <w:rPr>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pStyle w:val="146"/>
        <w:spacing w:line="360" w:lineRule="auto"/>
        <w:rPr>
          <w:rFonts w:hAnsi="宋体"/>
          <w:color w:val="auto"/>
          <w:sz w:val="24"/>
          <w:highlight w:val="none"/>
        </w:rPr>
      </w:pPr>
    </w:p>
    <w:p>
      <w:pPr>
        <w:pStyle w:val="146"/>
        <w:spacing w:line="360" w:lineRule="auto"/>
        <w:rPr>
          <w:rFonts w:hAnsi="宋体" w:cs="宋体"/>
          <w:bCs/>
          <w:color w:val="auto"/>
          <w:sz w:val="24"/>
          <w:highlight w:val="none"/>
        </w:rPr>
      </w:pPr>
      <w:r>
        <w:rPr>
          <w:rFonts w:hint="eastAsia" w:hAnsi="宋体"/>
          <w:color w:val="auto"/>
          <w:sz w:val="24"/>
          <w:highlight w:val="none"/>
        </w:rPr>
        <w:t>委托代理人和联合体牵头单位法定代表人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6"/>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pStyle w:val="146"/>
        <w:spacing w:line="360" w:lineRule="auto"/>
        <w:rPr>
          <w:rFonts w:hAnsi="宋体" w:cs="宋体"/>
          <w:bCs/>
          <w:color w:val="auto"/>
          <w:sz w:val="24"/>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pPr>
        <w:pStyle w:val="146"/>
        <w:spacing w:line="360" w:lineRule="auto"/>
        <w:rPr>
          <w:rFonts w:hAnsi="宋体" w:cs="宋体"/>
          <w:bCs/>
          <w:color w:val="auto"/>
          <w:sz w:val="24"/>
          <w:highlight w:val="none"/>
        </w:rPr>
      </w:pPr>
      <w:r>
        <w:rPr>
          <w:rFonts w:hint="eastAsia" w:hAnsi="宋体" w:cs="宋体"/>
          <w:color w:val="auto"/>
          <w:kern w:val="0"/>
          <w:sz w:val="24"/>
          <w:highlight w:val="none"/>
          <w:lang w:val="zh-CN"/>
        </w:rPr>
        <w:t xml:space="preserve">                               日期：  年  月  日</w:t>
      </w:r>
    </w:p>
    <w:p>
      <w:pPr>
        <w:pStyle w:val="146"/>
        <w:spacing w:line="360" w:lineRule="auto"/>
        <w:rPr>
          <w:rFonts w:hAnsi="宋体" w:cs="宋体"/>
          <w:bCs/>
          <w:color w:val="auto"/>
          <w:sz w:val="24"/>
          <w:highlight w:val="none"/>
        </w:rPr>
      </w:pPr>
    </w:p>
    <w:p>
      <w:pPr>
        <w:pStyle w:val="146"/>
        <w:spacing w:line="360" w:lineRule="auto"/>
        <w:rPr>
          <w:rFonts w:hAnsi="宋体" w:cs="宋体"/>
          <w:bCs/>
          <w:color w:val="auto"/>
          <w:sz w:val="24"/>
          <w:highlight w:val="none"/>
        </w:rPr>
      </w:pPr>
      <w:r>
        <w:rPr>
          <w:rFonts w:hint="eastAsia" w:hAnsi="宋体"/>
          <w:color w:val="auto"/>
          <w:sz w:val="24"/>
          <w:highlight w:val="none"/>
        </w:rPr>
        <w:t>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6"/>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right="480"/>
        <w:rPr>
          <w:rFonts w:ascii="宋体" w:hAnsi="宋体" w:cs="宋体"/>
          <w:b/>
          <w:color w:val="auto"/>
          <w:kern w:val="0"/>
          <w:sz w:val="32"/>
          <w:szCs w:val="32"/>
          <w:highlight w:val="none"/>
        </w:rPr>
        <w:sectPr>
          <w:headerReference r:id="rId18" w:type="first"/>
          <w:footerReference r:id="rId20" w:type="first"/>
          <w:headerReference r:id="rId17" w:type="default"/>
          <w:footerReference r:id="rId19" w:type="default"/>
          <w:pgSz w:w="11906" w:h="16838"/>
          <w:pgMar w:top="1276" w:right="1418" w:bottom="1247" w:left="1418" w:header="851" w:footer="992" w:gutter="0"/>
          <w:cols w:space="720" w:num="1"/>
          <w:titlePg/>
          <w:docGrid w:linePitch="312" w:charSpace="0"/>
        </w:sectPr>
      </w:pPr>
    </w:p>
    <w:p>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ascii="宋体" w:hAnsi="宋体" w:cs="宋体"/>
          <w:color w:val="auto"/>
          <w:sz w:val="24"/>
          <w:highlight w:val="none"/>
        </w:rPr>
      </w:pPr>
      <w:bookmarkStart w:id="461"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61"/>
    <w:p>
      <w:pPr>
        <w:snapToGrid w:val="0"/>
        <w:spacing w:line="360" w:lineRule="auto"/>
        <w:rPr>
          <w:rFonts w:ascii="宋体" w:hAnsi="宋体" w:cs="宋体"/>
          <w:color w:val="auto"/>
          <w:kern w:val="0"/>
          <w:sz w:val="24"/>
          <w:highlight w:val="none"/>
        </w:rPr>
      </w:pPr>
    </w:p>
    <w:p>
      <w:pPr>
        <w:jc w:val="center"/>
        <w:rPr>
          <w:rFonts w:ascii="宋体" w:hAnsi="宋体" w:cs="宋体"/>
          <w:b/>
          <w:color w:val="auto"/>
          <w:kern w:val="0"/>
          <w:sz w:val="32"/>
          <w:szCs w:val="32"/>
          <w:highlight w:val="none"/>
        </w:rPr>
      </w:pPr>
    </w:p>
    <w:p>
      <w:pPr>
        <w:pStyle w:val="82"/>
        <w:rPr>
          <w:color w:val="auto"/>
          <w:highlight w:val="none"/>
        </w:rPr>
      </w:pPr>
    </w:p>
    <w:p>
      <w:pPr>
        <w:rPr>
          <w:color w:val="auto"/>
          <w:highlight w:val="none"/>
        </w:rPr>
      </w:pPr>
    </w:p>
    <w:p>
      <w:pPr>
        <w:pStyle w:val="82"/>
        <w:rPr>
          <w:color w:val="auto"/>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见投标文件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vAlign w:val="center"/>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bl>
    <w:p>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pPr>
        <w:spacing w:line="360" w:lineRule="auto"/>
        <w:ind w:firstLine="3600" w:firstLineChars="150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jc w:val="center"/>
        <w:rPr>
          <w:rFonts w:ascii="宋体" w:hAnsi="宋体" w:cs="宋体"/>
          <w:b/>
          <w:color w:val="auto"/>
          <w:kern w:val="0"/>
          <w:sz w:val="32"/>
          <w:szCs w:val="32"/>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widowControl/>
        <w:adjustRightInd/>
        <w:jc w:val="left"/>
        <w:rPr>
          <w:rFonts w:ascii="宋体" w:hAnsi="宋体" w:cs="宋体"/>
          <w:b/>
          <w:bCs/>
          <w:color w:val="auto"/>
          <w:sz w:val="32"/>
          <w:szCs w:val="32"/>
          <w:highlight w:val="none"/>
        </w:rPr>
      </w:pPr>
    </w:p>
    <w:p>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left="4620" w:leftChars="2200"/>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00" w:lineRule="auto"/>
        <w:rPr>
          <w:rFonts w:cs="仿宋_GB2312" w:asciiTheme="minorEastAsia" w:hAnsiTheme="minorEastAsia" w:eastAsiaTheme="minorEastAsia"/>
          <w:b/>
          <w:bCs/>
          <w:color w:val="auto"/>
          <w:sz w:val="32"/>
          <w:szCs w:val="32"/>
          <w:highlight w:val="none"/>
        </w:rPr>
      </w:pPr>
    </w:p>
    <w:p>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十、技术解决方案</w:t>
      </w:r>
    </w:p>
    <w:p>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00" w:lineRule="auto"/>
        <w:jc w:val="center"/>
        <w:rPr>
          <w:rFonts w:cs="仿宋_GB2312" w:asciiTheme="minorEastAsia" w:hAnsiTheme="minorEastAsia" w:eastAsiaTheme="minorEastAsia"/>
          <w:color w:val="auto"/>
          <w:sz w:val="24"/>
          <w:highlight w:val="none"/>
        </w:rPr>
      </w:pPr>
    </w:p>
    <w:p>
      <w:pPr>
        <w:autoSpaceDE w:val="0"/>
        <w:autoSpaceDN w:val="0"/>
        <w:spacing w:line="300" w:lineRule="auto"/>
        <w:rPr>
          <w:rFonts w:cs="仿宋_GB2312" w:asciiTheme="minorEastAsia" w:hAnsiTheme="minorEastAsia" w:eastAsiaTheme="minorEastAsia"/>
          <w:color w:val="auto"/>
          <w:kern w:val="0"/>
          <w:sz w:val="24"/>
          <w:highlight w:val="none"/>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00" w:lineRule="auto"/>
        <w:jc w:val="center"/>
        <w:rPr>
          <w:rFonts w:cs="仿宋_GB2312" w:asciiTheme="minorEastAsia" w:hAnsiTheme="minorEastAsia" w:eastAsiaTheme="minorEastAsia"/>
          <w:b/>
          <w:bCs/>
          <w:color w:val="auto"/>
          <w:sz w:val="32"/>
          <w:szCs w:val="32"/>
          <w:highlight w:val="none"/>
        </w:rPr>
      </w:pPr>
    </w:p>
    <w:p>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十一、组织实施方案</w:t>
      </w:r>
    </w:p>
    <w:p>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00" w:lineRule="auto"/>
        <w:jc w:val="center"/>
        <w:rPr>
          <w:rFonts w:cs="仿宋_GB2312" w:asciiTheme="minorEastAsia" w:hAnsiTheme="minorEastAsia" w:eastAsiaTheme="minorEastAsia"/>
          <w:color w:val="auto"/>
          <w:sz w:val="24"/>
          <w:highlight w:val="none"/>
        </w:rPr>
      </w:pPr>
    </w:p>
    <w:p>
      <w:pPr>
        <w:autoSpaceDE w:val="0"/>
        <w:autoSpaceDN w:val="0"/>
        <w:spacing w:line="300" w:lineRule="auto"/>
        <w:rPr>
          <w:rFonts w:cs="仿宋_GB2312" w:asciiTheme="minorEastAsia" w:hAnsiTheme="minorEastAsia" w:eastAsiaTheme="minorEastAsia"/>
          <w:color w:val="auto"/>
          <w:kern w:val="0"/>
          <w:sz w:val="24"/>
          <w:highlight w:val="none"/>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00" w:lineRule="auto"/>
        <w:jc w:val="center"/>
        <w:rPr>
          <w:rFonts w:cs="仿宋_GB2312" w:asciiTheme="minorEastAsia" w:hAnsiTheme="minorEastAsia" w:eastAsiaTheme="minorEastAsia"/>
          <w:b/>
          <w:bCs/>
          <w:color w:val="auto"/>
          <w:sz w:val="32"/>
          <w:szCs w:val="32"/>
          <w:highlight w:val="none"/>
        </w:rPr>
      </w:pPr>
    </w:p>
    <w:p>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十二、售后服务方案</w:t>
      </w:r>
    </w:p>
    <w:p>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00" w:lineRule="auto"/>
        <w:jc w:val="center"/>
        <w:rPr>
          <w:rFonts w:cs="仿宋_GB2312" w:asciiTheme="minorEastAsia" w:hAnsiTheme="minorEastAsia" w:eastAsiaTheme="minorEastAsia"/>
          <w:color w:val="auto"/>
          <w:sz w:val="24"/>
          <w:highlight w:val="none"/>
        </w:rPr>
      </w:pPr>
    </w:p>
    <w:p>
      <w:pPr>
        <w:autoSpaceDE w:val="0"/>
        <w:autoSpaceDN w:val="0"/>
        <w:spacing w:line="300" w:lineRule="auto"/>
        <w:rPr>
          <w:rFonts w:cs="仿宋_GB2312" w:asciiTheme="minorEastAsia" w:hAnsiTheme="minorEastAsia" w:eastAsiaTheme="minorEastAsia"/>
          <w:color w:val="auto"/>
          <w:kern w:val="0"/>
          <w:sz w:val="24"/>
          <w:highlight w:val="none"/>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pStyle w:val="3"/>
        <w:ind w:left="0" w:firstLine="0"/>
        <w:rPr>
          <w:color w:val="auto"/>
          <w:highlight w:val="none"/>
          <w:lang w:val="en-US"/>
        </w:rPr>
        <w:sectPr>
          <w:headerReference r:id="rId22" w:type="first"/>
          <w:footerReference r:id="rId24" w:type="first"/>
          <w:headerReference r:id="rId21" w:type="default"/>
          <w:footerReference r:id="rId23" w:type="default"/>
          <w:pgSz w:w="11906" w:h="16838"/>
          <w:pgMar w:top="1276" w:right="1418" w:bottom="1247" w:left="1418" w:header="851" w:footer="992" w:gutter="0"/>
          <w:cols w:space="720" w:num="1"/>
          <w:titlePg/>
          <w:docGrid w:linePitch="312" w:charSpace="0"/>
        </w:sectPr>
      </w:pPr>
    </w:p>
    <w:p>
      <w:pPr>
        <w:spacing w:line="360" w:lineRule="auto"/>
        <w:jc w:val="center"/>
        <w:rPr>
          <w:rFonts w:ascii="宋体" w:hAnsi="宋体" w:cs="宋体"/>
          <w:b/>
          <w:color w:val="auto"/>
          <w:kern w:val="0"/>
          <w:sz w:val="36"/>
          <w:szCs w:val="36"/>
          <w:highlight w:val="none"/>
        </w:r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bookmarkStart w:id="462" w:name="OLE_LINK218"/>
      <w:bookmarkStart w:id="463" w:name="OLE_LINK217"/>
      <w:r>
        <w:rPr>
          <w:rFonts w:hint="eastAsia" w:ascii="宋体" w:hAnsi="宋体" w:cs="宋体"/>
          <w:color w:val="auto"/>
          <w:szCs w:val="21"/>
          <w:highlight w:val="none"/>
        </w:rPr>
        <w:t>▲</w:t>
      </w:r>
      <w:bookmarkEnd w:id="462"/>
      <w:bookmarkEnd w:id="463"/>
      <w:r>
        <w:rPr>
          <w:rFonts w:hint="eastAsia" w:ascii="宋体" w:hAnsi="宋体" w:cs="宋体"/>
          <w:color w:val="auto"/>
          <w:sz w:val="24"/>
          <w:highlight w:val="none"/>
        </w:rPr>
        <w:t>（1）</w:t>
      </w:r>
      <w:bookmarkStart w:id="464" w:name="OLE_LINK219"/>
      <w:bookmarkStart w:id="465" w:name="OLE_LINK220"/>
      <w:r>
        <w:rPr>
          <w:rFonts w:hint="eastAsia" w:ascii="宋体" w:hAnsi="宋体" w:cs="宋体"/>
          <w:color w:val="auto"/>
          <w:sz w:val="24"/>
          <w:highlight w:val="none"/>
        </w:rPr>
        <w:t>开标一览表</w:t>
      </w:r>
      <w:bookmarkEnd w:id="464"/>
      <w:bookmarkEnd w:id="465"/>
      <w:r>
        <w:rPr>
          <w:rFonts w:hint="eastAsia" w:ascii="宋体" w:hAnsi="宋体" w:cs="宋体"/>
          <w:color w:val="auto"/>
          <w:sz w:val="24"/>
          <w:highlight w:val="none"/>
        </w:rPr>
        <w:t>（报价表）………………………………………………………（页码）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（2）中小企业声明函………………………………………………………………（页码）</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6" w:type="first"/>
          <w:footerReference r:id="rId28" w:type="first"/>
          <w:headerReference r:id="rId25" w:type="default"/>
          <w:footerReference r:id="rId27" w:type="default"/>
          <w:pgSz w:w="11906" w:h="16838"/>
          <w:pgMar w:top="1276" w:right="1418" w:bottom="1247" w:left="1418" w:header="851" w:footer="992" w:gutter="0"/>
          <w:cols w:space="720" w:num="1"/>
          <w:titlePg/>
          <w:docGrid w:linePitch="312" w:charSpace="0"/>
        </w:sectPr>
      </w:pPr>
    </w:p>
    <w:p>
      <w:pPr>
        <w:pStyle w:val="82"/>
        <w:jc w:val="center"/>
        <w:rPr>
          <w:b/>
          <w:color w:val="auto"/>
          <w:sz w:val="32"/>
          <w:szCs w:val="32"/>
          <w:highlight w:val="none"/>
        </w:rPr>
      </w:pPr>
      <w:bookmarkStart w:id="466" w:name="_Toc176185127"/>
      <w:r>
        <w:rPr>
          <w:rFonts w:hint="eastAsia"/>
          <w:b/>
          <w:color w:val="auto"/>
          <w:sz w:val="32"/>
          <w:szCs w:val="32"/>
          <w:highlight w:val="none"/>
        </w:rPr>
        <w:t>一、开标一览表（报价表）</w:t>
      </w:r>
      <w:bookmarkEnd w:id="466"/>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3.报价要求：报价是履行合同的最终价格，包括投标货物（包括备品备件、专用工具等）的价格，投标货物运输（含保险）、安装、二次搬运费用、墙面破坏的恢复、安装、调试、检验、技术服务、培训、质保期内每半年维护保养安装调试和采购文件要求提供的所有伴随服务、安装等费用和税费。</w:t>
      </w:r>
    </w:p>
    <w:p>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4、特别提示：采购代理机构将对项目名称和项目编号，中标供应商名称、地址和中标金额，主要中标标的名称、品牌（如果有）、规格型号、数量、单价等予以公示。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5、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根据《北海市财政局关于开展推动解决政府采购异常低价问题试点工作的通知》北财采〔2025〕25号的规定，本项目为北海市推动解决政府采购异常低价试点项目，若供应商投标报价属于采购文件规定的异常低价情况情形之一的，应按采购文件及评审小组要求在规定时间内提供书面证明及必要的证明材料，否则投标无效。</w:t>
      </w:r>
    </w:p>
    <w:p>
      <w:pPr>
        <w:autoSpaceDE w:val="0"/>
        <w:autoSpaceDN w:val="0"/>
        <w:spacing w:line="360" w:lineRule="auto"/>
        <w:ind w:left="2"/>
        <w:jc w:val="left"/>
        <w:rPr>
          <w:rFonts w:ascii="宋体" w:hAnsi="宋体" w:cs="宋体"/>
          <w:color w:val="auto"/>
          <w:kern w:val="0"/>
          <w:sz w:val="24"/>
          <w:highlight w:val="none"/>
          <w:lang w:val="zh-CN"/>
        </w:rPr>
      </w:pPr>
    </w:p>
    <w:p>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firstLine="482" w:firstLineChars="200"/>
        <w:rPr>
          <w:rFonts w:ascii="宋体" w:hAnsi="宋体" w:cs="宋体"/>
          <w:b/>
          <w:color w:val="auto"/>
          <w:kern w:val="0"/>
          <w:sz w:val="24"/>
          <w:highlight w:val="none"/>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pPr>
        <w:pStyle w:val="82"/>
        <w:jc w:val="center"/>
        <w:rPr>
          <w:b/>
          <w:color w:val="auto"/>
          <w:sz w:val="32"/>
          <w:szCs w:val="32"/>
          <w:highlight w:val="none"/>
        </w:rPr>
      </w:pPr>
      <w:bookmarkStart w:id="467" w:name="_Toc176185128"/>
      <w:r>
        <w:rPr>
          <w:rFonts w:hint="eastAsia"/>
          <w:b/>
          <w:color w:val="auto"/>
          <w:kern w:val="2"/>
          <w:sz w:val="32"/>
          <w:szCs w:val="32"/>
          <w:highlight w:val="none"/>
        </w:rPr>
        <w:t>二、</w:t>
      </w:r>
      <w:r>
        <w:rPr>
          <w:rFonts w:hint="eastAsia"/>
          <w:b/>
          <w:color w:val="auto"/>
          <w:sz w:val="32"/>
          <w:szCs w:val="32"/>
          <w:highlight w:val="none"/>
        </w:rPr>
        <w:t>中小企业声明函</w:t>
      </w:r>
      <w:bookmarkStart w:id="468" w:name="_Hlk101259491"/>
      <w:r>
        <w:rPr>
          <w:rFonts w:hint="eastAsia"/>
          <w:b/>
          <w:color w:val="auto"/>
          <w:sz w:val="32"/>
          <w:szCs w:val="32"/>
          <w:highlight w:val="none"/>
        </w:rPr>
        <w:t>（如果有）</w:t>
      </w:r>
      <w:bookmarkEnd w:id="467"/>
      <w:bookmarkEnd w:id="468"/>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pStyle w:val="690"/>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pStyle w:val="82"/>
        <w:jc w:val="center"/>
        <w:rPr>
          <w:b/>
          <w:color w:val="auto"/>
          <w:sz w:val="36"/>
          <w:szCs w:val="36"/>
          <w:highlight w:val="none"/>
        </w:rPr>
      </w:pPr>
      <w:bookmarkStart w:id="469" w:name="_Toc465665161"/>
      <w:r>
        <w:rPr>
          <w:rFonts w:hint="eastAsia"/>
          <w:b/>
          <w:color w:val="auto"/>
          <w:sz w:val="36"/>
          <w:szCs w:val="36"/>
          <w:highlight w:val="none"/>
        </w:rPr>
        <w:t>附件</w:t>
      </w:r>
      <w:bookmarkEnd w:id="469"/>
    </w:p>
    <w:p>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ascii="宋体" w:hAnsi="宋体" w:cs="宋体"/>
          <w:b/>
          <w:color w:val="auto"/>
          <w:spacing w:val="6"/>
          <w:sz w:val="32"/>
          <w:szCs w:val="32"/>
          <w:highlight w:val="none"/>
        </w:rPr>
      </w:pPr>
      <w:bookmarkStart w:id="470" w:name="OLE_LINK13"/>
      <w:bookmarkStart w:id="471" w:name="OLE_LINK14"/>
      <w:r>
        <w:rPr>
          <w:rFonts w:hint="eastAsia" w:ascii="宋体" w:hAnsi="宋体" w:cs="宋体"/>
          <w:b/>
          <w:color w:val="auto"/>
          <w:spacing w:val="6"/>
          <w:sz w:val="32"/>
          <w:szCs w:val="32"/>
          <w:highlight w:val="none"/>
        </w:rPr>
        <w:t>残疾人福利性单位声明函</w:t>
      </w:r>
    </w:p>
    <w:bookmarkEnd w:id="470"/>
    <w:bookmarkEnd w:id="471"/>
    <w:p>
      <w:pPr>
        <w:spacing w:line="360" w:lineRule="auto"/>
        <w:rPr>
          <w:rFonts w:ascii="宋体" w:hAnsi="宋体" w:cs="宋体"/>
          <w:b/>
          <w:color w:val="auto"/>
          <w:spacing w:val="6"/>
          <w:sz w:val="30"/>
          <w:szCs w:val="30"/>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firstLine="480" w:firstLineChars="200"/>
        <w:rPr>
          <w:rFonts w:ascii="宋体" w:hAnsi="宋体" w:cs="宋体"/>
          <w:color w:val="auto"/>
          <w:sz w:val="24"/>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left"/>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pPr>
        <w:snapToGrid w:val="0"/>
        <w:spacing w:line="360" w:lineRule="auto"/>
        <w:ind w:firstLine="576"/>
        <w:rPr>
          <w:rFonts w:ascii="宋体" w:hAnsi="宋体" w:cs="宋体"/>
          <w:color w:val="auto"/>
          <w:kern w:val="0"/>
          <w:sz w:val="24"/>
          <w:highlight w:val="none"/>
          <w:lang w:val="zh-CN"/>
        </w:rPr>
      </w:pPr>
      <w:bookmarkStart w:id="47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72"/>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81"/>
          <w:color w:val="auto"/>
          <w:highlight w:val="none"/>
        </w:rPr>
      </w:pPr>
      <w:r>
        <w:rPr>
          <w:rStyle w:val="81"/>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81"/>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pPr>
        <w:pStyle w:val="82"/>
        <w:rPr>
          <w:color w:val="auto"/>
          <w:highlight w:val="none"/>
        </w:rPr>
      </w:pPr>
      <w:r>
        <w:rPr>
          <w:rFonts w:hint="eastAsia"/>
          <w:color w:val="auto"/>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73"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73"/>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投标人名称(公章)：</w:t>
      </w:r>
    </w:p>
    <w:p>
      <w:pPr>
        <w:snapToGrid w:val="0"/>
        <w:spacing w:line="360" w:lineRule="auto"/>
        <w:rPr>
          <w:rStyle w:val="81"/>
          <w:color w:val="auto"/>
          <w:highlight w:val="none"/>
        </w:rPr>
      </w:pPr>
      <w:r>
        <w:rPr>
          <w:rStyle w:val="81"/>
          <w:rFonts w:hint="eastAsia"/>
          <w:color w:val="auto"/>
          <w:highlight w:val="none"/>
        </w:rPr>
        <w:t xml:space="preserve">                                              法定代表人（负责人） (签名)：</w:t>
      </w:r>
    </w:p>
    <w:p>
      <w:pPr>
        <w:snapToGrid w:val="0"/>
        <w:spacing w:line="360" w:lineRule="auto"/>
        <w:ind w:right="480"/>
        <w:rPr>
          <w:rFonts w:ascii="宋体" w:hAnsi="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分包供应商名称(公章)：</w:t>
      </w:r>
    </w:p>
    <w:p>
      <w:pPr>
        <w:pStyle w:val="82"/>
        <w:ind w:firstLine="5520" w:firstLineChars="2300"/>
        <w:jc w:val="both"/>
        <w:rPr>
          <w:color w:val="auto"/>
          <w:highlight w:val="none"/>
        </w:rPr>
      </w:pPr>
      <w:r>
        <w:rPr>
          <w:rStyle w:val="81"/>
          <w:rFonts w:hint="eastAsia"/>
          <w:color w:val="auto"/>
          <w:highlight w:val="none"/>
        </w:rPr>
        <w:t>法定代表人（负责人） (签名)：</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rPr>
        <w:t>……</w:t>
      </w:r>
    </w:p>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7</w:t>
      </w:r>
      <w:r>
        <w:rPr>
          <w:rFonts w:hint="eastAsia" w:ascii="宋体" w:hAnsi="宋体" w:cs="宋体"/>
          <w:b/>
          <w:color w:val="auto"/>
          <w:kern w:val="0"/>
          <w:sz w:val="32"/>
          <w:szCs w:val="32"/>
          <w:highlight w:val="none"/>
        </w:rPr>
        <w:t>：中小企业声明函</w:t>
      </w:r>
    </w:p>
    <w:p>
      <w:pPr>
        <w:spacing w:line="360" w:lineRule="auto"/>
        <w:jc w:val="center"/>
        <w:rPr>
          <w:rFonts w:ascii="宋体" w:hAnsi="宋体" w:cs="宋体"/>
          <w:color w:val="auto"/>
          <w:sz w:val="24"/>
          <w:highlight w:val="none"/>
          <w:u w:val="singl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rPr>
          <w:rFonts w:ascii="宋体" w:hAnsi="宋体" w:cs="宋体"/>
          <w:bCs/>
          <w:color w:val="auto"/>
          <w:sz w:val="24"/>
          <w:highlight w:val="none"/>
        </w:rPr>
      </w:pPr>
    </w:p>
    <w:sectPr>
      <w:headerReference r:id="rId30" w:type="first"/>
      <w:footerReference r:id="rId33" w:type="first"/>
      <w:headerReference r:id="rId29" w:type="default"/>
      <w:footerReference r:id="rId31" w:type="default"/>
      <w:footerReference r:id="rId32"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PMingLiU-ExtB"/>
    <w:panose1 w:val="02020503050405090304"/>
    <w:charset w:val="00"/>
    <w:family w:val="modern"/>
    <w:pitch w:val="default"/>
    <w:sig w:usb0="00000000" w:usb1="00000000" w:usb2="00000001" w:usb3="00000000" w:csb0="400001BF" w:csb1="DFF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00" w:usb3="00000000" w:csb0="0004009F" w:csb1="DFD7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bookmarkStart w:id="474" w:name="_Toc91899912"/>
    <w:bookmarkStart w:id="475" w:name="_Toc164085800"/>
    <w:bookmarkStart w:id="476" w:name="_Toc131845147"/>
    <w:bookmarkStart w:id="477" w:name="_Toc36110187"/>
    <w:r>
      <w:rPr>
        <w:rFonts w:hint="eastAsia" w:ascii="仿宋_GB2312" w:eastAsia="仿宋_GB2312"/>
        <w:kern w:val="0"/>
        <w:sz w:val="21"/>
        <w:szCs w:val="21"/>
      </w:rPr>
      <w:t xml:space="preserve"> 页</w:t>
    </w:r>
    <w:bookmarkEnd w:id="474"/>
    <w:bookmarkEnd w:id="475"/>
    <w:bookmarkEnd w:id="476"/>
    <w:bookmarkEnd w:id="47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ascii="仿宋_GB2312" w:eastAsia="仿宋_GB2312"/>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35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4"/>
      </w:pBdr>
      <w:jc w:val="both"/>
      <w:rPr>
        <w:rFonts w:ascii="仿宋_GB2312" w:eastAsia="仿宋_GB2312"/>
        <w:b/>
        <w:i/>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right"/>
      <w:rPr>
        <w:sz w:val="21"/>
        <w:szCs w:val="21"/>
      </w:rPr>
    </w:pPr>
    <w:r>
      <w:t></w:t>
    </w:r>
    <w:r>
      <w:rPr>
        <w:rFonts w:hint="eastAsia"/>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both"/>
      <w:rPr>
        <w:rFonts w:ascii="仿宋_GB2312" w:eastAsia="仿宋_GB2312"/>
        <w:b/>
        <w:i/>
        <w:sz w:val="21"/>
        <w:szCs w:val="21"/>
        <w:u w:val="single"/>
      </w:rPr>
    </w:pPr>
  </w:p>
  <w:p>
    <w:pPr>
      <w:pBdr>
        <w:bottom w:val="none" w:color="auto" w:sz="0" w:space="0"/>
      </w:pBd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right"/>
      <w:rPr>
        <w:sz w:val="21"/>
        <w:szCs w:val="21"/>
      </w:rPr>
    </w:pPr>
    <w:r>
      <w:rPr>
        <w:rFonts w:hint="eastAsia"/>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right"/>
      <w:rPr>
        <w:rFonts w:ascii="仿宋_GB2312" w:eastAsia="仿宋_GB2312"/>
        <w:b/>
        <w:i/>
        <w:iCs/>
        <w:u w:val="single"/>
      </w:rPr>
    </w:pPr>
    <w: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tabs>
        <w:tab w:val="center" w:pos="4535"/>
        <w:tab w:val="right" w:pos="9070"/>
        <w:tab w:val="clear" w:pos="4153"/>
        <w:tab w:val="clear" w:pos="830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right"/>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pPr>
    <w:r>
      <w:t></w:t>
    </w:r>
    <w:r>
      <w:rPr>
        <w:rFonts w:hint="eastAsia"/>
      </w:rPr>
      <w:t xml:space="preserve">         </w:t>
    </w:r>
  </w:p>
  <w:p>
    <w:pPr>
      <w:pStyle w:val="40"/>
      <w:pBdr>
        <w:bottom w:val="none" w:color="auto" w:sz="0" w:space="1"/>
      </w:pBdr>
      <w:rPr>
        <w:sz w:val="21"/>
        <w:szCs w:val="21"/>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both"/>
      <w:rPr>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both"/>
      <w:rPr>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both"/>
      <w:rPr>
        <w:rFonts w:ascii="仿宋_GB2312" w:eastAsia="仿宋_GB2312"/>
        <w:b/>
        <w:i/>
        <w:sz w:val="21"/>
        <w:szCs w:val="21"/>
        <w:u w:val="single"/>
      </w:rPr>
    </w:pPr>
  </w:p>
  <w:p>
    <w:pPr>
      <w:pBdr>
        <w:bottom w:val="none" w:color="auto" w:sz="0" w:space="0"/>
      </w:pBd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6CD"/>
    <w:rsid w:val="00001C42"/>
    <w:rsid w:val="000032B2"/>
    <w:rsid w:val="0000363B"/>
    <w:rsid w:val="000058BD"/>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3728"/>
    <w:rsid w:val="00034C63"/>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A1D"/>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41C"/>
    <w:rsid w:val="00054C52"/>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847"/>
    <w:rsid w:val="00061A3C"/>
    <w:rsid w:val="00061C48"/>
    <w:rsid w:val="000622AC"/>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7D6"/>
    <w:rsid w:val="00072AED"/>
    <w:rsid w:val="00072B56"/>
    <w:rsid w:val="00072D2B"/>
    <w:rsid w:val="00072D51"/>
    <w:rsid w:val="000730B1"/>
    <w:rsid w:val="00073860"/>
    <w:rsid w:val="000738EA"/>
    <w:rsid w:val="00074078"/>
    <w:rsid w:val="000745B4"/>
    <w:rsid w:val="00074B3D"/>
    <w:rsid w:val="0007523B"/>
    <w:rsid w:val="00075B15"/>
    <w:rsid w:val="00075D0E"/>
    <w:rsid w:val="00075F6A"/>
    <w:rsid w:val="00076159"/>
    <w:rsid w:val="0007616C"/>
    <w:rsid w:val="000763B5"/>
    <w:rsid w:val="000763F3"/>
    <w:rsid w:val="000766D2"/>
    <w:rsid w:val="00076801"/>
    <w:rsid w:val="00076BCE"/>
    <w:rsid w:val="00076CBF"/>
    <w:rsid w:val="00077577"/>
    <w:rsid w:val="00077607"/>
    <w:rsid w:val="00077756"/>
    <w:rsid w:val="00077B7F"/>
    <w:rsid w:val="000808C1"/>
    <w:rsid w:val="00080970"/>
    <w:rsid w:val="00081671"/>
    <w:rsid w:val="00082AD4"/>
    <w:rsid w:val="00083B19"/>
    <w:rsid w:val="00083C35"/>
    <w:rsid w:val="00083E07"/>
    <w:rsid w:val="0008477C"/>
    <w:rsid w:val="00084D27"/>
    <w:rsid w:val="00084ED6"/>
    <w:rsid w:val="0008580E"/>
    <w:rsid w:val="00085A0E"/>
    <w:rsid w:val="00085C4F"/>
    <w:rsid w:val="00086EFD"/>
    <w:rsid w:val="00086F8A"/>
    <w:rsid w:val="00087031"/>
    <w:rsid w:val="00090243"/>
    <w:rsid w:val="000904F6"/>
    <w:rsid w:val="000905EC"/>
    <w:rsid w:val="00090918"/>
    <w:rsid w:val="00090ED8"/>
    <w:rsid w:val="00090F9F"/>
    <w:rsid w:val="00090FF6"/>
    <w:rsid w:val="0009145F"/>
    <w:rsid w:val="0009184E"/>
    <w:rsid w:val="00091B4E"/>
    <w:rsid w:val="000923DB"/>
    <w:rsid w:val="00092467"/>
    <w:rsid w:val="00092FE9"/>
    <w:rsid w:val="00093216"/>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3CF"/>
    <w:rsid w:val="000A1A52"/>
    <w:rsid w:val="000A1E26"/>
    <w:rsid w:val="000A1F98"/>
    <w:rsid w:val="000A3A4C"/>
    <w:rsid w:val="000A3D58"/>
    <w:rsid w:val="000A3FE3"/>
    <w:rsid w:val="000A4708"/>
    <w:rsid w:val="000A47B0"/>
    <w:rsid w:val="000A4851"/>
    <w:rsid w:val="000A49BB"/>
    <w:rsid w:val="000A4F22"/>
    <w:rsid w:val="000A5674"/>
    <w:rsid w:val="000A57E5"/>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83"/>
    <w:rsid w:val="000B5FE8"/>
    <w:rsid w:val="000B6572"/>
    <w:rsid w:val="000B666E"/>
    <w:rsid w:val="000C03A8"/>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6B"/>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7EC"/>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696"/>
    <w:rsid w:val="000F4A05"/>
    <w:rsid w:val="000F4AA8"/>
    <w:rsid w:val="000F4AEA"/>
    <w:rsid w:val="000F4E67"/>
    <w:rsid w:val="000F505B"/>
    <w:rsid w:val="000F5677"/>
    <w:rsid w:val="000F572C"/>
    <w:rsid w:val="000F5DDB"/>
    <w:rsid w:val="000F628E"/>
    <w:rsid w:val="000F6536"/>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7A1"/>
    <w:rsid w:val="00105BA9"/>
    <w:rsid w:val="00105FE1"/>
    <w:rsid w:val="00106AAA"/>
    <w:rsid w:val="00106E0E"/>
    <w:rsid w:val="001078A5"/>
    <w:rsid w:val="00107BBD"/>
    <w:rsid w:val="00107BC7"/>
    <w:rsid w:val="00107FA5"/>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8C1"/>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37C"/>
    <w:rsid w:val="00145662"/>
    <w:rsid w:val="00145C6D"/>
    <w:rsid w:val="001460FC"/>
    <w:rsid w:val="00146151"/>
    <w:rsid w:val="00146326"/>
    <w:rsid w:val="00147032"/>
    <w:rsid w:val="00147162"/>
    <w:rsid w:val="00147EA7"/>
    <w:rsid w:val="00150082"/>
    <w:rsid w:val="001514B0"/>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576AC"/>
    <w:rsid w:val="001578DF"/>
    <w:rsid w:val="00161185"/>
    <w:rsid w:val="00161C27"/>
    <w:rsid w:val="00161F72"/>
    <w:rsid w:val="001620BA"/>
    <w:rsid w:val="001623AC"/>
    <w:rsid w:val="00162BAA"/>
    <w:rsid w:val="00163926"/>
    <w:rsid w:val="00163C40"/>
    <w:rsid w:val="001646E2"/>
    <w:rsid w:val="0016488B"/>
    <w:rsid w:val="001654FA"/>
    <w:rsid w:val="00165758"/>
    <w:rsid w:val="00165A65"/>
    <w:rsid w:val="001662BF"/>
    <w:rsid w:val="00166317"/>
    <w:rsid w:val="00167055"/>
    <w:rsid w:val="00167478"/>
    <w:rsid w:val="00167594"/>
    <w:rsid w:val="001702BE"/>
    <w:rsid w:val="001704B3"/>
    <w:rsid w:val="0017059C"/>
    <w:rsid w:val="00170788"/>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5AE"/>
    <w:rsid w:val="001B3DCD"/>
    <w:rsid w:val="001B422D"/>
    <w:rsid w:val="001B45B9"/>
    <w:rsid w:val="001B46B2"/>
    <w:rsid w:val="001B4725"/>
    <w:rsid w:val="001B48B2"/>
    <w:rsid w:val="001B49DA"/>
    <w:rsid w:val="001B4CA8"/>
    <w:rsid w:val="001B4F99"/>
    <w:rsid w:val="001B572D"/>
    <w:rsid w:val="001B576E"/>
    <w:rsid w:val="001B5B10"/>
    <w:rsid w:val="001B6025"/>
    <w:rsid w:val="001B6B62"/>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231"/>
    <w:rsid w:val="001C64A8"/>
    <w:rsid w:val="001C6698"/>
    <w:rsid w:val="001C69CC"/>
    <w:rsid w:val="001C6C5B"/>
    <w:rsid w:val="001C6F7D"/>
    <w:rsid w:val="001C7399"/>
    <w:rsid w:val="001C7C5F"/>
    <w:rsid w:val="001C7CE0"/>
    <w:rsid w:val="001D005B"/>
    <w:rsid w:val="001D0947"/>
    <w:rsid w:val="001D0DF7"/>
    <w:rsid w:val="001D16F5"/>
    <w:rsid w:val="001D18A2"/>
    <w:rsid w:val="001D1970"/>
    <w:rsid w:val="001D1D55"/>
    <w:rsid w:val="001D21EF"/>
    <w:rsid w:val="001D29A4"/>
    <w:rsid w:val="001D2B73"/>
    <w:rsid w:val="001D3136"/>
    <w:rsid w:val="001D330D"/>
    <w:rsid w:val="001D4AB6"/>
    <w:rsid w:val="001D4AD3"/>
    <w:rsid w:val="001D5281"/>
    <w:rsid w:val="001D54EE"/>
    <w:rsid w:val="001D6D01"/>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040"/>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1BC"/>
    <w:rsid w:val="00203AFE"/>
    <w:rsid w:val="00203C85"/>
    <w:rsid w:val="00203E5C"/>
    <w:rsid w:val="0020449A"/>
    <w:rsid w:val="00204E9B"/>
    <w:rsid w:val="00205298"/>
    <w:rsid w:val="00205423"/>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5F25"/>
    <w:rsid w:val="00227214"/>
    <w:rsid w:val="00227215"/>
    <w:rsid w:val="00227532"/>
    <w:rsid w:val="00227DDC"/>
    <w:rsid w:val="00230296"/>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1A6A"/>
    <w:rsid w:val="00242510"/>
    <w:rsid w:val="00242F79"/>
    <w:rsid w:val="0024415B"/>
    <w:rsid w:val="00244E18"/>
    <w:rsid w:val="00245565"/>
    <w:rsid w:val="002458C1"/>
    <w:rsid w:val="00245E62"/>
    <w:rsid w:val="002460D0"/>
    <w:rsid w:val="00246168"/>
    <w:rsid w:val="00246357"/>
    <w:rsid w:val="0024696F"/>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3"/>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3DF1"/>
    <w:rsid w:val="002741D4"/>
    <w:rsid w:val="002743AC"/>
    <w:rsid w:val="0027499D"/>
    <w:rsid w:val="002751CA"/>
    <w:rsid w:val="0027544D"/>
    <w:rsid w:val="00277196"/>
    <w:rsid w:val="002775ED"/>
    <w:rsid w:val="002778AB"/>
    <w:rsid w:val="00277A1C"/>
    <w:rsid w:val="002802A5"/>
    <w:rsid w:val="00280CFB"/>
    <w:rsid w:val="00280D24"/>
    <w:rsid w:val="00281444"/>
    <w:rsid w:val="002815C4"/>
    <w:rsid w:val="00281BCB"/>
    <w:rsid w:val="00281C76"/>
    <w:rsid w:val="002821E2"/>
    <w:rsid w:val="0028316D"/>
    <w:rsid w:val="00283296"/>
    <w:rsid w:val="00284EB2"/>
    <w:rsid w:val="0028583E"/>
    <w:rsid w:val="00285853"/>
    <w:rsid w:val="00285B1A"/>
    <w:rsid w:val="00285FF3"/>
    <w:rsid w:val="002866EC"/>
    <w:rsid w:val="002867C6"/>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0CEA"/>
    <w:rsid w:val="002A185A"/>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0B08"/>
    <w:rsid w:val="002B137D"/>
    <w:rsid w:val="002B139C"/>
    <w:rsid w:val="002B1881"/>
    <w:rsid w:val="002B1F61"/>
    <w:rsid w:val="002B2070"/>
    <w:rsid w:val="002B22C6"/>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5FE"/>
    <w:rsid w:val="002C483B"/>
    <w:rsid w:val="002C48E9"/>
    <w:rsid w:val="002C4DFE"/>
    <w:rsid w:val="002C519E"/>
    <w:rsid w:val="002C5D5E"/>
    <w:rsid w:val="002C6116"/>
    <w:rsid w:val="002C643D"/>
    <w:rsid w:val="002C645F"/>
    <w:rsid w:val="002C66B8"/>
    <w:rsid w:val="002C6F69"/>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7B3"/>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B68"/>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E2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2016"/>
    <w:rsid w:val="00312340"/>
    <w:rsid w:val="00312DFC"/>
    <w:rsid w:val="00312EE9"/>
    <w:rsid w:val="0031318C"/>
    <w:rsid w:val="00313C9D"/>
    <w:rsid w:val="00313DF8"/>
    <w:rsid w:val="0031430C"/>
    <w:rsid w:val="00314919"/>
    <w:rsid w:val="00314C5A"/>
    <w:rsid w:val="0031531A"/>
    <w:rsid w:val="00315394"/>
    <w:rsid w:val="00315D77"/>
    <w:rsid w:val="00315D8E"/>
    <w:rsid w:val="00316002"/>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CEE"/>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1D35"/>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97"/>
    <w:rsid w:val="00355822"/>
    <w:rsid w:val="00355D75"/>
    <w:rsid w:val="00355D8F"/>
    <w:rsid w:val="00356333"/>
    <w:rsid w:val="00356A73"/>
    <w:rsid w:val="00356EC6"/>
    <w:rsid w:val="00356FF0"/>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4A"/>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258"/>
    <w:rsid w:val="00393551"/>
    <w:rsid w:val="00393816"/>
    <w:rsid w:val="00393857"/>
    <w:rsid w:val="00393FCD"/>
    <w:rsid w:val="003944EA"/>
    <w:rsid w:val="00394639"/>
    <w:rsid w:val="00394DF6"/>
    <w:rsid w:val="00394EC6"/>
    <w:rsid w:val="00395A02"/>
    <w:rsid w:val="00395B36"/>
    <w:rsid w:val="00395CD9"/>
    <w:rsid w:val="003962E6"/>
    <w:rsid w:val="00396831"/>
    <w:rsid w:val="003971A1"/>
    <w:rsid w:val="00397307"/>
    <w:rsid w:val="003A03B8"/>
    <w:rsid w:val="003A0F6B"/>
    <w:rsid w:val="003A12B6"/>
    <w:rsid w:val="003A1804"/>
    <w:rsid w:val="003A1C44"/>
    <w:rsid w:val="003A20D5"/>
    <w:rsid w:val="003A24CC"/>
    <w:rsid w:val="003A2512"/>
    <w:rsid w:val="003A2A53"/>
    <w:rsid w:val="003A2EE8"/>
    <w:rsid w:val="003A2FEB"/>
    <w:rsid w:val="003A31C9"/>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5FE"/>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1F6"/>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640"/>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0D49"/>
    <w:rsid w:val="00401386"/>
    <w:rsid w:val="004013E6"/>
    <w:rsid w:val="004016FA"/>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0B67"/>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173E"/>
    <w:rsid w:val="00442731"/>
    <w:rsid w:val="004428A9"/>
    <w:rsid w:val="00442C12"/>
    <w:rsid w:val="004434DF"/>
    <w:rsid w:val="0044354B"/>
    <w:rsid w:val="00444342"/>
    <w:rsid w:val="0044455F"/>
    <w:rsid w:val="0044493E"/>
    <w:rsid w:val="00444A1F"/>
    <w:rsid w:val="00444FC6"/>
    <w:rsid w:val="00445004"/>
    <w:rsid w:val="00445874"/>
    <w:rsid w:val="00445C38"/>
    <w:rsid w:val="0044686B"/>
    <w:rsid w:val="004475F7"/>
    <w:rsid w:val="0045057B"/>
    <w:rsid w:val="0045069B"/>
    <w:rsid w:val="0045070F"/>
    <w:rsid w:val="00450941"/>
    <w:rsid w:val="00450B22"/>
    <w:rsid w:val="004515DE"/>
    <w:rsid w:val="00451709"/>
    <w:rsid w:val="004518FA"/>
    <w:rsid w:val="00451A02"/>
    <w:rsid w:val="0045277C"/>
    <w:rsid w:val="00452B44"/>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97E"/>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1740"/>
    <w:rsid w:val="00492503"/>
    <w:rsid w:val="004925C8"/>
    <w:rsid w:val="00492AF9"/>
    <w:rsid w:val="00492B76"/>
    <w:rsid w:val="0049333E"/>
    <w:rsid w:val="0049418F"/>
    <w:rsid w:val="0049477A"/>
    <w:rsid w:val="00494B57"/>
    <w:rsid w:val="00494E90"/>
    <w:rsid w:val="00495380"/>
    <w:rsid w:val="00495553"/>
    <w:rsid w:val="0049570D"/>
    <w:rsid w:val="0049584D"/>
    <w:rsid w:val="00495C48"/>
    <w:rsid w:val="00495DC6"/>
    <w:rsid w:val="00496B09"/>
    <w:rsid w:val="00496CCE"/>
    <w:rsid w:val="004978C1"/>
    <w:rsid w:val="00497AAD"/>
    <w:rsid w:val="00497BD7"/>
    <w:rsid w:val="00497D1A"/>
    <w:rsid w:val="004A00C9"/>
    <w:rsid w:val="004A03D0"/>
    <w:rsid w:val="004A1049"/>
    <w:rsid w:val="004A1AFA"/>
    <w:rsid w:val="004A1D81"/>
    <w:rsid w:val="004A1EA7"/>
    <w:rsid w:val="004A26F5"/>
    <w:rsid w:val="004A2D4C"/>
    <w:rsid w:val="004A2EF8"/>
    <w:rsid w:val="004A3A21"/>
    <w:rsid w:val="004A407A"/>
    <w:rsid w:val="004A4E3B"/>
    <w:rsid w:val="004A4F5F"/>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662"/>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25D"/>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0DD6"/>
    <w:rsid w:val="0050106A"/>
    <w:rsid w:val="005010BC"/>
    <w:rsid w:val="00501848"/>
    <w:rsid w:val="00502B31"/>
    <w:rsid w:val="00502D6D"/>
    <w:rsid w:val="00503113"/>
    <w:rsid w:val="0050434C"/>
    <w:rsid w:val="0050537D"/>
    <w:rsid w:val="00505861"/>
    <w:rsid w:val="0050591C"/>
    <w:rsid w:val="00505935"/>
    <w:rsid w:val="005059BD"/>
    <w:rsid w:val="00505C9A"/>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041"/>
    <w:rsid w:val="005131A2"/>
    <w:rsid w:val="005137E4"/>
    <w:rsid w:val="00513BB9"/>
    <w:rsid w:val="0051440E"/>
    <w:rsid w:val="00514480"/>
    <w:rsid w:val="005147C4"/>
    <w:rsid w:val="005148CD"/>
    <w:rsid w:val="00514B23"/>
    <w:rsid w:val="00515180"/>
    <w:rsid w:val="00515973"/>
    <w:rsid w:val="00516069"/>
    <w:rsid w:val="00517AC8"/>
    <w:rsid w:val="00517C3E"/>
    <w:rsid w:val="0052066A"/>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2C2"/>
    <w:rsid w:val="00535B53"/>
    <w:rsid w:val="00536B03"/>
    <w:rsid w:val="005371D5"/>
    <w:rsid w:val="00537456"/>
    <w:rsid w:val="0053790C"/>
    <w:rsid w:val="00537974"/>
    <w:rsid w:val="00537B3D"/>
    <w:rsid w:val="00537D1C"/>
    <w:rsid w:val="00540401"/>
    <w:rsid w:val="005405B2"/>
    <w:rsid w:val="0054076A"/>
    <w:rsid w:val="00540D47"/>
    <w:rsid w:val="00540EE7"/>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843"/>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1A6D"/>
    <w:rsid w:val="005A1AC6"/>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3B29"/>
    <w:rsid w:val="005C4B28"/>
    <w:rsid w:val="005C4BEF"/>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3C63"/>
    <w:rsid w:val="005D42E0"/>
    <w:rsid w:val="005D476A"/>
    <w:rsid w:val="005D4854"/>
    <w:rsid w:val="005D4D3A"/>
    <w:rsid w:val="005D5BCF"/>
    <w:rsid w:val="005D5CA3"/>
    <w:rsid w:val="005D5F14"/>
    <w:rsid w:val="005D621D"/>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A28"/>
    <w:rsid w:val="00602B29"/>
    <w:rsid w:val="00602DAD"/>
    <w:rsid w:val="00603052"/>
    <w:rsid w:val="00603373"/>
    <w:rsid w:val="006036D0"/>
    <w:rsid w:val="00603B1C"/>
    <w:rsid w:val="00604191"/>
    <w:rsid w:val="006042CD"/>
    <w:rsid w:val="0060513A"/>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0BE"/>
    <w:rsid w:val="006308EE"/>
    <w:rsid w:val="00630C70"/>
    <w:rsid w:val="00630D67"/>
    <w:rsid w:val="00631005"/>
    <w:rsid w:val="006312FA"/>
    <w:rsid w:val="00631C79"/>
    <w:rsid w:val="00631F32"/>
    <w:rsid w:val="00632727"/>
    <w:rsid w:val="0063283D"/>
    <w:rsid w:val="00632E4A"/>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1E4"/>
    <w:rsid w:val="006472CD"/>
    <w:rsid w:val="0064758A"/>
    <w:rsid w:val="00647664"/>
    <w:rsid w:val="00650401"/>
    <w:rsid w:val="006506AA"/>
    <w:rsid w:val="00650D19"/>
    <w:rsid w:val="00651361"/>
    <w:rsid w:val="006515FD"/>
    <w:rsid w:val="00652647"/>
    <w:rsid w:val="00652CF5"/>
    <w:rsid w:val="0065343E"/>
    <w:rsid w:val="00653446"/>
    <w:rsid w:val="00653672"/>
    <w:rsid w:val="006536BB"/>
    <w:rsid w:val="006538C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35B"/>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279A"/>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517"/>
    <w:rsid w:val="006977DE"/>
    <w:rsid w:val="00697D5F"/>
    <w:rsid w:val="006A035B"/>
    <w:rsid w:val="006A0582"/>
    <w:rsid w:val="006A060C"/>
    <w:rsid w:val="006A06F8"/>
    <w:rsid w:val="006A071C"/>
    <w:rsid w:val="006A0CF9"/>
    <w:rsid w:val="006A0DC7"/>
    <w:rsid w:val="006A150D"/>
    <w:rsid w:val="006A1B00"/>
    <w:rsid w:val="006A1D07"/>
    <w:rsid w:val="006A2309"/>
    <w:rsid w:val="006A2766"/>
    <w:rsid w:val="006A39D0"/>
    <w:rsid w:val="006A3E91"/>
    <w:rsid w:val="006A430B"/>
    <w:rsid w:val="006A4321"/>
    <w:rsid w:val="006A479D"/>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12"/>
    <w:rsid w:val="006B54E8"/>
    <w:rsid w:val="006B56A9"/>
    <w:rsid w:val="006B5D80"/>
    <w:rsid w:val="006B5FBC"/>
    <w:rsid w:val="006B6ED2"/>
    <w:rsid w:val="006B74FD"/>
    <w:rsid w:val="006B775A"/>
    <w:rsid w:val="006B79A8"/>
    <w:rsid w:val="006B7B79"/>
    <w:rsid w:val="006B7F74"/>
    <w:rsid w:val="006C0230"/>
    <w:rsid w:val="006C03A3"/>
    <w:rsid w:val="006C05BE"/>
    <w:rsid w:val="006C05C7"/>
    <w:rsid w:val="006C0C70"/>
    <w:rsid w:val="006C0CB2"/>
    <w:rsid w:val="006C0EAB"/>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224"/>
    <w:rsid w:val="006F2F59"/>
    <w:rsid w:val="006F311E"/>
    <w:rsid w:val="006F3442"/>
    <w:rsid w:val="006F36A5"/>
    <w:rsid w:val="006F41F4"/>
    <w:rsid w:val="006F42B7"/>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8BF"/>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2D8"/>
    <w:rsid w:val="007204D5"/>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11F"/>
    <w:rsid w:val="007378FD"/>
    <w:rsid w:val="007403FE"/>
    <w:rsid w:val="00740DE0"/>
    <w:rsid w:val="007413EB"/>
    <w:rsid w:val="007413FB"/>
    <w:rsid w:val="007421B8"/>
    <w:rsid w:val="00742D32"/>
    <w:rsid w:val="00742E9B"/>
    <w:rsid w:val="0074344A"/>
    <w:rsid w:val="007444E6"/>
    <w:rsid w:val="00744F6A"/>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4C54"/>
    <w:rsid w:val="00775526"/>
    <w:rsid w:val="00775651"/>
    <w:rsid w:val="00775F3F"/>
    <w:rsid w:val="0077710B"/>
    <w:rsid w:val="0077765A"/>
    <w:rsid w:val="007778AE"/>
    <w:rsid w:val="00780032"/>
    <w:rsid w:val="00780636"/>
    <w:rsid w:val="00780E86"/>
    <w:rsid w:val="0078108C"/>
    <w:rsid w:val="00781727"/>
    <w:rsid w:val="007823E8"/>
    <w:rsid w:val="007827F9"/>
    <w:rsid w:val="00782C9F"/>
    <w:rsid w:val="00782CF3"/>
    <w:rsid w:val="00783959"/>
    <w:rsid w:val="00783BA5"/>
    <w:rsid w:val="007844A9"/>
    <w:rsid w:val="00784D85"/>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9C6"/>
    <w:rsid w:val="007C0EDF"/>
    <w:rsid w:val="007C10E4"/>
    <w:rsid w:val="007C17B4"/>
    <w:rsid w:val="007C20F8"/>
    <w:rsid w:val="007C21C5"/>
    <w:rsid w:val="007C2229"/>
    <w:rsid w:val="007C2313"/>
    <w:rsid w:val="007C24E0"/>
    <w:rsid w:val="007C2647"/>
    <w:rsid w:val="007C2D47"/>
    <w:rsid w:val="007C3162"/>
    <w:rsid w:val="007C3522"/>
    <w:rsid w:val="007C3590"/>
    <w:rsid w:val="007C387A"/>
    <w:rsid w:val="007C3A0D"/>
    <w:rsid w:val="007C3EB0"/>
    <w:rsid w:val="007C43D6"/>
    <w:rsid w:val="007C47FF"/>
    <w:rsid w:val="007C575E"/>
    <w:rsid w:val="007C5B15"/>
    <w:rsid w:val="007C5FA2"/>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46B4"/>
    <w:rsid w:val="007E54B8"/>
    <w:rsid w:val="007E569C"/>
    <w:rsid w:val="007E5D12"/>
    <w:rsid w:val="007E6420"/>
    <w:rsid w:val="007E677F"/>
    <w:rsid w:val="007E6B25"/>
    <w:rsid w:val="007E6E06"/>
    <w:rsid w:val="007E6F4A"/>
    <w:rsid w:val="007E7265"/>
    <w:rsid w:val="007E79CC"/>
    <w:rsid w:val="007F1124"/>
    <w:rsid w:val="007F152D"/>
    <w:rsid w:val="007F20C4"/>
    <w:rsid w:val="007F20EE"/>
    <w:rsid w:val="007F23D8"/>
    <w:rsid w:val="007F307A"/>
    <w:rsid w:val="007F30C6"/>
    <w:rsid w:val="007F38FD"/>
    <w:rsid w:val="007F3C18"/>
    <w:rsid w:val="007F3C9A"/>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B2D"/>
    <w:rsid w:val="00803D82"/>
    <w:rsid w:val="00803D98"/>
    <w:rsid w:val="008043FC"/>
    <w:rsid w:val="008052CE"/>
    <w:rsid w:val="0080548A"/>
    <w:rsid w:val="008058D0"/>
    <w:rsid w:val="00806A4C"/>
    <w:rsid w:val="0080705B"/>
    <w:rsid w:val="0080712F"/>
    <w:rsid w:val="0080723C"/>
    <w:rsid w:val="008073B3"/>
    <w:rsid w:val="00807748"/>
    <w:rsid w:val="00807846"/>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1E76"/>
    <w:rsid w:val="008220F6"/>
    <w:rsid w:val="00822456"/>
    <w:rsid w:val="0082253C"/>
    <w:rsid w:val="00822E53"/>
    <w:rsid w:val="00823819"/>
    <w:rsid w:val="00823C4B"/>
    <w:rsid w:val="00824140"/>
    <w:rsid w:val="0082427D"/>
    <w:rsid w:val="00825441"/>
    <w:rsid w:val="00826855"/>
    <w:rsid w:val="00830052"/>
    <w:rsid w:val="008300D0"/>
    <w:rsid w:val="008308D8"/>
    <w:rsid w:val="00830F8C"/>
    <w:rsid w:val="008313E8"/>
    <w:rsid w:val="008320BF"/>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4214"/>
    <w:rsid w:val="00845869"/>
    <w:rsid w:val="00845B14"/>
    <w:rsid w:val="00845F4B"/>
    <w:rsid w:val="008465B4"/>
    <w:rsid w:val="00846A87"/>
    <w:rsid w:val="00846ACC"/>
    <w:rsid w:val="00846D25"/>
    <w:rsid w:val="00847B75"/>
    <w:rsid w:val="00850013"/>
    <w:rsid w:val="008500DD"/>
    <w:rsid w:val="00850884"/>
    <w:rsid w:val="00850A0A"/>
    <w:rsid w:val="00850A94"/>
    <w:rsid w:val="0085114F"/>
    <w:rsid w:val="008517B9"/>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01"/>
    <w:rsid w:val="008669D2"/>
    <w:rsid w:val="00866BBB"/>
    <w:rsid w:val="0086707F"/>
    <w:rsid w:val="00867501"/>
    <w:rsid w:val="0086777D"/>
    <w:rsid w:val="00867D8E"/>
    <w:rsid w:val="008700C0"/>
    <w:rsid w:val="0087058B"/>
    <w:rsid w:val="0087099A"/>
    <w:rsid w:val="00870ACE"/>
    <w:rsid w:val="00870D79"/>
    <w:rsid w:val="00871333"/>
    <w:rsid w:val="00871952"/>
    <w:rsid w:val="00871A98"/>
    <w:rsid w:val="00872006"/>
    <w:rsid w:val="00872386"/>
    <w:rsid w:val="008726D7"/>
    <w:rsid w:val="00873128"/>
    <w:rsid w:val="008735BC"/>
    <w:rsid w:val="00873AAC"/>
    <w:rsid w:val="00873C61"/>
    <w:rsid w:val="00873DFD"/>
    <w:rsid w:val="008748C0"/>
    <w:rsid w:val="008749BF"/>
    <w:rsid w:val="00875542"/>
    <w:rsid w:val="00875E14"/>
    <w:rsid w:val="008763BD"/>
    <w:rsid w:val="0087677E"/>
    <w:rsid w:val="0087712C"/>
    <w:rsid w:val="00877334"/>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4011"/>
    <w:rsid w:val="00895144"/>
    <w:rsid w:val="00895963"/>
    <w:rsid w:val="008969EE"/>
    <w:rsid w:val="008972B6"/>
    <w:rsid w:val="0089731C"/>
    <w:rsid w:val="00897339"/>
    <w:rsid w:val="00897697"/>
    <w:rsid w:val="008977E1"/>
    <w:rsid w:val="00897BFA"/>
    <w:rsid w:val="00897D19"/>
    <w:rsid w:val="008A0044"/>
    <w:rsid w:val="008A0156"/>
    <w:rsid w:val="008A091D"/>
    <w:rsid w:val="008A0BFE"/>
    <w:rsid w:val="008A1932"/>
    <w:rsid w:val="008A21D9"/>
    <w:rsid w:val="008A232D"/>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6E6"/>
    <w:rsid w:val="008B1AB2"/>
    <w:rsid w:val="008B1BC5"/>
    <w:rsid w:val="008B1D9B"/>
    <w:rsid w:val="008B2042"/>
    <w:rsid w:val="008B20FF"/>
    <w:rsid w:val="008B2569"/>
    <w:rsid w:val="008B25F1"/>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0B3B"/>
    <w:rsid w:val="008C1570"/>
    <w:rsid w:val="008C1792"/>
    <w:rsid w:val="008C17B2"/>
    <w:rsid w:val="008C1AD3"/>
    <w:rsid w:val="008C1E28"/>
    <w:rsid w:val="008C1E3E"/>
    <w:rsid w:val="008C2059"/>
    <w:rsid w:val="008C21D0"/>
    <w:rsid w:val="008C2DBC"/>
    <w:rsid w:val="008C3A4E"/>
    <w:rsid w:val="008C422F"/>
    <w:rsid w:val="008C48FF"/>
    <w:rsid w:val="008C5371"/>
    <w:rsid w:val="008C6031"/>
    <w:rsid w:val="008C605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7BC"/>
    <w:rsid w:val="008D4D7C"/>
    <w:rsid w:val="008D5432"/>
    <w:rsid w:val="008D54C0"/>
    <w:rsid w:val="008D5558"/>
    <w:rsid w:val="008D57CD"/>
    <w:rsid w:val="008D5806"/>
    <w:rsid w:val="008D5ED9"/>
    <w:rsid w:val="008D6899"/>
    <w:rsid w:val="008D7247"/>
    <w:rsid w:val="008D7567"/>
    <w:rsid w:val="008E0EE4"/>
    <w:rsid w:val="008E109B"/>
    <w:rsid w:val="008E12BE"/>
    <w:rsid w:val="008E13FD"/>
    <w:rsid w:val="008E1C24"/>
    <w:rsid w:val="008E2626"/>
    <w:rsid w:val="008E27A9"/>
    <w:rsid w:val="008E323C"/>
    <w:rsid w:val="008E32E0"/>
    <w:rsid w:val="008E3335"/>
    <w:rsid w:val="008E341F"/>
    <w:rsid w:val="008E35A6"/>
    <w:rsid w:val="008E36D9"/>
    <w:rsid w:val="008E3A5C"/>
    <w:rsid w:val="008E3A9A"/>
    <w:rsid w:val="008E429E"/>
    <w:rsid w:val="008E58A3"/>
    <w:rsid w:val="008E5938"/>
    <w:rsid w:val="008E6109"/>
    <w:rsid w:val="008E6395"/>
    <w:rsid w:val="008E6A39"/>
    <w:rsid w:val="008E6DC8"/>
    <w:rsid w:val="008E76BB"/>
    <w:rsid w:val="008E7BC7"/>
    <w:rsid w:val="008F12A6"/>
    <w:rsid w:val="008F149E"/>
    <w:rsid w:val="008F1764"/>
    <w:rsid w:val="008F1E3D"/>
    <w:rsid w:val="008F235C"/>
    <w:rsid w:val="008F2860"/>
    <w:rsid w:val="008F290B"/>
    <w:rsid w:val="008F2F11"/>
    <w:rsid w:val="008F3369"/>
    <w:rsid w:val="008F33A6"/>
    <w:rsid w:val="008F35EC"/>
    <w:rsid w:val="008F4777"/>
    <w:rsid w:val="008F4FE8"/>
    <w:rsid w:val="008F4FED"/>
    <w:rsid w:val="008F5189"/>
    <w:rsid w:val="008F5225"/>
    <w:rsid w:val="008F5D5A"/>
    <w:rsid w:val="008F6200"/>
    <w:rsid w:val="008F62F8"/>
    <w:rsid w:val="008F6893"/>
    <w:rsid w:val="008F6B9D"/>
    <w:rsid w:val="008F7292"/>
    <w:rsid w:val="008F76C0"/>
    <w:rsid w:val="009000DA"/>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A49"/>
    <w:rsid w:val="00907E91"/>
    <w:rsid w:val="00910041"/>
    <w:rsid w:val="00910C26"/>
    <w:rsid w:val="0091112B"/>
    <w:rsid w:val="00911D61"/>
    <w:rsid w:val="00911E67"/>
    <w:rsid w:val="00912850"/>
    <w:rsid w:val="009128B8"/>
    <w:rsid w:val="00913AFB"/>
    <w:rsid w:val="0091472C"/>
    <w:rsid w:val="00914DC9"/>
    <w:rsid w:val="00914F4F"/>
    <w:rsid w:val="00915351"/>
    <w:rsid w:val="00915679"/>
    <w:rsid w:val="009159C2"/>
    <w:rsid w:val="00915B1B"/>
    <w:rsid w:val="00915D01"/>
    <w:rsid w:val="0091627F"/>
    <w:rsid w:val="00916E45"/>
    <w:rsid w:val="0092077A"/>
    <w:rsid w:val="00920DC0"/>
    <w:rsid w:val="00921164"/>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3C9E"/>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4AF"/>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508"/>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179"/>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38"/>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AD3"/>
    <w:rsid w:val="009A3BF3"/>
    <w:rsid w:val="009A3C3E"/>
    <w:rsid w:val="009A4153"/>
    <w:rsid w:val="009A4C2C"/>
    <w:rsid w:val="009A4DF0"/>
    <w:rsid w:val="009A59B3"/>
    <w:rsid w:val="009A5FAE"/>
    <w:rsid w:val="009A6AA9"/>
    <w:rsid w:val="009A6B3A"/>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2E36"/>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67E9"/>
    <w:rsid w:val="009C724B"/>
    <w:rsid w:val="009C7266"/>
    <w:rsid w:val="009C748A"/>
    <w:rsid w:val="009C789B"/>
    <w:rsid w:val="009D03B7"/>
    <w:rsid w:val="009D0609"/>
    <w:rsid w:val="009D07AD"/>
    <w:rsid w:val="009D0824"/>
    <w:rsid w:val="009D092A"/>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63C6"/>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B1"/>
    <w:rsid w:val="00A0307A"/>
    <w:rsid w:val="00A037E6"/>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5A5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6BB"/>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5208"/>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336"/>
    <w:rsid w:val="00A55410"/>
    <w:rsid w:val="00A55A04"/>
    <w:rsid w:val="00A564DE"/>
    <w:rsid w:val="00A5670C"/>
    <w:rsid w:val="00A57C10"/>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362"/>
    <w:rsid w:val="00A65EFB"/>
    <w:rsid w:val="00A66E28"/>
    <w:rsid w:val="00A67429"/>
    <w:rsid w:val="00A677E7"/>
    <w:rsid w:val="00A67CE9"/>
    <w:rsid w:val="00A70590"/>
    <w:rsid w:val="00A7062E"/>
    <w:rsid w:val="00A70834"/>
    <w:rsid w:val="00A71542"/>
    <w:rsid w:val="00A7171F"/>
    <w:rsid w:val="00A71F1B"/>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8A2"/>
    <w:rsid w:val="00A84F27"/>
    <w:rsid w:val="00A8519C"/>
    <w:rsid w:val="00A855EE"/>
    <w:rsid w:val="00A8597A"/>
    <w:rsid w:val="00A85B87"/>
    <w:rsid w:val="00A85F83"/>
    <w:rsid w:val="00A86019"/>
    <w:rsid w:val="00A8619A"/>
    <w:rsid w:val="00A86EED"/>
    <w:rsid w:val="00A8733A"/>
    <w:rsid w:val="00A8772D"/>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D34"/>
    <w:rsid w:val="00AC6E18"/>
    <w:rsid w:val="00AC75EB"/>
    <w:rsid w:val="00AC7F64"/>
    <w:rsid w:val="00AD1065"/>
    <w:rsid w:val="00AD159E"/>
    <w:rsid w:val="00AD248F"/>
    <w:rsid w:val="00AD2AB1"/>
    <w:rsid w:val="00AD3132"/>
    <w:rsid w:val="00AD33A5"/>
    <w:rsid w:val="00AD3DA6"/>
    <w:rsid w:val="00AD3F3C"/>
    <w:rsid w:val="00AD447E"/>
    <w:rsid w:val="00AD4B2F"/>
    <w:rsid w:val="00AD5F0A"/>
    <w:rsid w:val="00AD698E"/>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FC0"/>
    <w:rsid w:val="00AF03CF"/>
    <w:rsid w:val="00AF0A0A"/>
    <w:rsid w:val="00AF14FC"/>
    <w:rsid w:val="00AF1ED2"/>
    <w:rsid w:val="00AF1F4E"/>
    <w:rsid w:val="00AF2302"/>
    <w:rsid w:val="00AF262A"/>
    <w:rsid w:val="00AF3557"/>
    <w:rsid w:val="00AF3F86"/>
    <w:rsid w:val="00AF4CEE"/>
    <w:rsid w:val="00AF4F4A"/>
    <w:rsid w:val="00AF584C"/>
    <w:rsid w:val="00AF5D84"/>
    <w:rsid w:val="00AF6429"/>
    <w:rsid w:val="00AF6476"/>
    <w:rsid w:val="00AF669D"/>
    <w:rsid w:val="00AF672C"/>
    <w:rsid w:val="00AF673E"/>
    <w:rsid w:val="00AF6ABE"/>
    <w:rsid w:val="00AF6B61"/>
    <w:rsid w:val="00AF7003"/>
    <w:rsid w:val="00AF7389"/>
    <w:rsid w:val="00AF76B7"/>
    <w:rsid w:val="00AF79DF"/>
    <w:rsid w:val="00AF7C37"/>
    <w:rsid w:val="00B00378"/>
    <w:rsid w:val="00B00A84"/>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87B"/>
    <w:rsid w:val="00B05BA6"/>
    <w:rsid w:val="00B066FE"/>
    <w:rsid w:val="00B06912"/>
    <w:rsid w:val="00B06C80"/>
    <w:rsid w:val="00B06CF6"/>
    <w:rsid w:val="00B07316"/>
    <w:rsid w:val="00B07F74"/>
    <w:rsid w:val="00B10618"/>
    <w:rsid w:val="00B10B04"/>
    <w:rsid w:val="00B10CC6"/>
    <w:rsid w:val="00B11932"/>
    <w:rsid w:val="00B11A61"/>
    <w:rsid w:val="00B12082"/>
    <w:rsid w:val="00B12225"/>
    <w:rsid w:val="00B12648"/>
    <w:rsid w:val="00B1270C"/>
    <w:rsid w:val="00B12710"/>
    <w:rsid w:val="00B13389"/>
    <w:rsid w:val="00B1364C"/>
    <w:rsid w:val="00B13AF2"/>
    <w:rsid w:val="00B13EDB"/>
    <w:rsid w:val="00B141A5"/>
    <w:rsid w:val="00B14546"/>
    <w:rsid w:val="00B14A28"/>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190"/>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4E"/>
    <w:rsid w:val="00B37B8E"/>
    <w:rsid w:val="00B37C34"/>
    <w:rsid w:val="00B4007F"/>
    <w:rsid w:val="00B40222"/>
    <w:rsid w:val="00B404C3"/>
    <w:rsid w:val="00B4160A"/>
    <w:rsid w:val="00B41618"/>
    <w:rsid w:val="00B41A04"/>
    <w:rsid w:val="00B42743"/>
    <w:rsid w:val="00B430E9"/>
    <w:rsid w:val="00B4311F"/>
    <w:rsid w:val="00B431AE"/>
    <w:rsid w:val="00B43A43"/>
    <w:rsid w:val="00B44288"/>
    <w:rsid w:val="00B4480D"/>
    <w:rsid w:val="00B448BF"/>
    <w:rsid w:val="00B45A59"/>
    <w:rsid w:val="00B45F9F"/>
    <w:rsid w:val="00B4627C"/>
    <w:rsid w:val="00B4641F"/>
    <w:rsid w:val="00B4651A"/>
    <w:rsid w:val="00B46793"/>
    <w:rsid w:val="00B46953"/>
    <w:rsid w:val="00B47455"/>
    <w:rsid w:val="00B47979"/>
    <w:rsid w:val="00B47A59"/>
    <w:rsid w:val="00B47ECD"/>
    <w:rsid w:val="00B47FF3"/>
    <w:rsid w:val="00B503D6"/>
    <w:rsid w:val="00B51520"/>
    <w:rsid w:val="00B515C3"/>
    <w:rsid w:val="00B517C2"/>
    <w:rsid w:val="00B518CE"/>
    <w:rsid w:val="00B51F56"/>
    <w:rsid w:val="00B520F1"/>
    <w:rsid w:val="00B521C8"/>
    <w:rsid w:val="00B52234"/>
    <w:rsid w:val="00B524E1"/>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67C2E"/>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02A"/>
    <w:rsid w:val="00B90580"/>
    <w:rsid w:val="00B90D8D"/>
    <w:rsid w:val="00B911D5"/>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0D7"/>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4C"/>
    <w:rsid w:val="00BB7F88"/>
    <w:rsid w:val="00BC0207"/>
    <w:rsid w:val="00BC072C"/>
    <w:rsid w:val="00BC089F"/>
    <w:rsid w:val="00BC0A0C"/>
    <w:rsid w:val="00BC0A5A"/>
    <w:rsid w:val="00BC0E64"/>
    <w:rsid w:val="00BC13C2"/>
    <w:rsid w:val="00BC25D1"/>
    <w:rsid w:val="00BC2DBD"/>
    <w:rsid w:val="00BC3BCB"/>
    <w:rsid w:val="00BC3CF1"/>
    <w:rsid w:val="00BC428A"/>
    <w:rsid w:val="00BC4C40"/>
    <w:rsid w:val="00BC5854"/>
    <w:rsid w:val="00BC5A29"/>
    <w:rsid w:val="00BC5AE3"/>
    <w:rsid w:val="00BC5BAD"/>
    <w:rsid w:val="00BC692A"/>
    <w:rsid w:val="00BC76C5"/>
    <w:rsid w:val="00BC7F94"/>
    <w:rsid w:val="00BD0C23"/>
    <w:rsid w:val="00BD1039"/>
    <w:rsid w:val="00BD10B7"/>
    <w:rsid w:val="00BD138A"/>
    <w:rsid w:val="00BD164A"/>
    <w:rsid w:val="00BD18B3"/>
    <w:rsid w:val="00BD1BDD"/>
    <w:rsid w:val="00BD1D7D"/>
    <w:rsid w:val="00BD1E27"/>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166"/>
    <w:rsid w:val="00BE7805"/>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14F"/>
    <w:rsid w:val="00BF626A"/>
    <w:rsid w:val="00BF688E"/>
    <w:rsid w:val="00BF6D77"/>
    <w:rsid w:val="00BF704C"/>
    <w:rsid w:val="00BF70C8"/>
    <w:rsid w:val="00BF739A"/>
    <w:rsid w:val="00BF7E79"/>
    <w:rsid w:val="00BF7EF5"/>
    <w:rsid w:val="00C00358"/>
    <w:rsid w:val="00C00BF6"/>
    <w:rsid w:val="00C01146"/>
    <w:rsid w:val="00C011A5"/>
    <w:rsid w:val="00C0234A"/>
    <w:rsid w:val="00C0247B"/>
    <w:rsid w:val="00C0363A"/>
    <w:rsid w:val="00C0378E"/>
    <w:rsid w:val="00C04314"/>
    <w:rsid w:val="00C04BD0"/>
    <w:rsid w:val="00C05063"/>
    <w:rsid w:val="00C05730"/>
    <w:rsid w:val="00C05AF4"/>
    <w:rsid w:val="00C05AFD"/>
    <w:rsid w:val="00C05E2D"/>
    <w:rsid w:val="00C0661C"/>
    <w:rsid w:val="00C0675F"/>
    <w:rsid w:val="00C06ECC"/>
    <w:rsid w:val="00C0702A"/>
    <w:rsid w:val="00C0724C"/>
    <w:rsid w:val="00C07C11"/>
    <w:rsid w:val="00C07E10"/>
    <w:rsid w:val="00C10015"/>
    <w:rsid w:val="00C106EA"/>
    <w:rsid w:val="00C1110A"/>
    <w:rsid w:val="00C11689"/>
    <w:rsid w:val="00C12346"/>
    <w:rsid w:val="00C12414"/>
    <w:rsid w:val="00C12ECB"/>
    <w:rsid w:val="00C148B2"/>
    <w:rsid w:val="00C14ABD"/>
    <w:rsid w:val="00C14C8A"/>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42D"/>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459"/>
    <w:rsid w:val="00C32A9B"/>
    <w:rsid w:val="00C32F03"/>
    <w:rsid w:val="00C332D4"/>
    <w:rsid w:val="00C33514"/>
    <w:rsid w:val="00C33A66"/>
    <w:rsid w:val="00C33E51"/>
    <w:rsid w:val="00C348BF"/>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2EEC"/>
    <w:rsid w:val="00C4360C"/>
    <w:rsid w:val="00C439B8"/>
    <w:rsid w:val="00C43A0B"/>
    <w:rsid w:val="00C43EDA"/>
    <w:rsid w:val="00C43FEC"/>
    <w:rsid w:val="00C4414C"/>
    <w:rsid w:val="00C443D0"/>
    <w:rsid w:val="00C44918"/>
    <w:rsid w:val="00C449A0"/>
    <w:rsid w:val="00C44D6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15C"/>
    <w:rsid w:val="00C5531B"/>
    <w:rsid w:val="00C55375"/>
    <w:rsid w:val="00C5570F"/>
    <w:rsid w:val="00C56C98"/>
    <w:rsid w:val="00C56DE1"/>
    <w:rsid w:val="00C56DEE"/>
    <w:rsid w:val="00C5710A"/>
    <w:rsid w:val="00C57120"/>
    <w:rsid w:val="00C571D5"/>
    <w:rsid w:val="00C575D4"/>
    <w:rsid w:val="00C57E37"/>
    <w:rsid w:val="00C60DDC"/>
    <w:rsid w:val="00C60FE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2E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3F57"/>
    <w:rsid w:val="00C74609"/>
    <w:rsid w:val="00C749AB"/>
    <w:rsid w:val="00C757BF"/>
    <w:rsid w:val="00C75A8F"/>
    <w:rsid w:val="00C76129"/>
    <w:rsid w:val="00C76613"/>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2C8A"/>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4EC"/>
    <w:rsid w:val="00CB5A26"/>
    <w:rsid w:val="00CB645B"/>
    <w:rsid w:val="00CB681E"/>
    <w:rsid w:val="00CB6A93"/>
    <w:rsid w:val="00CB6C79"/>
    <w:rsid w:val="00CB6F2E"/>
    <w:rsid w:val="00CB77C3"/>
    <w:rsid w:val="00CB7E9C"/>
    <w:rsid w:val="00CC0072"/>
    <w:rsid w:val="00CC027A"/>
    <w:rsid w:val="00CC072B"/>
    <w:rsid w:val="00CC0915"/>
    <w:rsid w:val="00CC0FBD"/>
    <w:rsid w:val="00CC1398"/>
    <w:rsid w:val="00CC1AF5"/>
    <w:rsid w:val="00CC1B74"/>
    <w:rsid w:val="00CC25CE"/>
    <w:rsid w:val="00CC291E"/>
    <w:rsid w:val="00CC2D03"/>
    <w:rsid w:val="00CC2EB0"/>
    <w:rsid w:val="00CC40EC"/>
    <w:rsid w:val="00CC4701"/>
    <w:rsid w:val="00CC5340"/>
    <w:rsid w:val="00CC56B4"/>
    <w:rsid w:val="00CC5F95"/>
    <w:rsid w:val="00CC642A"/>
    <w:rsid w:val="00CC6AC7"/>
    <w:rsid w:val="00CC733D"/>
    <w:rsid w:val="00CC7617"/>
    <w:rsid w:val="00CC7E0D"/>
    <w:rsid w:val="00CC7E97"/>
    <w:rsid w:val="00CD00EB"/>
    <w:rsid w:val="00CD1255"/>
    <w:rsid w:val="00CD1343"/>
    <w:rsid w:val="00CD1484"/>
    <w:rsid w:val="00CD1892"/>
    <w:rsid w:val="00CD1A3D"/>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3C2"/>
    <w:rsid w:val="00CF345B"/>
    <w:rsid w:val="00CF3545"/>
    <w:rsid w:val="00CF3AD3"/>
    <w:rsid w:val="00CF3D9D"/>
    <w:rsid w:val="00CF475F"/>
    <w:rsid w:val="00CF5008"/>
    <w:rsid w:val="00CF5069"/>
    <w:rsid w:val="00CF59BF"/>
    <w:rsid w:val="00CF5E34"/>
    <w:rsid w:val="00CF6025"/>
    <w:rsid w:val="00CF6707"/>
    <w:rsid w:val="00CF6BEA"/>
    <w:rsid w:val="00CF7101"/>
    <w:rsid w:val="00CF72DA"/>
    <w:rsid w:val="00CF7327"/>
    <w:rsid w:val="00CF7385"/>
    <w:rsid w:val="00CF7539"/>
    <w:rsid w:val="00CF75C6"/>
    <w:rsid w:val="00CF7B77"/>
    <w:rsid w:val="00CF7DF5"/>
    <w:rsid w:val="00D001D2"/>
    <w:rsid w:val="00D02A80"/>
    <w:rsid w:val="00D0352D"/>
    <w:rsid w:val="00D038B7"/>
    <w:rsid w:val="00D038DC"/>
    <w:rsid w:val="00D03F40"/>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D0F"/>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134"/>
    <w:rsid w:val="00D31243"/>
    <w:rsid w:val="00D31584"/>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1F87"/>
    <w:rsid w:val="00D427C2"/>
    <w:rsid w:val="00D4299E"/>
    <w:rsid w:val="00D42B0C"/>
    <w:rsid w:val="00D42D6E"/>
    <w:rsid w:val="00D42F28"/>
    <w:rsid w:val="00D43DEF"/>
    <w:rsid w:val="00D44259"/>
    <w:rsid w:val="00D45C61"/>
    <w:rsid w:val="00D45DDC"/>
    <w:rsid w:val="00D4794C"/>
    <w:rsid w:val="00D479B3"/>
    <w:rsid w:val="00D5064C"/>
    <w:rsid w:val="00D50C94"/>
    <w:rsid w:val="00D511E7"/>
    <w:rsid w:val="00D517ED"/>
    <w:rsid w:val="00D5205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F99"/>
    <w:rsid w:val="00D5743F"/>
    <w:rsid w:val="00D5768F"/>
    <w:rsid w:val="00D57901"/>
    <w:rsid w:val="00D57F1F"/>
    <w:rsid w:val="00D60065"/>
    <w:rsid w:val="00D60270"/>
    <w:rsid w:val="00D605C2"/>
    <w:rsid w:val="00D60733"/>
    <w:rsid w:val="00D60A88"/>
    <w:rsid w:val="00D60C60"/>
    <w:rsid w:val="00D60C8F"/>
    <w:rsid w:val="00D61E1D"/>
    <w:rsid w:val="00D62928"/>
    <w:rsid w:val="00D629A4"/>
    <w:rsid w:val="00D62BDF"/>
    <w:rsid w:val="00D62EEE"/>
    <w:rsid w:val="00D64F1C"/>
    <w:rsid w:val="00D6570C"/>
    <w:rsid w:val="00D659EA"/>
    <w:rsid w:val="00D65A89"/>
    <w:rsid w:val="00D65E85"/>
    <w:rsid w:val="00D65EA1"/>
    <w:rsid w:val="00D6611C"/>
    <w:rsid w:val="00D66A89"/>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81E"/>
    <w:rsid w:val="00D73991"/>
    <w:rsid w:val="00D73CD4"/>
    <w:rsid w:val="00D73F06"/>
    <w:rsid w:val="00D74067"/>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97DD0"/>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5D"/>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2D96"/>
    <w:rsid w:val="00DB3490"/>
    <w:rsid w:val="00DB3593"/>
    <w:rsid w:val="00DB40EF"/>
    <w:rsid w:val="00DB440B"/>
    <w:rsid w:val="00DB4426"/>
    <w:rsid w:val="00DB4522"/>
    <w:rsid w:val="00DB4B40"/>
    <w:rsid w:val="00DB4D77"/>
    <w:rsid w:val="00DB4F12"/>
    <w:rsid w:val="00DB4F21"/>
    <w:rsid w:val="00DB4F42"/>
    <w:rsid w:val="00DB540C"/>
    <w:rsid w:val="00DB5854"/>
    <w:rsid w:val="00DB6F96"/>
    <w:rsid w:val="00DB71B9"/>
    <w:rsid w:val="00DB7662"/>
    <w:rsid w:val="00DB7A23"/>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91B"/>
    <w:rsid w:val="00DE2D66"/>
    <w:rsid w:val="00DE2F10"/>
    <w:rsid w:val="00DE2F85"/>
    <w:rsid w:val="00DE30AC"/>
    <w:rsid w:val="00DE38D1"/>
    <w:rsid w:val="00DE4106"/>
    <w:rsid w:val="00DE466B"/>
    <w:rsid w:val="00DE48F4"/>
    <w:rsid w:val="00DE493B"/>
    <w:rsid w:val="00DE5563"/>
    <w:rsid w:val="00DE5C19"/>
    <w:rsid w:val="00DE5C57"/>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A9C"/>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48A"/>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17BE4"/>
    <w:rsid w:val="00E17D99"/>
    <w:rsid w:val="00E20057"/>
    <w:rsid w:val="00E203DE"/>
    <w:rsid w:val="00E2096D"/>
    <w:rsid w:val="00E20CE7"/>
    <w:rsid w:val="00E21341"/>
    <w:rsid w:val="00E217B1"/>
    <w:rsid w:val="00E222FA"/>
    <w:rsid w:val="00E2293B"/>
    <w:rsid w:val="00E229CE"/>
    <w:rsid w:val="00E22B4A"/>
    <w:rsid w:val="00E2376D"/>
    <w:rsid w:val="00E2449B"/>
    <w:rsid w:val="00E24A62"/>
    <w:rsid w:val="00E24E3B"/>
    <w:rsid w:val="00E24F52"/>
    <w:rsid w:val="00E255CC"/>
    <w:rsid w:val="00E25636"/>
    <w:rsid w:val="00E25755"/>
    <w:rsid w:val="00E25F90"/>
    <w:rsid w:val="00E26203"/>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70B"/>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6EAD"/>
    <w:rsid w:val="00E672C6"/>
    <w:rsid w:val="00E70192"/>
    <w:rsid w:val="00E701BF"/>
    <w:rsid w:val="00E70C55"/>
    <w:rsid w:val="00E70E34"/>
    <w:rsid w:val="00E71405"/>
    <w:rsid w:val="00E71809"/>
    <w:rsid w:val="00E71D1E"/>
    <w:rsid w:val="00E726F2"/>
    <w:rsid w:val="00E728E2"/>
    <w:rsid w:val="00E738FA"/>
    <w:rsid w:val="00E739B6"/>
    <w:rsid w:val="00E74A2B"/>
    <w:rsid w:val="00E75667"/>
    <w:rsid w:val="00E756D3"/>
    <w:rsid w:val="00E75A5A"/>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189"/>
    <w:rsid w:val="00E9751D"/>
    <w:rsid w:val="00E97DC6"/>
    <w:rsid w:val="00E97F7A"/>
    <w:rsid w:val="00EA0010"/>
    <w:rsid w:val="00EA0143"/>
    <w:rsid w:val="00EA06C4"/>
    <w:rsid w:val="00EA073C"/>
    <w:rsid w:val="00EA089B"/>
    <w:rsid w:val="00EA1661"/>
    <w:rsid w:val="00EA1ACC"/>
    <w:rsid w:val="00EA29E4"/>
    <w:rsid w:val="00EA2DCA"/>
    <w:rsid w:val="00EA2E21"/>
    <w:rsid w:val="00EA2EAA"/>
    <w:rsid w:val="00EA380C"/>
    <w:rsid w:val="00EA448F"/>
    <w:rsid w:val="00EA50B3"/>
    <w:rsid w:val="00EA613D"/>
    <w:rsid w:val="00EA6645"/>
    <w:rsid w:val="00EA6744"/>
    <w:rsid w:val="00EA7077"/>
    <w:rsid w:val="00EA7308"/>
    <w:rsid w:val="00EA7474"/>
    <w:rsid w:val="00EA7DD5"/>
    <w:rsid w:val="00EB018D"/>
    <w:rsid w:val="00EB0831"/>
    <w:rsid w:val="00EB089C"/>
    <w:rsid w:val="00EB0AA8"/>
    <w:rsid w:val="00EB0B65"/>
    <w:rsid w:val="00EB0C65"/>
    <w:rsid w:val="00EB1624"/>
    <w:rsid w:val="00EB169F"/>
    <w:rsid w:val="00EB2635"/>
    <w:rsid w:val="00EB2944"/>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21C0"/>
    <w:rsid w:val="00EC243E"/>
    <w:rsid w:val="00EC25FC"/>
    <w:rsid w:val="00EC328C"/>
    <w:rsid w:val="00EC32F5"/>
    <w:rsid w:val="00EC36FD"/>
    <w:rsid w:val="00EC3852"/>
    <w:rsid w:val="00EC3B99"/>
    <w:rsid w:val="00EC4528"/>
    <w:rsid w:val="00EC5241"/>
    <w:rsid w:val="00EC5817"/>
    <w:rsid w:val="00EC594C"/>
    <w:rsid w:val="00EC5A92"/>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2B3"/>
    <w:rsid w:val="00EE04F9"/>
    <w:rsid w:val="00EE05E0"/>
    <w:rsid w:val="00EE0F88"/>
    <w:rsid w:val="00EE0FF6"/>
    <w:rsid w:val="00EE13DA"/>
    <w:rsid w:val="00EE1595"/>
    <w:rsid w:val="00EE1E71"/>
    <w:rsid w:val="00EE2087"/>
    <w:rsid w:val="00EE20C2"/>
    <w:rsid w:val="00EE2A9D"/>
    <w:rsid w:val="00EE2E68"/>
    <w:rsid w:val="00EE3384"/>
    <w:rsid w:val="00EE4309"/>
    <w:rsid w:val="00EE499F"/>
    <w:rsid w:val="00EE501E"/>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6DE"/>
    <w:rsid w:val="00EF6D5A"/>
    <w:rsid w:val="00EF71E6"/>
    <w:rsid w:val="00F0058A"/>
    <w:rsid w:val="00F00630"/>
    <w:rsid w:val="00F00922"/>
    <w:rsid w:val="00F00924"/>
    <w:rsid w:val="00F0103B"/>
    <w:rsid w:val="00F016AB"/>
    <w:rsid w:val="00F0187E"/>
    <w:rsid w:val="00F01BE6"/>
    <w:rsid w:val="00F01DB7"/>
    <w:rsid w:val="00F01F75"/>
    <w:rsid w:val="00F0217A"/>
    <w:rsid w:val="00F022AA"/>
    <w:rsid w:val="00F026D3"/>
    <w:rsid w:val="00F0272A"/>
    <w:rsid w:val="00F027E8"/>
    <w:rsid w:val="00F03395"/>
    <w:rsid w:val="00F034E6"/>
    <w:rsid w:val="00F03E4C"/>
    <w:rsid w:val="00F042D1"/>
    <w:rsid w:val="00F04D19"/>
    <w:rsid w:val="00F050A3"/>
    <w:rsid w:val="00F052F4"/>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78E"/>
    <w:rsid w:val="00F15A85"/>
    <w:rsid w:val="00F15C81"/>
    <w:rsid w:val="00F15D8C"/>
    <w:rsid w:val="00F15F18"/>
    <w:rsid w:val="00F16B86"/>
    <w:rsid w:val="00F16E1A"/>
    <w:rsid w:val="00F16F92"/>
    <w:rsid w:val="00F17037"/>
    <w:rsid w:val="00F17C3E"/>
    <w:rsid w:val="00F20197"/>
    <w:rsid w:val="00F20369"/>
    <w:rsid w:val="00F20607"/>
    <w:rsid w:val="00F2068F"/>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1F13"/>
    <w:rsid w:val="00F3265C"/>
    <w:rsid w:val="00F32C4A"/>
    <w:rsid w:val="00F33262"/>
    <w:rsid w:val="00F343EE"/>
    <w:rsid w:val="00F34423"/>
    <w:rsid w:val="00F353F4"/>
    <w:rsid w:val="00F35494"/>
    <w:rsid w:val="00F35607"/>
    <w:rsid w:val="00F357F3"/>
    <w:rsid w:val="00F359AB"/>
    <w:rsid w:val="00F35AD5"/>
    <w:rsid w:val="00F35DBA"/>
    <w:rsid w:val="00F3619D"/>
    <w:rsid w:val="00F36A35"/>
    <w:rsid w:val="00F36DDE"/>
    <w:rsid w:val="00F3722A"/>
    <w:rsid w:val="00F37366"/>
    <w:rsid w:val="00F37C99"/>
    <w:rsid w:val="00F37EDB"/>
    <w:rsid w:val="00F37FCC"/>
    <w:rsid w:val="00F405CB"/>
    <w:rsid w:val="00F40AC0"/>
    <w:rsid w:val="00F40FCD"/>
    <w:rsid w:val="00F419B8"/>
    <w:rsid w:val="00F41C0F"/>
    <w:rsid w:val="00F42856"/>
    <w:rsid w:val="00F4288F"/>
    <w:rsid w:val="00F42ED7"/>
    <w:rsid w:val="00F433B2"/>
    <w:rsid w:val="00F43777"/>
    <w:rsid w:val="00F442F2"/>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AF1"/>
    <w:rsid w:val="00F56F7E"/>
    <w:rsid w:val="00F56FEF"/>
    <w:rsid w:val="00F57521"/>
    <w:rsid w:val="00F57E2D"/>
    <w:rsid w:val="00F60024"/>
    <w:rsid w:val="00F60708"/>
    <w:rsid w:val="00F60938"/>
    <w:rsid w:val="00F60C7E"/>
    <w:rsid w:val="00F60E0A"/>
    <w:rsid w:val="00F61606"/>
    <w:rsid w:val="00F61918"/>
    <w:rsid w:val="00F62151"/>
    <w:rsid w:val="00F62CA8"/>
    <w:rsid w:val="00F62F92"/>
    <w:rsid w:val="00F630B4"/>
    <w:rsid w:val="00F635EF"/>
    <w:rsid w:val="00F63BF4"/>
    <w:rsid w:val="00F63C55"/>
    <w:rsid w:val="00F63C60"/>
    <w:rsid w:val="00F6432E"/>
    <w:rsid w:val="00F64991"/>
    <w:rsid w:val="00F65BA9"/>
    <w:rsid w:val="00F65BC8"/>
    <w:rsid w:val="00F65EEA"/>
    <w:rsid w:val="00F66205"/>
    <w:rsid w:val="00F6630F"/>
    <w:rsid w:val="00F66419"/>
    <w:rsid w:val="00F666AE"/>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2FCB"/>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8AE"/>
    <w:rsid w:val="00F919F8"/>
    <w:rsid w:val="00F91A44"/>
    <w:rsid w:val="00F91BFA"/>
    <w:rsid w:val="00F91F8F"/>
    <w:rsid w:val="00F9217B"/>
    <w:rsid w:val="00F92A4E"/>
    <w:rsid w:val="00F9399D"/>
    <w:rsid w:val="00F93C85"/>
    <w:rsid w:val="00F94016"/>
    <w:rsid w:val="00F95145"/>
    <w:rsid w:val="00F95234"/>
    <w:rsid w:val="00F95995"/>
    <w:rsid w:val="00F96AE3"/>
    <w:rsid w:val="00F97A34"/>
    <w:rsid w:val="00F97E4A"/>
    <w:rsid w:val="00F97EA1"/>
    <w:rsid w:val="00FA003A"/>
    <w:rsid w:val="00FA05C8"/>
    <w:rsid w:val="00FA0678"/>
    <w:rsid w:val="00FA0DB6"/>
    <w:rsid w:val="00FA20D4"/>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488"/>
    <w:rsid w:val="00FB7823"/>
    <w:rsid w:val="00FC05B2"/>
    <w:rsid w:val="00FC08B3"/>
    <w:rsid w:val="00FC09D7"/>
    <w:rsid w:val="00FC0ABE"/>
    <w:rsid w:val="00FC1269"/>
    <w:rsid w:val="00FC13E4"/>
    <w:rsid w:val="00FC1D89"/>
    <w:rsid w:val="00FC22D0"/>
    <w:rsid w:val="00FC2DA4"/>
    <w:rsid w:val="00FC2E74"/>
    <w:rsid w:val="00FC38D4"/>
    <w:rsid w:val="00FC391E"/>
    <w:rsid w:val="00FC39B3"/>
    <w:rsid w:val="00FC3A70"/>
    <w:rsid w:val="00FC3BB7"/>
    <w:rsid w:val="00FC4345"/>
    <w:rsid w:val="00FC444A"/>
    <w:rsid w:val="00FC453D"/>
    <w:rsid w:val="00FC4A89"/>
    <w:rsid w:val="00FC619B"/>
    <w:rsid w:val="00FC6238"/>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42C4"/>
    <w:rsid w:val="00FD54A8"/>
    <w:rsid w:val="00FD591C"/>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7CD"/>
    <w:rsid w:val="00FE1852"/>
    <w:rsid w:val="00FE1963"/>
    <w:rsid w:val="00FE1981"/>
    <w:rsid w:val="00FE1BF1"/>
    <w:rsid w:val="00FE30DC"/>
    <w:rsid w:val="00FE31EE"/>
    <w:rsid w:val="00FE33DB"/>
    <w:rsid w:val="00FE33F5"/>
    <w:rsid w:val="00FE352A"/>
    <w:rsid w:val="00FE37DD"/>
    <w:rsid w:val="00FE3C31"/>
    <w:rsid w:val="00FE4015"/>
    <w:rsid w:val="00FE41EF"/>
    <w:rsid w:val="00FE44F5"/>
    <w:rsid w:val="00FE4783"/>
    <w:rsid w:val="00FE480D"/>
    <w:rsid w:val="00FE4ACC"/>
    <w:rsid w:val="00FE4F80"/>
    <w:rsid w:val="00FE570E"/>
    <w:rsid w:val="00FE61D1"/>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4AEA"/>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0E73FB"/>
    <w:rsid w:val="08452D77"/>
    <w:rsid w:val="086401F8"/>
    <w:rsid w:val="08716E9D"/>
    <w:rsid w:val="08751CAA"/>
    <w:rsid w:val="087E4C40"/>
    <w:rsid w:val="08A871D0"/>
    <w:rsid w:val="08D66AD6"/>
    <w:rsid w:val="08DA33A3"/>
    <w:rsid w:val="08E80F13"/>
    <w:rsid w:val="09335624"/>
    <w:rsid w:val="0944690F"/>
    <w:rsid w:val="09535675"/>
    <w:rsid w:val="095E660B"/>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3124D9"/>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1FE0AAB"/>
    <w:rsid w:val="12255233"/>
    <w:rsid w:val="12530213"/>
    <w:rsid w:val="127723A9"/>
    <w:rsid w:val="12862074"/>
    <w:rsid w:val="12882C61"/>
    <w:rsid w:val="12883966"/>
    <w:rsid w:val="129E45B4"/>
    <w:rsid w:val="12B72FF7"/>
    <w:rsid w:val="12D81596"/>
    <w:rsid w:val="13072A44"/>
    <w:rsid w:val="135F4BE2"/>
    <w:rsid w:val="139B1A0A"/>
    <w:rsid w:val="139D25C7"/>
    <w:rsid w:val="13BF3CE4"/>
    <w:rsid w:val="141008D8"/>
    <w:rsid w:val="14125FE6"/>
    <w:rsid w:val="146300DF"/>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244F26"/>
    <w:rsid w:val="1830729E"/>
    <w:rsid w:val="1870062C"/>
    <w:rsid w:val="18817102"/>
    <w:rsid w:val="18830A15"/>
    <w:rsid w:val="18852B28"/>
    <w:rsid w:val="188B5321"/>
    <w:rsid w:val="18FC7C4A"/>
    <w:rsid w:val="194F4B69"/>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67088B"/>
    <w:rsid w:val="1C88086E"/>
    <w:rsid w:val="1D266CE1"/>
    <w:rsid w:val="1D3963AF"/>
    <w:rsid w:val="1D6A673C"/>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7D6415F"/>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052873"/>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144885"/>
    <w:rsid w:val="32517576"/>
    <w:rsid w:val="32BE5C2C"/>
    <w:rsid w:val="32FB6478"/>
    <w:rsid w:val="33263B3F"/>
    <w:rsid w:val="336963EB"/>
    <w:rsid w:val="33816EEB"/>
    <w:rsid w:val="33C5616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8353C1"/>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16C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3F4D6C"/>
    <w:rsid w:val="3E42664B"/>
    <w:rsid w:val="3E5A7334"/>
    <w:rsid w:val="3E7B5D6B"/>
    <w:rsid w:val="3E843E66"/>
    <w:rsid w:val="3E8F51FE"/>
    <w:rsid w:val="3E926F87"/>
    <w:rsid w:val="3E9A59DE"/>
    <w:rsid w:val="3EAF4836"/>
    <w:rsid w:val="3EC33DFA"/>
    <w:rsid w:val="3EF12BA1"/>
    <w:rsid w:val="3F060E16"/>
    <w:rsid w:val="3F1D1096"/>
    <w:rsid w:val="3F2F0234"/>
    <w:rsid w:val="3F6363FE"/>
    <w:rsid w:val="3F6D015D"/>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4E59CA"/>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470FF3"/>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B1247"/>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105077"/>
    <w:rsid w:val="5A2A7C7B"/>
    <w:rsid w:val="5A3E2560"/>
    <w:rsid w:val="5A5D3B6E"/>
    <w:rsid w:val="5A637A76"/>
    <w:rsid w:val="5A6D33BA"/>
    <w:rsid w:val="5A792B1F"/>
    <w:rsid w:val="5A874767"/>
    <w:rsid w:val="5AA85BE2"/>
    <w:rsid w:val="5AAD6F28"/>
    <w:rsid w:val="5AD63A24"/>
    <w:rsid w:val="5AEB6B71"/>
    <w:rsid w:val="5B2E1A1D"/>
    <w:rsid w:val="5B6A08E1"/>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DD47E0F"/>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732DA"/>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52321"/>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136511"/>
    <w:rsid w:val="7718792D"/>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B15C66"/>
    <w:rsid w:val="7CE27788"/>
    <w:rsid w:val="7D0C32F1"/>
    <w:rsid w:val="7D0F408D"/>
    <w:rsid w:val="7D491C6C"/>
    <w:rsid w:val="7D5429C0"/>
    <w:rsid w:val="7D6E6D43"/>
    <w:rsid w:val="7DB57A34"/>
    <w:rsid w:val="7DE60973"/>
    <w:rsid w:val="7DEF0916"/>
    <w:rsid w:val="7DF76E50"/>
    <w:rsid w:val="7DFA111A"/>
    <w:rsid w:val="7E1E5218"/>
    <w:rsid w:val="7E9A4E1F"/>
    <w:rsid w:val="7EA7723A"/>
    <w:rsid w:val="7EF56FBB"/>
    <w:rsid w:val="7F0768EB"/>
    <w:rsid w:val="7F143BEC"/>
    <w:rsid w:val="7F551F06"/>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9"/>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1"/>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99"/>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0"/>
    <w:pPr>
      <w:tabs>
        <w:tab w:val="center" w:pos="4153"/>
        <w:tab w:val="right" w:pos="8306"/>
      </w:tabs>
      <w:snapToGrid w:val="0"/>
      <w:jc w:val="left"/>
    </w:pPr>
    <w:rPr>
      <w:sz w:val="18"/>
      <w:szCs w:val="18"/>
    </w:rPr>
  </w:style>
  <w:style w:type="paragraph" w:styleId="40">
    <w:name w:val="header"/>
    <w:basedOn w:val="1"/>
    <w:link w:val="389"/>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99"/>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basedOn w:val="69"/>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99"/>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2"/>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basedOn w:val="69"/>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0"/>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basedOn w:val="69"/>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styleId="962">
    <w:name w:val="Intense Quote"/>
    <w:basedOn w:val="1"/>
    <w:next w:val="1"/>
    <w:link w:val="963"/>
    <w:qFormat/>
    <w:uiPriority w:val="0"/>
    <w:pPr>
      <w:wordWrap w:val="0"/>
      <w:adjustRightInd/>
      <w:spacing w:before="360" w:after="360"/>
      <w:ind w:left="950" w:right="950"/>
      <w:jc w:val="center"/>
    </w:pPr>
    <w:rPr>
      <w:i/>
    </w:rPr>
  </w:style>
  <w:style w:type="character" w:customStyle="1" w:styleId="963">
    <w:name w:val="明显引用 Char"/>
    <w:basedOn w:val="69"/>
    <w:link w:val="962"/>
    <w:qFormat/>
    <w:uiPriority w:val="0"/>
    <w:rPr>
      <w:i/>
      <w:kern w:val="2"/>
      <w:sz w:val="21"/>
      <w:szCs w:val="24"/>
    </w:rPr>
  </w:style>
  <w:style w:type="character" w:customStyle="1" w:styleId="964">
    <w:name w:val="NormalCharacter"/>
    <w:semiHidden/>
    <w:qFormat/>
    <w:uiPriority w:val="0"/>
    <w:rPr>
      <w:rFonts w:asciiTheme="minorHAnsi" w:hAnsiTheme="minorHAnsi" w:eastAsiaTheme="minorEastAsia" w:cstheme="minorBidi"/>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 w:type="paragraph" w:customStyle="1" w:styleId="966">
    <w:name w:val="p15"/>
    <w:basedOn w:val="1"/>
    <w:qFormat/>
    <w:uiPriority w:val="0"/>
    <w:pPr>
      <w:widowControl/>
      <w:adjustRightInd/>
    </w:pPr>
    <w:rPr>
      <w:rFonts w:ascii="宋体" w:hAnsi="宋体" w:cs="宋体"/>
      <w:kern w:val="0"/>
      <w:szCs w:val="21"/>
    </w:rPr>
  </w:style>
  <w:style w:type="paragraph" w:customStyle="1" w:styleId="96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68">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F1DE4-2293-45C8-BD90-49606D8F543E}">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105</Pages>
  <Words>16442</Words>
  <Characters>18065</Characters>
  <Lines>713</Lines>
  <Paragraphs>200</Paragraphs>
  <TotalTime>51</TotalTime>
  <ScaleCrop>false</ScaleCrop>
  <LinksUpToDate>false</LinksUpToDate>
  <CharactersWithSpaces>18398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北海市政府采购中心</dc:creator>
  <cp:lastModifiedBy>wwwww</cp:lastModifiedBy>
  <cp:lastPrinted>2025-11-07T10:17:41Z</cp:lastPrinted>
  <dcterms:modified xsi:type="dcterms:W3CDTF">2025-11-07T10:35:05Z</dcterms:modified>
  <dc:title>北海市政府采购中心</dc:title>
  <cp:revision>3236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8F911894D22E4E998A55AC8789360906_13</vt:lpwstr>
  </property>
  <property fmtid="{D5CDD505-2E9C-101B-9397-08002B2CF9AE}" pid="5" name="KSOTemplateDocerSaveRecord">
    <vt:lpwstr>eyJoZGlkIjoiYWE0MTY0NjlmMjAwNDI5MjliZjdjNzhlNTQxNWNiYjUifQ==</vt:lpwstr>
  </property>
</Properties>
</file>